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2"/>
        <w:rPr>
          <w:rFonts w:ascii="宋体"/>
          <w:kern w:val="2"/>
          <w:sz w:val="32"/>
          <w:szCs w:val="32"/>
          <w:highlight w:val="none"/>
        </w:rPr>
      </w:pPr>
    </w:p>
    <w:p>
      <w:pPr>
        <w:shd w:val="clear" w:color="auto" w:fill="FFFFFF"/>
        <w:jc w:val="center"/>
        <w:textAlignment w:val="bottom"/>
        <w:rPr>
          <w:rFonts w:ascii="宋体"/>
          <w:b/>
          <w:kern w:val="0"/>
          <w:sz w:val="52"/>
          <w:szCs w:val="52"/>
          <w:highlight w:val="none"/>
        </w:rPr>
      </w:pPr>
      <w:bookmarkStart w:id="0" w:name="_Toc331502476"/>
      <w:bookmarkStart w:id="1" w:name="_Toc331502477"/>
    </w:p>
    <w:p>
      <w:pPr>
        <w:shd w:val="clear" w:color="auto" w:fill="FFFFFF"/>
        <w:jc w:val="center"/>
        <w:textAlignment w:val="bottom"/>
        <w:rPr>
          <w:rFonts w:ascii="宋体"/>
          <w:b/>
          <w:kern w:val="0"/>
          <w:sz w:val="52"/>
          <w:szCs w:val="52"/>
          <w:highlight w:val="none"/>
        </w:rPr>
      </w:pPr>
    </w:p>
    <w:p>
      <w:pPr>
        <w:shd w:val="clear" w:color="auto" w:fill="FFFFFF"/>
        <w:jc w:val="center"/>
        <w:textAlignment w:val="bottom"/>
        <w:rPr>
          <w:rFonts w:ascii="宋体"/>
          <w:b/>
          <w:kern w:val="0"/>
          <w:sz w:val="52"/>
          <w:szCs w:val="52"/>
          <w:highlight w:val="none"/>
        </w:rPr>
      </w:pPr>
    </w:p>
    <w:p>
      <w:pPr>
        <w:shd w:val="clear" w:color="auto" w:fill="FFFFFF"/>
        <w:jc w:val="center"/>
        <w:textAlignment w:val="bottom"/>
        <w:rPr>
          <w:rFonts w:ascii="宋体"/>
          <w:b/>
          <w:kern w:val="0"/>
          <w:sz w:val="52"/>
          <w:szCs w:val="52"/>
          <w:highlight w:val="none"/>
        </w:rPr>
      </w:pPr>
      <w:r>
        <w:rPr>
          <w:rFonts w:hint="eastAsia" w:ascii="宋体"/>
          <w:b/>
          <w:kern w:val="0"/>
          <w:sz w:val="52"/>
          <w:szCs w:val="52"/>
          <w:highlight w:val="none"/>
        </w:rPr>
        <w:t>政府采购电子招标文件</w:t>
      </w:r>
    </w:p>
    <w:p>
      <w:pPr>
        <w:wordWrap w:val="0"/>
        <w:ind w:firstLine="2400" w:firstLineChars="750"/>
        <w:jc w:val="left"/>
        <w:rPr>
          <w:rFonts w:hint="eastAsia" w:ascii="宋体" w:eastAsia="宋体"/>
          <w:sz w:val="32"/>
          <w:szCs w:val="32"/>
          <w:highlight w:val="none"/>
          <w:u w:val="single"/>
          <w:lang w:eastAsia="zh-CN"/>
        </w:rPr>
      </w:pPr>
      <w:r>
        <w:rPr>
          <w:rFonts w:hint="eastAsia" w:ascii="宋体" w:hAnsi="宋体"/>
          <w:sz w:val="32"/>
          <w:szCs w:val="32"/>
          <w:highlight w:val="none"/>
        </w:rPr>
        <w:t>招标编号</w:t>
      </w:r>
      <w:r>
        <w:rPr>
          <w:rFonts w:ascii="宋体" w:hAnsi="宋体"/>
          <w:sz w:val="32"/>
          <w:szCs w:val="32"/>
          <w:highlight w:val="none"/>
        </w:rPr>
        <w:t>:</w:t>
      </w:r>
      <w:r>
        <w:rPr>
          <w:rFonts w:hint="eastAsia" w:ascii="宋体" w:hAnsi="宋体"/>
          <w:sz w:val="32"/>
          <w:szCs w:val="32"/>
          <w:highlight w:val="none"/>
          <w:u w:val="single"/>
          <w:lang w:eastAsia="zh-CN"/>
        </w:rPr>
        <w:t>JJLQ2022-011</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firstLine="1084" w:firstLineChars="300"/>
        <w:rPr>
          <w:rFonts w:ascii="宋体" w:hAnsi="宋体" w:cs="Calibri Light"/>
          <w:kern w:val="0"/>
          <w:sz w:val="30"/>
          <w:szCs w:val="30"/>
          <w:highlight w:val="none"/>
        </w:rPr>
      </w:pPr>
      <w:r>
        <w:rPr>
          <w:rFonts w:hint="eastAsia" w:ascii="宋体" w:hAnsi="宋体"/>
          <w:b/>
          <w:sz w:val="36"/>
          <w:highlight w:val="none"/>
        </w:rPr>
        <w:t>（线上电子招投标）</w:t>
      </w:r>
    </w:p>
    <w:p>
      <w:pPr>
        <w:rPr>
          <w:rFonts w:ascii="宋体"/>
          <w:sz w:val="24"/>
          <w:highlight w:val="none"/>
        </w:rPr>
      </w:pPr>
    </w:p>
    <w:p>
      <w:pPr>
        <w:jc w:val="center"/>
        <w:rPr>
          <w:rFonts w:ascii="宋体"/>
          <w:sz w:val="24"/>
          <w:highlight w:val="none"/>
        </w:rPr>
      </w:pPr>
    </w:p>
    <w:p>
      <w:pPr>
        <w:jc w:val="center"/>
        <w:rPr>
          <w:rFonts w:ascii="宋体"/>
          <w:sz w:val="32"/>
          <w:szCs w:val="32"/>
          <w:highlight w:val="none"/>
        </w:rPr>
      </w:pPr>
    </w:p>
    <w:p>
      <w:pPr>
        <w:pStyle w:val="17"/>
        <w:rPr>
          <w:highlight w:val="none"/>
        </w:rPr>
      </w:pPr>
      <w:r>
        <w:rPr>
          <w:rFonts w:hint="eastAsia"/>
          <w:color w:val="auto"/>
          <w:sz w:val="32"/>
          <w:szCs w:val="32"/>
          <w:highlight w:val="none"/>
        </w:rPr>
        <w:t>、</w:t>
      </w:r>
    </w:p>
    <w:p>
      <w:pPr>
        <w:spacing w:line="480" w:lineRule="auto"/>
        <w:jc w:val="left"/>
        <w:rPr>
          <w:rFonts w:hint="eastAsia" w:ascii="宋体" w:hAnsi="宋体" w:eastAsia="宋体" w:cs="Calibri Light"/>
          <w:kern w:val="0"/>
          <w:sz w:val="30"/>
          <w:szCs w:val="30"/>
          <w:highlight w:val="none"/>
          <w:lang w:eastAsia="zh-CN"/>
        </w:rPr>
      </w:pPr>
      <w:r>
        <w:rPr>
          <w:rFonts w:hint="eastAsia" w:ascii="宋体"/>
          <w:sz w:val="28"/>
          <w:szCs w:val="30"/>
          <w:highlight w:val="none"/>
        </w:rPr>
        <w:t xml:space="preserve">    </w:t>
      </w:r>
      <w:r>
        <w:rPr>
          <w:rFonts w:hint="eastAsia" w:ascii="宋体"/>
          <w:sz w:val="30"/>
          <w:szCs w:val="30"/>
          <w:highlight w:val="none"/>
        </w:rPr>
        <w:t>采购项目：</w:t>
      </w:r>
      <w:r>
        <w:rPr>
          <w:rFonts w:hint="eastAsia" w:ascii="宋体"/>
          <w:sz w:val="30"/>
          <w:szCs w:val="30"/>
          <w:highlight w:val="none"/>
          <w:lang w:eastAsia="zh-CN"/>
        </w:rPr>
        <w:t>龙头王、锦泰、飞龙湖未来社区实施方案编制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600" w:firstLineChars="200"/>
        <w:rPr>
          <w:rFonts w:ascii="宋体" w:hAnsi="宋体" w:cs="Calibri Light"/>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600" w:firstLineChars="200"/>
        <w:rPr>
          <w:rFonts w:ascii="宋体" w:hAnsi="宋体" w:cs="Calibri Light"/>
          <w:kern w:val="0"/>
          <w:sz w:val="30"/>
          <w:szCs w:val="30"/>
          <w:highlight w:val="none"/>
        </w:rPr>
      </w:pPr>
      <w:r>
        <w:rPr>
          <w:rFonts w:hint="eastAsia" w:ascii="宋体" w:hAnsi="宋体" w:cs="Calibri Light"/>
          <w:kern w:val="0"/>
          <w:sz w:val="30"/>
          <w:szCs w:val="30"/>
          <w:highlight w:val="none"/>
        </w:rPr>
        <w:t>采</w:t>
      </w:r>
      <w:r>
        <w:rPr>
          <w:rFonts w:ascii="宋体" w:hAnsi="宋体" w:cs="Calibri Light"/>
          <w:kern w:val="0"/>
          <w:sz w:val="30"/>
          <w:szCs w:val="30"/>
          <w:highlight w:val="none"/>
        </w:rPr>
        <w:t xml:space="preserve"> </w:t>
      </w:r>
      <w:r>
        <w:rPr>
          <w:rFonts w:hint="eastAsia" w:ascii="宋体" w:hAnsi="宋体" w:cs="Calibri Light"/>
          <w:kern w:val="0"/>
          <w:sz w:val="30"/>
          <w:szCs w:val="30"/>
          <w:highlight w:val="none"/>
        </w:rPr>
        <w:t>购</w:t>
      </w:r>
      <w:r>
        <w:rPr>
          <w:rFonts w:ascii="宋体" w:hAnsi="宋体" w:cs="Calibri Light"/>
          <w:kern w:val="0"/>
          <w:sz w:val="30"/>
          <w:szCs w:val="30"/>
          <w:highlight w:val="none"/>
        </w:rPr>
        <w:t xml:space="preserve"> </w:t>
      </w:r>
      <w:r>
        <w:rPr>
          <w:rFonts w:hint="eastAsia" w:ascii="宋体" w:hAnsi="宋体" w:cs="Calibri Light"/>
          <w:kern w:val="0"/>
          <w:sz w:val="30"/>
          <w:szCs w:val="30"/>
          <w:highlight w:val="none"/>
        </w:rPr>
        <w:t>人：台州市路桥区住房和城乡建设局（盖章）</w:t>
      </w:r>
    </w:p>
    <w:p>
      <w:pPr>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Calibri Light"/>
          <w:kern w:val="0"/>
          <w:sz w:val="28"/>
          <w:szCs w:val="28"/>
          <w:highlight w:val="none"/>
        </w:rPr>
      </w:pPr>
      <w:r>
        <w:rPr>
          <w:rFonts w:hint="eastAsia" w:ascii="宋体" w:hAnsi="宋体"/>
          <w:sz w:val="28"/>
          <w:szCs w:val="30"/>
          <w:highlight w:val="none"/>
        </w:rPr>
        <w:t>采购组织机构：</w:t>
      </w:r>
      <w:r>
        <w:rPr>
          <w:rFonts w:hint="eastAsia" w:ascii="宋体" w:hAnsi="宋体" w:cs="Calibri Light"/>
          <w:kern w:val="0"/>
          <w:sz w:val="28"/>
          <w:szCs w:val="28"/>
          <w:highlight w:val="none"/>
        </w:rPr>
        <w:t>建经投资咨询有限公司（盖章）</w:t>
      </w:r>
    </w:p>
    <w:p>
      <w:pPr>
        <w:pStyle w:val="93"/>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firstLine="560" w:firstLineChars="200"/>
        <w:jc w:val="center"/>
        <w:rPr>
          <w:rFonts w:ascii="宋体" w:hAnsi="宋体" w:cs="Calibri Light"/>
          <w:kern w:val="0"/>
          <w:sz w:val="28"/>
          <w:szCs w:val="28"/>
          <w:highlight w:val="none"/>
        </w:rPr>
      </w:pPr>
      <w:r>
        <w:rPr>
          <w:rFonts w:hint="eastAsia" w:ascii="宋体" w:hAnsi="宋体" w:cs="宋体"/>
          <w:kern w:val="0"/>
          <w:sz w:val="28"/>
          <w:highlight w:val="none"/>
        </w:rPr>
        <w:t>二○二二年</w:t>
      </w:r>
      <w:r>
        <w:rPr>
          <w:rFonts w:hint="eastAsia" w:ascii="宋体" w:hAnsi="宋体" w:cs="宋体"/>
          <w:kern w:val="0"/>
          <w:sz w:val="28"/>
          <w:highlight w:val="none"/>
          <w:lang w:val="en-US" w:eastAsia="zh-CN"/>
        </w:rPr>
        <w:t>十一</w:t>
      </w:r>
      <w:r>
        <w:rPr>
          <w:rFonts w:hint="eastAsia" w:ascii="宋体" w:hAnsi="宋体" w:cs="宋体"/>
          <w:kern w:val="0"/>
          <w:sz w:val="28"/>
          <w:highlight w:val="none"/>
        </w:rPr>
        <w:t>月</w:t>
      </w:r>
    </w:p>
    <w:p>
      <w:pPr>
        <w:ind w:left="643" w:hanging="643"/>
        <w:jc w:val="center"/>
        <w:rPr>
          <w:rFonts w:ascii="宋体" w:hAnsi="宋体"/>
          <w:b/>
          <w:sz w:val="32"/>
          <w:szCs w:val="32"/>
          <w:highlight w:val="none"/>
        </w:rPr>
      </w:pPr>
    </w:p>
    <w:p>
      <w:pPr>
        <w:ind w:left="643" w:hanging="643"/>
        <w:jc w:val="center"/>
        <w:rPr>
          <w:rFonts w:asci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目</w:t>
      </w:r>
      <w:r>
        <w:rPr>
          <w:rFonts w:ascii="宋体" w:hAnsi="宋体"/>
          <w:b/>
          <w:sz w:val="32"/>
          <w:szCs w:val="32"/>
          <w:highlight w:val="none"/>
        </w:rPr>
        <w:t xml:space="preserve">  </w:t>
      </w:r>
      <w:r>
        <w:rPr>
          <w:rFonts w:hint="eastAsia" w:ascii="宋体" w:hAnsi="宋体"/>
          <w:b/>
          <w:sz w:val="32"/>
          <w:szCs w:val="32"/>
          <w:highlight w:val="none"/>
        </w:rPr>
        <w:t>录</w:t>
      </w:r>
    </w:p>
    <w:p>
      <w:pPr>
        <w:ind w:firstLine="480" w:firstLineChars="200"/>
        <w:rPr>
          <w:rFonts w:ascii="宋体"/>
          <w:sz w:val="24"/>
          <w:highlight w:val="none"/>
        </w:rPr>
      </w:pPr>
    </w:p>
    <w:p>
      <w:pPr>
        <w:pStyle w:val="376"/>
        <w:ind w:firstLine="560"/>
        <w:rPr>
          <w:rFonts w:asci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TOC \o "1-3" \f \u </w:instrText>
      </w:r>
      <w:r>
        <w:rPr>
          <w:rFonts w:ascii="宋体" w:hAnsi="宋体"/>
          <w:sz w:val="28"/>
          <w:szCs w:val="28"/>
          <w:highlight w:val="none"/>
        </w:rPr>
        <w:fldChar w:fldCharType="separate"/>
      </w:r>
      <w:r>
        <w:rPr>
          <w:rFonts w:hint="eastAsia" w:ascii="宋体" w:hAnsi="宋体"/>
          <w:sz w:val="28"/>
          <w:szCs w:val="28"/>
          <w:highlight w:val="none"/>
        </w:rPr>
        <w:t>第一部分</w:t>
      </w:r>
      <w:r>
        <w:rPr>
          <w:rFonts w:ascii="宋体" w:hAnsi="宋体"/>
          <w:sz w:val="28"/>
          <w:szCs w:val="28"/>
          <w:highlight w:val="none"/>
        </w:rPr>
        <w:t xml:space="preserve">    </w:t>
      </w:r>
      <w:r>
        <w:rPr>
          <w:rFonts w:hint="eastAsia" w:ascii="宋体" w:hAnsi="宋体"/>
          <w:sz w:val="28"/>
          <w:szCs w:val="28"/>
          <w:highlight w:val="none"/>
        </w:rPr>
        <w:t xml:space="preserve">招标公告 </w:t>
      </w:r>
    </w:p>
    <w:p>
      <w:pPr>
        <w:pStyle w:val="376"/>
        <w:ind w:firstLine="560"/>
        <w:rPr>
          <w:rFonts w:ascii="宋体"/>
          <w:sz w:val="28"/>
          <w:szCs w:val="28"/>
          <w:highlight w:val="none"/>
        </w:rPr>
      </w:pPr>
      <w:r>
        <w:rPr>
          <w:rFonts w:hint="eastAsia" w:ascii="宋体" w:hAnsi="宋体"/>
          <w:sz w:val="28"/>
          <w:szCs w:val="28"/>
          <w:highlight w:val="none"/>
        </w:rPr>
        <w:t>第二部分</w:t>
      </w:r>
      <w:r>
        <w:rPr>
          <w:rFonts w:ascii="宋体" w:hAnsi="宋体"/>
          <w:sz w:val="28"/>
          <w:szCs w:val="28"/>
          <w:highlight w:val="none"/>
        </w:rPr>
        <w:t xml:space="preserve">    </w:t>
      </w:r>
      <w:r>
        <w:rPr>
          <w:rFonts w:hint="eastAsia" w:ascii="宋体" w:hAnsi="宋体"/>
          <w:sz w:val="28"/>
          <w:szCs w:val="28"/>
          <w:highlight w:val="none"/>
        </w:rPr>
        <w:t>项目需求</w:t>
      </w:r>
    </w:p>
    <w:p>
      <w:pPr>
        <w:pStyle w:val="376"/>
        <w:ind w:firstLine="560"/>
        <w:rPr>
          <w:rFonts w:ascii="宋体"/>
          <w:sz w:val="28"/>
          <w:szCs w:val="28"/>
          <w:highlight w:val="none"/>
        </w:rPr>
      </w:pPr>
      <w:r>
        <w:rPr>
          <w:rFonts w:hint="eastAsia" w:ascii="宋体" w:hAnsi="宋体"/>
          <w:sz w:val="28"/>
          <w:szCs w:val="28"/>
          <w:highlight w:val="none"/>
        </w:rPr>
        <w:t>第三部分</w:t>
      </w:r>
      <w:r>
        <w:rPr>
          <w:rFonts w:ascii="宋体" w:hAnsi="宋体"/>
          <w:sz w:val="28"/>
          <w:szCs w:val="28"/>
          <w:highlight w:val="none"/>
        </w:rPr>
        <w:t xml:space="preserve">    </w:t>
      </w:r>
      <w:r>
        <w:rPr>
          <w:rFonts w:hint="eastAsia" w:ascii="宋体" w:hAnsi="宋体"/>
          <w:sz w:val="28"/>
          <w:szCs w:val="28"/>
          <w:highlight w:val="none"/>
        </w:rPr>
        <w:t>投标人须知</w:t>
      </w:r>
    </w:p>
    <w:p>
      <w:pPr>
        <w:pStyle w:val="376"/>
        <w:ind w:firstLine="560"/>
        <w:rPr>
          <w:rFonts w:ascii="宋体"/>
          <w:sz w:val="28"/>
          <w:szCs w:val="28"/>
          <w:highlight w:val="none"/>
        </w:rPr>
      </w:pPr>
      <w:r>
        <w:rPr>
          <w:rFonts w:hint="eastAsia" w:ascii="宋体" w:hAnsi="宋体"/>
          <w:sz w:val="28"/>
          <w:szCs w:val="28"/>
          <w:highlight w:val="none"/>
        </w:rPr>
        <w:t>第四部分</w:t>
      </w:r>
      <w:r>
        <w:rPr>
          <w:rFonts w:ascii="宋体" w:hAnsi="宋体"/>
          <w:sz w:val="28"/>
          <w:szCs w:val="28"/>
          <w:highlight w:val="none"/>
        </w:rPr>
        <w:t xml:space="preserve">    </w:t>
      </w:r>
      <w:r>
        <w:rPr>
          <w:rFonts w:hint="eastAsia" w:ascii="宋体" w:hAnsi="宋体"/>
          <w:sz w:val="28"/>
          <w:szCs w:val="28"/>
          <w:highlight w:val="none"/>
        </w:rPr>
        <w:t>投标文件格式</w:t>
      </w:r>
    </w:p>
    <w:p>
      <w:pPr>
        <w:pStyle w:val="376"/>
        <w:ind w:firstLine="560"/>
        <w:rPr>
          <w:rFonts w:ascii="宋体"/>
          <w:sz w:val="28"/>
          <w:szCs w:val="28"/>
          <w:highlight w:val="none"/>
        </w:rPr>
      </w:pPr>
      <w:r>
        <w:rPr>
          <w:rFonts w:hint="eastAsia" w:ascii="宋体" w:hAnsi="宋体"/>
          <w:sz w:val="28"/>
          <w:szCs w:val="28"/>
          <w:highlight w:val="none"/>
        </w:rPr>
        <w:t>第五部分</w:t>
      </w:r>
      <w:r>
        <w:rPr>
          <w:rFonts w:ascii="宋体" w:hAnsi="宋体"/>
          <w:sz w:val="28"/>
          <w:szCs w:val="28"/>
          <w:highlight w:val="none"/>
        </w:rPr>
        <w:t xml:space="preserve">    </w:t>
      </w:r>
      <w:r>
        <w:rPr>
          <w:rFonts w:hint="eastAsia" w:ascii="宋体" w:hAnsi="宋体"/>
          <w:sz w:val="28"/>
          <w:szCs w:val="28"/>
          <w:highlight w:val="none"/>
        </w:rPr>
        <w:t>采购合同</w:t>
      </w:r>
    </w:p>
    <w:p>
      <w:pPr>
        <w:pStyle w:val="376"/>
        <w:ind w:firstLine="560"/>
        <w:rPr>
          <w:rFonts w:ascii="宋体"/>
          <w:sz w:val="28"/>
          <w:szCs w:val="28"/>
          <w:highlight w:val="none"/>
        </w:rPr>
      </w:pPr>
      <w:r>
        <w:rPr>
          <w:rFonts w:hint="eastAsia" w:ascii="宋体" w:hAnsi="宋体"/>
          <w:sz w:val="28"/>
          <w:szCs w:val="28"/>
          <w:highlight w:val="none"/>
        </w:rPr>
        <w:t>第六部分</w:t>
      </w:r>
      <w:r>
        <w:rPr>
          <w:rFonts w:ascii="宋体" w:hAnsi="宋体"/>
          <w:sz w:val="28"/>
          <w:szCs w:val="28"/>
          <w:highlight w:val="none"/>
        </w:rPr>
        <w:t xml:space="preserve">    </w:t>
      </w:r>
      <w:r>
        <w:rPr>
          <w:rFonts w:hint="eastAsia" w:ascii="宋体" w:hAnsi="宋体"/>
          <w:sz w:val="28"/>
          <w:szCs w:val="28"/>
          <w:highlight w:val="none"/>
        </w:rPr>
        <w:t>评标办法</w:t>
      </w:r>
    </w:p>
    <w:p>
      <w:pPr>
        <w:pStyle w:val="376"/>
        <w:ind w:firstLine="560"/>
        <w:rPr>
          <w:rFonts w:ascii="宋体"/>
          <w:sz w:val="28"/>
          <w:szCs w:val="28"/>
          <w:highlight w:val="none"/>
        </w:rPr>
      </w:pPr>
      <w:r>
        <w:rPr>
          <w:rFonts w:ascii="宋体" w:hAnsi="宋体"/>
          <w:sz w:val="28"/>
          <w:szCs w:val="28"/>
          <w:highlight w:val="none"/>
        </w:rPr>
        <w:fldChar w:fldCharType="end"/>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3"/>
        <w:numPr>
          <w:ilvl w:val="0"/>
          <w:numId w:val="0"/>
        </w:numPr>
        <w:tabs>
          <w:tab w:val="clear" w:pos="432"/>
        </w:tabs>
        <w:spacing w:before="0" w:after="0" w:line="360" w:lineRule="auto"/>
        <w:jc w:val="center"/>
        <w:rPr>
          <w:rFonts w:ascii="宋体"/>
          <w:sz w:val="36"/>
          <w:szCs w:val="36"/>
          <w:highlight w:val="none"/>
        </w:rPr>
      </w:pPr>
      <w:r>
        <w:rPr>
          <w:rFonts w:hint="eastAsia" w:ascii="宋体" w:hAnsi="宋体"/>
          <w:sz w:val="36"/>
          <w:szCs w:val="36"/>
          <w:highlight w:val="none"/>
        </w:rPr>
        <w:t>第一部分</w:t>
      </w:r>
      <w:r>
        <w:rPr>
          <w:rFonts w:ascii="宋体" w:hAnsi="宋体"/>
          <w:sz w:val="36"/>
          <w:szCs w:val="36"/>
          <w:highlight w:val="none"/>
        </w:rPr>
        <w:t xml:space="preserve">  </w:t>
      </w:r>
      <w:bookmarkEnd w:id="0"/>
      <w:r>
        <w:rPr>
          <w:rFonts w:hint="eastAsia" w:ascii="宋体" w:hAnsi="宋体"/>
          <w:sz w:val="36"/>
          <w:szCs w:val="36"/>
          <w:highlight w:val="none"/>
        </w:rPr>
        <w:t>招标公告</w:t>
      </w:r>
    </w:p>
    <w:p>
      <w:pPr>
        <w:pStyle w:val="72"/>
        <w:spacing w:line="440" w:lineRule="exact"/>
        <w:ind w:firstLine="480" w:firstLineChars="200"/>
        <w:jc w:val="both"/>
        <w:rPr>
          <w:rFonts w:ascii="宋体"/>
          <w:highlight w:val="none"/>
          <w:u w:val="single"/>
        </w:rPr>
      </w:pPr>
      <w:r>
        <w:rPr>
          <w:rFonts w:hint="eastAsia" w:ascii="宋体" w:hAnsi="宋体"/>
          <w:b w:val="0"/>
          <w:kern w:val="2"/>
          <w:szCs w:val="24"/>
          <w:highlight w:val="none"/>
        </w:rPr>
        <w:t>根据《中华人民共和国政府采购法》、《政府采购货物和服务招标投标管理办法（财政部第87号令）》等有关规定，</w:t>
      </w:r>
      <w:r>
        <w:rPr>
          <w:rFonts w:hint="eastAsia" w:ascii="宋体" w:hAnsi="宋体"/>
          <w:b w:val="0"/>
          <w:kern w:val="2"/>
          <w:szCs w:val="24"/>
          <w:highlight w:val="none"/>
          <w:u w:val="single"/>
        </w:rPr>
        <w:t>建经投资咨询有限公司</w:t>
      </w:r>
      <w:r>
        <w:rPr>
          <w:rFonts w:hint="eastAsia" w:ascii="宋体" w:hAnsi="宋体"/>
          <w:b w:val="0"/>
          <w:kern w:val="2"/>
          <w:szCs w:val="24"/>
          <w:highlight w:val="none"/>
        </w:rPr>
        <w:t>受</w:t>
      </w:r>
      <w:r>
        <w:rPr>
          <w:rFonts w:hint="eastAsia" w:ascii="宋体" w:hAnsi="宋体"/>
          <w:b w:val="0"/>
          <w:kern w:val="2"/>
          <w:szCs w:val="24"/>
          <w:highlight w:val="none"/>
          <w:u w:val="single"/>
        </w:rPr>
        <w:t>台州市路桥区住房和城乡建设局</w:t>
      </w:r>
      <w:r>
        <w:rPr>
          <w:rFonts w:hint="eastAsia" w:ascii="宋体" w:hAnsi="宋体"/>
          <w:b w:val="0"/>
          <w:kern w:val="2"/>
          <w:szCs w:val="24"/>
          <w:highlight w:val="none"/>
        </w:rPr>
        <w:t>委托，就</w:t>
      </w:r>
      <w:r>
        <w:rPr>
          <w:rFonts w:hint="eastAsia" w:ascii="宋体" w:hAnsi="宋体"/>
          <w:b w:val="0"/>
          <w:highlight w:val="none"/>
          <w:u w:val="single"/>
          <w:lang w:eastAsia="zh-CN"/>
        </w:rPr>
        <w:t>龙头王、锦泰、飞龙湖未来社区实施方案编制</w:t>
      </w:r>
      <w:r>
        <w:rPr>
          <w:rFonts w:hint="eastAsia" w:ascii="宋体" w:hAnsi="宋体"/>
          <w:b w:val="0"/>
          <w:kern w:val="2"/>
          <w:szCs w:val="24"/>
          <w:highlight w:val="none"/>
        </w:rPr>
        <w:t>进行公开招标，欢迎合格供应商前来投标。</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一、招标编号：</w:t>
      </w:r>
      <w:r>
        <w:rPr>
          <w:rFonts w:hint="eastAsia" w:ascii="宋体" w:hAnsi="宋体"/>
          <w:sz w:val="24"/>
          <w:highlight w:val="none"/>
          <w:lang w:eastAsia="zh-CN"/>
        </w:rPr>
        <w:t>JJLQ2022-011</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二、项目名称：</w:t>
      </w:r>
      <w:r>
        <w:rPr>
          <w:rFonts w:hint="eastAsia" w:ascii="宋体" w:hAnsi="宋体"/>
          <w:sz w:val="24"/>
          <w:highlight w:val="none"/>
          <w:lang w:eastAsia="zh-CN"/>
        </w:rPr>
        <w:t>龙头王、锦泰、飞龙湖未来社区实施方案编制</w:t>
      </w:r>
    </w:p>
    <w:p>
      <w:pPr>
        <w:spacing w:line="440" w:lineRule="exact"/>
        <w:ind w:firstLine="480" w:firstLineChars="200"/>
        <w:rPr>
          <w:rFonts w:ascii="宋体" w:hAnsi="宋体"/>
          <w:sz w:val="24"/>
          <w:highlight w:val="none"/>
        </w:rPr>
      </w:pPr>
      <w:r>
        <w:rPr>
          <w:rFonts w:hint="eastAsia" w:ascii="宋体" w:hAnsi="宋体"/>
          <w:sz w:val="24"/>
          <w:highlight w:val="none"/>
        </w:rPr>
        <w:t>三、采购组织类型：公开招标</w:t>
      </w:r>
    </w:p>
    <w:p>
      <w:pPr>
        <w:spacing w:line="440" w:lineRule="exact"/>
        <w:ind w:firstLine="480" w:firstLineChars="200"/>
        <w:rPr>
          <w:rFonts w:ascii="宋体" w:hAnsi="宋体"/>
          <w:sz w:val="24"/>
          <w:highlight w:val="none"/>
        </w:rPr>
      </w:pPr>
      <w:r>
        <w:rPr>
          <w:rFonts w:hint="eastAsia" w:ascii="宋体" w:hAnsi="宋体"/>
          <w:sz w:val="24"/>
          <w:highlight w:val="none"/>
        </w:rPr>
        <w:t>四、采购内容：</w:t>
      </w:r>
    </w:p>
    <w:tbl>
      <w:tblPr>
        <w:tblStyle w:val="76"/>
        <w:tblW w:w="5547"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76"/>
        <w:gridCol w:w="720"/>
        <w:gridCol w:w="720"/>
        <w:gridCol w:w="1600"/>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标项</w:t>
            </w:r>
          </w:p>
        </w:tc>
        <w:tc>
          <w:tcPr>
            <w:tcW w:w="8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标项内容</w:t>
            </w:r>
          </w:p>
        </w:tc>
        <w:tc>
          <w:tcPr>
            <w:tcW w:w="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数量</w:t>
            </w:r>
          </w:p>
        </w:tc>
        <w:tc>
          <w:tcPr>
            <w:tcW w:w="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单位</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预算金额</w:t>
            </w:r>
          </w:p>
        </w:tc>
        <w:tc>
          <w:tcPr>
            <w:tcW w:w="11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简要介绍</w:t>
            </w:r>
          </w:p>
        </w:tc>
        <w:tc>
          <w:tcPr>
            <w:tcW w:w="11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一</w:t>
            </w:r>
          </w:p>
        </w:tc>
        <w:tc>
          <w:tcPr>
            <w:tcW w:w="861"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highlight w:val="none"/>
                <w:lang w:eastAsia="zh-CN"/>
              </w:rPr>
            </w:pPr>
            <w:r>
              <w:rPr>
                <w:rFonts w:hint="eastAsia" w:ascii="宋体" w:hAnsi="宋体" w:cs="宋体"/>
                <w:sz w:val="24"/>
                <w:highlight w:val="none"/>
                <w:lang w:eastAsia="zh-CN"/>
              </w:rPr>
              <w:t>龙头王、锦泰、飞龙湖未来社区实施方案编制</w:t>
            </w:r>
          </w:p>
        </w:tc>
        <w:tc>
          <w:tcPr>
            <w:tcW w:w="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1</w:t>
            </w:r>
          </w:p>
        </w:tc>
        <w:tc>
          <w:tcPr>
            <w:tcW w:w="3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项</w:t>
            </w:r>
          </w:p>
        </w:tc>
        <w:tc>
          <w:tcPr>
            <w:tcW w:w="77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highlight w:val="none"/>
                <w:lang w:val="en-US" w:eastAsia="zh-CN"/>
              </w:rPr>
              <w:t>630</w:t>
            </w:r>
            <w:r>
              <w:rPr>
                <w:rFonts w:hint="eastAsia" w:ascii="宋体" w:hAnsi="宋体" w:cs="宋体"/>
                <w:sz w:val="24"/>
                <w:highlight w:val="none"/>
              </w:rPr>
              <w:t>万元</w:t>
            </w:r>
          </w:p>
        </w:tc>
        <w:tc>
          <w:tcPr>
            <w:tcW w:w="1126" w:type="pct"/>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龙头王未来社区规划面积约28.89公顷。锦泰未来社区面积约28.51公顷。飞龙湖未来社区面积约58.91公顷</w:t>
            </w:r>
            <w:r>
              <w:rPr>
                <w:kern w:val="0"/>
                <w:sz w:val="24"/>
              </w:rPr>
              <w:t>。</w:t>
            </w:r>
          </w:p>
          <w:p>
            <w:pPr>
              <w:rPr>
                <w:rFonts w:hint="eastAsia" w:ascii="宋体" w:hAnsi="宋体" w:eastAsia="宋体" w:cs="宋体"/>
                <w:sz w:val="24"/>
                <w:highlight w:val="none"/>
                <w:lang w:eastAsia="zh-CN"/>
              </w:rPr>
            </w:pPr>
          </w:p>
        </w:tc>
        <w:tc>
          <w:tcPr>
            <w:tcW w:w="112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r>
              <w:rPr>
                <w:rFonts w:hint="eastAsia" w:ascii="宋体" w:hAnsi="宋体" w:cs="宋体"/>
                <w:sz w:val="24"/>
              </w:rPr>
              <w:t>合同签订后1个月内完成方案的编制并通过评审。</w:t>
            </w:r>
          </w:p>
        </w:tc>
      </w:tr>
    </w:tbl>
    <w:p>
      <w:pPr>
        <w:spacing w:line="440" w:lineRule="exact"/>
        <w:ind w:firstLine="482" w:firstLineChars="200"/>
        <w:rPr>
          <w:rFonts w:ascii="宋体"/>
          <w:b/>
          <w:sz w:val="24"/>
          <w:highlight w:val="none"/>
        </w:rPr>
      </w:pPr>
      <w:r>
        <w:rPr>
          <w:rFonts w:hint="eastAsia" w:ascii="宋体" w:hAnsi="宋体"/>
          <w:b/>
          <w:sz w:val="24"/>
          <w:highlight w:val="none"/>
        </w:rPr>
        <w:t>五、投标人应具备的资格要求</w:t>
      </w:r>
    </w:p>
    <w:p>
      <w:pPr>
        <w:spacing w:line="440" w:lineRule="exact"/>
        <w:ind w:firstLine="480" w:firstLineChars="200"/>
        <w:rPr>
          <w:rFonts w:ascii="宋体" w:hAnsi="宋体"/>
          <w:sz w:val="24"/>
          <w:highlight w:val="none"/>
        </w:rPr>
      </w:pPr>
      <w:r>
        <w:rPr>
          <w:rFonts w:hint="eastAsia" w:ascii="宋体" w:hAnsi="宋体"/>
          <w:sz w:val="24"/>
          <w:highlight w:val="none"/>
        </w:rPr>
        <w:t>1、基本资格要求：符合《中华人民共和国政府采购法》第二十二条规定的投标人资格条件。</w:t>
      </w:r>
    </w:p>
    <w:p>
      <w:pPr>
        <w:spacing w:line="440" w:lineRule="exact"/>
        <w:ind w:firstLine="480" w:firstLineChars="200"/>
        <w:rPr>
          <w:rFonts w:ascii="宋体" w:hAnsi="宋体"/>
          <w:sz w:val="24"/>
          <w:highlight w:val="none"/>
        </w:rPr>
      </w:pPr>
      <w:r>
        <w:rPr>
          <w:rFonts w:hint="eastAsia" w:ascii="宋体" w:hAnsi="宋体"/>
          <w:sz w:val="24"/>
          <w:highlight w:val="none"/>
        </w:rPr>
        <w:t>2、投标人特定资格条件：</w:t>
      </w:r>
    </w:p>
    <w:p>
      <w:pPr>
        <w:spacing w:line="440" w:lineRule="exact"/>
        <w:ind w:firstLine="480" w:firstLineChars="200"/>
        <w:rPr>
          <w:rFonts w:ascii="宋体" w:hAnsi="宋体"/>
          <w:sz w:val="24"/>
          <w:highlight w:val="none"/>
        </w:rPr>
      </w:pPr>
      <w:r>
        <w:rPr>
          <w:rFonts w:hint="eastAsia" w:ascii="宋体" w:hAnsi="宋体"/>
          <w:sz w:val="24"/>
          <w:highlight w:val="none"/>
        </w:rPr>
        <w:t>（1）投标人资格要求：未被“信用中国”（www.creditchina.gov.cn）、中国政府采购网（www.ccgp.gov.cn）列入失信被执行人、重大税收违法案件当事人名单、政府采购严重违法失信行为记录名单；</w:t>
      </w:r>
    </w:p>
    <w:p>
      <w:pPr>
        <w:spacing w:line="312"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（2）落实政府采购政策需满足的资格要求：</w:t>
      </w:r>
      <w:r>
        <w:rPr>
          <w:rFonts w:hint="eastAsia" w:ascii="宋体" w:hAnsi="宋体"/>
          <w:b/>
          <w:bCs/>
          <w:sz w:val="24"/>
          <w:highlight w:val="none"/>
        </w:rPr>
        <w:t>本项目按照《政府采购促进中小企业发展管理办法》【财库（2020）46 号】第七条规定：</w:t>
      </w:r>
      <w:r>
        <w:rPr>
          <w:rFonts w:hint="eastAsia" w:ascii="宋体" w:hAnsi="宋体"/>
          <w:b/>
          <w:bCs/>
          <w:sz w:val="24"/>
          <w:highlight w:val="none"/>
          <w:u w:val="single"/>
        </w:rPr>
        <w:t>本项目专门面向中小企业采购</w:t>
      </w:r>
      <w:r>
        <w:rPr>
          <w:rFonts w:hint="eastAsia" w:ascii="宋体" w:hAnsi="宋体"/>
          <w:sz w:val="24"/>
          <w:highlight w:val="none"/>
        </w:rPr>
        <w:t>；</w:t>
      </w:r>
    </w:p>
    <w:p>
      <w:pPr>
        <w:spacing w:line="312"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）投标人须具备城乡规划编制单位乙级及以上资质</w:t>
      </w:r>
      <w:r>
        <w:rPr>
          <w:rFonts w:hint="eastAsia" w:ascii="宋体" w:hAnsi="宋体" w:eastAsia="宋体" w:cs="Times New Roman"/>
          <w:color w:val="auto"/>
          <w:sz w:val="24"/>
          <w:highlight w:val="none"/>
          <w:lang w:val="zh-CN" w:eastAsia="zh-CN"/>
        </w:rPr>
        <w:t>；</w:t>
      </w:r>
    </w:p>
    <w:p>
      <w:pPr>
        <w:spacing w:line="312" w:lineRule="auto"/>
        <w:ind w:firstLine="480" w:firstLineChars="200"/>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）本项目不接受联合体投标</w:t>
      </w:r>
    </w:p>
    <w:p>
      <w:pPr>
        <w:spacing w:line="312"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p>
    <w:p>
      <w:pPr>
        <w:spacing w:line="440" w:lineRule="exact"/>
        <w:ind w:firstLine="482" w:firstLineChars="200"/>
        <w:rPr>
          <w:rFonts w:ascii="宋体"/>
          <w:sz w:val="24"/>
          <w:highlight w:val="none"/>
        </w:rPr>
      </w:pPr>
      <w:r>
        <w:rPr>
          <w:rFonts w:hint="eastAsia" w:ascii="宋体" w:hAnsi="宋体"/>
          <w:b/>
          <w:sz w:val="24"/>
          <w:highlight w:val="none"/>
        </w:rPr>
        <w:t>六、</w:t>
      </w:r>
      <w:r>
        <w:rPr>
          <w:rFonts w:hint="eastAsia" w:ascii="宋体"/>
          <w:b/>
          <w:bCs/>
          <w:sz w:val="24"/>
          <w:highlight w:val="none"/>
        </w:rPr>
        <w:t>标段：</w:t>
      </w:r>
      <w:r>
        <w:rPr>
          <w:rFonts w:hint="eastAsia" w:ascii="宋体"/>
          <w:sz w:val="24"/>
          <w:highlight w:val="none"/>
        </w:rPr>
        <w:t>一个标段。</w:t>
      </w:r>
    </w:p>
    <w:p>
      <w:pPr>
        <w:spacing w:line="440" w:lineRule="exact"/>
        <w:ind w:firstLine="482" w:firstLineChars="200"/>
        <w:rPr>
          <w:rFonts w:ascii="宋体"/>
          <w:sz w:val="24"/>
          <w:highlight w:val="none"/>
        </w:rPr>
      </w:pPr>
      <w:r>
        <w:rPr>
          <w:rFonts w:hint="eastAsia" w:ascii="宋体" w:hAnsi="宋体"/>
          <w:b/>
          <w:sz w:val="24"/>
          <w:highlight w:val="none"/>
        </w:rPr>
        <w:t>七、招标文件的获取时间、地址、方式、售价:</w:t>
      </w:r>
    </w:p>
    <w:p>
      <w:pPr>
        <w:spacing w:line="440" w:lineRule="exact"/>
        <w:ind w:firstLine="480" w:firstLineChars="200"/>
        <w:rPr>
          <w:rFonts w:ascii="宋体" w:hAnsi="宋体"/>
          <w:sz w:val="24"/>
          <w:highlight w:val="none"/>
        </w:rPr>
      </w:pPr>
      <w:r>
        <w:rPr>
          <w:rFonts w:hint="eastAsia" w:ascii="宋体" w:hAnsi="宋体"/>
          <w:sz w:val="24"/>
          <w:highlight w:val="none"/>
        </w:rPr>
        <w:t>1、本项目招标文件实行“政府采购云平台”（http://zfcg.czt.zj.gov.cn）在线获取，不提供招标文件纸质版。供应商获取招标文件前应先完成“政府采购云平台”的账号注册。</w:t>
      </w:r>
    </w:p>
    <w:p>
      <w:pPr>
        <w:spacing w:line="440" w:lineRule="exact"/>
        <w:ind w:firstLine="480" w:firstLineChars="200"/>
        <w:rPr>
          <w:rFonts w:ascii="宋体" w:hAnsi="宋体"/>
          <w:sz w:val="24"/>
          <w:highlight w:val="none"/>
        </w:rPr>
      </w:pPr>
      <w:r>
        <w:rPr>
          <w:rFonts w:hint="eastAsia" w:ascii="宋体" w:hAnsi="宋体"/>
          <w:sz w:val="24"/>
          <w:highlight w:val="none"/>
        </w:rPr>
        <w:t>2、获取方式、售价：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sz w:val="24"/>
          <w:highlight w:val="none"/>
        </w:rPr>
        <w:t>没有通过</w:t>
      </w:r>
      <w:r>
        <w:rPr>
          <w:rFonts w:hint="eastAsia" w:ascii="宋体" w:hAnsi="宋体"/>
          <w:sz w:val="24"/>
          <w:highlight w:val="none"/>
        </w:rPr>
        <w:t>在“政府采购云平台”招标文件申请</w:t>
      </w:r>
      <w:r>
        <w:rPr>
          <w:rFonts w:hint="eastAsia" w:ascii="宋体" w:hAnsi="宋体" w:cs="宋体"/>
          <w:sz w:val="24"/>
          <w:highlight w:val="none"/>
        </w:rPr>
        <w:t>后获取招标文件的潜在供应商，对招标文件提起质疑、投诉的，不予受理。采购代理机构将拒绝接受非通过以上方式获取招标文件供应商的投标文件。</w:t>
      </w:r>
    </w:p>
    <w:p>
      <w:pPr>
        <w:spacing w:line="440" w:lineRule="exact"/>
        <w:ind w:firstLine="480" w:firstLineChars="200"/>
        <w:rPr>
          <w:rFonts w:ascii="宋体" w:hAnsi="宋体"/>
          <w:sz w:val="24"/>
          <w:highlight w:val="none"/>
        </w:rPr>
      </w:pPr>
      <w:r>
        <w:rPr>
          <w:rFonts w:hint="eastAsia" w:ascii="宋体" w:hAnsi="宋体"/>
          <w:sz w:val="24"/>
          <w:highlight w:val="none"/>
        </w:rPr>
        <w:t>3、获取招标文件（公告）时间：</w:t>
      </w:r>
      <w:r>
        <w:rPr>
          <w:rFonts w:hint="eastAsia" w:ascii="宋体" w:hAnsi="宋体" w:cs="宋体"/>
          <w:sz w:val="24"/>
          <w:highlight w:val="none"/>
          <w:u w:val="single"/>
        </w:rPr>
        <w:t>公告发布时间</w:t>
      </w:r>
      <w:r>
        <w:rPr>
          <w:rFonts w:ascii="宋体" w:hAnsi="宋体" w:cs="宋体"/>
          <w:sz w:val="24"/>
          <w:highlight w:val="none"/>
          <w:u w:val="single"/>
        </w:rPr>
        <w:t xml:space="preserve"> </w:t>
      </w:r>
      <w:r>
        <w:rPr>
          <w:rFonts w:hint="eastAsia" w:ascii="宋体" w:hAnsi="宋体" w:cs="宋体"/>
          <w:sz w:val="24"/>
          <w:highlight w:val="none"/>
        </w:rPr>
        <w:t>至</w:t>
      </w:r>
      <w:r>
        <w:rPr>
          <w:rFonts w:ascii="宋体" w:hAnsi="宋体" w:cs="宋体"/>
          <w:sz w:val="24"/>
          <w:highlight w:val="none"/>
        </w:rPr>
        <w:t xml:space="preserve"> </w:t>
      </w:r>
      <w:r>
        <w:rPr>
          <w:rFonts w:hint="eastAsia" w:ascii="宋体" w:hAnsi="宋体" w:cs="宋体"/>
          <w:sz w:val="24"/>
          <w:highlight w:val="none"/>
          <w:u w:val="single"/>
        </w:rPr>
        <w:t>投标截止时间</w:t>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4、获取地址：浙江政府采购网本项目公告附件。</w:t>
      </w:r>
    </w:p>
    <w:p>
      <w:pPr>
        <w:numPr>
          <w:ilvl w:val="0"/>
          <w:numId w:val="31"/>
        </w:numPr>
        <w:spacing w:line="440" w:lineRule="exact"/>
        <w:ind w:firstLine="480" w:firstLineChars="200"/>
        <w:rPr>
          <w:rFonts w:ascii="宋体" w:hAnsi="宋体"/>
          <w:sz w:val="24"/>
          <w:highlight w:val="none"/>
        </w:rPr>
      </w:pPr>
      <w:r>
        <w:rPr>
          <w:rFonts w:hint="eastAsia" w:ascii="宋体" w:hAnsi="宋体"/>
          <w:sz w:val="24"/>
          <w:highlight w:val="none"/>
        </w:rPr>
        <w:t>供应商获取招标文件时建议提交的文件资料：无，按政釆云系统要求进行获取。</w:t>
      </w:r>
    </w:p>
    <w:p>
      <w:pPr>
        <w:spacing w:line="440" w:lineRule="exact"/>
        <w:ind w:firstLine="482" w:firstLineChars="200"/>
        <w:rPr>
          <w:rFonts w:ascii="宋体" w:hAnsi="宋体"/>
          <w:b/>
          <w:bCs/>
          <w:sz w:val="24"/>
          <w:highlight w:val="none"/>
        </w:rPr>
      </w:pPr>
      <w:r>
        <w:rPr>
          <w:rFonts w:hint="eastAsia" w:ascii="宋体" w:hAnsi="宋体"/>
          <w:b/>
          <w:bCs/>
          <w:sz w:val="24"/>
          <w:highlight w:val="none"/>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pPr>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八</w:t>
      </w:r>
      <w:r>
        <w:rPr>
          <w:rFonts w:hint="eastAsia" w:ascii="宋体" w:hAnsi="宋体"/>
          <w:b/>
          <w:bCs/>
          <w:sz w:val="24"/>
          <w:highlight w:val="none"/>
        </w:rPr>
        <w:t>、投标说明</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1、标前准备（CA驱动及政采云电子交易客户端的下载）：各潜在供应商应在投标截止时间前完成浙江省政府采购网（政府采购云平台）供应商</w:t>
      </w:r>
      <w:r>
        <w:rPr>
          <w:rFonts w:hint="eastAsia" w:ascii="宋体" w:hAnsi="宋体"/>
          <w:sz w:val="24"/>
          <w:highlight w:val="none"/>
        </w:rPr>
        <w:t>账号注册</w:t>
      </w:r>
      <w:r>
        <w:rPr>
          <w:rFonts w:hint="eastAsia" w:ascii="宋体" w:hAnsi="宋体" w:cs="宋体"/>
          <w:sz w:val="24"/>
          <w:highlight w:val="none"/>
        </w:rPr>
        <w:t>，并完成CA数字证书办理及电子交易客户端的下载。因未</w:t>
      </w:r>
      <w:r>
        <w:rPr>
          <w:rFonts w:hint="eastAsia" w:ascii="宋体" w:hAnsi="宋体"/>
          <w:sz w:val="24"/>
          <w:highlight w:val="none"/>
        </w:rPr>
        <w:t>注册账号</w:t>
      </w:r>
      <w:r>
        <w:rPr>
          <w:rFonts w:hint="eastAsia" w:ascii="宋体" w:hAnsi="宋体" w:cs="宋体"/>
          <w:sz w:val="24"/>
          <w:highlight w:val="none"/>
        </w:rPr>
        <w:t>、未办理CA数字证书等原因造成无法投标或投标失败等后果由投标人自行承担。</w:t>
      </w:r>
    </w:p>
    <w:p>
      <w:pPr>
        <w:snapToGrid w:val="0"/>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440" w:lineRule="exact"/>
        <w:ind w:firstLine="482" w:firstLineChars="200"/>
        <w:rPr>
          <w:rFonts w:ascii="宋体" w:hAnsi="宋体"/>
          <w:sz w:val="24"/>
          <w:highlight w:val="none"/>
        </w:rPr>
      </w:pPr>
      <w:r>
        <w:rPr>
          <w:rFonts w:hint="eastAsia" w:ascii="宋体" w:hAnsi="宋体" w:cs="宋体"/>
          <w:b/>
          <w:bCs/>
          <w:sz w:val="24"/>
          <w:highlight w:val="none"/>
        </w:rPr>
        <w:t>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宋体" w:hAnsi="宋体" w:cs="宋体"/>
          <w:b/>
          <w:bCs/>
          <w:sz w:val="24"/>
          <w:highlight w:val="none"/>
        </w:rPr>
        <w:t>CA驱动和申领流程</w:t>
      </w:r>
      <w:r>
        <w:rPr>
          <w:rFonts w:hint="eastAsia" w:ascii="宋体" w:hAnsi="宋体" w:cs="宋体"/>
          <w:b/>
          <w:bCs/>
          <w:sz w:val="24"/>
          <w:highlight w:val="none"/>
        </w:rPr>
        <w:fldChar w:fldCharType="end"/>
      </w:r>
      <w:r>
        <w:rPr>
          <w:rFonts w:hint="eastAsia" w:ascii="宋体" w:hAnsi="宋体" w:cs="宋体"/>
          <w:b/>
          <w:bCs/>
          <w:sz w:val="24"/>
          <w:highlight w:val="none"/>
        </w:rPr>
        <w:t>”进行查阅；完成CA数字证书办理预计需耗时7个工作日（至少须3个工作日左右），建议各投标人合理安排时间办理。</w:t>
      </w:r>
    </w:p>
    <w:p>
      <w:pPr>
        <w:numPr>
          <w:ilvl w:val="0"/>
          <w:numId w:val="32"/>
        </w:numPr>
        <w:spacing w:line="440" w:lineRule="exact"/>
        <w:ind w:firstLine="480" w:firstLineChars="200"/>
        <w:rPr>
          <w:rFonts w:ascii="宋体" w:hAnsi="宋体" w:cs="宋体"/>
          <w:sz w:val="24"/>
          <w:highlight w:val="none"/>
        </w:rPr>
      </w:pPr>
      <w:r>
        <w:rPr>
          <w:rFonts w:hint="eastAsia" w:ascii="宋体" w:hAnsi="宋体" w:cs="宋体"/>
          <w:sz w:val="24"/>
          <w:highlight w:val="none"/>
        </w:rPr>
        <w:t>为确保网上操作合法、有效和安全，投标供应商应当在投标截止时间前完成在“政府采购云平台”的身份认证，确保在电子投标过程中能够对相关数据电文进行加密和使用电子签章。</w:t>
      </w:r>
    </w:p>
    <w:p>
      <w:pPr>
        <w:spacing w:line="440" w:lineRule="exact"/>
        <w:ind w:firstLine="480" w:firstLineChars="200"/>
        <w:rPr>
          <w:rFonts w:ascii="宋体" w:hAnsi="宋体"/>
          <w:sz w:val="24"/>
          <w:highlight w:val="none"/>
        </w:rPr>
      </w:pPr>
      <w:r>
        <w:rPr>
          <w:rFonts w:hint="eastAsia" w:ascii="宋体" w:hAnsi="宋体"/>
          <w:sz w:val="24"/>
          <w:highlight w:val="none"/>
        </w:rPr>
        <w:t>3、本项目通过</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www.zcygov.cn</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实行在线投标响应（电子投标），供应商应先安装</w:t>
      </w:r>
      <w:r>
        <w:rPr>
          <w:rFonts w:ascii="宋体" w:hAnsi="宋体"/>
          <w:sz w:val="24"/>
          <w:highlight w:val="none"/>
        </w:rPr>
        <w:t>“</w:t>
      </w:r>
      <w:r>
        <w:rPr>
          <w:rFonts w:hint="eastAsia" w:ascii="宋体" w:hAnsi="宋体"/>
          <w:sz w:val="24"/>
          <w:highlight w:val="none"/>
        </w:rPr>
        <w:t>政采云电子交易客户端</w:t>
      </w:r>
      <w:r>
        <w:rPr>
          <w:rFonts w:ascii="宋体" w:hAnsi="宋体"/>
          <w:sz w:val="24"/>
          <w:highlight w:val="none"/>
        </w:rPr>
        <w:t>”</w:t>
      </w:r>
      <w:r>
        <w:rPr>
          <w:rFonts w:hint="eastAsia" w:ascii="宋体" w:hAnsi="宋体"/>
          <w:sz w:val="24"/>
          <w:highlight w:val="none"/>
        </w:rPr>
        <w:t>，并按照本招标文件和</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的要求，通过</w:t>
      </w:r>
      <w:r>
        <w:rPr>
          <w:rFonts w:ascii="宋体" w:hAnsi="宋体"/>
          <w:sz w:val="24"/>
          <w:highlight w:val="none"/>
        </w:rPr>
        <w:t>“</w:t>
      </w:r>
      <w:r>
        <w:rPr>
          <w:rFonts w:hint="eastAsia" w:ascii="宋体" w:hAnsi="宋体"/>
          <w:sz w:val="24"/>
          <w:highlight w:val="none"/>
        </w:rPr>
        <w:t>政采云电子交易客户端</w:t>
      </w:r>
      <w:r>
        <w:rPr>
          <w:rFonts w:ascii="宋体" w:hAnsi="宋体"/>
          <w:sz w:val="24"/>
          <w:highlight w:val="none"/>
        </w:rPr>
        <w:t>”</w:t>
      </w:r>
      <w:r>
        <w:rPr>
          <w:rFonts w:hint="eastAsia" w:ascii="宋体" w:hAnsi="宋体"/>
          <w:sz w:val="24"/>
          <w:highlight w:val="none"/>
        </w:rPr>
        <w:t>编制并加密投标文件。供应商未按规定加密的投标文件，</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将予以拒收。</w:t>
      </w:r>
    </w:p>
    <w:p>
      <w:pPr>
        <w:spacing w:line="440" w:lineRule="exact"/>
        <w:ind w:firstLine="480" w:firstLineChars="200"/>
        <w:rPr>
          <w:rFonts w:ascii="宋体" w:hAnsi="宋体"/>
          <w:sz w:val="24"/>
          <w:highlight w:val="none"/>
          <w:lang w:val="zh-CN"/>
        </w:rPr>
      </w:pPr>
      <w:r>
        <w:rPr>
          <w:rFonts w:hint="eastAsia" w:ascii="宋体" w:hAnsi="宋体"/>
          <w:sz w:val="24"/>
          <w:highlight w:val="none"/>
        </w:rPr>
        <w:t>4、投标供应商应当在投标截止时间前，将生成的</w:t>
      </w:r>
      <w:r>
        <w:rPr>
          <w:rFonts w:ascii="宋体" w:hAnsi="宋体"/>
          <w:sz w:val="24"/>
          <w:highlight w:val="none"/>
        </w:rPr>
        <w:t>“</w:t>
      </w:r>
      <w:r>
        <w:rPr>
          <w:rFonts w:hint="eastAsia" w:ascii="宋体" w:hAnsi="宋体"/>
          <w:sz w:val="24"/>
          <w:highlight w:val="none"/>
        </w:rPr>
        <w:t>电子加密投标文件</w:t>
      </w:r>
      <w:r>
        <w:rPr>
          <w:rFonts w:ascii="宋体" w:hAnsi="宋体"/>
          <w:sz w:val="24"/>
          <w:highlight w:val="none"/>
        </w:rPr>
        <w:t>”</w:t>
      </w:r>
      <w:r>
        <w:rPr>
          <w:rFonts w:hint="eastAsia" w:ascii="宋体" w:hAnsi="宋体"/>
          <w:sz w:val="24"/>
          <w:highlight w:val="none"/>
        </w:rPr>
        <w:t>上传递交至</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。投标截止时间以后上传递交的投标文件将被</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拒收。投标截止时间前可以补充、修改或者撤回电子投标文件。补充或者修改电子投标文件的，应当先行撤回原文件，补充、修改后重新传输递交。投标截止时间前未完成传输的，视为撤回投标文件。</w:t>
      </w:r>
    </w:p>
    <w:p>
      <w:pPr>
        <w:spacing w:line="440" w:lineRule="exact"/>
        <w:ind w:firstLine="480" w:firstLineChars="200"/>
        <w:rPr>
          <w:rFonts w:ascii="宋体" w:hAnsi="宋体"/>
          <w:sz w:val="24"/>
          <w:highlight w:val="none"/>
        </w:rPr>
      </w:pPr>
      <w:r>
        <w:rPr>
          <w:rFonts w:hint="eastAsia" w:ascii="宋体" w:hAnsi="宋体"/>
          <w:sz w:val="24"/>
          <w:highlight w:val="none"/>
        </w:rPr>
        <w:t>5、投标文件的组成、份数、密封、效力</w:t>
      </w:r>
    </w:p>
    <w:p>
      <w:pPr>
        <w:spacing w:line="440" w:lineRule="exact"/>
        <w:ind w:firstLine="480" w:firstLineChars="200"/>
        <w:rPr>
          <w:rFonts w:ascii="宋体" w:hAnsi="宋体"/>
          <w:sz w:val="24"/>
          <w:highlight w:val="none"/>
        </w:rPr>
      </w:pPr>
      <w:r>
        <w:rPr>
          <w:rFonts w:hint="eastAsia" w:ascii="宋体" w:hAnsi="宋体"/>
          <w:sz w:val="24"/>
          <w:highlight w:val="none"/>
        </w:rPr>
        <w:t>本项目实行电子投标，</w:t>
      </w:r>
      <w:r>
        <w:rPr>
          <w:rFonts w:hint="eastAsia" w:ascii="宋体" w:hAnsi="宋体"/>
          <w:b/>
          <w:bCs/>
          <w:sz w:val="24"/>
          <w:highlight w:val="none"/>
        </w:rPr>
        <w:t>建议供应商准备电子投标文件、备份投标文件（包括电子备份投标文件、纸质备份投标文件）二类</w:t>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pacing w:line="440" w:lineRule="exact"/>
        <w:ind w:firstLine="480" w:firstLineChars="200"/>
        <w:rPr>
          <w:rFonts w:ascii="宋体" w:hAnsi="宋体" w:cs="宋体"/>
          <w:b/>
          <w:bCs/>
          <w:sz w:val="24"/>
          <w:highlight w:val="none"/>
        </w:rPr>
      </w:pPr>
      <w:r>
        <w:rPr>
          <w:rFonts w:hint="eastAsia" w:ascii="宋体" w:hAnsi="宋体"/>
          <w:sz w:val="24"/>
          <w:highlight w:val="none"/>
        </w:rPr>
        <w:t>5.2</w:t>
      </w:r>
      <w:r>
        <w:rPr>
          <w:rFonts w:hint="eastAsia" w:ascii="宋体" w:hAnsi="宋体" w:cs="宋体"/>
          <w:sz w:val="24"/>
          <w:highlight w:val="none"/>
        </w:rPr>
        <w:t>备份投标文件</w:t>
      </w:r>
      <w:r>
        <w:rPr>
          <w:rStyle w:val="88"/>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sz w:val="24"/>
          <w:highlight w:val="none"/>
        </w:rPr>
        <w:t>：备份投标文件包括电子备份投标文件、纸质备份投标文件</w:t>
      </w:r>
      <w:r>
        <w:rPr>
          <w:rFonts w:hint="eastAsia" w:ascii="宋体" w:hAnsi="宋体"/>
          <w:b/>
          <w:bCs/>
          <w:sz w:val="24"/>
          <w:highlight w:val="none"/>
        </w:rPr>
        <w:t>。</w:t>
      </w:r>
      <w:r>
        <w:rPr>
          <w:rFonts w:hint="eastAsia" w:ascii="宋体" w:hAnsi="宋体" w:cs="宋体"/>
          <w:b/>
          <w:bCs/>
          <w:sz w:val="24"/>
          <w:highlight w:val="none"/>
        </w:rPr>
        <w:t>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440" w:lineRule="exact"/>
        <w:ind w:firstLine="480" w:firstLineChars="200"/>
        <w:rPr>
          <w:highlight w:val="none"/>
        </w:rPr>
      </w:pPr>
      <w:r>
        <w:rPr>
          <w:rFonts w:hint="eastAsia" w:ascii="宋体" w:hAnsi="宋体"/>
          <w:sz w:val="24"/>
          <w:highlight w:val="none"/>
        </w:rPr>
        <w:t>纸质备份投标文件以纸质文件的形式编制，按</w:t>
      </w:r>
      <w:r>
        <w:rPr>
          <w:rFonts w:hint="eastAsia" w:ascii="宋体" w:hAnsi="宋体"/>
          <w:b/>
          <w:bCs/>
          <w:sz w:val="24"/>
          <w:highlight w:val="none"/>
          <w:u w:val="single"/>
        </w:rPr>
        <w:t>资格证明文件、商务与技术文件和报价文件</w:t>
      </w:r>
      <w:r>
        <w:rPr>
          <w:rFonts w:hint="eastAsia" w:ascii="宋体" w:hAnsi="宋体"/>
          <w:sz w:val="24"/>
          <w:highlight w:val="none"/>
        </w:rPr>
        <w:t>分别编制并单独装订成册，</w:t>
      </w:r>
      <w:r>
        <w:rPr>
          <w:rFonts w:hint="eastAsia" w:ascii="宋体" w:hAnsi="宋体"/>
          <w:b/>
          <w:bCs/>
          <w:sz w:val="24"/>
          <w:highlight w:val="none"/>
        </w:rPr>
        <w:t>数量均为一份</w:t>
      </w:r>
      <w:r>
        <w:rPr>
          <w:rFonts w:hint="eastAsia" w:ascii="宋体" w:hAnsi="宋体"/>
          <w:sz w:val="24"/>
          <w:highlight w:val="none"/>
        </w:rPr>
        <w:t>。</w:t>
      </w:r>
      <w:r>
        <w:rPr>
          <w:rFonts w:hint="eastAsia" w:ascii="宋体" w:hAnsi="宋体"/>
          <w:b/>
          <w:bCs/>
          <w:sz w:val="24"/>
          <w:highlight w:val="none"/>
          <w:u w:val="single"/>
        </w:rPr>
        <w:t>资格证明文件、商务与技术文件和报价文件</w:t>
      </w:r>
      <w:r>
        <w:rPr>
          <w:rFonts w:hint="eastAsia" w:ascii="宋体" w:hAnsi="宋体"/>
          <w:sz w:val="24"/>
          <w:highlight w:val="none"/>
        </w:rPr>
        <w:t>三部分须分别密封封装，</w:t>
      </w:r>
      <w:r>
        <w:rPr>
          <w:rFonts w:hint="eastAsia" w:ascii="宋体" w:hAnsi="宋体"/>
          <w:b/>
          <w:bCs/>
          <w:sz w:val="24"/>
          <w:highlight w:val="none"/>
          <w:u w:val="single"/>
        </w:rPr>
        <w:t>资格证明文件、商务与技术文件和报价文件</w:t>
      </w:r>
      <w:r>
        <w:rPr>
          <w:rFonts w:hint="eastAsia" w:ascii="宋体" w:hAnsi="宋体"/>
          <w:sz w:val="24"/>
          <w:highlight w:val="none"/>
        </w:rPr>
        <w:t>未按要求密封的投标文件将视为无效</w:t>
      </w:r>
      <w:r>
        <w:rPr>
          <w:rFonts w:hint="eastAsia" w:ascii="宋体" w:hAnsi="宋体" w:cs="宋体"/>
          <w:sz w:val="24"/>
          <w:highlight w:val="none"/>
        </w:rPr>
        <w:t>备份投标文件</w:t>
      </w:r>
      <w:r>
        <w:rPr>
          <w:rFonts w:hint="eastAsia" w:ascii="宋体" w:hAnsi="宋体"/>
          <w:sz w:val="24"/>
          <w:highlight w:val="none"/>
        </w:rPr>
        <w:t>。纸质备份投标文件投标人须在投标截止时间之前（按收到邮寄时间为准）邮寄或送至：</w:t>
      </w:r>
      <w:r>
        <w:rPr>
          <w:rFonts w:hint="eastAsia" w:ascii="宋体" w:hAnsi="宋体"/>
          <w:b/>
          <w:bCs/>
          <w:sz w:val="24"/>
          <w:highlight w:val="none"/>
          <w:u w:val="single"/>
        </w:rPr>
        <w:t>路桥区文化路2号5楼506，联系人：陈苏伟18968408610</w:t>
      </w:r>
      <w:r>
        <w:rPr>
          <w:rFonts w:hint="eastAsia" w:ascii="宋体" w:hAnsi="宋体"/>
          <w:sz w:val="24"/>
          <w:highlight w:val="none"/>
        </w:rPr>
        <w:t>，</w:t>
      </w:r>
      <w:r>
        <w:rPr>
          <w:rFonts w:hint="eastAsia" w:ascii="宋体" w:hAnsi="宋体"/>
          <w:b/>
          <w:bCs/>
          <w:sz w:val="24"/>
          <w:highlight w:val="none"/>
        </w:rPr>
        <w:t>投标当天提交的，送至开标地点</w:t>
      </w:r>
      <w:r>
        <w:rPr>
          <w:rFonts w:hint="eastAsia" w:ascii="宋体" w:hAnsi="宋体"/>
          <w:sz w:val="24"/>
          <w:highlight w:val="none"/>
        </w:rPr>
        <w:t>。</w:t>
      </w:r>
      <w:r>
        <w:rPr>
          <w:rFonts w:hint="eastAsia" w:ascii="宋体" w:hAnsi="宋体"/>
          <w:b/>
          <w:bCs/>
          <w:sz w:val="24"/>
          <w:highlight w:val="none"/>
        </w:rPr>
        <w:t>提交纸质备份投标文件时应对外包封进行密封，接缝处盖公章或法定代表人或授权委托代理人签字。</w:t>
      </w:r>
    </w:p>
    <w:p>
      <w:pPr>
        <w:spacing w:line="440" w:lineRule="exact"/>
        <w:ind w:firstLine="480" w:firstLineChars="200"/>
        <w:rPr>
          <w:rFonts w:ascii="宋体" w:hAnsi="宋体"/>
          <w:sz w:val="24"/>
          <w:highlight w:val="none"/>
        </w:rPr>
      </w:pPr>
      <w:bookmarkStart w:id="2" w:name="_Hlk34639647"/>
      <w:r>
        <w:rPr>
          <w:rFonts w:hint="eastAsia" w:ascii="宋体" w:hAnsi="宋体"/>
          <w:sz w:val="24"/>
          <w:highlight w:val="none"/>
        </w:rPr>
        <w:t>5.3</w:t>
      </w:r>
      <w:bookmarkStart w:id="3" w:name="_Hlk34637983"/>
      <w:r>
        <w:rPr>
          <w:rFonts w:hint="eastAsia" w:ascii="宋体" w:hAnsi="宋体"/>
          <w:sz w:val="24"/>
          <w:highlight w:val="none"/>
        </w:rPr>
        <w:t>投标文件启用顺序和效力：投标文件的启用，</w:t>
      </w:r>
      <w:r>
        <w:rPr>
          <w:rFonts w:hint="eastAsia" w:ascii="宋体" w:hAnsi="宋体"/>
          <w:b/>
          <w:bCs/>
          <w:sz w:val="24"/>
          <w:highlight w:val="none"/>
        </w:rPr>
        <w:t>按先后顺位分别为电子投标文件、备份投标文件（电子备份投标文件、纸质备份投标文件）</w:t>
      </w:r>
      <w:r>
        <w:rPr>
          <w:rFonts w:hint="eastAsia" w:ascii="宋体" w:hAnsi="宋体"/>
          <w:sz w:val="24"/>
          <w:highlight w:val="none"/>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pPr>
        <w:spacing w:line="440" w:lineRule="exact"/>
        <w:ind w:firstLine="480" w:firstLineChars="200"/>
        <w:rPr>
          <w:rFonts w:ascii="宋体" w:hAnsi="宋体"/>
          <w:sz w:val="24"/>
          <w:highlight w:val="none"/>
        </w:rPr>
      </w:pPr>
      <w:r>
        <w:rPr>
          <w:rFonts w:hint="eastAsia" w:ascii="宋体" w:hAnsi="宋体"/>
          <w:sz w:val="24"/>
          <w:highlight w:val="none"/>
        </w:rPr>
        <w:t>5.4投标人未通过“政府采购云平台”上传递交“电子加密投标文件”，</w:t>
      </w:r>
      <w:r>
        <w:rPr>
          <w:rFonts w:hint="eastAsia" w:ascii="宋体" w:hAnsi="宋体" w:cs="宋体"/>
          <w:kern w:val="0"/>
          <w:sz w:val="24"/>
          <w:highlight w:val="none"/>
          <w:lang w:val="zh-CN"/>
        </w:rPr>
        <w:t>仅递交“备份投标文件”，视为无效投标</w:t>
      </w:r>
      <w:r>
        <w:rPr>
          <w:rFonts w:hint="eastAsia" w:ascii="宋体" w:hAnsi="宋体"/>
          <w:sz w:val="24"/>
          <w:highlight w:val="none"/>
        </w:rPr>
        <w:t>。</w:t>
      </w:r>
      <w:r>
        <w:rPr>
          <w:rFonts w:hint="eastAsia" w:ascii="宋体" w:hAnsi="宋体" w:cs="宋体"/>
          <w:kern w:val="0"/>
          <w:sz w:val="24"/>
          <w:highlight w:val="none"/>
          <w:lang w:val="zh-CN"/>
        </w:rPr>
        <w:t>通过“政府采购云平台”上传递交的“电子加密投标文件”无法按时解密，投标供应商递交了“备份投标文件”的，以“备份投标文件”为依据；未提交“备份投标文件”的，视为无效投标。</w:t>
      </w:r>
    </w:p>
    <w:p>
      <w:pPr>
        <w:numPr>
          <w:ilvl w:val="0"/>
          <w:numId w:val="31"/>
        </w:numPr>
        <w:spacing w:line="440" w:lineRule="exact"/>
        <w:ind w:firstLine="480" w:firstLineChars="200"/>
        <w:rPr>
          <w:rFonts w:ascii="宋体" w:hAnsi="宋体"/>
          <w:sz w:val="24"/>
          <w:highlight w:val="none"/>
        </w:rPr>
      </w:pPr>
      <w:r>
        <w:rPr>
          <w:rFonts w:hint="eastAsia" w:ascii="宋体" w:hAnsi="宋体"/>
          <w:sz w:val="24"/>
          <w:highlight w:val="none"/>
        </w:rPr>
        <w:t>投标文件的解密：投标人须在开标时间前准备好电脑与本单位制作电子加密投标文件同一个的CA锁，打开“政采云电子交易客户端”软件，进行在线等候解密，解密时间为30分钟内。</w:t>
      </w:r>
    </w:p>
    <w:p>
      <w:pPr>
        <w:pStyle w:val="72"/>
        <w:ind w:firstLine="482" w:firstLineChars="200"/>
        <w:jc w:val="both"/>
        <w:rPr>
          <w:highlight w:val="none"/>
        </w:rPr>
      </w:pPr>
      <w:r>
        <w:rPr>
          <w:rFonts w:hint="eastAsia"/>
          <w:highlight w:val="none"/>
        </w:rPr>
        <w:t>注意：</w:t>
      </w:r>
      <w:r>
        <w:rPr>
          <w:rFonts w:hint="eastAsia" w:ascii="宋体" w:hAnsi="宋体" w:cs="宋体"/>
          <w:bCs/>
          <w:szCs w:val="24"/>
          <w:highlight w:val="none"/>
        </w:rPr>
        <w:t>在项目开、评标活动过程中，投标人需保持联系渠道畅通。建议投标人在确定参加本项目开标之后，在提交纸质备份投标文件时提供一个项目开、评标活动过程可联系的联系人、联系电话。</w:t>
      </w:r>
    </w:p>
    <w:p>
      <w:pPr>
        <w:spacing w:line="440" w:lineRule="exact"/>
        <w:ind w:firstLine="482" w:firstLineChars="200"/>
        <w:rPr>
          <w:rFonts w:ascii="宋体"/>
          <w:sz w:val="24"/>
          <w:highlight w:val="none"/>
        </w:rPr>
      </w:pPr>
      <w:r>
        <w:rPr>
          <w:rFonts w:hint="eastAsia" w:ascii="宋体" w:hAnsi="宋体"/>
          <w:b/>
          <w:sz w:val="24"/>
          <w:highlight w:val="none"/>
          <w:lang w:val="en-US" w:eastAsia="zh-CN"/>
        </w:rPr>
        <w:t>九</w:t>
      </w:r>
      <w:r>
        <w:rPr>
          <w:rFonts w:hint="eastAsia" w:ascii="宋体" w:hAnsi="宋体"/>
          <w:b/>
          <w:sz w:val="24"/>
          <w:highlight w:val="none"/>
        </w:rPr>
        <w:t>、投标保证金：0元，</w:t>
      </w:r>
      <w:r>
        <w:rPr>
          <w:rFonts w:hint="eastAsia" w:ascii="_5b8b_4f53" w:hAnsi="_5b8b_4f53" w:cs="宋体"/>
          <w:kern w:val="0"/>
          <w:sz w:val="24"/>
          <w:highlight w:val="none"/>
        </w:rPr>
        <w:t>但若投标人在投标过程中存在违规行为给采购人造成损失的，须赔偿全部损失，并上报采购监管机构进行处理</w:t>
      </w:r>
      <w:r>
        <w:rPr>
          <w:rFonts w:hint="eastAsia" w:ascii="宋体"/>
          <w:b/>
          <w:sz w:val="24"/>
          <w:highlight w:val="none"/>
        </w:rPr>
        <w:t>。</w:t>
      </w:r>
    </w:p>
    <w:p>
      <w:pPr>
        <w:spacing w:line="440" w:lineRule="exact"/>
        <w:ind w:firstLine="482" w:firstLineChars="200"/>
        <w:rPr>
          <w:rFonts w:ascii="宋体" w:hAnsi="宋体"/>
          <w:b/>
          <w:sz w:val="24"/>
          <w:highlight w:val="none"/>
        </w:rPr>
      </w:pPr>
      <w:r>
        <w:rPr>
          <w:rFonts w:hint="eastAsia" w:ascii="宋体" w:hAnsi="宋体"/>
          <w:b/>
          <w:sz w:val="24"/>
          <w:highlight w:val="none"/>
        </w:rPr>
        <w:t>十、投标人信用信息查询渠道及截止时点、信用信息查询记录和证据留存的具体方式、信用信息的使用规则：</w:t>
      </w:r>
    </w:p>
    <w:p>
      <w:pPr>
        <w:spacing w:line="440" w:lineRule="exact"/>
        <w:ind w:firstLine="480" w:firstLineChars="200"/>
        <w:rPr>
          <w:rFonts w:ascii="宋体" w:hAnsi="宋体"/>
          <w:sz w:val="24"/>
          <w:highlight w:val="none"/>
        </w:rPr>
      </w:pPr>
      <w:r>
        <w:rPr>
          <w:rFonts w:hint="eastAsia" w:ascii="宋体" w:hAnsi="宋体"/>
          <w:sz w:val="24"/>
          <w:highlight w:val="none"/>
        </w:rPr>
        <w:t>1、查询渠道：中国政府采购网（网址：http://www.ccgp.gov.cn）、信用中国（网址：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highlight w:val="none"/>
        </w:rPr>
        <w:t>http://www.creditchina.gov.cn</w:t>
      </w:r>
      <w:r>
        <w:rPr>
          <w:rFonts w:hint="eastAsia" w:ascii="宋体" w:hAnsi="宋体"/>
          <w:sz w:val="24"/>
          <w:highlight w:val="none"/>
        </w:rPr>
        <w:fldChar w:fldCharType="end"/>
      </w:r>
      <w:r>
        <w:rPr>
          <w:rFonts w:hint="eastAsia" w:ascii="宋体" w:hAnsi="宋体"/>
          <w:sz w:val="24"/>
          <w:highlight w:val="none"/>
        </w:rPr>
        <w:t>)、“浙江政府采购网（</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sz w:val="24"/>
          <w:highlight w:val="none"/>
        </w:rPr>
        <w:t>zfcg.czt.zj.gov.cn</w:t>
      </w:r>
      <w:r>
        <w:rPr>
          <w:rFonts w:hint="eastAsia" w:ascii="宋体" w:hAnsi="宋体"/>
          <w:sz w:val="24"/>
          <w:highlight w:val="none"/>
        </w:rPr>
        <w:fldChar w:fldCharType="end"/>
      </w:r>
      <w:r>
        <w:rPr>
          <w:rFonts w:hint="eastAsia" w:ascii="宋体" w:hAnsi="宋体"/>
          <w:sz w:val="24"/>
          <w:highlight w:val="none"/>
        </w:rPr>
        <w:t>）。</w:t>
      </w:r>
    </w:p>
    <w:p>
      <w:pPr>
        <w:spacing w:line="440" w:lineRule="exact"/>
        <w:ind w:firstLine="480" w:firstLineChars="200"/>
        <w:rPr>
          <w:rFonts w:ascii="宋体" w:hAnsi="宋体"/>
          <w:sz w:val="24"/>
          <w:highlight w:val="none"/>
        </w:rPr>
      </w:pPr>
      <w:r>
        <w:rPr>
          <w:rFonts w:hint="eastAsia" w:ascii="宋体" w:hAnsi="宋体"/>
          <w:sz w:val="24"/>
          <w:highlight w:val="none"/>
        </w:rPr>
        <w:t>2、截止时点：开标后评标前。</w:t>
      </w:r>
    </w:p>
    <w:p>
      <w:pPr>
        <w:spacing w:line="440" w:lineRule="exact"/>
        <w:ind w:firstLine="480" w:firstLineChars="200"/>
        <w:rPr>
          <w:rFonts w:ascii="宋体" w:hAnsi="宋体"/>
          <w:sz w:val="24"/>
          <w:highlight w:val="none"/>
        </w:rPr>
      </w:pPr>
      <w:r>
        <w:rPr>
          <w:rFonts w:hint="eastAsia" w:ascii="宋体" w:hAnsi="宋体"/>
          <w:sz w:val="24"/>
          <w:highlight w:val="none"/>
        </w:rPr>
        <w:t>3、信用信息查询记录和证据留存的具体方式：由采购组织机构在规定查询时间内打印信用信息查询记录并归入项目档案。</w:t>
      </w:r>
    </w:p>
    <w:p>
      <w:pPr>
        <w:spacing w:line="440" w:lineRule="exact"/>
        <w:ind w:firstLine="480" w:firstLineChars="200"/>
        <w:rPr>
          <w:rFonts w:ascii="宋体" w:hAnsi="宋体"/>
          <w:sz w:val="24"/>
          <w:highlight w:val="none"/>
        </w:rPr>
      </w:pPr>
      <w:r>
        <w:rPr>
          <w:rFonts w:hint="eastAsia" w:ascii="宋体" w:hAnsi="宋体"/>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pPr>
        <w:spacing w:line="440" w:lineRule="exact"/>
        <w:ind w:firstLine="480" w:firstLineChars="200"/>
        <w:rPr>
          <w:rFonts w:ascii="宋体" w:hAnsi="宋体"/>
          <w:sz w:val="24"/>
          <w:highlight w:val="none"/>
        </w:rPr>
      </w:pPr>
      <w:r>
        <w:rPr>
          <w:rFonts w:hint="eastAsia" w:ascii="宋体" w:hAnsi="宋体"/>
          <w:sz w:val="24"/>
          <w:highlight w:val="none"/>
        </w:rPr>
        <w:t>5、不良信用记录指：被列入失信被执行人、重大税收违法案件当事人名单、政府采购严重违法失信行为记录名单或浙江政府采购网曝光台中尚在行政处罚期内的。</w:t>
      </w:r>
    </w:p>
    <w:p>
      <w:pPr>
        <w:spacing w:line="440" w:lineRule="exact"/>
        <w:ind w:firstLine="482" w:firstLineChars="200"/>
        <w:rPr>
          <w:rFonts w:asci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一</w:t>
      </w:r>
      <w:r>
        <w:rPr>
          <w:rFonts w:hint="eastAsia" w:ascii="宋体" w:hAnsi="宋体"/>
          <w:sz w:val="24"/>
          <w:highlight w:val="none"/>
        </w:rPr>
        <w:t>、</w:t>
      </w:r>
      <w:r>
        <w:rPr>
          <w:rFonts w:hint="eastAsia" w:ascii="宋体" w:hAnsi="宋体"/>
          <w:b/>
          <w:sz w:val="24"/>
          <w:highlight w:val="none"/>
        </w:rPr>
        <w:t>投标文件递交截止时间及开标时间：</w:t>
      </w:r>
      <w:r>
        <w:rPr>
          <w:rFonts w:hint="eastAsia" w:ascii="宋体" w:hAnsi="宋体"/>
          <w:b/>
          <w:sz w:val="24"/>
          <w:highlight w:val="none"/>
          <w:u w:val="single"/>
        </w:rPr>
        <w:t>2022</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12  </w:t>
      </w:r>
      <w:r>
        <w:rPr>
          <w:rFonts w:hint="eastAsia" w:ascii="宋体" w:hAnsi="宋体"/>
          <w:b/>
          <w:sz w:val="24"/>
          <w:highlight w:val="none"/>
        </w:rPr>
        <w:t>月</w:t>
      </w:r>
      <w:r>
        <w:rPr>
          <w:rFonts w:hint="eastAsia" w:ascii="宋体" w:hAnsi="宋体"/>
          <w:b/>
          <w:sz w:val="24"/>
          <w:highlight w:val="none"/>
          <w:u w:val="single"/>
          <w:lang w:val="en-US" w:eastAsia="zh-CN"/>
        </w:rPr>
        <w:t xml:space="preserve"> 5  </w:t>
      </w:r>
      <w:r>
        <w:rPr>
          <w:rFonts w:hint="eastAsia" w:ascii="宋体" w:hAnsi="宋体"/>
          <w:b/>
          <w:sz w:val="24"/>
          <w:highlight w:val="none"/>
        </w:rPr>
        <w:t>日</w:t>
      </w:r>
      <w:r>
        <w:rPr>
          <w:rFonts w:hint="eastAsia" w:ascii="宋体" w:hAnsi="宋体"/>
          <w:b/>
          <w:sz w:val="24"/>
          <w:highlight w:val="none"/>
          <w:u w:val="single"/>
          <w:lang w:val="en-US" w:eastAsia="zh-CN"/>
        </w:rPr>
        <w:t xml:space="preserve"> 09  </w:t>
      </w:r>
      <w:r>
        <w:rPr>
          <w:rFonts w:hint="eastAsia" w:ascii="宋体" w:hAnsi="宋体"/>
          <w:b/>
          <w:sz w:val="24"/>
          <w:highlight w:val="none"/>
        </w:rPr>
        <w:t>时</w:t>
      </w:r>
      <w:r>
        <w:rPr>
          <w:rFonts w:ascii="宋体" w:hAnsi="宋体"/>
          <w:b/>
          <w:sz w:val="24"/>
          <w:highlight w:val="none"/>
          <w:u w:val="single"/>
        </w:rPr>
        <w:t xml:space="preserve"> </w:t>
      </w:r>
      <w:r>
        <w:rPr>
          <w:rFonts w:hint="eastAsia" w:ascii="宋体" w:hAnsi="宋体"/>
          <w:b/>
          <w:sz w:val="24"/>
          <w:highlight w:val="none"/>
          <w:u w:val="single"/>
          <w:lang w:val="en-US" w:eastAsia="zh-CN"/>
        </w:rPr>
        <w:t>30</w:t>
      </w:r>
      <w:r>
        <w:rPr>
          <w:rFonts w:hint="eastAsia" w:ascii="宋体" w:hAnsi="宋体"/>
          <w:b/>
          <w:sz w:val="24"/>
          <w:highlight w:val="none"/>
          <w:u w:val="single"/>
        </w:rPr>
        <w:t xml:space="preserve"> </w:t>
      </w:r>
      <w:r>
        <w:rPr>
          <w:rFonts w:hint="eastAsia" w:ascii="宋体" w:hAnsi="宋体"/>
          <w:b/>
          <w:sz w:val="24"/>
          <w:highlight w:val="none"/>
        </w:rPr>
        <w:t>分整（北京时间）。</w:t>
      </w:r>
    </w:p>
    <w:p>
      <w:pPr>
        <w:spacing w:line="440" w:lineRule="exact"/>
        <w:ind w:firstLine="482" w:firstLineChars="200"/>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sz w:val="24"/>
          <w:highlight w:val="none"/>
        </w:rPr>
        <w:t>、</w:t>
      </w:r>
      <w:r>
        <w:rPr>
          <w:rFonts w:hint="eastAsia" w:ascii="宋体" w:hAnsi="宋体"/>
          <w:b/>
          <w:sz w:val="24"/>
          <w:highlight w:val="none"/>
        </w:rPr>
        <w:t>投标地点、开标地点：</w:t>
      </w:r>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投标地点</w:t>
      </w:r>
      <w:r>
        <w:rPr>
          <w:rStyle w:val="82"/>
          <w:rFonts w:hint="eastAsia" w:ascii="宋体" w:hAnsi="宋体" w:cs="宋体"/>
          <w:sz w:val="24"/>
          <w:highlight w:val="none"/>
        </w:rPr>
        <w:t>：</w:t>
      </w:r>
      <w:r>
        <w:rPr>
          <w:rFonts w:hint="eastAsia" w:ascii="宋体" w:hAnsi="宋体" w:cs="宋体"/>
          <w:sz w:val="24"/>
          <w:highlight w:val="none"/>
          <w:u w:val="single"/>
        </w:rPr>
        <w:t>通过“政府采购云平台（www.zcygov.cn）”实行在线投标响应，在投标截止时间前按要求提交备份投标文件。</w:t>
      </w:r>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开标地点：</w:t>
      </w:r>
      <w:r>
        <w:rPr>
          <w:rFonts w:hint="eastAsia" w:ascii="宋体" w:hAnsi="宋体" w:cs="宋体"/>
          <w:sz w:val="24"/>
          <w:highlight w:val="none"/>
          <w:u w:val="single"/>
        </w:rPr>
        <w:t>台州市路桥区政府采购中心（财富大道999号商城国际5楼）</w:t>
      </w:r>
      <w:r>
        <w:rPr>
          <w:rFonts w:hint="eastAsia" w:ascii="宋体" w:hAnsi="宋体" w:cs="宋体"/>
          <w:b/>
          <w:sz w:val="24"/>
          <w:highlight w:val="none"/>
        </w:rPr>
        <w:t>。</w:t>
      </w:r>
    </w:p>
    <w:p>
      <w:pPr>
        <w:spacing w:line="440" w:lineRule="exact"/>
        <w:ind w:firstLine="482" w:firstLineChars="200"/>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三</w:t>
      </w:r>
      <w:r>
        <w:rPr>
          <w:rFonts w:hint="eastAsia" w:ascii="宋体" w:hAnsi="宋体"/>
          <w:b/>
          <w:sz w:val="24"/>
          <w:highlight w:val="none"/>
        </w:rPr>
        <w:t>、其他事项：</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sz w:val="24"/>
          <w:highlight w:val="none"/>
        </w:rPr>
      </w:pPr>
      <w:r>
        <w:rPr>
          <w:rFonts w:hint="eastAsia" w:ascii="宋体" w:hAnsi="宋体" w:cs="Arial"/>
          <w:sz w:val="24"/>
          <w:highlight w:val="none"/>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ascii="宋体" w:hAnsi="宋体" w:cs="Arial"/>
          <w:sz w:val="24"/>
          <w:highlight w:val="none"/>
        </w:rPr>
      </w:pPr>
      <w:r>
        <w:rPr>
          <w:rFonts w:hint="eastAsia" w:ascii="宋体" w:hAnsi="宋体" w:cs="Arial"/>
          <w:b w:val="0"/>
          <w:bCs/>
          <w:color w:val="auto"/>
          <w:sz w:val="24"/>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33"/>
        </w:numPr>
        <w:tabs>
          <w:tab w:val="left" w:pos="720"/>
          <w:tab w:val="left" w:pos="1260"/>
          <w:tab w:val="left" w:pos="2160"/>
          <w:tab w:val="left" w:pos="2880"/>
          <w:tab w:val="left" w:pos="3600"/>
          <w:tab w:val="left" w:pos="4320"/>
          <w:tab w:val="left" w:pos="5040"/>
          <w:tab w:val="left" w:pos="5760"/>
          <w:tab w:val="left" w:pos="8280"/>
          <w:tab w:val="clear" w:pos="312"/>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中标公告发布后质疑期限：对中标结果提出质疑的，应当在中标结果公告期限届满之日起7个工作日内。</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4.本项目资格审查方式：资格后审。</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5.中小企业相关规定：</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5.1中小企是指在中华人民共和国境内依法设立，依据国务院批准的中小企业划分标准确定的中型企业、小型企业和微型企业，但与大企业的负责人为同一人，或者与大企业存在直接控股、管理关系的除外。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5.2根据关于印发《政府采购促进中小企业发展管理办法》（</w:t>
      </w:r>
      <w:r>
        <w:rPr>
          <w:rFonts w:hint="eastAsia" w:ascii="宋体" w:hAnsi="宋体" w:cs="宋体"/>
          <w:sz w:val="24"/>
          <w:highlight w:val="none"/>
          <w:shd w:val="clear" w:color="auto" w:fill="FFFFFF"/>
        </w:rPr>
        <w:t>财库〔2020〕46号</w:t>
      </w:r>
      <w:r>
        <w:rPr>
          <w:rFonts w:hint="eastAsia" w:ascii="宋体" w:hAnsi="宋体" w:cs="Arial"/>
          <w:sz w:val="24"/>
          <w:highlight w:val="none"/>
        </w:rPr>
        <w:t>）的通知文件规定，</w:t>
      </w:r>
      <w:r>
        <w:rPr>
          <w:rFonts w:hint="eastAsia" w:ascii="宋体" w:hAnsi="宋体"/>
          <w:b/>
          <w:bCs/>
          <w:sz w:val="24"/>
          <w:highlight w:val="none"/>
          <w:u w:val="single"/>
        </w:rPr>
        <w:t>本项目专门面向中小企业采购</w:t>
      </w:r>
      <w:r>
        <w:rPr>
          <w:rFonts w:hint="eastAsia" w:ascii="宋体" w:hAnsi="宋体" w:cs="Arial"/>
          <w:sz w:val="24"/>
          <w:highlight w:val="none"/>
        </w:rPr>
        <w:t>。若投标人投标时不符合上述规定的，按无效标处理。</w:t>
      </w:r>
      <w:r>
        <w:rPr>
          <w:rFonts w:hint="eastAsia" w:ascii="宋体" w:hAnsi="宋体" w:cs="Arial"/>
          <w:b/>
          <w:bCs/>
          <w:sz w:val="24"/>
          <w:highlight w:val="none"/>
        </w:rPr>
        <w:t>服务由中小企业承接，提供服务的人员须为中小企业依照《中华人民共和国劳动合同法》订立劳动合同的从业人员</w:t>
      </w:r>
      <w:r>
        <w:rPr>
          <w:rFonts w:hint="eastAsia" w:ascii="宋体" w:hAnsi="宋体" w:cs="Arial"/>
          <w:sz w:val="24"/>
          <w:highlight w:val="none"/>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5.3中小企业参加政府采购活动，应当出具本办法规定的《中小企业声明函》（格式详见附件），否则不得享受相关中小企业扶持政策。若存在虚假投标的，按无效投标进行处理，已经中标的，取消中标资格，并赔偿给采购人造成的损失。采购人有权单方面解除合同，已经支付的款项供应商须全部退还。</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5.4小微企业不得将合同分包给大中型企业，中型企业不得将合同分包给大型企业。</w:t>
      </w:r>
    </w:p>
    <w:p>
      <w:pPr>
        <w:widowControl/>
        <w:ind w:firstLine="480" w:firstLineChars="200"/>
        <w:jc w:val="left"/>
        <w:rPr>
          <w:rFonts w:ascii="宋体" w:hAnsi="宋体" w:cs="Arial"/>
          <w:sz w:val="24"/>
          <w:highlight w:val="none"/>
        </w:rPr>
      </w:pPr>
      <w:r>
        <w:rPr>
          <w:rFonts w:hint="eastAsia" w:ascii="宋体" w:hAnsi="宋体" w:cs="Arial"/>
          <w:sz w:val="24"/>
          <w:highlight w:val="none"/>
        </w:rPr>
        <w:t>5.5本项目采购标的对应中小企业划分标准所属行业为：其他未列明行业。</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2" w:firstLineChars="200"/>
        <w:rPr>
          <w:rFonts w:ascii="宋体" w:hAnsi="宋体" w:cs="Arial"/>
          <w:b/>
          <w:bCs/>
          <w:sz w:val="24"/>
          <w:highlight w:val="none"/>
        </w:rPr>
      </w:pPr>
      <w:r>
        <w:rPr>
          <w:rFonts w:hint="eastAsia" w:ascii="宋体" w:hAnsi="宋体" w:cs="Arial"/>
          <w:b/>
          <w:bCs/>
          <w:sz w:val="24"/>
          <w:highlight w:val="none"/>
        </w:rPr>
        <w:t>十</w:t>
      </w:r>
      <w:r>
        <w:rPr>
          <w:rFonts w:hint="eastAsia" w:ascii="宋体" w:hAnsi="宋体" w:cs="Arial"/>
          <w:b/>
          <w:bCs/>
          <w:sz w:val="24"/>
          <w:highlight w:val="none"/>
          <w:lang w:val="en-US" w:eastAsia="zh-CN"/>
        </w:rPr>
        <w:t>四</w:t>
      </w:r>
      <w:r>
        <w:rPr>
          <w:rFonts w:hint="eastAsia" w:ascii="宋体" w:hAnsi="宋体" w:cs="Arial"/>
          <w:b/>
          <w:bCs/>
          <w:sz w:val="24"/>
          <w:highlight w:val="none"/>
        </w:rPr>
        <w:t>、本公告发布地址：浙江省政府采购网(http://www.zjzfcg.gov.cn/new/)</w:t>
      </w:r>
    </w:p>
    <w:p>
      <w:pPr>
        <w:spacing w:line="440" w:lineRule="exact"/>
        <w:ind w:firstLine="482" w:firstLineChars="200"/>
        <w:rPr>
          <w:rFonts w:asci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五</w:t>
      </w:r>
      <w:r>
        <w:rPr>
          <w:rFonts w:hint="eastAsia" w:ascii="宋体" w:hAnsi="宋体"/>
          <w:b/>
          <w:sz w:val="24"/>
          <w:highlight w:val="none"/>
        </w:rPr>
        <w:t>、项目联系人：</w:t>
      </w:r>
      <w:r>
        <w:rPr>
          <w:rFonts w:ascii="宋体"/>
          <w:b/>
          <w:sz w:val="24"/>
          <w:highlight w:val="none"/>
        </w:rPr>
        <w:tab/>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招标人：</w:t>
      </w:r>
      <w:r>
        <w:rPr>
          <w:rFonts w:hint="eastAsia" w:ascii="宋体" w:hAnsi="宋体"/>
          <w:color w:val="auto"/>
          <w:sz w:val="24"/>
          <w:highlight w:val="none"/>
          <w:lang w:eastAsia="zh-CN"/>
        </w:rPr>
        <w:t>台州市路桥区住房和城乡建设局</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sz w:val="24"/>
          <w:highlight w:val="none"/>
          <w:lang w:val="en-US" w:eastAsia="zh-CN"/>
        </w:rPr>
        <w:t>林先生</w:t>
      </w:r>
      <w:r>
        <w:rPr>
          <w:rFonts w:ascii="宋体" w:hAnsi="宋体"/>
          <w:sz w:val="24"/>
          <w:highlight w:val="none"/>
        </w:rPr>
        <w:t xml:space="preserve"> </w:t>
      </w:r>
      <w:r>
        <w:rPr>
          <w:rFonts w:ascii="宋体" w:hAnsi="宋体" w:cs="宋体"/>
          <w:color w:val="auto"/>
          <w:kern w:val="0"/>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联系</w:t>
      </w:r>
      <w:r>
        <w:rPr>
          <w:rFonts w:hint="eastAsia" w:ascii="宋体" w:hAnsi="宋体"/>
          <w:color w:val="auto"/>
          <w:sz w:val="24"/>
          <w:highlight w:val="none"/>
          <w:lang w:val="en-US" w:eastAsia="zh-CN"/>
        </w:rPr>
        <w:t>电话</w:t>
      </w:r>
      <w:r>
        <w:rPr>
          <w:rFonts w:hint="eastAsia" w:ascii="宋体" w:hAnsi="宋体"/>
          <w:color w:val="auto"/>
          <w:sz w:val="24"/>
          <w:highlight w:val="none"/>
        </w:rPr>
        <w:t>：</w:t>
      </w:r>
      <w:r>
        <w:rPr>
          <w:rFonts w:hint="eastAsia" w:ascii="宋体" w:hAnsi="宋体"/>
          <w:color w:val="auto"/>
          <w:sz w:val="24"/>
          <w:highlight w:val="none"/>
          <w:lang w:val="en-US" w:eastAsia="zh-CN"/>
        </w:rPr>
        <w:t>15968620789</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sz w:val="24"/>
          <w:highlight w:val="none"/>
          <w:lang w:val="en-US" w:eastAsia="zh-CN"/>
        </w:rPr>
      </w:pPr>
      <w:r>
        <w:rPr>
          <w:rFonts w:hint="eastAsia" w:ascii="宋体" w:hAnsi="宋体"/>
          <w:color w:val="auto"/>
          <w:sz w:val="24"/>
          <w:highlight w:val="none"/>
          <w:lang w:val="en-US" w:eastAsia="zh-CN"/>
        </w:rPr>
        <w:t>质疑联系人：张女士</w:t>
      </w:r>
      <w:r>
        <w:rPr>
          <w:rFonts w:hint="eastAsia" w:ascii="宋体" w:hAnsi="宋体"/>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lang w:val="en-US" w:eastAsia="zh-CN"/>
        </w:rPr>
        <w:t xml:space="preserve">0576-82525126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质疑联系人</w:t>
      </w:r>
      <w:r>
        <w:rPr>
          <w:rFonts w:hint="eastAsia" w:ascii="宋体" w:hAnsi="宋体"/>
          <w:color w:val="auto"/>
          <w:sz w:val="24"/>
          <w:highlight w:val="none"/>
          <w:lang w:eastAsia="zh-CN"/>
        </w:rPr>
        <w:t>）</w:t>
      </w:r>
    </w:p>
    <w:p>
      <w:pPr>
        <w:spacing w:line="440" w:lineRule="exact"/>
        <w:ind w:firstLine="480" w:firstLineChars="200"/>
        <w:jc w:val="left"/>
        <w:rPr>
          <w:rFonts w:ascii="宋体"/>
          <w:sz w:val="24"/>
          <w:highlight w:val="none"/>
        </w:rPr>
      </w:pPr>
      <w:bookmarkStart w:id="20" w:name="_GoBack"/>
      <w:bookmarkEnd w:id="20"/>
      <w:r>
        <w:rPr>
          <w:rFonts w:hint="eastAsia" w:ascii="宋体" w:hAnsi="宋体"/>
          <w:sz w:val="24"/>
          <w:highlight w:val="none"/>
        </w:rPr>
        <w:t>2、招标代理机构：建经投资咨询有限公司</w:t>
      </w:r>
    </w:p>
    <w:p>
      <w:pPr>
        <w:spacing w:line="440" w:lineRule="exact"/>
        <w:ind w:firstLine="480" w:firstLineChars="200"/>
        <w:jc w:val="left"/>
        <w:rPr>
          <w:rFonts w:ascii="宋体" w:hAnsi="宋体"/>
          <w:sz w:val="24"/>
          <w:highlight w:val="none"/>
        </w:rPr>
      </w:pPr>
      <w:r>
        <w:rPr>
          <w:rFonts w:hint="eastAsia" w:ascii="宋体" w:hAnsi="宋体"/>
          <w:sz w:val="24"/>
          <w:highlight w:val="none"/>
        </w:rPr>
        <w:t>联系人：陈苏伟</w:t>
      </w:r>
      <w:r>
        <w:rPr>
          <w:rFonts w:ascii="宋体" w:hAnsi="宋体"/>
          <w:sz w:val="24"/>
          <w:highlight w:val="none"/>
        </w:rPr>
        <w:t xml:space="preserve"> </w:t>
      </w:r>
      <w:r>
        <w:rPr>
          <w:rFonts w:hint="eastAsia" w:ascii="宋体" w:hAnsi="宋体"/>
          <w:sz w:val="24"/>
          <w:highlight w:val="none"/>
        </w:rPr>
        <w:t xml:space="preserve">  联系电话：18968408610</w:t>
      </w:r>
    </w:p>
    <w:p>
      <w:pPr>
        <w:spacing w:line="440" w:lineRule="exact"/>
        <w:ind w:firstLine="480" w:firstLineChars="200"/>
        <w:jc w:val="left"/>
        <w:rPr>
          <w:rFonts w:ascii="宋体" w:hAnsi="宋体"/>
          <w:sz w:val="24"/>
          <w:highlight w:val="none"/>
        </w:rPr>
      </w:pPr>
      <w:r>
        <w:rPr>
          <w:rFonts w:hint="eastAsia" w:ascii="宋体" w:hAnsi="宋体"/>
          <w:sz w:val="24"/>
          <w:highlight w:val="none"/>
        </w:rPr>
        <w:t>联系人：林炳洪</w:t>
      </w:r>
      <w:r>
        <w:rPr>
          <w:rFonts w:ascii="宋体" w:hAnsi="宋体"/>
          <w:sz w:val="24"/>
          <w:highlight w:val="none"/>
        </w:rPr>
        <w:t xml:space="preserve"> </w:t>
      </w:r>
      <w:r>
        <w:rPr>
          <w:rFonts w:hint="eastAsia" w:ascii="宋体" w:hAnsi="宋体"/>
          <w:sz w:val="24"/>
          <w:highlight w:val="none"/>
        </w:rPr>
        <w:t xml:space="preserve">  联系电话：13362681081（质疑联系人）</w:t>
      </w:r>
    </w:p>
    <w:p>
      <w:pPr>
        <w:spacing w:line="440" w:lineRule="exact"/>
        <w:ind w:firstLine="480" w:firstLineChars="200"/>
        <w:jc w:val="left"/>
        <w:rPr>
          <w:rFonts w:ascii="宋体" w:hAnsi="宋体"/>
          <w:sz w:val="24"/>
          <w:highlight w:val="none"/>
        </w:rPr>
      </w:pPr>
      <w:r>
        <w:rPr>
          <w:rFonts w:hint="eastAsia" w:ascii="宋体" w:hAnsi="宋体"/>
          <w:sz w:val="24"/>
          <w:highlight w:val="none"/>
        </w:rPr>
        <w:t>3、同级政府采购监督管理部门名称：台州市路桥区财政局政府采购监管科 </w:t>
      </w:r>
    </w:p>
    <w:p>
      <w:pPr>
        <w:spacing w:line="440" w:lineRule="exact"/>
        <w:ind w:firstLine="480" w:firstLineChars="200"/>
        <w:jc w:val="left"/>
        <w:rPr>
          <w:rFonts w:ascii="宋体" w:hAnsi="宋体"/>
          <w:sz w:val="24"/>
          <w:highlight w:val="none"/>
        </w:rPr>
      </w:pPr>
      <w:r>
        <w:rPr>
          <w:rFonts w:hint="eastAsia" w:ascii="宋体" w:hAnsi="宋体"/>
          <w:sz w:val="24"/>
          <w:highlight w:val="none"/>
        </w:rPr>
        <w:t>联系人：吴女士 </w:t>
      </w:r>
    </w:p>
    <w:p>
      <w:pPr>
        <w:spacing w:line="440" w:lineRule="exact"/>
        <w:ind w:firstLine="480" w:firstLineChars="200"/>
        <w:jc w:val="left"/>
        <w:rPr>
          <w:rFonts w:ascii="宋体" w:hAnsi="宋体"/>
          <w:sz w:val="24"/>
          <w:highlight w:val="none"/>
        </w:rPr>
      </w:pPr>
      <w:r>
        <w:rPr>
          <w:rFonts w:hint="eastAsia" w:ascii="宋体" w:hAnsi="宋体"/>
          <w:sz w:val="24"/>
          <w:highlight w:val="none"/>
        </w:rPr>
        <w:t>监督投诉电话：0576-82517851 </w:t>
      </w:r>
    </w:p>
    <w:p>
      <w:pPr>
        <w:spacing w:line="440" w:lineRule="exact"/>
        <w:ind w:firstLine="480" w:firstLineChars="200"/>
        <w:jc w:val="left"/>
        <w:rPr>
          <w:rFonts w:ascii="宋体" w:hAnsi="宋体"/>
          <w:sz w:val="24"/>
          <w:highlight w:val="none"/>
        </w:rPr>
      </w:pPr>
      <w:r>
        <w:rPr>
          <w:rFonts w:hint="eastAsia" w:ascii="宋体" w:hAnsi="宋体"/>
          <w:sz w:val="24"/>
          <w:highlight w:val="none"/>
        </w:rPr>
        <w:t>地址：台州市路桥区西路桥大道58号 </w:t>
      </w:r>
    </w:p>
    <w:p>
      <w:pPr>
        <w:pStyle w:val="95"/>
        <w:ind w:left="420" w:leftChars="200" w:firstLine="0" w:firstLineChars="0"/>
        <w:rPr>
          <w:rFonts w:ascii="宋体" w:hAnsi="宋体"/>
          <w:highlight w:val="none"/>
        </w:rPr>
      </w:pPr>
      <w:r>
        <w:rPr>
          <w:rFonts w:hint="eastAsia"/>
          <w:highlight w:val="none"/>
        </w:rPr>
        <w:t>4、</w:t>
      </w:r>
      <w:r>
        <w:rPr>
          <w:rFonts w:hint="eastAsia" w:ascii="宋体" w:hAnsi="宋体"/>
          <w:highlight w:val="none"/>
        </w:rPr>
        <w:t>中标供应商如有融资需求，可使用以下银行的政采贷服务。</w:t>
      </w:r>
    </w:p>
    <w:tbl>
      <w:tblPr>
        <w:tblStyle w:val="76"/>
        <w:tblW w:w="10279" w:type="dxa"/>
        <w:jc w:val="center"/>
        <w:tblLayout w:type="fixed"/>
        <w:tblCellMar>
          <w:top w:w="0" w:type="dxa"/>
          <w:left w:w="0" w:type="dxa"/>
          <w:bottom w:w="0" w:type="dxa"/>
          <w:right w:w="0" w:type="dxa"/>
        </w:tblCellMar>
      </w:tblPr>
      <w:tblGrid>
        <w:gridCol w:w="568"/>
        <w:gridCol w:w="4762"/>
        <w:gridCol w:w="1649"/>
        <w:gridCol w:w="1655"/>
        <w:gridCol w:w="1645"/>
      </w:tblGrid>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联系电话</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15167671223</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15968680259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13606668045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13750661198</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13968689000</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17858683988</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13306566969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15968662111</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13586088395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18105768199</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13867611023</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13858687790</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15906861025</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13395745558</w:t>
            </w:r>
          </w:p>
        </w:tc>
      </w:tr>
      <w:tr>
        <w:tblPrEx>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13157608788</w:t>
            </w:r>
          </w:p>
        </w:tc>
      </w:tr>
    </w:tbl>
    <w:p>
      <w:pPr>
        <w:pStyle w:val="2"/>
        <w:spacing w:before="10"/>
        <w:rPr>
          <w:sz w:val="10"/>
          <w:highlight w:val="none"/>
        </w:rPr>
      </w:pPr>
    </w:p>
    <w:p>
      <w:pPr>
        <w:spacing w:line="440" w:lineRule="exact"/>
        <w:ind w:firstLine="480" w:firstLineChars="200"/>
        <w:jc w:val="right"/>
        <w:rPr>
          <w:rFonts w:ascii="宋体"/>
          <w:sz w:val="24"/>
          <w:highlight w:val="none"/>
        </w:rPr>
      </w:pPr>
      <w:r>
        <w:rPr>
          <w:rFonts w:hint="eastAsia" w:ascii="宋体" w:hAnsi="宋体"/>
          <w:sz w:val="24"/>
          <w:highlight w:val="none"/>
          <w:lang w:val="en-US" w:eastAsia="zh-CN"/>
        </w:rPr>
        <w:t>建</w:t>
      </w:r>
      <w:r>
        <w:rPr>
          <w:rFonts w:hint="eastAsia" w:ascii="宋体" w:hAnsi="宋体"/>
          <w:sz w:val="24"/>
          <w:highlight w:val="none"/>
        </w:rPr>
        <w:t>经投资咨询有限公司</w:t>
      </w:r>
      <w:r>
        <w:rPr>
          <w:rFonts w:ascii="宋体" w:hAnsi="宋体"/>
          <w:sz w:val="24"/>
          <w:highlight w:val="none"/>
        </w:rPr>
        <w:t xml:space="preserve">                                             </w:t>
      </w: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b/>
          <w:sz w:val="36"/>
          <w:szCs w:val="36"/>
          <w:highlight w:val="none"/>
        </w:rPr>
      </w:pPr>
      <w:r>
        <w:rPr>
          <w:rFonts w:hint="eastAsia" w:ascii="宋体" w:hAnsi="宋体"/>
          <w:sz w:val="36"/>
          <w:szCs w:val="36"/>
          <w:highlight w:val="none"/>
        </w:rPr>
        <w:br w:type="page"/>
      </w:r>
      <w:r>
        <w:rPr>
          <w:rFonts w:hint="eastAsia" w:ascii="宋体" w:hAnsi="宋体"/>
          <w:sz w:val="36"/>
          <w:szCs w:val="36"/>
          <w:highlight w:val="none"/>
        </w:rPr>
        <w:t>第二部分</w:t>
      </w:r>
      <w:r>
        <w:rPr>
          <w:rFonts w:ascii="宋体" w:hAnsi="宋体"/>
          <w:sz w:val="36"/>
          <w:szCs w:val="36"/>
          <w:highlight w:val="none"/>
        </w:rPr>
        <w:t xml:space="preserve"> </w:t>
      </w:r>
      <w:r>
        <w:rPr>
          <w:rFonts w:hint="eastAsia" w:ascii="宋体" w:hAnsi="宋体"/>
          <w:b/>
          <w:sz w:val="36"/>
          <w:szCs w:val="36"/>
          <w:highlight w:val="none"/>
        </w:rPr>
        <w:t>项目需求</w:t>
      </w:r>
    </w:p>
    <w:p>
      <w:pPr>
        <w:tabs>
          <w:tab w:val="left" w:pos="8280"/>
        </w:tabs>
        <w:autoSpaceDE w:val="0"/>
        <w:autoSpaceDN w:val="0"/>
        <w:adjustRightInd w:val="0"/>
        <w:spacing w:line="360" w:lineRule="auto"/>
        <w:ind w:right="25" w:firstLine="482" w:firstLineChars="200"/>
        <w:jc w:val="left"/>
        <w:rPr>
          <w:rFonts w:ascii="宋体" w:hAnsi="宋体" w:cs="楷体_GB2312"/>
          <w:sz w:val="24"/>
        </w:rPr>
      </w:pPr>
      <w:r>
        <w:rPr>
          <w:rFonts w:hint="eastAsia" w:ascii="宋体" w:hAnsi="宋体" w:cs="楷体_GB2312"/>
          <w:b/>
          <w:sz w:val="24"/>
        </w:rPr>
        <w:t>一、项目</w:t>
      </w:r>
      <w:r>
        <w:rPr>
          <w:rFonts w:ascii="宋体" w:hAnsi="宋体" w:cs="楷体_GB2312"/>
          <w:b/>
          <w:sz w:val="24"/>
        </w:rPr>
        <w:t>背景</w:t>
      </w:r>
    </w:p>
    <w:p>
      <w:pPr>
        <w:tabs>
          <w:tab w:val="left" w:pos="8280"/>
        </w:tabs>
        <w:autoSpaceDE w:val="0"/>
        <w:autoSpaceDN w:val="0"/>
        <w:adjustRightInd w:val="0"/>
        <w:spacing w:line="360" w:lineRule="auto"/>
        <w:ind w:right="25" w:firstLine="480" w:firstLineChars="200"/>
        <w:jc w:val="left"/>
        <w:rPr>
          <w:rFonts w:ascii="宋体" w:hAnsi="宋体" w:cs="楷体_GB2312"/>
          <w:b/>
          <w:sz w:val="24"/>
        </w:rPr>
      </w:pPr>
      <w:r>
        <w:rPr>
          <w:rFonts w:hint="eastAsia" w:ascii="宋体" w:hAnsi="宋体"/>
          <w:sz w:val="24"/>
        </w:rPr>
        <w:t>本项目为</w:t>
      </w:r>
      <w:r>
        <w:rPr>
          <w:rFonts w:hint="eastAsia" w:ascii="宋体" w:hAnsi="宋体"/>
          <w:sz w:val="24"/>
          <w:lang w:eastAsia="zh-CN"/>
        </w:rPr>
        <w:t>龙头王、锦泰、飞龙湖未来社区实施方案编制</w:t>
      </w:r>
      <w:r>
        <w:rPr>
          <w:rFonts w:ascii="宋体" w:hAnsi="宋体"/>
          <w:sz w:val="24"/>
        </w:rPr>
        <w:t>服务采购</w:t>
      </w:r>
      <w:r>
        <w:rPr>
          <w:rFonts w:hint="eastAsia" w:ascii="宋体" w:hAnsi="宋体"/>
          <w:sz w:val="24"/>
        </w:rPr>
        <w:t>，全面梳理社区内的现状建设条件，理清创建思路，确立目标定位和创建特色要点，以空间总体设计、场景系统设计及运营策划、数字化系统设计、建设运营组织、资金测算与筹措及保障措施等为主要内容，编制完整的实施方案成果，达到上级部门备案要求</w:t>
      </w:r>
      <w:r>
        <w:rPr>
          <w:rFonts w:ascii="宋体" w:hAnsi="宋体"/>
          <w:sz w:val="24"/>
        </w:rPr>
        <w:t>。</w:t>
      </w:r>
    </w:p>
    <w:p>
      <w:pPr>
        <w:spacing w:line="360" w:lineRule="auto"/>
        <w:ind w:left="562"/>
        <w:rPr>
          <w:rFonts w:ascii="宋体" w:hAnsi="宋体"/>
          <w:b/>
          <w:sz w:val="24"/>
        </w:rPr>
      </w:pPr>
      <w:r>
        <w:rPr>
          <w:rFonts w:hint="eastAsia" w:ascii="宋体" w:hAnsi="宋体"/>
          <w:b/>
          <w:sz w:val="24"/>
        </w:rPr>
        <w:t>二、设计</w:t>
      </w:r>
      <w:r>
        <w:rPr>
          <w:rFonts w:ascii="宋体" w:hAnsi="宋体"/>
          <w:b/>
          <w:sz w:val="24"/>
        </w:rPr>
        <w:t>范围</w:t>
      </w:r>
    </w:p>
    <w:p>
      <w:pPr>
        <w:spacing w:line="360" w:lineRule="auto"/>
        <w:ind w:firstLine="480" w:firstLineChars="200"/>
        <w:rPr>
          <w:rFonts w:ascii="宋体" w:hAnsi="宋体"/>
          <w:sz w:val="24"/>
        </w:rPr>
      </w:pPr>
      <w:r>
        <w:rPr>
          <w:rFonts w:hint="eastAsia" w:ascii="宋体" w:hAnsi="宋体"/>
          <w:sz w:val="24"/>
        </w:rPr>
        <w:t>路桥第六批未来社区包括路桥街道龙头王未来社区、路北街道锦泰未来社区和桐屿街道飞龙湖未来社区。</w:t>
      </w:r>
    </w:p>
    <w:p>
      <w:pPr>
        <w:spacing w:line="360" w:lineRule="auto"/>
        <w:ind w:firstLine="480" w:firstLineChars="200"/>
        <w:rPr>
          <w:rFonts w:hint="default" w:ascii="宋体" w:hAnsi="宋体" w:eastAsia="宋体"/>
          <w:sz w:val="24"/>
          <w:lang w:val="en-US" w:eastAsia="zh-CN"/>
        </w:rPr>
      </w:pPr>
      <w:r>
        <w:rPr>
          <w:rFonts w:hint="eastAsia" w:ascii="宋体" w:hAnsi="宋体"/>
          <w:sz w:val="24"/>
        </w:rPr>
        <w:t>龙头王未来社区范围</w:t>
      </w:r>
      <w:r>
        <w:rPr>
          <w:rFonts w:ascii="宋体" w:hAnsi="宋体"/>
          <w:sz w:val="24"/>
        </w:rPr>
        <w:t>北至墨池路，东临吉利大道，南接卖芝桥东路，西靠泰隆街，面积约</w:t>
      </w:r>
      <w:r>
        <w:rPr>
          <w:kern w:val="0"/>
          <w:sz w:val="24"/>
        </w:rPr>
        <w:t>28.89公</w:t>
      </w:r>
      <w:r>
        <w:rPr>
          <w:rFonts w:ascii="宋体" w:hAnsi="宋体"/>
          <w:sz w:val="24"/>
        </w:rPr>
        <w:t>顷</w:t>
      </w:r>
      <w:r>
        <w:rPr>
          <w:rFonts w:hint="eastAsia" w:ascii="宋体" w:hAnsi="宋体"/>
          <w:sz w:val="24"/>
          <w:lang w:eastAsia="zh-CN"/>
        </w:rPr>
        <w:t>，</w:t>
      </w:r>
      <w:r>
        <w:rPr>
          <w:rFonts w:hint="eastAsia" w:ascii="宋体" w:hAnsi="宋体"/>
          <w:sz w:val="24"/>
          <w:lang w:val="en-US" w:eastAsia="zh-CN"/>
        </w:rPr>
        <w:t>预算金额为：210万元。</w:t>
      </w:r>
    </w:p>
    <w:p>
      <w:pPr>
        <w:spacing w:line="360" w:lineRule="auto"/>
        <w:ind w:firstLine="480" w:firstLineChars="200"/>
        <w:rPr>
          <w:rFonts w:ascii="宋体" w:hAnsi="宋体"/>
          <w:sz w:val="24"/>
        </w:rPr>
      </w:pPr>
      <w:r>
        <w:rPr>
          <w:rFonts w:hint="eastAsia" w:ascii="宋体" w:hAnsi="宋体"/>
          <w:sz w:val="24"/>
        </w:rPr>
        <w:t>锦泰未来社区</w:t>
      </w:r>
      <w:r>
        <w:rPr>
          <w:rFonts w:hint="eastAsia"/>
          <w:kern w:val="0"/>
          <w:sz w:val="24"/>
        </w:rPr>
        <w:t>范围南至海城路，西至内环路，北至规划支路，东至商海北街，面积约28.51公顷</w:t>
      </w:r>
      <w:r>
        <w:rPr>
          <w:rFonts w:hint="eastAsia"/>
          <w:kern w:val="0"/>
          <w:sz w:val="24"/>
          <w:lang w:eastAsia="zh-CN"/>
        </w:rPr>
        <w:t>，</w:t>
      </w:r>
      <w:r>
        <w:rPr>
          <w:rFonts w:hint="eastAsia" w:ascii="宋体" w:hAnsi="宋体"/>
          <w:sz w:val="24"/>
          <w:lang w:val="en-US" w:eastAsia="zh-CN"/>
        </w:rPr>
        <w:t>预算金额为：193万元。</w:t>
      </w:r>
    </w:p>
    <w:p>
      <w:pPr>
        <w:spacing w:line="360" w:lineRule="auto"/>
        <w:ind w:firstLine="480" w:firstLineChars="200"/>
        <w:rPr>
          <w:rFonts w:ascii="宋体" w:hAnsi="宋体"/>
          <w:sz w:val="24"/>
        </w:rPr>
      </w:pPr>
      <w:r>
        <w:rPr>
          <w:rFonts w:hint="eastAsia"/>
          <w:kern w:val="0"/>
          <w:sz w:val="24"/>
        </w:rPr>
        <w:t>飞龙湖未来社区范围东起下分水河，南至腾达路，西至规划道路，北至内环路，面积约58.91公顷</w:t>
      </w:r>
      <w:r>
        <w:rPr>
          <w:rFonts w:hint="eastAsia"/>
          <w:kern w:val="0"/>
          <w:sz w:val="24"/>
          <w:lang w:eastAsia="zh-CN"/>
        </w:rPr>
        <w:t>，</w:t>
      </w:r>
      <w:r>
        <w:rPr>
          <w:rFonts w:hint="eastAsia" w:ascii="宋体" w:hAnsi="宋体"/>
          <w:sz w:val="24"/>
          <w:lang w:val="en-US" w:eastAsia="zh-CN"/>
        </w:rPr>
        <w:t>预算金额为：227万元。</w:t>
      </w:r>
    </w:p>
    <w:p>
      <w:pPr>
        <w:spacing w:line="360" w:lineRule="auto"/>
        <w:ind w:left="562"/>
        <w:rPr>
          <w:rFonts w:ascii="宋体" w:hAnsi="宋体"/>
          <w:b/>
          <w:sz w:val="24"/>
        </w:rPr>
      </w:pPr>
      <w:r>
        <w:rPr>
          <w:rFonts w:hint="eastAsia" w:ascii="宋体" w:hAnsi="宋体"/>
          <w:b/>
          <w:sz w:val="24"/>
        </w:rPr>
        <w:t>三、技术要求</w:t>
      </w:r>
    </w:p>
    <w:p>
      <w:pPr>
        <w:spacing w:line="360" w:lineRule="auto"/>
        <w:ind w:firstLine="480" w:firstLineChars="200"/>
        <w:rPr>
          <w:rFonts w:ascii="宋体" w:hAnsi="宋体" w:cs="宋体"/>
          <w:sz w:val="24"/>
        </w:rPr>
      </w:pPr>
      <w:r>
        <w:rPr>
          <w:rFonts w:hint="eastAsia" w:ascii="宋体" w:hAnsi="宋体" w:cs="宋体"/>
          <w:sz w:val="24"/>
        </w:rPr>
        <w:t>第六批未来社区实施方案，根据</w:t>
      </w:r>
      <w:r>
        <w:rPr>
          <w:rFonts w:ascii="宋体" w:hAnsi="宋体" w:cs="宋体"/>
          <w:sz w:val="24"/>
        </w:rPr>
        <w:t>《</w:t>
      </w:r>
      <w:r>
        <w:rPr>
          <w:rFonts w:hint="eastAsia" w:ascii="宋体" w:hAnsi="宋体" w:cs="宋体"/>
          <w:sz w:val="24"/>
        </w:rPr>
        <w:t>省风貌办关于开展第六批城镇未来社区创建的通知</w:t>
      </w:r>
      <w:r>
        <w:rPr>
          <w:rFonts w:ascii="宋体" w:hAnsi="宋体" w:cs="宋体"/>
          <w:sz w:val="24"/>
        </w:rPr>
        <w:t>》</w:t>
      </w:r>
      <w:r>
        <w:rPr>
          <w:rFonts w:hint="eastAsia" w:ascii="宋体" w:hAnsi="宋体" w:cs="宋体"/>
          <w:sz w:val="24"/>
        </w:rPr>
        <w:t>的相关</w:t>
      </w:r>
      <w:r>
        <w:rPr>
          <w:rFonts w:ascii="宋体" w:hAnsi="宋体" w:cs="宋体"/>
          <w:sz w:val="24"/>
        </w:rPr>
        <w:t>技术要求进行编制。</w:t>
      </w:r>
      <w:r>
        <w:rPr>
          <w:rFonts w:hint="eastAsia" w:ascii="宋体" w:hAnsi="宋体" w:cs="宋体"/>
          <w:sz w:val="24"/>
        </w:rPr>
        <w:t>本项目作为新建</w:t>
      </w:r>
      <w:r>
        <w:rPr>
          <w:rFonts w:ascii="宋体" w:hAnsi="宋体" w:cs="宋体"/>
          <w:sz w:val="24"/>
        </w:rPr>
        <w:t>类</w:t>
      </w:r>
      <w:r>
        <w:rPr>
          <w:rFonts w:hint="eastAsia" w:ascii="宋体" w:hAnsi="宋体" w:cs="宋体"/>
          <w:sz w:val="24"/>
        </w:rPr>
        <w:t>未来</w:t>
      </w:r>
      <w:r>
        <w:rPr>
          <w:rFonts w:ascii="宋体" w:hAnsi="宋体" w:cs="宋体"/>
          <w:sz w:val="24"/>
        </w:rPr>
        <w:t>社区，</w:t>
      </w:r>
      <w:r>
        <w:rPr>
          <w:rFonts w:hint="eastAsia" w:ascii="宋体" w:hAnsi="宋体" w:cs="宋体"/>
          <w:sz w:val="24"/>
        </w:rPr>
        <w:t>应重点落实社区服务配套，系统性打造标配场景，探索新文化、新技术、新业态、新模式的应用，打造未来生活方式变革的美好家园标杆</w:t>
      </w:r>
      <w:r>
        <w:rPr>
          <w:rFonts w:ascii="宋体" w:hAnsi="宋体" w:cs="宋体"/>
          <w:sz w:val="24"/>
        </w:rPr>
        <w:t>。</w:t>
      </w:r>
      <w:r>
        <w:rPr>
          <w:rFonts w:hint="eastAsia" w:ascii="宋体" w:hAnsi="宋体" w:cs="宋体"/>
          <w:sz w:val="24"/>
        </w:rPr>
        <w:t>方案具体</w:t>
      </w:r>
      <w:r>
        <w:rPr>
          <w:rFonts w:ascii="宋体" w:hAnsi="宋体" w:cs="宋体"/>
          <w:sz w:val="24"/>
        </w:rPr>
        <w:t>可以从以下几方面进行编制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1、摸家底</w:t>
      </w:r>
    </w:p>
    <w:p>
      <w:pPr>
        <w:spacing w:line="360" w:lineRule="auto"/>
        <w:ind w:firstLine="480" w:firstLineChars="200"/>
        <w:rPr>
          <w:rFonts w:ascii="宋体" w:hAnsi="宋体" w:cs="宋体"/>
          <w:sz w:val="24"/>
        </w:rPr>
      </w:pPr>
      <w:r>
        <w:rPr>
          <w:rFonts w:hint="eastAsia" w:ascii="宋体" w:hAnsi="宋体" w:cs="宋体"/>
          <w:sz w:val="24"/>
        </w:rPr>
        <w:t>通过</w:t>
      </w:r>
      <w:r>
        <w:rPr>
          <w:rFonts w:ascii="宋体" w:hAnsi="宋体" w:cs="宋体"/>
          <w:sz w:val="24"/>
        </w:rPr>
        <w:t>调研访谈等方式，进行现状摸排，</w:t>
      </w:r>
      <w:r>
        <w:rPr>
          <w:rFonts w:hint="eastAsia" w:ascii="宋体" w:hAnsi="宋体" w:cs="宋体"/>
          <w:sz w:val="24"/>
        </w:rPr>
        <w:t>梳理</w:t>
      </w:r>
      <w:r>
        <w:rPr>
          <w:rFonts w:ascii="宋体" w:hAnsi="宋体" w:cs="宋体"/>
          <w:sz w:val="24"/>
        </w:rPr>
        <w:t>本项目的现状建设条件，</w:t>
      </w:r>
      <w:r>
        <w:rPr>
          <w:rFonts w:hint="eastAsia" w:ascii="宋体" w:hAnsi="宋体" w:cs="宋体"/>
          <w:sz w:val="24"/>
        </w:rPr>
        <w:t>分析</w:t>
      </w:r>
      <w:r>
        <w:rPr>
          <w:rFonts w:ascii="宋体" w:hAnsi="宋体" w:cs="宋体"/>
          <w:sz w:val="24"/>
        </w:rPr>
        <w:t>社区创建的优劣势</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定目标</w:t>
      </w:r>
    </w:p>
    <w:p>
      <w:pPr>
        <w:spacing w:line="360" w:lineRule="auto"/>
        <w:ind w:firstLine="480" w:firstLineChars="200"/>
        <w:rPr>
          <w:rFonts w:ascii="宋体" w:hAnsi="宋体" w:cs="宋体"/>
          <w:sz w:val="24"/>
        </w:rPr>
      </w:pPr>
      <w:r>
        <w:rPr>
          <w:rFonts w:hint="eastAsia" w:ascii="宋体" w:hAnsi="宋体" w:cs="宋体"/>
          <w:sz w:val="24"/>
        </w:rPr>
        <w:t>围绕</w:t>
      </w:r>
      <w:r>
        <w:rPr>
          <w:rFonts w:ascii="宋体" w:hAnsi="宋体" w:cs="宋体"/>
          <w:sz w:val="24"/>
        </w:rPr>
        <w:t>创建痛点，提出创建思路，</w:t>
      </w:r>
      <w:r>
        <w:rPr>
          <w:rFonts w:hint="eastAsia" w:ascii="宋体" w:hAnsi="宋体" w:cs="宋体"/>
          <w:sz w:val="24"/>
        </w:rPr>
        <w:t>结合</w:t>
      </w:r>
      <w:r>
        <w:rPr>
          <w:rFonts w:ascii="宋体" w:hAnsi="宋体" w:cs="宋体"/>
          <w:sz w:val="24"/>
        </w:rPr>
        <w:t>社区文化，</w:t>
      </w:r>
      <w:r>
        <w:rPr>
          <w:rFonts w:hint="eastAsia" w:ascii="宋体" w:hAnsi="宋体" w:cs="宋体"/>
          <w:sz w:val="24"/>
        </w:rPr>
        <w:t>确立目标定位和创建特色要点。</w:t>
      </w:r>
    </w:p>
    <w:p>
      <w:pPr>
        <w:spacing w:line="360" w:lineRule="auto"/>
        <w:ind w:firstLine="480" w:firstLineChars="200"/>
        <w:rPr>
          <w:rFonts w:ascii="宋体" w:hAnsi="宋体" w:cs="宋体"/>
          <w:sz w:val="24"/>
        </w:rPr>
      </w:pPr>
      <w:r>
        <w:rPr>
          <w:rFonts w:hint="eastAsia" w:ascii="宋体" w:hAnsi="宋体" w:cs="宋体"/>
          <w:sz w:val="24"/>
        </w:rPr>
        <w:t>3、空间</w:t>
      </w:r>
      <w:r>
        <w:rPr>
          <w:rFonts w:ascii="宋体" w:hAnsi="宋体" w:cs="宋体"/>
          <w:sz w:val="24"/>
        </w:rPr>
        <w:t>总体设计</w:t>
      </w:r>
    </w:p>
    <w:p>
      <w:pPr>
        <w:spacing w:line="360" w:lineRule="auto"/>
        <w:ind w:firstLine="480" w:firstLineChars="200"/>
        <w:rPr>
          <w:rFonts w:hint="eastAsia" w:ascii="宋体" w:hAnsi="宋体" w:cs="宋体"/>
          <w:sz w:val="24"/>
        </w:rPr>
      </w:pPr>
      <w:r>
        <w:rPr>
          <w:rFonts w:hint="eastAsia" w:ascii="宋体" w:hAnsi="宋体" w:cs="宋体"/>
          <w:sz w:val="24"/>
        </w:rPr>
        <w:t>按照未来社区场景配置要求，提出未来社区空间规划布局方案，对建筑群体、环境景观以及土地使用、交通组织等内容进行研究，明确各项经济技术指标，统筹设计社区整体空间环境，提升社区整体空间形象。</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场景系统设计</w:t>
      </w:r>
    </w:p>
    <w:p>
      <w:pPr>
        <w:spacing w:line="360" w:lineRule="auto"/>
        <w:ind w:firstLine="480" w:firstLineChars="200"/>
        <w:rPr>
          <w:rFonts w:ascii="宋体" w:hAnsi="宋体" w:cs="宋体"/>
          <w:sz w:val="24"/>
        </w:rPr>
      </w:pPr>
      <w:r>
        <w:rPr>
          <w:rFonts w:hint="eastAsia" w:ascii="宋体" w:hAnsi="宋体" w:cs="宋体"/>
          <w:sz w:val="24"/>
        </w:rPr>
        <w:t>明确社区的核心场景和打造思路，按照“标配+选配”的要求，结合业态+功能提出各项场景的功能配置与空间需求，明确</w:t>
      </w:r>
      <w:r>
        <w:rPr>
          <w:rFonts w:ascii="宋体" w:hAnsi="宋体" w:cs="宋体"/>
          <w:sz w:val="24"/>
        </w:rPr>
        <w:t>场景</w:t>
      </w:r>
      <w:r>
        <w:rPr>
          <w:rFonts w:hint="eastAsia" w:ascii="宋体" w:hAnsi="宋体" w:cs="宋体"/>
          <w:sz w:val="24"/>
        </w:rPr>
        <w:t>落位。</w:t>
      </w:r>
    </w:p>
    <w:p>
      <w:pPr>
        <w:spacing w:line="360" w:lineRule="auto"/>
        <w:ind w:firstLine="480" w:firstLineChars="200"/>
        <w:rPr>
          <w:rFonts w:hint="eastAsia" w:ascii="宋体" w:hAnsi="宋体" w:cs="宋体"/>
          <w:sz w:val="24"/>
        </w:rPr>
      </w:pPr>
      <w:r>
        <w:rPr>
          <w:rFonts w:hint="eastAsia" w:ascii="宋体" w:hAnsi="宋体" w:cs="宋体"/>
          <w:sz w:val="24"/>
        </w:rPr>
        <w:t>结合本项目特点突出重点场景打造，充分关注和凸显“一老一小”服务场景的建设，并分别深化、细化相应场景实施方案，明确场景设计效果。</w:t>
      </w:r>
    </w:p>
    <w:p>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、数字化系统</w:t>
      </w:r>
      <w:r>
        <w:rPr>
          <w:rFonts w:ascii="宋体" w:hAnsi="宋体" w:cs="宋体"/>
          <w:sz w:val="24"/>
        </w:rPr>
        <w:t>设计</w:t>
      </w:r>
    </w:p>
    <w:p>
      <w:pPr>
        <w:spacing w:line="360" w:lineRule="auto"/>
        <w:ind w:firstLine="480" w:firstLineChars="200"/>
        <w:rPr>
          <w:rFonts w:ascii="宋体" w:hAnsi="宋体" w:cs="宋体"/>
          <w:sz w:val="24"/>
        </w:rPr>
      </w:pPr>
      <w:r>
        <w:rPr>
          <w:rFonts w:hint="eastAsia" w:ascii="宋体" w:hAnsi="宋体" w:cs="宋体"/>
          <w:sz w:val="24"/>
        </w:rPr>
        <w:t>按照未来社区创建要求，科学确定本项目数字化建设的需求、目标和思路，结合空间功能、运营需求以及硬件实现能力合理规划智慧化场景，形成本项目数字化系统设计方案。</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cs="宋体"/>
          <w:sz w:val="24"/>
        </w:rPr>
        <w:t>6、运营</w:t>
      </w:r>
      <w:r>
        <w:rPr>
          <w:rFonts w:ascii="宋体" w:hAnsi="宋体" w:cs="宋体"/>
          <w:sz w:val="24"/>
        </w:rPr>
        <w:t>组织及资金平衡</w:t>
      </w:r>
    </w:p>
    <w:p>
      <w:pPr>
        <w:spacing w:line="360" w:lineRule="auto"/>
        <w:ind w:firstLine="480" w:firstLineChars="200"/>
        <w:rPr>
          <w:rFonts w:ascii="宋体" w:hAnsi="宋体"/>
          <w:sz w:val="24"/>
        </w:rPr>
      </w:pPr>
      <w:r>
        <w:rPr>
          <w:rFonts w:hint="eastAsia" w:ascii="宋体" w:hAnsi="宋体"/>
          <w:sz w:val="24"/>
        </w:rPr>
        <w:t>明确本项目运营模式，理清相应的责任主体及各阶段工作内容，理清建设周期和重要的时间节点计划，合理进行建设期和运营期的资金平衡测算。</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、成果要求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（一）深度要求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本项目方案按《省风貌办关于开展第六批城镇未来社区创建的通知》要求编制。根据“浙江省未来社区实施方案编制要求”，方案主要包括以下内容：</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（1）基本情况</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（2）创建目标</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（3）空间总体设计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（4）场景设计及技术要求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（5）数字化系统设计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（6）运营组织</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（7）实施推进计划</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（8）概算与资金平衡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（9）政策与机制保障</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（10）专业技术图纸</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（11）附件要求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（二）提交成果要求</w:t>
      </w:r>
    </w:p>
    <w:p>
      <w:pPr>
        <w:rPr>
          <w:rFonts w:ascii="宋体" w:hAnsi="宋体"/>
          <w:sz w:val="24"/>
        </w:rPr>
      </w:pPr>
      <w:r>
        <w:rPr>
          <w:rFonts w:hint="eastAsia" w:ascii="宋体" w:hAnsi="宋体"/>
          <w:sz w:val="24"/>
          <w:lang w:val="en-US" w:eastAsia="zh-CN"/>
        </w:rPr>
        <w:t xml:space="preserve">    </w:t>
      </w:r>
      <w:r>
        <w:rPr>
          <w:rFonts w:hint="eastAsia" w:ascii="宋体" w:hAnsi="宋体"/>
          <w:sz w:val="24"/>
        </w:rPr>
        <w:t>本项目</w:t>
      </w:r>
      <w:r>
        <w:rPr>
          <w:rFonts w:ascii="宋体" w:hAnsi="宋体"/>
          <w:sz w:val="24"/>
        </w:rPr>
        <w:t>成果包括电子稿</w:t>
      </w:r>
      <w:r>
        <w:rPr>
          <w:rFonts w:hint="eastAsia" w:ascii="宋体" w:hAnsi="宋体"/>
          <w:sz w:val="24"/>
        </w:rPr>
        <w:t>和纸质</w:t>
      </w:r>
      <w:r>
        <w:rPr>
          <w:rFonts w:ascii="宋体" w:hAnsi="宋体"/>
          <w:sz w:val="24"/>
        </w:rPr>
        <w:t>文本</w:t>
      </w:r>
      <w:r>
        <w:rPr>
          <w:rFonts w:hint="eastAsia" w:ascii="宋体" w:hAnsi="宋体"/>
          <w:sz w:val="24"/>
        </w:rPr>
        <w:t>。</w:t>
      </w:r>
    </w:p>
    <w:p>
      <w:pPr>
        <w:pStyle w:val="3"/>
        <w:numPr>
          <w:ilvl w:val="0"/>
          <w:numId w:val="0"/>
        </w:numPr>
        <w:tabs>
          <w:tab w:val="clear" w:pos="432"/>
        </w:tabs>
        <w:spacing w:before="0" w:after="0" w:line="360" w:lineRule="auto"/>
        <w:jc w:val="center"/>
        <w:rPr>
          <w:rFonts w:ascii="宋体"/>
          <w:sz w:val="36"/>
          <w:szCs w:val="36"/>
          <w:highlight w:val="none"/>
        </w:rPr>
      </w:pPr>
      <w:r>
        <w:rPr>
          <w:rFonts w:hint="eastAsia" w:ascii="宋体" w:hAnsi="宋体"/>
          <w:sz w:val="36"/>
          <w:szCs w:val="36"/>
          <w:highlight w:val="none"/>
        </w:rPr>
        <w:br w:type="page"/>
      </w:r>
      <w:r>
        <w:rPr>
          <w:rFonts w:hint="eastAsia" w:ascii="宋体" w:hAnsi="宋体"/>
          <w:sz w:val="36"/>
          <w:szCs w:val="36"/>
          <w:highlight w:val="none"/>
        </w:rPr>
        <w:t>第三部分</w:t>
      </w:r>
      <w:r>
        <w:rPr>
          <w:rFonts w:ascii="宋体" w:hAnsi="宋体"/>
          <w:sz w:val="36"/>
          <w:szCs w:val="36"/>
          <w:highlight w:val="none"/>
        </w:rPr>
        <w:t xml:space="preserve"> </w:t>
      </w:r>
      <w:r>
        <w:rPr>
          <w:rFonts w:hint="eastAsia" w:ascii="宋体" w:hAnsi="宋体"/>
          <w:sz w:val="36"/>
          <w:szCs w:val="36"/>
          <w:highlight w:val="none"/>
        </w:rPr>
        <w:t>投标人须知</w:t>
      </w:r>
      <w:bookmarkEnd w:id="1"/>
    </w:p>
    <w:p>
      <w:pPr>
        <w:pStyle w:val="17"/>
        <w:widowControl w:val="0"/>
        <w:adjustRightInd/>
        <w:snapToGrid/>
        <w:spacing w:line="240" w:lineRule="auto"/>
        <w:ind w:right="480" w:firstLine="420"/>
        <w:jc w:val="center"/>
        <w:rPr>
          <w:rFonts w:hAnsi="宋体"/>
          <w:b/>
          <w:bCs/>
          <w:color w:val="auto"/>
          <w:kern w:val="2"/>
          <w:sz w:val="32"/>
          <w:szCs w:val="32"/>
          <w:highlight w:val="none"/>
        </w:rPr>
      </w:pPr>
      <w:bookmarkStart w:id="4" w:name="_Toc331502478"/>
      <w:r>
        <w:rPr>
          <w:rFonts w:hint="eastAsia" w:hAnsi="宋体"/>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bookmarkStart w:id="5" w:name="_Hlt74730295"/>
            <w:bookmarkEnd w:id="5"/>
            <w:bookmarkStart w:id="6" w:name="_Hlt74714665"/>
            <w:bookmarkEnd w:id="6"/>
            <w:bookmarkStart w:id="7" w:name="_Toc91899872"/>
            <w:bookmarkStart w:id="8" w:name="_Toc331502480"/>
            <w:bookmarkStart w:id="9" w:name="_Hlt74730112"/>
            <w:bookmarkStart w:id="10" w:name="_Hlt74730208"/>
            <w:r>
              <w:rPr>
                <w:rFonts w:hint="eastAsia" w:ascii="宋体" w:hAnsi="宋体"/>
                <w:sz w:val="24"/>
                <w:highlight w:val="none"/>
              </w:rPr>
              <w:t>序号</w:t>
            </w:r>
          </w:p>
        </w:tc>
        <w:tc>
          <w:tcPr>
            <w:tcW w:w="8371" w:type="dxa"/>
            <w:tcBorders>
              <w:top w:val="single" w:color="auto" w:sz="4" w:space="0"/>
              <w:left w:val="single" w:color="auto" w:sz="4" w:space="0"/>
              <w:bottom w:val="single" w:color="auto" w:sz="4" w:space="0"/>
            </w:tcBorders>
            <w:vAlign w:val="center"/>
          </w:tcPr>
          <w:p>
            <w:pPr>
              <w:snapToGrid w:val="0"/>
              <w:spacing w:line="240" w:lineRule="auto"/>
              <w:jc w:val="center"/>
              <w:rPr>
                <w:rFonts w:ascii="宋体"/>
                <w:sz w:val="24"/>
                <w:szCs w:val="20"/>
                <w:highlight w:val="none"/>
              </w:rPr>
            </w:pPr>
            <w:r>
              <w:rPr>
                <w:rFonts w:hint="eastAsia" w:ascii="宋体" w:hAnsi="宋体"/>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hint="eastAsia" w:ascii="宋体" w:eastAsia="宋体"/>
                <w:sz w:val="24"/>
                <w:szCs w:val="20"/>
                <w:highlight w:val="none"/>
                <w:lang w:eastAsia="zh-CN"/>
              </w:rPr>
            </w:pPr>
            <w:r>
              <w:rPr>
                <w:rFonts w:hint="eastAsia" w:ascii="宋体" w:hAnsi="宋体"/>
                <w:sz w:val="24"/>
                <w:highlight w:val="none"/>
              </w:rPr>
              <w:t>项目名称：</w:t>
            </w:r>
            <w:r>
              <w:rPr>
                <w:rFonts w:hint="eastAsia" w:ascii="宋体" w:hAnsi="宋体"/>
                <w:sz w:val="24"/>
                <w:highlight w:val="none"/>
                <w:lang w:eastAsia="zh-CN"/>
              </w:rPr>
              <w:t>龙头王、锦泰、飞龙湖未来社区实施方案编制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采购数量及被供应的主体单位：</w:t>
            </w:r>
            <w:r>
              <w:rPr>
                <w:rFonts w:hint="eastAsia" w:ascii="宋体" w:hAnsi="宋体" w:cs="宋体"/>
                <w:kern w:val="0"/>
                <w:sz w:val="24"/>
                <w:highlight w:val="none"/>
              </w:rPr>
              <w:t>详见项目需求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hAnsi="宋体"/>
                <w:sz w:val="24"/>
                <w:highlight w:val="none"/>
              </w:rPr>
            </w:pPr>
            <w:r>
              <w:rPr>
                <w:rFonts w:hint="eastAsia" w:ascii="宋体" w:hAnsi="宋体"/>
                <w:sz w:val="24"/>
                <w:highlight w:val="none"/>
              </w:rPr>
              <w:t>投标报价要求及费用：</w:t>
            </w:r>
          </w:p>
          <w:p>
            <w:pPr>
              <w:snapToGrid w:val="0"/>
              <w:spacing w:line="240" w:lineRule="auto"/>
              <w:rPr>
                <w:rFonts w:ascii="宋体" w:hAnsi="宋体" w:cs="宋体"/>
                <w:sz w:val="24"/>
                <w:highlight w:val="none"/>
              </w:rPr>
            </w:pPr>
            <w:r>
              <w:rPr>
                <w:rFonts w:hint="eastAsia" w:ascii="宋体" w:hAnsi="宋体" w:cs="宋体"/>
                <w:sz w:val="24"/>
                <w:highlight w:val="none"/>
              </w:rPr>
              <w:t>1、本项目投标应以人民币报价。</w:t>
            </w:r>
          </w:p>
          <w:p>
            <w:pPr>
              <w:snapToGrid w:val="0"/>
              <w:spacing w:line="240" w:lineRule="auto"/>
              <w:rPr>
                <w:rFonts w:ascii="宋体" w:hAnsi="宋体" w:cs="宋体"/>
                <w:sz w:val="24"/>
                <w:highlight w:val="none"/>
              </w:rPr>
            </w:pPr>
            <w:r>
              <w:rPr>
                <w:rFonts w:hint="eastAsia" w:ascii="宋体" w:hAnsi="宋体" w:cs="宋体"/>
                <w:sz w:val="24"/>
                <w:highlight w:val="none"/>
              </w:rPr>
              <w:t>2、▲投标总报价≤</w:t>
            </w:r>
            <w:r>
              <w:rPr>
                <w:rFonts w:hint="eastAsia" w:ascii="宋体" w:hAnsi="宋体" w:cs="宋体"/>
                <w:sz w:val="24"/>
                <w:highlight w:val="none"/>
                <w:lang w:val="en-US" w:eastAsia="zh-CN"/>
              </w:rPr>
              <w:t>6300000</w:t>
            </w:r>
            <w:r>
              <w:rPr>
                <w:rFonts w:hint="eastAsia" w:ascii="宋体" w:hAnsi="宋体" w:cs="宋体"/>
                <w:sz w:val="24"/>
                <w:highlight w:val="none"/>
              </w:rPr>
              <w:t>元，详细报价要求详见</w:t>
            </w:r>
            <w:r>
              <w:rPr>
                <w:rFonts w:hint="eastAsia" w:ascii="宋体" w:hAnsi="宋体" w:cs="宋体"/>
                <w:sz w:val="24"/>
                <w:highlight w:val="none"/>
                <w:lang w:val="en-US" w:eastAsia="zh-CN"/>
              </w:rPr>
              <w:t>报价表</w:t>
            </w:r>
            <w:r>
              <w:rPr>
                <w:rFonts w:hint="eastAsia" w:ascii="宋体" w:hAnsi="宋体" w:cs="宋体"/>
                <w:sz w:val="24"/>
                <w:highlight w:val="none"/>
              </w:rPr>
              <w:t>，未按要求报价的，按无效标处理。</w:t>
            </w:r>
          </w:p>
          <w:p>
            <w:pPr>
              <w:snapToGrid w:val="0"/>
              <w:spacing w:line="240" w:lineRule="auto"/>
              <w:rPr>
                <w:rFonts w:ascii="宋体"/>
                <w:sz w:val="24"/>
                <w:szCs w:val="20"/>
                <w:highlight w:val="none"/>
              </w:rPr>
            </w:pPr>
            <w:r>
              <w:rPr>
                <w:rFonts w:hint="eastAsia" w:ascii="宋体" w:hAnsi="宋体"/>
                <w:sz w:val="24"/>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4</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投标保证金：</w:t>
            </w:r>
            <w:r>
              <w:rPr>
                <w:rFonts w:hint="eastAsia" w:ascii="宋体" w:hAnsi="宋体"/>
                <w:b/>
                <w:sz w:val="24"/>
                <w:highlight w:val="none"/>
              </w:rPr>
              <w:t>0元，</w:t>
            </w:r>
            <w:r>
              <w:rPr>
                <w:rFonts w:hint="eastAsia" w:ascii="_5b8b_4f53" w:hAnsi="_5b8b_4f53" w:cs="宋体"/>
                <w:kern w:val="0"/>
                <w:sz w:val="24"/>
                <w:highlight w:val="none"/>
              </w:rPr>
              <w:t>但若投标人在投标过程中存在违规行为给采购人造成损失的，须赔偿全部损失，并上报采购监管机构进行处理</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5</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cs="宋体"/>
                <w:sz w:val="24"/>
                <w:highlight w:val="none"/>
              </w:rPr>
              <w:t>答疑会或现场踏勘：</w:t>
            </w:r>
            <w:r>
              <w:rPr>
                <w:rFonts w:hint="eastAsia" w:ascii="宋体" w:hAnsi="宋体" w:cs="Arial"/>
                <w:sz w:val="24"/>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6</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7</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答疑与澄清：详见招标公告。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8</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hAnsi="宋体" w:cs="宋体"/>
                <w:sz w:val="24"/>
                <w:highlight w:val="none"/>
              </w:rPr>
            </w:pPr>
            <w:r>
              <w:rPr>
                <w:rFonts w:hint="eastAsia" w:ascii="宋体" w:hAnsi="宋体" w:cs="宋体"/>
                <w:sz w:val="24"/>
                <w:highlight w:val="none"/>
              </w:rPr>
              <w:t>本项目实行电子投标，供应商应准备电子投标文件、备份投标文件（包括电子备份投标文件、纸质备份投标文件）二类（</w:t>
            </w:r>
            <w:r>
              <w:rPr>
                <w:rFonts w:hint="eastAsia" w:ascii="宋体" w:hAnsi="宋体" w:cs="宋体"/>
                <w:b/>
                <w:bCs/>
                <w:sz w:val="24"/>
                <w:highlight w:val="none"/>
              </w:rPr>
              <w:t>其中备份投标文件为自愿提供，非实质性要求，因电子投标文件无法读取的后果由投标人自行承担</w:t>
            </w:r>
            <w:r>
              <w:rPr>
                <w:rFonts w:hint="eastAsia" w:ascii="宋体" w:hAnsi="宋体" w:cs="宋体"/>
                <w:sz w:val="24"/>
                <w:highlight w:val="none"/>
              </w:rPr>
              <w:t>）：</w:t>
            </w:r>
          </w:p>
          <w:p>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1、电子投标文件：</w:t>
            </w:r>
            <w:r>
              <w:rPr>
                <w:rFonts w:hint="eastAsia" w:ascii="宋体" w:hAnsi="宋体" w:cs="宋体"/>
                <w:sz w:val="24"/>
                <w:highlight w:val="none"/>
                <w:lang w:val="zh-CN"/>
              </w:rPr>
              <w:t>按政府采购云平台供应商项目采购</w:t>
            </w:r>
            <w:r>
              <w:rPr>
                <w:rFonts w:hint="eastAsia" w:ascii="宋体" w:hAnsi="宋体" w:cs="宋体"/>
                <w:sz w:val="24"/>
                <w:highlight w:val="none"/>
              </w:rPr>
              <w:t>--电子招投标操作指南（</w:t>
            </w:r>
            <w:r>
              <w:rPr>
                <w:rFonts w:hint="eastAsia" w:ascii="宋体" w:hAnsi="宋体" w:cs="宋体"/>
                <w:sz w:val="24"/>
                <w:highlight w:val="none"/>
                <w:lang w:val="zh-CN"/>
              </w:rPr>
              <w:t>网址</w:t>
            </w:r>
            <w:r>
              <w:rPr>
                <w:rFonts w:hint="eastAsia" w:ascii="宋体" w:hAnsi="宋体" w:cs="宋体"/>
                <w:sz w:val="24"/>
                <w:highlight w:val="none"/>
              </w:rPr>
              <w:t>：</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sz w:val="24"/>
                <w:highlight w:val="none"/>
              </w:rPr>
              <w:t>https://service.zcygov.cn/#/help/superior）</w:t>
            </w:r>
            <w:r>
              <w:rPr>
                <w:rFonts w:hint="eastAsia" w:ascii="宋体" w:hAnsi="宋体" w:cs="宋体"/>
                <w:sz w:val="24"/>
                <w:highlight w:val="none"/>
              </w:rPr>
              <w:fldChar w:fldCharType="end"/>
            </w:r>
            <w:r>
              <w:rPr>
                <w:rFonts w:hint="eastAsia" w:ascii="宋体" w:hAnsi="宋体" w:cs="宋体"/>
                <w:sz w:val="24"/>
                <w:highlight w:val="none"/>
              </w:rPr>
              <w:t>及本项目招标文件要求编制</w:t>
            </w:r>
            <w:r>
              <w:rPr>
                <w:rFonts w:hint="eastAsia" w:ascii="宋体" w:hAnsi="宋体" w:cs="宋体"/>
                <w:sz w:val="24"/>
                <w:highlight w:val="none"/>
                <w:lang w:val="zh-CN"/>
              </w:rPr>
              <w:t>、加密并递交</w:t>
            </w:r>
            <w:r>
              <w:rPr>
                <w:rFonts w:hint="eastAsia" w:ascii="宋体" w:hAnsi="宋体" w:cs="宋体"/>
                <w:sz w:val="24"/>
                <w:highlight w:val="none"/>
              </w:rPr>
              <w:t>。</w:t>
            </w:r>
          </w:p>
          <w:p>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按收到邮寄时间为准）邮寄或送至路桥区文化路2号5楼506，联系人：陈苏伟18968408610，投标当天提交的，送至开标地点。提交纸质备份投标文件时应对外包封进行密封，接缝处盖公章或法定代表人或授权委托代理人签字。</w:t>
            </w:r>
          </w:p>
          <w:p>
            <w:pPr>
              <w:snapToGrid w:val="0"/>
              <w:spacing w:line="240" w:lineRule="auto"/>
              <w:rPr>
                <w:rFonts w:ascii="宋体"/>
                <w:sz w:val="24"/>
                <w:szCs w:val="20"/>
                <w:highlight w:val="none"/>
              </w:rPr>
            </w:pPr>
            <w:r>
              <w:rPr>
                <w:rFonts w:hint="eastAsia" w:ascii="宋体" w:hAnsi="宋体" w:cs="宋体"/>
                <w:sz w:val="24"/>
                <w:highlight w:val="none"/>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w:t>
            </w:r>
            <w:r>
              <w:rPr>
                <w:rFonts w:hint="eastAsia" w:ascii="宋体" w:hAnsi="宋体" w:cs="宋体"/>
                <w:sz w:val="24"/>
                <w:highlight w:val="none"/>
                <w:lang w:val="en-US" w:eastAsia="zh-CN"/>
              </w:rPr>
              <w:t>备份文件</w:t>
            </w:r>
            <w:r>
              <w:rPr>
                <w:rFonts w:hint="eastAsia" w:ascii="宋体" w:hAnsi="宋体" w:cs="宋体"/>
                <w:sz w:val="24"/>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9</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hAnsi="宋体"/>
                <w:sz w:val="24"/>
                <w:highlight w:val="none"/>
              </w:rPr>
            </w:pPr>
            <w:r>
              <w:rPr>
                <w:rFonts w:hint="eastAsia" w:ascii="宋体" w:hAnsi="宋体"/>
                <w:sz w:val="24"/>
                <w:highlight w:val="none"/>
              </w:rPr>
              <w:t>投标截止时间：</w:t>
            </w:r>
            <w:r>
              <w:rPr>
                <w:rFonts w:hint="eastAsia" w:ascii="宋体" w:hAnsi="宋体"/>
                <w:b/>
                <w:sz w:val="24"/>
                <w:highlight w:val="none"/>
                <w:u w:val="single"/>
              </w:rPr>
              <w:t>2022</w:t>
            </w:r>
            <w:r>
              <w:rPr>
                <w:rFonts w:hint="eastAsia" w:ascii="宋体" w:hAnsi="宋体"/>
                <w:b/>
                <w:sz w:val="24"/>
                <w:highlight w:val="none"/>
              </w:rPr>
              <w:t>年</w:t>
            </w:r>
            <w:r>
              <w:rPr>
                <w:rFonts w:ascii="宋体" w:hAnsi="宋体"/>
                <w:b/>
                <w:sz w:val="24"/>
                <w:highlight w:val="none"/>
                <w:u w:val="single"/>
              </w:rPr>
              <w:t xml:space="preserve"> </w:t>
            </w:r>
            <w:r>
              <w:rPr>
                <w:rFonts w:hint="eastAsia" w:ascii="宋体" w:hAnsi="宋体"/>
                <w:b/>
                <w:sz w:val="24"/>
                <w:highlight w:val="none"/>
                <w:u w:val="single"/>
                <w:lang w:val="en-US" w:eastAsia="zh-CN"/>
              </w:rPr>
              <w:t>12</w:t>
            </w:r>
            <w:r>
              <w:rPr>
                <w:rFonts w:hint="eastAsia" w:ascii="宋体" w:hAnsi="宋体"/>
                <w:b/>
                <w:sz w:val="24"/>
                <w:highlight w:val="none"/>
                <w:u w:val="single"/>
              </w:rPr>
              <w:t xml:space="preserve"> </w:t>
            </w:r>
            <w:r>
              <w:rPr>
                <w:rFonts w:hint="eastAsia" w:ascii="宋体" w:hAnsi="宋体"/>
                <w:b/>
                <w:sz w:val="24"/>
                <w:highlight w:val="none"/>
              </w:rPr>
              <w:t>月</w:t>
            </w:r>
            <w:r>
              <w:rPr>
                <w:rFonts w:ascii="宋体" w:hAnsi="宋体"/>
                <w:b/>
                <w:sz w:val="24"/>
                <w:highlight w:val="none"/>
                <w:u w:val="single"/>
              </w:rPr>
              <w:t xml:space="preserve"> </w:t>
            </w:r>
            <w:r>
              <w:rPr>
                <w:rFonts w:hint="eastAsia" w:ascii="宋体" w:hAnsi="宋体"/>
                <w:b/>
                <w:sz w:val="24"/>
                <w:highlight w:val="none"/>
                <w:u w:val="single"/>
                <w:lang w:val="en-US" w:eastAsia="zh-CN"/>
              </w:rPr>
              <w:t>5</w:t>
            </w:r>
            <w:r>
              <w:rPr>
                <w:rFonts w:hint="eastAsia" w:ascii="宋体" w:hAnsi="宋体"/>
                <w:b/>
                <w:sz w:val="24"/>
                <w:highlight w:val="none"/>
                <w:u w:val="single"/>
              </w:rPr>
              <w:t xml:space="preserve"> </w:t>
            </w:r>
            <w:r>
              <w:rPr>
                <w:rFonts w:hint="eastAsia" w:ascii="宋体" w:hAnsi="宋体"/>
                <w:b/>
                <w:sz w:val="24"/>
                <w:highlight w:val="none"/>
              </w:rPr>
              <w:t>日</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09 </w:t>
            </w:r>
            <w:r>
              <w:rPr>
                <w:rFonts w:hint="eastAsia" w:ascii="宋体" w:hAnsi="宋体"/>
                <w:b/>
                <w:sz w:val="24"/>
                <w:highlight w:val="none"/>
              </w:rPr>
              <w:t>时</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30 </w:t>
            </w:r>
            <w:r>
              <w:rPr>
                <w:rFonts w:hint="eastAsia" w:ascii="宋体" w:hAnsi="宋体"/>
                <w:b/>
                <w:sz w:val="24"/>
                <w:highlight w:val="none"/>
              </w:rPr>
              <w:t>分</w:t>
            </w:r>
            <w:r>
              <w:rPr>
                <w:rFonts w:hint="eastAsia" w:ascii="宋体" w:hAnsi="宋体"/>
                <w:sz w:val="24"/>
                <w:highlight w:val="none"/>
              </w:rPr>
              <w:t>（北京时间）</w:t>
            </w:r>
          </w:p>
          <w:p>
            <w:pPr>
              <w:snapToGrid w:val="0"/>
              <w:spacing w:line="240" w:lineRule="auto"/>
              <w:rPr>
                <w:rFonts w:ascii="宋体"/>
                <w:sz w:val="24"/>
                <w:szCs w:val="20"/>
                <w:highlight w:val="none"/>
              </w:rPr>
            </w:pPr>
            <w:r>
              <w:rPr>
                <w:rFonts w:hint="eastAsia" w:ascii="宋体" w:hAnsi="宋体"/>
                <w:sz w:val="24"/>
                <w:highlight w:val="none"/>
              </w:rPr>
              <w:t>投标文件递交方式：通过“政府采购云平台（www.zcygov.cn）”实行在线投标响应。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10</w:t>
            </w:r>
          </w:p>
        </w:tc>
        <w:tc>
          <w:tcPr>
            <w:tcW w:w="8371" w:type="dxa"/>
            <w:tcBorders>
              <w:top w:val="single" w:color="auto" w:sz="4" w:space="0"/>
              <w:left w:val="single" w:color="auto" w:sz="4" w:space="0"/>
              <w:bottom w:val="single" w:color="auto" w:sz="4" w:space="0"/>
            </w:tcBorders>
            <w:vAlign w:val="center"/>
          </w:tcPr>
          <w:p>
            <w:pPr>
              <w:spacing w:before="60" w:after="60" w:line="380" w:lineRule="exact"/>
              <w:ind w:right="62"/>
              <w:rPr>
                <w:rFonts w:ascii="宋体"/>
                <w:kern w:val="0"/>
                <w:sz w:val="24"/>
                <w:highlight w:val="none"/>
              </w:rPr>
            </w:pPr>
            <w:r>
              <w:rPr>
                <w:rFonts w:hint="eastAsia" w:ascii="宋体" w:hAnsi="宋体"/>
                <w:sz w:val="24"/>
                <w:highlight w:val="none"/>
              </w:rPr>
              <w:t>开标时间</w:t>
            </w:r>
            <w:r>
              <w:rPr>
                <w:rFonts w:hint="eastAsia" w:ascii="宋体" w:hAnsi="宋体"/>
                <w:kern w:val="0"/>
                <w:sz w:val="24"/>
                <w:highlight w:val="none"/>
              </w:rPr>
              <w:t>：</w:t>
            </w:r>
            <w:r>
              <w:rPr>
                <w:rFonts w:hint="eastAsia" w:ascii="宋体" w:hAnsi="宋体"/>
                <w:b/>
                <w:sz w:val="24"/>
                <w:highlight w:val="none"/>
                <w:u w:val="single"/>
              </w:rPr>
              <w:t>2022</w:t>
            </w:r>
            <w:r>
              <w:rPr>
                <w:rFonts w:hint="eastAsia" w:ascii="宋体" w:hAnsi="宋体"/>
                <w:b/>
                <w:sz w:val="24"/>
                <w:highlight w:val="none"/>
              </w:rPr>
              <w:t>年</w:t>
            </w:r>
            <w:r>
              <w:rPr>
                <w:rFonts w:ascii="宋体" w:hAnsi="宋体"/>
                <w:b/>
                <w:sz w:val="24"/>
                <w:highlight w:val="none"/>
                <w:u w:val="single"/>
              </w:rPr>
              <w:t xml:space="preserve"> </w:t>
            </w:r>
            <w:r>
              <w:rPr>
                <w:rFonts w:hint="eastAsia" w:ascii="宋体" w:hAnsi="宋体"/>
                <w:b/>
                <w:sz w:val="24"/>
                <w:highlight w:val="none"/>
                <w:u w:val="single"/>
                <w:lang w:val="en-US" w:eastAsia="zh-CN"/>
              </w:rPr>
              <w:t>12</w:t>
            </w:r>
            <w:r>
              <w:rPr>
                <w:rFonts w:hint="eastAsia" w:ascii="宋体" w:hAnsi="宋体"/>
                <w:b/>
                <w:sz w:val="24"/>
                <w:highlight w:val="none"/>
                <w:u w:val="single"/>
              </w:rPr>
              <w:t xml:space="preserve"> </w:t>
            </w:r>
            <w:r>
              <w:rPr>
                <w:rFonts w:hint="eastAsia" w:ascii="宋体" w:hAnsi="宋体"/>
                <w:b/>
                <w:sz w:val="24"/>
                <w:highlight w:val="none"/>
              </w:rPr>
              <w:t>月</w:t>
            </w:r>
            <w:r>
              <w:rPr>
                <w:rFonts w:ascii="宋体" w:hAnsi="宋体"/>
                <w:b/>
                <w:sz w:val="24"/>
                <w:highlight w:val="none"/>
                <w:u w:val="single"/>
              </w:rPr>
              <w:t xml:space="preserve"> </w:t>
            </w:r>
            <w:r>
              <w:rPr>
                <w:rFonts w:hint="eastAsia" w:ascii="宋体" w:hAnsi="宋体"/>
                <w:b/>
                <w:sz w:val="24"/>
                <w:highlight w:val="none"/>
                <w:u w:val="single"/>
                <w:lang w:val="en-US" w:eastAsia="zh-CN"/>
              </w:rPr>
              <w:t>5</w:t>
            </w:r>
            <w:r>
              <w:rPr>
                <w:rFonts w:hint="eastAsia" w:ascii="宋体" w:hAnsi="宋体"/>
                <w:b/>
                <w:sz w:val="24"/>
                <w:highlight w:val="none"/>
                <w:u w:val="single"/>
              </w:rPr>
              <w:t xml:space="preserve"> </w:t>
            </w:r>
            <w:r>
              <w:rPr>
                <w:rFonts w:hint="eastAsia" w:ascii="宋体" w:hAnsi="宋体"/>
                <w:b/>
                <w:sz w:val="24"/>
                <w:highlight w:val="none"/>
              </w:rPr>
              <w:t>日</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09 </w:t>
            </w:r>
            <w:r>
              <w:rPr>
                <w:rFonts w:hint="eastAsia" w:ascii="宋体" w:hAnsi="宋体"/>
                <w:b/>
                <w:sz w:val="24"/>
                <w:highlight w:val="none"/>
              </w:rPr>
              <w:t>时</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30 </w:t>
            </w:r>
            <w:r>
              <w:rPr>
                <w:rFonts w:hint="eastAsia" w:ascii="宋体" w:hAnsi="宋体"/>
                <w:b/>
                <w:sz w:val="24"/>
                <w:highlight w:val="none"/>
              </w:rPr>
              <w:t>分</w:t>
            </w:r>
            <w:r>
              <w:rPr>
                <w:rFonts w:hint="eastAsia" w:ascii="宋体" w:hAnsi="宋体"/>
                <w:sz w:val="24"/>
                <w:highlight w:val="none"/>
              </w:rPr>
              <w:t>（北京时间）</w:t>
            </w:r>
          </w:p>
          <w:p>
            <w:pPr>
              <w:snapToGrid w:val="0"/>
              <w:spacing w:line="240" w:lineRule="auto"/>
              <w:rPr>
                <w:rFonts w:ascii="宋体"/>
                <w:sz w:val="24"/>
                <w:highlight w:val="none"/>
              </w:rPr>
            </w:pPr>
            <w:r>
              <w:rPr>
                <w:rFonts w:hint="eastAsia" w:ascii="宋体" w:hAnsi="宋体"/>
                <w:sz w:val="24"/>
                <w:highlight w:val="none"/>
              </w:rPr>
              <w:t>开标</w:t>
            </w:r>
            <w:r>
              <w:rPr>
                <w:rFonts w:hint="eastAsia" w:ascii="宋体" w:hAnsi="宋体"/>
                <w:highlight w:val="none"/>
              </w:rPr>
              <w:t>地点：</w:t>
            </w:r>
            <w:r>
              <w:rPr>
                <w:rFonts w:hint="eastAsia" w:ascii="宋体" w:hAnsi="宋体"/>
                <w:sz w:val="24"/>
                <w:highlight w:val="none"/>
                <w:u w:val="single"/>
              </w:rPr>
              <w:t>路桥区政府采购中心（财富大道999号商城国际5楼）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11</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12</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评标结果公示：评标结束后，评标结果公示于</w:t>
            </w:r>
            <w:r>
              <w:rPr>
                <w:rFonts w:hint="eastAsia" w:ascii="宋体" w:hAnsi="宋体" w:cs="Arial"/>
                <w:sz w:val="24"/>
                <w:highlight w:val="none"/>
              </w:rPr>
              <w:t>浙江省政府采购网</w:t>
            </w:r>
            <w:r>
              <w:rPr>
                <w:rFonts w:ascii="宋体" w:hAnsi="宋体" w:cs="Arial"/>
                <w:sz w:val="24"/>
                <w:highlight w:val="none"/>
              </w:rPr>
              <w:t>(http://www.zjzfcg.gov.cn/new/)</w:t>
            </w:r>
            <w:r>
              <w:rPr>
                <w:rFonts w:hint="eastAsia" w:ascii="宋体" w:hAnsi="宋体" w:cs="Arial"/>
                <w:sz w:val="24"/>
                <w:highlight w:val="none"/>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13</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14</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签订合同时间：中标通知书发出后</w:t>
            </w:r>
            <w:r>
              <w:rPr>
                <w:rFonts w:ascii="宋体" w:hAnsi="宋体"/>
                <w:sz w:val="24"/>
                <w:highlight w:val="none"/>
              </w:rPr>
              <w:t>30</w:t>
            </w:r>
            <w:r>
              <w:rPr>
                <w:rFonts w:hint="eastAsia" w:ascii="宋体" w:hAnsi="宋体"/>
                <w:sz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15</w:t>
            </w:r>
          </w:p>
        </w:tc>
        <w:tc>
          <w:tcPr>
            <w:tcW w:w="8371" w:type="dxa"/>
            <w:tcBorders>
              <w:top w:val="single" w:color="auto" w:sz="4" w:space="0"/>
              <w:left w:val="single" w:color="auto" w:sz="4" w:space="0"/>
              <w:bottom w:val="single" w:color="auto" w:sz="4" w:space="0"/>
            </w:tcBorders>
            <w:vAlign w:val="center"/>
          </w:tcPr>
          <w:p>
            <w:pPr>
              <w:pStyle w:val="68"/>
              <w:shd w:val="clear" w:color="auto" w:fill="FFFFFF"/>
              <w:rPr>
                <w:rFonts w:ascii="宋体"/>
                <w:szCs w:val="20"/>
                <w:highlight w:val="none"/>
              </w:rPr>
            </w:pPr>
            <w:r>
              <w:rPr>
                <w:rFonts w:hint="eastAsia" w:ascii="宋体" w:hAnsi="宋体"/>
                <w:highlight w:val="none"/>
              </w:rPr>
              <w:t>履约保证金的收取</w:t>
            </w:r>
            <w:r>
              <w:rPr>
                <w:rFonts w:ascii="宋体" w:hAnsi="宋体"/>
                <w:highlight w:val="none"/>
              </w:rPr>
              <w:t>:</w:t>
            </w:r>
            <w:r>
              <w:rPr>
                <w:rFonts w:hint="eastAsia" w:ascii="宋体" w:hAnsi="宋体"/>
                <w:highlight w:val="none"/>
              </w:rPr>
              <w:t>履约保证金按合同总金额的</w:t>
            </w:r>
            <w:r>
              <w:rPr>
                <w:rFonts w:ascii="宋体" w:hAnsi="宋体"/>
                <w:highlight w:val="none"/>
                <w:u w:val="single"/>
              </w:rPr>
              <w:t xml:space="preserve"> </w:t>
            </w:r>
            <w:r>
              <w:rPr>
                <w:rFonts w:hint="eastAsia" w:ascii="宋体" w:hAnsi="宋体"/>
                <w:highlight w:val="none"/>
                <w:u w:val="single"/>
                <w:lang w:val="en-US" w:eastAsia="zh-CN"/>
              </w:rPr>
              <w:t>1</w:t>
            </w:r>
            <w:r>
              <w:rPr>
                <w:rFonts w:ascii="宋体" w:hAnsi="宋体"/>
                <w:highlight w:val="none"/>
                <w:u w:val="single"/>
              </w:rPr>
              <w:t xml:space="preserve"> </w:t>
            </w:r>
            <w:r>
              <w:rPr>
                <w:rFonts w:ascii="宋体" w:hAnsi="宋体"/>
                <w:highlight w:val="none"/>
              </w:rPr>
              <w:t>%</w:t>
            </w:r>
            <w:r>
              <w:rPr>
                <w:rFonts w:hint="eastAsia" w:ascii="宋体" w:hAnsi="宋体"/>
                <w:highlight w:val="none"/>
              </w:rPr>
              <w:t>计收。履约保证金交至</w:t>
            </w:r>
            <w:r>
              <w:rPr>
                <w:rFonts w:hint="eastAsia" w:ascii="宋体" w:hAnsi="宋体" w:cs="Times New Roman"/>
                <w:highlight w:val="none"/>
              </w:rPr>
              <w:t>台州市路桥区住房和城乡建设局</w:t>
            </w:r>
            <w:r>
              <w:rPr>
                <w:rFonts w:hint="eastAsia" w:ascii="宋体" w:hAnsi="宋体"/>
                <w:highlight w:val="none"/>
              </w:rPr>
              <w:t>账户，提交形式为现金转账或汇款或银行保函或保险。履约保证金</w:t>
            </w:r>
            <w:r>
              <w:rPr>
                <w:rFonts w:hint="eastAsia" w:ascii="宋体" w:hAnsi="宋体" w:cs="宋体"/>
                <w:highlight w:val="none"/>
              </w:rPr>
              <w:t>在合同履约到期且无异议情况下30日内无息退还（保函方式的自动失效）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16</w:t>
            </w:r>
          </w:p>
        </w:tc>
        <w:tc>
          <w:tcPr>
            <w:tcW w:w="8371" w:type="dxa"/>
            <w:tcBorders>
              <w:top w:val="single" w:color="auto" w:sz="4" w:space="0"/>
              <w:left w:val="single" w:color="auto" w:sz="4" w:space="0"/>
              <w:bottom w:val="single" w:color="auto" w:sz="4" w:space="0"/>
            </w:tcBorders>
            <w:vAlign w:val="center"/>
          </w:tcPr>
          <w:p>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采购资金来源：政府</w:t>
            </w:r>
            <w:r>
              <w:rPr>
                <w:rFonts w:hint="eastAsia" w:ascii="宋体" w:hAnsi="宋体"/>
                <w:sz w:val="24"/>
                <w:highlight w:val="none"/>
                <w:lang w:eastAsia="zh-CN"/>
              </w:rPr>
              <w:t>1</w:t>
            </w:r>
            <w:r>
              <w:rPr>
                <w:rFonts w:hint="eastAsia" w:ascii="宋体" w:hAnsi="宋体"/>
                <w:sz w:val="24"/>
                <w:highlight w:val="none"/>
                <w:lang w:val="en-US" w:eastAsia="zh-CN"/>
              </w:rPr>
              <w:t>0</w:t>
            </w:r>
            <w:r>
              <w:rPr>
                <w:rFonts w:hint="eastAsia" w:ascii="宋体" w:hAnsi="宋体"/>
                <w:sz w:val="24"/>
                <w:highlight w:val="none"/>
                <w:lang w:eastAsia="zh-CN"/>
              </w:rPr>
              <w:t>0</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17</w:t>
            </w:r>
          </w:p>
        </w:tc>
        <w:tc>
          <w:tcPr>
            <w:tcW w:w="8371" w:type="dxa"/>
            <w:tcBorders>
              <w:top w:val="single" w:color="auto" w:sz="4" w:space="0"/>
              <w:left w:val="single" w:color="auto" w:sz="4" w:space="0"/>
              <w:bottom w:val="single" w:color="auto" w:sz="4" w:space="0"/>
            </w:tcBorders>
            <w:vAlign w:val="center"/>
          </w:tcPr>
          <w:p>
            <w:pPr>
              <w:pStyle w:val="68"/>
              <w:shd w:val="clear" w:color="auto" w:fill="FFFFFF"/>
              <w:rPr>
                <w:rFonts w:ascii="宋体" w:hAnsi="宋体"/>
                <w:highlight w:val="none"/>
              </w:rPr>
            </w:pPr>
            <w:r>
              <w:rPr>
                <w:rFonts w:hint="eastAsia" w:ascii="宋体" w:hAnsi="宋体"/>
                <w:highlight w:val="none"/>
              </w:rPr>
              <w:t>付款方式：（1）</w:t>
            </w:r>
            <w:r>
              <w:rPr>
                <w:rFonts w:hint="eastAsia" w:ascii="宋体" w:hAnsi="宋体" w:eastAsia="宋体" w:cs="宋体"/>
                <w:color w:val="auto"/>
                <w:sz w:val="24"/>
                <w:szCs w:val="32"/>
                <w:highlight w:val="none"/>
              </w:rPr>
              <w:t>签订合同后</w:t>
            </w:r>
            <w:r>
              <w:rPr>
                <w:rFonts w:hint="eastAsia" w:ascii="宋体" w:hAnsi="宋体" w:eastAsia="宋体" w:cs="宋体"/>
                <w:color w:val="auto"/>
                <w:sz w:val="24"/>
                <w:szCs w:val="32"/>
                <w:highlight w:val="none"/>
                <w:lang w:val="en-US" w:eastAsia="zh-CN"/>
              </w:rPr>
              <w:t>支付40%预付款</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合同生效以及具备实施条件后7个工作日内支付</w:t>
            </w:r>
            <w:r>
              <w:rPr>
                <w:rFonts w:hint="eastAsia" w:ascii="宋体" w:hAnsi="宋体" w:eastAsia="宋体" w:cs="宋体"/>
                <w:color w:val="auto"/>
                <w:sz w:val="24"/>
                <w:szCs w:val="32"/>
                <w:highlight w:val="none"/>
                <w:lang w:eastAsia="zh-CN"/>
              </w:rPr>
              <w:t>）</w:t>
            </w:r>
            <w:r>
              <w:rPr>
                <w:rFonts w:hint="eastAsia" w:ascii="宋体" w:hAnsi="宋体"/>
                <w:highlight w:val="none"/>
              </w:rPr>
              <w:t>（2）乙方完成方案编制并通过区级评审，支付合同款的40%（3）方案通过市级评审后支付合同款的20%。</w:t>
            </w:r>
          </w:p>
          <w:p>
            <w:pPr>
              <w:pStyle w:val="68"/>
              <w:shd w:val="clear" w:color="auto" w:fill="FFFFFF"/>
              <w:rPr>
                <w:rFonts w:ascii="宋体"/>
                <w:szCs w:val="20"/>
                <w:highlight w:val="none"/>
              </w:rPr>
            </w:pPr>
            <w:r>
              <w:rPr>
                <w:rFonts w:hint="eastAsia" w:ascii="宋体" w:hAnsi="宋体"/>
                <w:highlight w:val="none"/>
              </w:rPr>
              <w:t>各期付款均在付款条件满足并在收到乙方开具的正式税务发票之日起三十天内支付，若乙方未提供正式税务发票的，甲方有权顺延付款且不视为违约。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18</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投标文件有效期：</w:t>
            </w:r>
            <w:r>
              <w:rPr>
                <w:rFonts w:hint="eastAsia" w:ascii="宋体" w:hAnsi="宋体" w:cs="宋体"/>
                <w:sz w:val="24"/>
                <w:highlight w:val="none"/>
              </w:rPr>
              <w:t>自投标截止日起</w:t>
            </w:r>
            <w:r>
              <w:rPr>
                <w:rFonts w:ascii="宋体" w:hAnsi="宋体" w:cs="宋体"/>
                <w:sz w:val="24"/>
                <w:highlight w:val="none"/>
                <w:u w:val="single"/>
              </w:rPr>
              <w:t>90</w:t>
            </w:r>
            <w:r>
              <w:rPr>
                <w:rFonts w:hint="eastAsia" w:ascii="宋体" w:hAnsi="宋体" w:cs="宋体"/>
                <w:sz w:val="24"/>
                <w:highlight w:val="none"/>
              </w:rPr>
              <w:t>日历天。如招标人认为必要，经投标人同意可延长。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19</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sz w:val="24"/>
                <w:highlight w:val="none"/>
              </w:rPr>
              <w:t>解释：本招标文件的解释权属于招标人或招标代理单位。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szCs w:val="20"/>
                <w:highlight w:val="none"/>
              </w:rPr>
            </w:pPr>
            <w:r>
              <w:rPr>
                <w:rFonts w:ascii="宋体" w:hAnsi="宋体"/>
                <w:sz w:val="24"/>
                <w:highlight w:val="none"/>
              </w:rPr>
              <w:t>20</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szCs w:val="20"/>
                <w:highlight w:val="none"/>
              </w:rPr>
            </w:pPr>
            <w:r>
              <w:rPr>
                <w:rFonts w:hint="eastAsia" w:ascii="宋体" w:hAnsi="宋体" w:cs="宋体"/>
                <w:b/>
                <w:sz w:val="24"/>
                <w:highlight w:val="none"/>
              </w:rPr>
              <w:t>特别需要注意事项：</w:t>
            </w:r>
            <w:r>
              <w:rPr>
                <w:rFonts w:hint="eastAsia" w:ascii="宋体" w:hAnsi="宋体" w:cs="宋体"/>
                <w:sz w:val="24"/>
                <w:highlight w:val="none"/>
              </w:rPr>
              <w:t>招标文件中打“▲”为实质性响应条款，</w:t>
            </w:r>
            <w:r>
              <w:rPr>
                <w:rFonts w:hint="eastAsia" w:ascii="宋体" w:hAnsi="宋体" w:cs="宋体"/>
                <w:bCs/>
                <w:sz w:val="24"/>
                <w:highlight w:val="none"/>
              </w:rPr>
              <w:t>投标文件须作出实质性响应，否则作无效投标处理</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highlight w:val="none"/>
              </w:rPr>
            </w:pPr>
            <w:r>
              <w:rPr>
                <w:rFonts w:ascii="宋体" w:hAnsi="宋体"/>
                <w:sz w:val="24"/>
                <w:highlight w:val="none"/>
              </w:rPr>
              <w:t>21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sz w:val="24"/>
                <w:highlight w:val="none"/>
              </w:rPr>
            </w:pPr>
            <w:r>
              <w:rPr>
                <w:rFonts w:hint="eastAsia" w:ascii="宋体" w:hAnsi="宋体" w:cs="宋体"/>
                <w:sz w:val="24"/>
                <w:highlight w:val="none"/>
              </w:rPr>
              <w:t>▲服务期限：合同签订后1个月内完成方案的编制并通过评审。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highlight w:val="none"/>
              </w:rPr>
            </w:pPr>
            <w:r>
              <w:rPr>
                <w:rFonts w:ascii="宋体" w:hAnsi="宋体"/>
                <w:sz w:val="24"/>
                <w:highlight w:val="none"/>
              </w:rPr>
              <w:t>22</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hAnsi="宋体" w:cs="宋体"/>
                <w:sz w:val="24"/>
                <w:highlight w:val="none"/>
              </w:rPr>
            </w:pPr>
            <w:r>
              <w:rPr>
                <w:rFonts w:hint="eastAsia" w:ascii="宋体" w:hAnsi="宋体" w:cs="宋体"/>
                <w:sz w:val="24"/>
                <w:highlight w:val="none"/>
              </w:rPr>
              <w:t>1、本项目不提供样品，不进行现场演示。</w:t>
            </w:r>
          </w:p>
          <w:p>
            <w:pPr>
              <w:snapToGrid w:val="0"/>
              <w:spacing w:line="240" w:lineRule="auto"/>
              <w:rPr>
                <w:rFonts w:ascii="宋体" w:hAnsi="宋体" w:cs="宋体"/>
                <w:sz w:val="24"/>
                <w:highlight w:val="none"/>
              </w:rPr>
            </w:pPr>
            <w:r>
              <w:rPr>
                <w:rFonts w:hint="eastAsia" w:ascii="宋体" w:hAnsi="宋体" w:cs="宋体"/>
                <w:sz w:val="24"/>
                <w:highlight w:val="none"/>
              </w:rPr>
              <w:t>2、本项目为服务项目，不执行节能产品、环保产品政策。</w:t>
            </w:r>
          </w:p>
          <w:p>
            <w:pPr>
              <w:snapToGrid w:val="0"/>
              <w:spacing w:line="240" w:lineRule="auto"/>
              <w:rPr>
                <w:rFonts w:ascii="宋体" w:cs="宋体"/>
                <w:b/>
                <w:sz w:val="24"/>
                <w:highlight w:val="none"/>
              </w:rPr>
            </w:pPr>
            <w:r>
              <w:rPr>
                <w:rFonts w:hint="eastAsia" w:ascii="宋体" w:hAnsi="宋体" w:cs="宋体"/>
                <w:sz w:val="24"/>
                <w:highlight w:val="none"/>
              </w:rPr>
              <w:t>3、若因历史遗留原因导致投标人员不能提供社保证明的，须提供相关证明材料，否则后果自负。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ascii="宋体"/>
                <w:sz w:val="24"/>
                <w:highlight w:val="none"/>
              </w:rPr>
            </w:pPr>
            <w:r>
              <w:rPr>
                <w:rFonts w:ascii="宋体" w:hAnsi="宋体"/>
                <w:sz w:val="24"/>
                <w:highlight w:val="none"/>
              </w:rPr>
              <w:t>23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ascii="宋体" w:hAnsi="宋体" w:cs="宋体"/>
                <w:sz w:val="24"/>
                <w:highlight w:val="none"/>
              </w:rPr>
            </w:pPr>
            <w:r>
              <w:rPr>
                <w:rFonts w:hint="eastAsia" w:ascii="宋体" w:hAnsi="宋体" w:cs="宋体"/>
                <w:sz w:val="24"/>
                <w:highlight w:val="none"/>
              </w:rPr>
              <w:t>1、本项目所有投标人均不参加本项目现场开标。</w:t>
            </w:r>
          </w:p>
          <w:p>
            <w:pPr>
              <w:snapToGrid w:val="0"/>
              <w:spacing w:line="240" w:lineRule="auto"/>
              <w:rPr>
                <w:highlight w:val="none"/>
              </w:rPr>
            </w:pPr>
            <w:r>
              <w:rPr>
                <w:rFonts w:hint="eastAsia" w:ascii="宋体" w:hAnsi="宋体" w:cs="宋体"/>
                <w:sz w:val="24"/>
                <w:highlight w:val="none"/>
              </w:rPr>
              <w:t>2、本项目通过邮寄形式提交备份纸质投标文件的，须注意时间，投标截止时间按收到邮寄时间为准。</w:t>
            </w:r>
          </w:p>
        </w:tc>
      </w:tr>
    </w:tbl>
    <w:p>
      <w:pPr>
        <w:pStyle w:val="17"/>
        <w:widowControl w:val="0"/>
        <w:adjustRightInd/>
        <w:snapToGrid/>
        <w:spacing w:line="240" w:lineRule="auto"/>
        <w:ind w:right="480" w:firstLine="420"/>
        <w:jc w:val="center"/>
        <w:rPr>
          <w:rFonts w:hAnsi="宋体"/>
          <w:b/>
          <w:bCs/>
          <w:color w:val="auto"/>
          <w:kern w:val="2"/>
          <w:sz w:val="32"/>
          <w:szCs w:val="32"/>
          <w:highlight w:val="none"/>
        </w:rPr>
      </w:pPr>
    </w:p>
    <w:p>
      <w:pPr>
        <w:pStyle w:val="17"/>
        <w:widowControl w:val="0"/>
        <w:adjustRightInd/>
        <w:snapToGrid/>
        <w:spacing w:line="240" w:lineRule="auto"/>
        <w:ind w:right="480" w:firstLine="420"/>
        <w:jc w:val="center"/>
        <w:rPr>
          <w:rFonts w:hAnsi="宋体"/>
          <w:b/>
          <w:bCs/>
          <w:color w:val="auto"/>
          <w:kern w:val="2"/>
          <w:sz w:val="32"/>
          <w:szCs w:val="32"/>
          <w:highlight w:val="none"/>
        </w:rPr>
      </w:pPr>
    </w:p>
    <w:p>
      <w:pPr>
        <w:rPr>
          <w:highlight w:val="none"/>
        </w:rPr>
      </w:pPr>
    </w:p>
    <w:p>
      <w:pPr>
        <w:rPr>
          <w:rFonts w:hAnsi="宋体"/>
          <w:b/>
          <w:bCs/>
          <w:sz w:val="32"/>
          <w:szCs w:val="32"/>
          <w:highlight w:val="none"/>
        </w:rPr>
      </w:pPr>
      <w:r>
        <w:rPr>
          <w:rFonts w:hint="eastAsia" w:hAnsi="宋体"/>
          <w:b/>
          <w:bCs/>
          <w:sz w:val="32"/>
          <w:szCs w:val="32"/>
          <w:highlight w:val="none"/>
        </w:rPr>
        <w:br w:type="page"/>
      </w:r>
    </w:p>
    <w:p>
      <w:pPr>
        <w:rPr>
          <w:highlight w:val="none"/>
        </w:rPr>
      </w:pPr>
    </w:p>
    <w:p>
      <w:pPr>
        <w:pStyle w:val="17"/>
        <w:widowControl w:val="0"/>
        <w:adjustRightInd/>
        <w:snapToGrid/>
        <w:spacing w:line="240" w:lineRule="auto"/>
        <w:ind w:right="480" w:firstLine="420"/>
        <w:jc w:val="center"/>
        <w:rPr>
          <w:rFonts w:hAnsi="宋体"/>
          <w:b/>
          <w:bCs/>
          <w:color w:val="auto"/>
          <w:kern w:val="2"/>
          <w:sz w:val="32"/>
          <w:szCs w:val="32"/>
          <w:highlight w:val="none"/>
        </w:rPr>
      </w:pPr>
      <w:r>
        <w:rPr>
          <w:rFonts w:hint="eastAsia" w:hAnsi="宋体"/>
          <w:b/>
          <w:bCs/>
          <w:color w:val="auto"/>
          <w:kern w:val="2"/>
          <w:sz w:val="32"/>
          <w:szCs w:val="32"/>
          <w:highlight w:val="none"/>
        </w:rPr>
        <w:t>一、总则</w:t>
      </w:r>
    </w:p>
    <w:p>
      <w:pPr>
        <w:pStyle w:val="37"/>
        <w:snapToGrid w:val="0"/>
        <w:spacing w:before="120" w:after="120" w:line="240" w:lineRule="auto"/>
        <w:rPr>
          <w:rFonts w:hAnsi="宋体" w:cs="宋体"/>
          <w:b/>
          <w:sz w:val="24"/>
          <w:szCs w:val="24"/>
          <w:highlight w:val="none"/>
        </w:rPr>
      </w:pPr>
      <w:r>
        <w:rPr>
          <w:rFonts w:hint="eastAsia" w:hAnsi="宋体" w:cs="宋体"/>
          <w:b/>
          <w:sz w:val="24"/>
          <w:szCs w:val="24"/>
          <w:highlight w:val="none"/>
        </w:rPr>
        <w:t>一</w:t>
      </w:r>
      <w:r>
        <w:rPr>
          <w:rFonts w:hAnsi="宋体" w:cs="宋体"/>
          <w:b/>
          <w:sz w:val="24"/>
          <w:szCs w:val="24"/>
          <w:highlight w:val="none"/>
        </w:rPr>
        <w:t xml:space="preserve">   </w:t>
      </w:r>
      <w:r>
        <w:rPr>
          <w:rFonts w:hint="eastAsia" w:hAnsi="宋体" w:cs="宋体"/>
          <w:b/>
          <w:sz w:val="24"/>
          <w:szCs w:val="24"/>
          <w:highlight w:val="none"/>
        </w:rPr>
        <w:t>总</w:t>
      </w:r>
      <w:r>
        <w:rPr>
          <w:rFonts w:hAnsi="宋体" w:cs="宋体"/>
          <w:b/>
          <w:sz w:val="24"/>
          <w:szCs w:val="24"/>
          <w:highlight w:val="none"/>
        </w:rPr>
        <w:t xml:space="preserve">  </w:t>
      </w:r>
      <w:r>
        <w:rPr>
          <w:rFonts w:hint="eastAsia" w:hAnsi="宋体" w:cs="宋体"/>
          <w:b/>
          <w:sz w:val="24"/>
          <w:szCs w:val="24"/>
          <w:highlight w:val="none"/>
        </w:rPr>
        <w:t>则</w:t>
      </w:r>
    </w:p>
    <w:p>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（一）</w:t>
      </w:r>
      <w:r>
        <w:rPr>
          <w:rFonts w:ascii="宋体" w:hAnsi="宋体" w:cs="宋体"/>
          <w:b/>
          <w:sz w:val="24"/>
          <w:highlight w:val="none"/>
        </w:rPr>
        <w:t xml:space="preserve"> </w:t>
      </w:r>
      <w:r>
        <w:rPr>
          <w:rFonts w:hint="eastAsia" w:ascii="宋体" w:hAnsi="宋体" w:cs="宋体"/>
          <w:b/>
          <w:sz w:val="24"/>
          <w:highlight w:val="none"/>
        </w:rPr>
        <w:t>适用范围</w:t>
      </w:r>
    </w:p>
    <w:p>
      <w:pPr>
        <w:snapToGrid w:val="0"/>
        <w:ind w:firstLine="480" w:firstLineChars="200"/>
        <w:jc w:val="left"/>
        <w:rPr>
          <w:rFonts w:ascii="宋体" w:cs="宋体"/>
          <w:sz w:val="24"/>
          <w:highlight w:val="none"/>
        </w:rPr>
      </w:pPr>
      <w:r>
        <w:rPr>
          <w:rFonts w:hint="eastAsia" w:ascii="宋体" w:hAnsi="宋体" w:cs="宋体"/>
          <w:sz w:val="24"/>
          <w:highlight w:val="none"/>
        </w:rPr>
        <w:t>本招标文件适用于</w:t>
      </w:r>
      <w:r>
        <w:rPr>
          <w:rFonts w:hint="eastAsia" w:ascii="宋体" w:hAnsi="宋体"/>
          <w:sz w:val="24"/>
          <w:highlight w:val="none"/>
          <w:u w:val="single"/>
        </w:rPr>
        <w:t>台州市路桥区住房和城乡建设局</w:t>
      </w:r>
      <w:r>
        <w:rPr>
          <w:rFonts w:hint="eastAsia" w:ascii="宋体" w:hAnsi="宋体" w:cs="宋体"/>
          <w:bCs/>
          <w:sz w:val="24"/>
          <w:highlight w:val="none"/>
        </w:rPr>
        <w:t>单位</w:t>
      </w:r>
      <w:r>
        <w:rPr>
          <w:rFonts w:hint="eastAsia" w:ascii="宋体" w:hAnsi="宋体"/>
          <w:sz w:val="24"/>
          <w:highlight w:val="none"/>
          <w:u w:val="single"/>
          <w:lang w:eastAsia="zh-CN"/>
        </w:rPr>
        <w:t>龙头王、锦泰、飞龙湖未来社区实施方案编制</w:t>
      </w:r>
      <w:r>
        <w:rPr>
          <w:rFonts w:hint="eastAsia" w:ascii="宋体" w:hAnsi="宋体" w:cs="宋体"/>
          <w:sz w:val="24"/>
          <w:highlight w:val="none"/>
        </w:rPr>
        <w:t>的招标、投标、评标、定标、合同履约、付款等行为（法律、法规另有规定的，从其规定）。</w:t>
      </w:r>
    </w:p>
    <w:p>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（二）定义</w:t>
      </w:r>
    </w:p>
    <w:p>
      <w:pPr>
        <w:snapToGrid w:val="0"/>
        <w:ind w:firstLine="480" w:firstLineChars="200"/>
        <w:jc w:val="left"/>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招标采购单位系指组织本次招标活动的法人。</w:t>
      </w:r>
    </w:p>
    <w:p>
      <w:pPr>
        <w:snapToGrid w:val="0"/>
        <w:ind w:firstLine="480" w:firstLineChars="200"/>
        <w:jc w:val="left"/>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“投标人”系指经认定有资格响应招标，参加投标竞争的法人或其他组织、自然人。</w:t>
      </w:r>
    </w:p>
    <w:p>
      <w:pPr>
        <w:snapToGrid w:val="0"/>
        <w:ind w:firstLine="480" w:firstLineChars="200"/>
        <w:jc w:val="left"/>
        <w:rPr>
          <w:rFonts w:ascii="宋体" w:cs="宋体"/>
          <w:sz w:val="24"/>
          <w:highlight w:val="none"/>
        </w:rPr>
      </w:pPr>
      <w:r>
        <w:rPr>
          <w:rFonts w:ascii="宋体" w:hAnsi="宋体" w:cs="宋体"/>
          <w:sz w:val="24"/>
          <w:highlight w:val="none"/>
        </w:rPr>
        <w:t>3.</w:t>
      </w:r>
      <w:r>
        <w:rPr>
          <w:rFonts w:hint="eastAsia" w:ascii="宋体" w:hAnsi="宋体" w:cs="宋体"/>
          <w:sz w:val="24"/>
          <w:highlight w:val="none"/>
        </w:rPr>
        <w:t>“产品”、“货物”系指供方按招标文件规定，须向采购人提供的一切设备、保险、税金、物品、备品备件、工具、手册及其它有关技术资料和材料。</w:t>
      </w:r>
    </w:p>
    <w:p>
      <w:pPr>
        <w:snapToGrid w:val="0"/>
        <w:ind w:firstLine="480" w:firstLineChars="200"/>
        <w:jc w:val="left"/>
        <w:rPr>
          <w:rFonts w:ascii="宋体" w:cs="宋体"/>
          <w:sz w:val="24"/>
          <w:highlight w:val="none"/>
        </w:rPr>
      </w:pPr>
      <w:r>
        <w:rPr>
          <w:rFonts w:ascii="宋体" w:hAnsi="宋体" w:cs="宋体"/>
          <w:sz w:val="24"/>
          <w:highlight w:val="none"/>
        </w:rPr>
        <w:t>4.</w:t>
      </w:r>
      <w:r>
        <w:rPr>
          <w:rFonts w:hint="eastAsia" w:ascii="宋体" w:hAnsi="宋体" w:cs="宋体"/>
          <w:sz w:val="24"/>
          <w:highlight w:val="none"/>
        </w:rPr>
        <w:t>“服务”系指招标文件规定投标人须承担的安装、调试、技术协助、校准、培训、技术指导以及其他类似的义务。</w:t>
      </w:r>
    </w:p>
    <w:p>
      <w:pPr>
        <w:snapToGrid w:val="0"/>
        <w:ind w:firstLine="480" w:firstLineChars="200"/>
        <w:jc w:val="left"/>
        <w:rPr>
          <w:rFonts w:ascii="宋体" w:cs="宋体"/>
          <w:sz w:val="24"/>
          <w:highlight w:val="none"/>
        </w:rPr>
      </w:pPr>
      <w:r>
        <w:rPr>
          <w:rFonts w:ascii="宋体" w:hAnsi="宋体" w:cs="宋体"/>
          <w:sz w:val="24"/>
          <w:highlight w:val="none"/>
        </w:rPr>
        <w:t>5.</w:t>
      </w:r>
      <w:r>
        <w:rPr>
          <w:rFonts w:hint="eastAsia" w:ascii="宋体" w:hAnsi="宋体" w:cs="宋体"/>
          <w:sz w:val="24"/>
          <w:highlight w:val="none"/>
        </w:rPr>
        <w:t>“项目”系指投标人按招标文件规定向采购人提供的产品和服务。</w:t>
      </w:r>
    </w:p>
    <w:p>
      <w:pPr>
        <w:snapToGrid w:val="0"/>
        <w:ind w:firstLine="480" w:firstLineChars="200"/>
        <w:jc w:val="left"/>
        <w:rPr>
          <w:rFonts w:ascii="宋体" w:cs="宋体"/>
          <w:sz w:val="24"/>
          <w:highlight w:val="none"/>
        </w:rPr>
      </w:pPr>
      <w:r>
        <w:rPr>
          <w:rFonts w:ascii="宋体" w:hAnsi="宋体" w:cs="宋体"/>
          <w:sz w:val="24"/>
          <w:highlight w:val="none"/>
        </w:rPr>
        <w:t>6.</w:t>
      </w:r>
      <w:r>
        <w:rPr>
          <w:rFonts w:hint="eastAsia" w:ascii="宋体" w:hAnsi="宋体" w:cs="宋体"/>
          <w:sz w:val="24"/>
          <w:highlight w:val="none"/>
        </w:rPr>
        <w:t>“书面形式”包括信函、传真、电报等。</w:t>
      </w:r>
    </w:p>
    <w:p>
      <w:pPr>
        <w:snapToGrid w:val="0"/>
        <w:ind w:firstLine="480" w:firstLineChars="200"/>
        <w:jc w:val="left"/>
        <w:rPr>
          <w:rFonts w:ascii="宋体" w:cs="宋体"/>
          <w:sz w:val="24"/>
          <w:highlight w:val="none"/>
        </w:rPr>
      </w:pPr>
      <w:r>
        <w:rPr>
          <w:rFonts w:ascii="宋体" w:hAnsi="宋体" w:cs="宋体"/>
          <w:sz w:val="24"/>
          <w:highlight w:val="none"/>
        </w:rPr>
        <w:t>7.</w:t>
      </w:r>
      <w:r>
        <w:rPr>
          <w:rFonts w:hint="eastAsia" w:ascii="宋体" w:hAnsi="宋体" w:cs="宋体"/>
          <w:sz w:val="24"/>
          <w:highlight w:val="none"/>
        </w:rPr>
        <w:t>“▲”系指实质性要求条款。</w:t>
      </w:r>
    </w:p>
    <w:p>
      <w:pPr>
        <w:snapToGrid w:val="0"/>
        <w:ind w:firstLine="480" w:firstLineChars="200"/>
        <w:jc w:val="left"/>
        <w:rPr>
          <w:rFonts w:ascii="宋体" w:cs="宋体"/>
          <w:sz w:val="24"/>
          <w:highlight w:val="none"/>
        </w:rPr>
      </w:pPr>
      <w:r>
        <w:rPr>
          <w:rFonts w:ascii="宋体" w:hAnsi="宋体" w:cs="宋体"/>
          <w:sz w:val="24"/>
          <w:highlight w:val="none"/>
        </w:rPr>
        <w:t>8.</w:t>
      </w:r>
      <w:r>
        <w:rPr>
          <w:rFonts w:hint="eastAsia" w:ascii="宋体" w:hAnsi="宋体" w:cs="宋体"/>
          <w:sz w:val="24"/>
          <w:highlight w:val="none"/>
        </w:rPr>
        <w:t>甲方：合同中明确规定的实际购买服务的法人或其他组织和自然人</w:t>
      </w:r>
      <w:r>
        <w:rPr>
          <w:rFonts w:ascii="宋体" w:hAnsi="宋体" w:cs="宋体"/>
          <w:sz w:val="24"/>
          <w:highlight w:val="none"/>
        </w:rPr>
        <w:t xml:space="preserve"> </w:t>
      </w:r>
      <w:r>
        <w:rPr>
          <w:rFonts w:hint="eastAsia" w:ascii="宋体" w:hAnsi="宋体" w:cs="宋体"/>
          <w:sz w:val="24"/>
          <w:highlight w:val="none"/>
        </w:rPr>
        <w:t>。</w:t>
      </w:r>
    </w:p>
    <w:p>
      <w:pPr>
        <w:snapToGrid w:val="0"/>
        <w:ind w:firstLine="480" w:firstLineChars="200"/>
        <w:jc w:val="left"/>
        <w:rPr>
          <w:rFonts w:ascii="宋体" w:cs="宋体"/>
          <w:sz w:val="24"/>
          <w:highlight w:val="none"/>
        </w:rPr>
      </w:pPr>
      <w:r>
        <w:rPr>
          <w:rFonts w:ascii="宋体" w:hAnsi="宋体" w:cs="宋体"/>
          <w:sz w:val="24"/>
          <w:highlight w:val="none"/>
        </w:rPr>
        <w:t>9.</w:t>
      </w:r>
      <w:r>
        <w:rPr>
          <w:rFonts w:hint="eastAsia" w:ascii="宋体" w:hAnsi="宋体" w:cs="宋体"/>
          <w:sz w:val="24"/>
          <w:highlight w:val="none"/>
        </w:rPr>
        <w:t>乙方：合同中规定的向甲方提供服务的法人或其他组织和自然人。</w:t>
      </w:r>
    </w:p>
    <w:p>
      <w:pPr>
        <w:snapToGrid w:val="0"/>
        <w:ind w:firstLine="480" w:firstLineChars="200"/>
        <w:jc w:val="left"/>
        <w:rPr>
          <w:rFonts w:ascii="宋体" w:cs="宋体"/>
          <w:sz w:val="24"/>
          <w:highlight w:val="none"/>
        </w:rPr>
      </w:pPr>
      <w:r>
        <w:rPr>
          <w:rFonts w:ascii="宋体" w:hAnsi="宋体" w:cs="宋体"/>
          <w:sz w:val="24"/>
          <w:highlight w:val="none"/>
        </w:rPr>
        <w:t>10.</w:t>
      </w:r>
      <w:r>
        <w:rPr>
          <w:rFonts w:hint="eastAsia" w:ascii="宋体" w:hAnsi="宋体" w:cs="宋体"/>
          <w:sz w:val="24"/>
          <w:highlight w:val="none"/>
        </w:rPr>
        <w:t>知识产权：指专利权、商标权、著作权等无形资产专有权的统称。</w:t>
      </w:r>
    </w:p>
    <w:p>
      <w:pPr>
        <w:snapToGrid w:val="0"/>
        <w:ind w:firstLine="480" w:firstLineChars="200"/>
        <w:jc w:val="left"/>
        <w:rPr>
          <w:rFonts w:ascii="宋体" w:cs="宋体"/>
          <w:sz w:val="24"/>
          <w:highlight w:val="none"/>
        </w:rPr>
      </w:pPr>
      <w:r>
        <w:rPr>
          <w:rFonts w:ascii="宋体" w:hAnsi="宋体" w:cs="宋体"/>
          <w:sz w:val="24"/>
          <w:highlight w:val="none"/>
        </w:rPr>
        <w:t>11.</w:t>
      </w:r>
      <w:r>
        <w:rPr>
          <w:rFonts w:hint="eastAsia" w:ascii="宋体" w:hAnsi="宋体" w:cs="宋体"/>
          <w:sz w:val="24"/>
          <w:highlight w:val="none"/>
        </w:rPr>
        <w:t>不可抗力：不能预见、不能避免并且不能克服的客观情况。</w:t>
      </w:r>
    </w:p>
    <w:p>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（三）招标方式</w:t>
      </w:r>
    </w:p>
    <w:p>
      <w:pPr>
        <w:snapToGrid w:val="0"/>
        <w:ind w:firstLine="480" w:firstLineChars="200"/>
        <w:jc w:val="left"/>
        <w:rPr>
          <w:rFonts w:ascii="宋体" w:cs="宋体"/>
          <w:sz w:val="24"/>
          <w:highlight w:val="none"/>
        </w:rPr>
      </w:pPr>
      <w:r>
        <w:rPr>
          <w:rFonts w:hint="eastAsia" w:ascii="宋体" w:hAnsi="宋体" w:cs="宋体"/>
          <w:sz w:val="24"/>
          <w:highlight w:val="none"/>
        </w:rPr>
        <w:t>本次招标采用公开招标方式进行。</w:t>
      </w:r>
    </w:p>
    <w:p>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（四）投标费用</w:t>
      </w:r>
    </w:p>
    <w:p>
      <w:pPr>
        <w:snapToGrid w:val="0"/>
        <w:ind w:firstLine="480" w:firstLineChars="200"/>
        <w:jc w:val="left"/>
        <w:rPr>
          <w:rFonts w:asci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adjustRightInd w:val="0"/>
        <w:snapToGrid w:val="0"/>
        <w:spacing w:line="312" w:lineRule="auto"/>
        <w:ind w:firstLine="480" w:firstLineChars="200"/>
        <w:jc w:val="left"/>
        <w:rPr>
          <w:rFonts w:ascii="宋体" w:hAnsi="宋体" w:cs="宋体"/>
          <w:sz w:val="24"/>
          <w:highlight w:val="none"/>
        </w:rPr>
      </w:pPr>
      <w:r>
        <w:rPr>
          <w:rFonts w:hint="eastAsia" w:ascii="宋体" w:hAnsi="宋体"/>
          <w:sz w:val="24"/>
          <w:highlight w:val="none"/>
        </w:rPr>
        <w:t>本项目代理服务费根据发改局《关于进一步放开建设项目专业服务价格的通知》（发改价格[2015]299 号）规定的标准，按照中标价向中标单位收取代理服务的</w:t>
      </w:r>
      <w:r>
        <w:rPr>
          <w:rFonts w:hint="eastAsia" w:ascii="宋体" w:hAnsi="宋体"/>
          <w:sz w:val="24"/>
          <w:highlight w:val="none"/>
          <w:lang w:eastAsia="zh-CN"/>
        </w:rPr>
        <w:t>1</w:t>
      </w:r>
      <w:r>
        <w:rPr>
          <w:rFonts w:hint="eastAsia" w:ascii="宋体" w:hAnsi="宋体"/>
          <w:sz w:val="24"/>
          <w:highlight w:val="none"/>
          <w:lang w:val="en-US" w:eastAsia="zh-CN"/>
        </w:rPr>
        <w:t>0</w:t>
      </w:r>
      <w:r>
        <w:rPr>
          <w:rFonts w:hint="eastAsia" w:ascii="宋体" w:hAnsi="宋体"/>
          <w:sz w:val="24"/>
          <w:highlight w:val="none"/>
          <w:lang w:eastAsia="zh-CN"/>
        </w:rPr>
        <w:t>0</w:t>
      </w:r>
      <w:r>
        <w:rPr>
          <w:rFonts w:hint="eastAsia" w:ascii="宋体" w:hAnsi="宋体"/>
          <w:sz w:val="24"/>
          <w:highlight w:val="none"/>
        </w:rPr>
        <w:t>%。采购代理服务费须包含在总报价中，由采购代理机构在签发中标通知书前向中标单位收取；本项目按</w:t>
      </w:r>
      <w:r>
        <w:rPr>
          <w:rFonts w:hint="eastAsia" w:ascii="宋体" w:hAnsi="宋体"/>
          <w:b/>
          <w:bCs/>
          <w:sz w:val="24"/>
          <w:highlight w:val="none"/>
          <w:u w:val="single"/>
        </w:rPr>
        <w:t>服务招标</w:t>
      </w:r>
      <w:r>
        <w:rPr>
          <w:rFonts w:hint="eastAsia" w:ascii="宋体" w:hAnsi="宋体"/>
          <w:sz w:val="24"/>
          <w:highlight w:val="none"/>
        </w:rPr>
        <w:t>类型收费。</w:t>
      </w:r>
      <w:r>
        <w:rPr>
          <w:rFonts w:hint="eastAsia" w:ascii="宋体" w:hAnsi="宋体" w:cs="宋体"/>
          <w:sz w:val="24"/>
          <w:highlight w:val="none"/>
        </w:rPr>
        <w:t>请投标人在投标报价时综合考虑，费用计入中标人投标费用内，招标人不再支付该部分费用给中标人。</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1"/>
        <w:gridCol w:w="2800"/>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2751" w:type="dxa"/>
          </w:tcPr>
          <w:p>
            <w:pPr>
              <w:pStyle w:val="692"/>
              <w:ind w:left="1577"/>
              <w:rPr>
                <w:b/>
                <w:sz w:val="21"/>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-26035</wp:posOffset>
                      </wp:positionH>
                      <wp:positionV relativeFrom="paragraph">
                        <wp:posOffset>19685</wp:posOffset>
                      </wp:positionV>
                      <wp:extent cx="1747520" cy="779145"/>
                      <wp:effectExtent l="0" t="0" r="5080" b="13335"/>
                      <wp:wrapNone/>
                      <wp:docPr id="1" name="任意多边形 2"/>
                      <wp:cNvGraphicFramePr/>
                      <a:graphic xmlns:a="http://schemas.openxmlformats.org/drawingml/2006/main">
                        <a:graphicData uri="http://schemas.microsoft.com/office/word/2010/wordprocessingShape">
                          <wps:wsp>
                            <wps:cNvSpPr/>
                            <wps:spPr>
                              <a:xfrm>
                                <a:off x="0" y="0"/>
                                <a:ext cx="1747520" cy="779145"/>
                              </a:xfrm>
                              <a:custGeom>
                                <a:avLst/>
                                <a:gdLst/>
                                <a:ahLst/>
                                <a:cxnLst/>
                                <a:rect l="0" t="0" r="0" b="0"/>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2.05pt;margin-top:1.55pt;height:61.35pt;width:137.6pt;mso-position-horizontal-relative:page;z-index:-251657216;mso-width-relative:page;mso-height-relative:page;" fillcolor="#000000" filled="t" stroked="f" coordsize="2569,1189" o:gfxdata="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r4T81wAAAAgBAAAPAAAAAAAAAAEAIAAAACIAAABkcnMvZG93bnJldi54bWxQSwEC&#10;FAAUAAAACACHTuJAU1/umGcCAACYBQAADgAAAAAAAAABACAAAAAmAQAAZHJzL2Uyb0RvYy54bWxQ&#10;SwUGAAAAAAYABgBZAQAA/wUAAAAA&#10;" path="m2556,1175l6,33,0,47,2550,1189,2556,1175m2569,1165l1116,0,1106,12,2559,1177,2569,1165e">
                      <v:fill on="t" focussize="0,0"/>
                      <v:stroke on="f"/>
                      <v:imagedata o:title=""/>
                      <o:lock v:ext="edit" aspectratio="f"/>
                    </v:shape>
                  </w:pict>
                </mc:Fallback>
              </mc:AlternateContent>
            </w:r>
            <w:r>
              <w:rPr>
                <w:b/>
                <w:sz w:val="21"/>
                <w:highlight w:val="none"/>
              </w:rPr>
              <w:t>服务类</w:t>
            </w:r>
            <w:r>
              <w:rPr>
                <w:b/>
                <w:spacing w:val="-17"/>
                <w:sz w:val="21"/>
                <w:highlight w:val="none"/>
              </w:rPr>
              <w:t>型</w:t>
            </w:r>
          </w:p>
          <w:p>
            <w:pPr>
              <w:pStyle w:val="692"/>
              <w:tabs>
                <w:tab w:val="left" w:pos="1790"/>
              </w:tabs>
              <w:spacing w:before="4" w:line="242" w:lineRule="auto"/>
              <w:ind w:left="1577" w:right="333" w:hanging="420"/>
              <w:rPr>
                <w:b/>
                <w:sz w:val="21"/>
                <w:highlight w:val="none"/>
              </w:rPr>
            </w:pPr>
            <w:r>
              <w:rPr>
                <w:b/>
                <w:sz w:val="21"/>
                <w:highlight w:val="none"/>
              </w:rPr>
              <w:t>费率</w:t>
            </w:r>
            <w:r>
              <w:rPr>
                <w:b/>
                <w:sz w:val="21"/>
                <w:highlight w:val="none"/>
              </w:rPr>
              <w:tab/>
            </w:r>
          </w:p>
          <w:p>
            <w:pPr>
              <w:pStyle w:val="692"/>
              <w:spacing w:before="2"/>
              <w:ind w:left="108"/>
              <w:rPr>
                <w:b/>
                <w:sz w:val="21"/>
                <w:highlight w:val="none"/>
              </w:rPr>
            </w:pPr>
            <w:r>
              <w:rPr>
                <w:b/>
                <w:w w:val="95"/>
                <w:sz w:val="21"/>
                <w:highlight w:val="none"/>
              </w:rPr>
              <w:t>中标金额（万元）</w:t>
            </w:r>
          </w:p>
        </w:tc>
        <w:tc>
          <w:tcPr>
            <w:tcW w:w="2800" w:type="dxa"/>
          </w:tcPr>
          <w:p>
            <w:pPr>
              <w:pStyle w:val="692"/>
              <w:rPr>
                <w:b/>
                <w:sz w:val="20"/>
                <w:highlight w:val="none"/>
              </w:rPr>
            </w:pPr>
          </w:p>
          <w:p>
            <w:pPr>
              <w:pStyle w:val="692"/>
              <w:ind w:left="590" w:right="580"/>
              <w:jc w:val="center"/>
              <w:rPr>
                <w:b/>
                <w:sz w:val="21"/>
                <w:highlight w:val="none"/>
              </w:rPr>
            </w:pPr>
            <w:r>
              <w:rPr>
                <w:b/>
                <w:sz w:val="21"/>
                <w:highlight w:val="none"/>
              </w:rPr>
              <w:t>货物招标</w:t>
            </w:r>
          </w:p>
        </w:tc>
        <w:tc>
          <w:tcPr>
            <w:tcW w:w="2067" w:type="dxa"/>
          </w:tcPr>
          <w:p>
            <w:pPr>
              <w:pStyle w:val="692"/>
              <w:rPr>
                <w:b/>
                <w:sz w:val="20"/>
                <w:highlight w:val="none"/>
              </w:rPr>
            </w:pPr>
          </w:p>
          <w:p>
            <w:pPr>
              <w:pStyle w:val="692"/>
              <w:ind w:left="589" w:right="580"/>
              <w:jc w:val="center"/>
              <w:rPr>
                <w:b/>
                <w:sz w:val="21"/>
                <w:highlight w:val="none"/>
              </w:rPr>
            </w:pPr>
            <w:r>
              <w:rPr>
                <w:b/>
                <w:sz w:val="21"/>
                <w:highlight w:val="none"/>
              </w:rPr>
              <w:t>服务招标</w:t>
            </w:r>
          </w:p>
        </w:tc>
        <w:tc>
          <w:tcPr>
            <w:tcW w:w="2067" w:type="dxa"/>
          </w:tcPr>
          <w:p>
            <w:pPr>
              <w:pStyle w:val="692"/>
              <w:rPr>
                <w:b/>
                <w:sz w:val="20"/>
                <w:highlight w:val="none"/>
              </w:rPr>
            </w:pPr>
          </w:p>
          <w:p>
            <w:pPr>
              <w:pStyle w:val="692"/>
              <w:ind w:left="591" w:right="579"/>
              <w:jc w:val="center"/>
              <w:rPr>
                <w:b/>
                <w:sz w:val="21"/>
                <w:highlight w:val="none"/>
              </w:rPr>
            </w:pPr>
            <w:r>
              <w:rPr>
                <w:b/>
                <w:sz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92"/>
              <w:spacing w:before="1"/>
              <w:ind w:left="624" w:right="618"/>
              <w:jc w:val="center"/>
              <w:rPr>
                <w:sz w:val="21"/>
                <w:highlight w:val="none"/>
              </w:rPr>
            </w:pPr>
            <w:r>
              <w:rPr>
                <w:rFonts w:hint="eastAsia"/>
                <w:sz w:val="21"/>
                <w:highlight w:val="none"/>
                <w:lang w:eastAsia="zh-CN"/>
              </w:rPr>
              <w:t>100</w:t>
            </w:r>
            <w:r>
              <w:rPr>
                <w:sz w:val="21"/>
                <w:highlight w:val="none"/>
              </w:rPr>
              <w:t xml:space="preserve"> 以下</w:t>
            </w:r>
          </w:p>
        </w:tc>
        <w:tc>
          <w:tcPr>
            <w:tcW w:w="2800" w:type="dxa"/>
          </w:tcPr>
          <w:p>
            <w:pPr>
              <w:pStyle w:val="692"/>
              <w:spacing w:before="1"/>
              <w:ind w:left="589" w:right="580"/>
              <w:jc w:val="center"/>
              <w:rPr>
                <w:sz w:val="21"/>
                <w:highlight w:val="none"/>
              </w:rPr>
            </w:pPr>
            <w:r>
              <w:rPr>
                <w:sz w:val="21"/>
                <w:highlight w:val="none"/>
              </w:rPr>
              <w:t>1.5%</w:t>
            </w:r>
          </w:p>
        </w:tc>
        <w:tc>
          <w:tcPr>
            <w:tcW w:w="2067" w:type="dxa"/>
          </w:tcPr>
          <w:p>
            <w:pPr>
              <w:pStyle w:val="692"/>
              <w:spacing w:before="1"/>
              <w:ind w:left="590" w:right="580"/>
              <w:jc w:val="center"/>
              <w:rPr>
                <w:sz w:val="21"/>
                <w:highlight w:val="none"/>
              </w:rPr>
            </w:pPr>
            <w:r>
              <w:rPr>
                <w:sz w:val="21"/>
                <w:highlight w:val="none"/>
              </w:rPr>
              <w:t>1.5%</w:t>
            </w:r>
          </w:p>
        </w:tc>
        <w:tc>
          <w:tcPr>
            <w:tcW w:w="2067" w:type="dxa"/>
          </w:tcPr>
          <w:p>
            <w:pPr>
              <w:pStyle w:val="692"/>
              <w:spacing w:before="1"/>
              <w:ind w:left="589" w:right="580"/>
              <w:jc w:val="center"/>
              <w:rPr>
                <w:sz w:val="21"/>
                <w:highlight w:val="none"/>
              </w:rPr>
            </w:pPr>
            <w:r>
              <w:rPr>
                <w:sz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51" w:type="dxa"/>
          </w:tcPr>
          <w:p>
            <w:pPr>
              <w:pStyle w:val="692"/>
              <w:spacing w:before="2"/>
              <w:ind w:left="627" w:right="618"/>
              <w:jc w:val="center"/>
              <w:rPr>
                <w:sz w:val="21"/>
                <w:highlight w:val="none"/>
              </w:rPr>
            </w:pPr>
            <w:r>
              <w:rPr>
                <w:rFonts w:hint="eastAsia"/>
                <w:sz w:val="21"/>
                <w:highlight w:val="none"/>
                <w:lang w:eastAsia="zh-CN"/>
              </w:rPr>
              <w:t>1</w:t>
            </w:r>
            <w:r>
              <w:rPr>
                <w:rFonts w:hint="eastAsia"/>
                <w:sz w:val="21"/>
                <w:highlight w:val="none"/>
                <w:lang w:val="en-US" w:eastAsia="zh-CN"/>
              </w:rPr>
              <w:t>0</w:t>
            </w:r>
            <w:r>
              <w:rPr>
                <w:rFonts w:hint="eastAsia"/>
                <w:sz w:val="21"/>
                <w:highlight w:val="none"/>
                <w:lang w:eastAsia="zh-CN"/>
              </w:rPr>
              <w:t>0</w:t>
            </w:r>
            <w:r>
              <w:rPr>
                <w:sz w:val="21"/>
                <w:highlight w:val="none"/>
              </w:rPr>
              <w:t>-500</w:t>
            </w:r>
          </w:p>
        </w:tc>
        <w:tc>
          <w:tcPr>
            <w:tcW w:w="2800" w:type="dxa"/>
          </w:tcPr>
          <w:p>
            <w:pPr>
              <w:pStyle w:val="692"/>
              <w:spacing w:before="2"/>
              <w:ind w:left="589" w:right="580"/>
              <w:jc w:val="center"/>
              <w:rPr>
                <w:sz w:val="21"/>
                <w:highlight w:val="none"/>
              </w:rPr>
            </w:pPr>
            <w:r>
              <w:rPr>
                <w:sz w:val="21"/>
                <w:highlight w:val="none"/>
              </w:rPr>
              <w:t>1.1%</w:t>
            </w:r>
          </w:p>
        </w:tc>
        <w:tc>
          <w:tcPr>
            <w:tcW w:w="2067" w:type="dxa"/>
          </w:tcPr>
          <w:p>
            <w:pPr>
              <w:pStyle w:val="692"/>
              <w:spacing w:before="2"/>
              <w:ind w:left="590" w:right="580"/>
              <w:jc w:val="center"/>
              <w:rPr>
                <w:sz w:val="21"/>
                <w:highlight w:val="none"/>
              </w:rPr>
            </w:pPr>
            <w:r>
              <w:rPr>
                <w:sz w:val="21"/>
                <w:highlight w:val="none"/>
              </w:rPr>
              <w:t>0.8%</w:t>
            </w:r>
          </w:p>
        </w:tc>
        <w:tc>
          <w:tcPr>
            <w:tcW w:w="2067" w:type="dxa"/>
          </w:tcPr>
          <w:p>
            <w:pPr>
              <w:pStyle w:val="692"/>
              <w:spacing w:before="2"/>
              <w:ind w:left="589" w:right="580"/>
              <w:jc w:val="center"/>
              <w:rPr>
                <w:sz w:val="21"/>
                <w:highlight w:val="none"/>
              </w:rPr>
            </w:pPr>
            <w:r>
              <w:rPr>
                <w:sz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92"/>
              <w:ind w:left="627" w:right="618"/>
              <w:jc w:val="center"/>
              <w:rPr>
                <w:sz w:val="21"/>
                <w:highlight w:val="none"/>
              </w:rPr>
            </w:pPr>
            <w:r>
              <w:rPr>
                <w:sz w:val="21"/>
                <w:highlight w:val="none"/>
              </w:rPr>
              <w:t>500-</w:t>
            </w:r>
            <w:r>
              <w:rPr>
                <w:rFonts w:hint="eastAsia"/>
                <w:sz w:val="21"/>
                <w:highlight w:val="none"/>
                <w:lang w:eastAsia="zh-CN"/>
              </w:rPr>
              <w:t>1</w:t>
            </w:r>
            <w:r>
              <w:rPr>
                <w:rFonts w:hint="eastAsia"/>
                <w:sz w:val="21"/>
                <w:highlight w:val="none"/>
                <w:lang w:val="en-US" w:eastAsia="zh-CN"/>
              </w:rPr>
              <w:t>0</w:t>
            </w:r>
            <w:r>
              <w:rPr>
                <w:rFonts w:hint="eastAsia"/>
                <w:sz w:val="21"/>
                <w:highlight w:val="none"/>
                <w:lang w:eastAsia="zh-CN"/>
              </w:rPr>
              <w:t>0</w:t>
            </w:r>
            <w:r>
              <w:rPr>
                <w:sz w:val="21"/>
                <w:highlight w:val="none"/>
              </w:rPr>
              <w:t>0</w:t>
            </w:r>
          </w:p>
        </w:tc>
        <w:tc>
          <w:tcPr>
            <w:tcW w:w="2800" w:type="dxa"/>
          </w:tcPr>
          <w:p>
            <w:pPr>
              <w:pStyle w:val="692"/>
              <w:ind w:left="589" w:right="580"/>
              <w:jc w:val="center"/>
              <w:rPr>
                <w:sz w:val="21"/>
                <w:highlight w:val="none"/>
              </w:rPr>
            </w:pPr>
            <w:r>
              <w:rPr>
                <w:sz w:val="21"/>
                <w:highlight w:val="none"/>
              </w:rPr>
              <w:t>0.8%</w:t>
            </w:r>
          </w:p>
        </w:tc>
        <w:tc>
          <w:tcPr>
            <w:tcW w:w="2067" w:type="dxa"/>
          </w:tcPr>
          <w:p>
            <w:pPr>
              <w:pStyle w:val="692"/>
              <w:ind w:left="587" w:right="580"/>
              <w:jc w:val="center"/>
              <w:rPr>
                <w:sz w:val="21"/>
                <w:highlight w:val="none"/>
              </w:rPr>
            </w:pPr>
            <w:r>
              <w:rPr>
                <w:sz w:val="21"/>
                <w:highlight w:val="none"/>
              </w:rPr>
              <w:t>0.45%</w:t>
            </w:r>
          </w:p>
        </w:tc>
        <w:tc>
          <w:tcPr>
            <w:tcW w:w="2067" w:type="dxa"/>
          </w:tcPr>
          <w:p>
            <w:pPr>
              <w:pStyle w:val="692"/>
              <w:ind w:left="586" w:right="580"/>
              <w:jc w:val="center"/>
              <w:rPr>
                <w:sz w:val="21"/>
                <w:highlight w:val="none"/>
              </w:rPr>
            </w:pPr>
            <w:r>
              <w:rPr>
                <w:sz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pPr>
              <w:pStyle w:val="692"/>
              <w:spacing w:before="1"/>
              <w:ind w:left="625" w:right="618"/>
              <w:jc w:val="center"/>
              <w:rPr>
                <w:sz w:val="21"/>
                <w:highlight w:val="none"/>
              </w:rPr>
            </w:pPr>
            <w:r>
              <w:rPr>
                <w:rFonts w:hint="eastAsia"/>
                <w:sz w:val="21"/>
                <w:highlight w:val="none"/>
                <w:lang w:eastAsia="zh-CN"/>
              </w:rPr>
              <w:t>1</w:t>
            </w:r>
            <w:r>
              <w:rPr>
                <w:rFonts w:hint="eastAsia"/>
                <w:sz w:val="21"/>
                <w:highlight w:val="none"/>
                <w:lang w:val="en-US" w:eastAsia="zh-CN"/>
              </w:rPr>
              <w:t>0</w:t>
            </w:r>
            <w:r>
              <w:rPr>
                <w:rFonts w:hint="eastAsia"/>
                <w:sz w:val="21"/>
                <w:highlight w:val="none"/>
                <w:lang w:eastAsia="zh-CN"/>
              </w:rPr>
              <w:t>0</w:t>
            </w:r>
            <w:r>
              <w:rPr>
                <w:sz w:val="21"/>
                <w:highlight w:val="none"/>
              </w:rPr>
              <w:t>0-5000</w:t>
            </w:r>
          </w:p>
        </w:tc>
        <w:tc>
          <w:tcPr>
            <w:tcW w:w="2800" w:type="dxa"/>
          </w:tcPr>
          <w:p>
            <w:pPr>
              <w:pStyle w:val="692"/>
              <w:spacing w:before="1"/>
              <w:ind w:left="589" w:right="580"/>
              <w:jc w:val="center"/>
              <w:rPr>
                <w:sz w:val="21"/>
                <w:highlight w:val="none"/>
              </w:rPr>
            </w:pPr>
            <w:r>
              <w:rPr>
                <w:sz w:val="21"/>
                <w:highlight w:val="none"/>
              </w:rPr>
              <w:t>0.5%</w:t>
            </w:r>
          </w:p>
        </w:tc>
        <w:tc>
          <w:tcPr>
            <w:tcW w:w="2067" w:type="dxa"/>
          </w:tcPr>
          <w:p>
            <w:pPr>
              <w:pStyle w:val="692"/>
              <w:spacing w:before="1"/>
              <w:ind w:left="587" w:right="580"/>
              <w:jc w:val="center"/>
              <w:rPr>
                <w:sz w:val="21"/>
                <w:highlight w:val="none"/>
              </w:rPr>
            </w:pPr>
            <w:r>
              <w:rPr>
                <w:sz w:val="21"/>
                <w:highlight w:val="none"/>
              </w:rPr>
              <w:t>0.25%</w:t>
            </w:r>
          </w:p>
        </w:tc>
        <w:tc>
          <w:tcPr>
            <w:tcW w:w="2067" w:type="dxa"/>
          </w:tcPr>
          <w:p>
            <w:pPr>
              <w:pStyle w:val="692"/>
              <w:spacing w:before="1"/>
              <w:ind w:left="586" w:right="580"/>
              <w:jc w:val="center"/>
              <w:rPr>
                <w:sz w:val="21"/>
                <w:highlight w:val="none"/>
              </w:rPr>
            </w:pPr>
            <w:r>
              <w:rPr>
                <w:sz w:val="21"/>
                <w:highlight w:val="none"/>
              </w:rPr>
              <w:t>0.35%</w:t>
            </w:r>
          </w:p>
        </w:tc>
      </w:tr>
    </w:tbl>
    <w:p>
      <w:pPr>
        <w:snapToGrid w:val="0"/>
        <w:spacing w:before="156" w:beforeLines="50"/>
        <w:ind w:firstLine="472" w:firstLineChars="196"/>
        <w:rPr>
          <w:rFonts w:ascii="宋体" w:hAnsi="宋体" w:cs="宋体"/>
          <w:b/>
          <w:kern w:val="0"/>
          <w:sz w:val="24"/>
          <w:highlight w:val="none"/>
        </w:rPr>
      </w:pPr>
      <w:r>
        <w:rPr>
          <w:rFonts w:hint="eastAsia" w:ascii="宋体" w:hAnsi="宋体" w:cs="宋体"/>
          <w:b/>
          <w:kern w:val="0"/>
          <w:sz w:val="24"/>
          <w:highlight w:val="none"/>
        </w:rPr>
        <w:t>（五）投标人应具备的资格要求</w:t>
      </w:r>
    </w:p>
    <w:p>
      <w:pPr>
        <w:spacing w:line="440" w:lineRule="exact"/>
        <w:ind w:firstLine="480" w:firstLineChars="200"/>
        <w:rPr>
          <w:rFonts w:ascii="宋体" w:hAnsi="宋体"/>
          <w:sz w:val="24"/>
          <w:highlight w:val="none"/>
        </w:rPr>
      </w:pPr>
      <w:r>
        <w:rPr>
          <w:rFonts w:hint="eastAsia" w:ascii="宋体" w:hAnsi="宋体"/>
          <w:sz w:val="24"/>
          <w:highlight w:val="none"/>
        </w:rPr>
        <w:t>1、基本资格要求：符合《中华人民共和国政府采购法》第二十二条规定的投标人资格条件。</w:t>
      </w:r>
    </w:p>
    <w:p>
      <w:pPr>
        <w:spacing w:line="440" w:lineRule="exact"/>
        <w:ind w:firstLine="480" w:firstLineChars="200"/>
        <w:rPr>
          <w:rFonts w:ascii="宋体" w:hAnsi="宋体"/>
          <w:sz w:val="24"/>
          <w:highlight w:val="none"/>
        </w:rPr>
      </w:pPr>
      <w:r>
        <w:rPr>
          <w:rFonts w:hint="eastAsia" w:ascii="宋体" w:hAnsi="宋体"/>
          <w:sz w:val="24"/>
          <w:highlight w:val="none"/>
        </w:rPr>
        <w:t>2、投标人特定资格条件：</w:t>
      </w:r>
    </w:p>
    <w:p>
      <w:pPr>
        <w:spacing w:line="440" w:lineRule="exact"/>
        <w:ind w:firstLine="480" w:firstLineChars="200"/>
        <w:rPr>
          <w:rFonts w:ascii="宋体" w:hAnsi="宋体"/>
          <w:sz w:val="24"/>
          <w:highlight w:val="none"/>
        </w:rPr>
      </w:pPr>
      <w:r>
        <w:rPr>
          <w:rFonts w:hint="eastAsia" w:ascii="宋体" w:hAnsi="宋体"/>
          <w:sz w:val="24"/>
          <w:highlight w:val="none"/>
        </w:rPr>
        <w:t>（1）投标人资格要求：未被“信用中国”（www.creditchina.gov.cn）、中国政府采购网（www.ccgp.gov.cn）列入失信被执行人、重大税收违法案件当事人名单、政府采购严重违法失信行为记录名单；</w:t>
      </w:r>
    </w:p>
    <w:p>
      <w:pPr>
        <w:spacing w:line="312"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b/>
          <w:bCs/>
          <w:sz w:val="24"/>
          <w:highlight w:val="none"/>
        </w:rPr>
        <w:t>落实政府采购政策需满足的资格要求：本项目按照《政府采购促进中小企业发展管理办法》【财库（2020）46 号】第七条规定：</w:t>
      </w:r>
      <w:r>
        <w:rPr>
          <w:rFonts w:hint="eastAsia" w:ascii="宋体" w:hAnsi="宋体"/>
          <w:b/>
          <w:bCs/>
          <w:sz w:val="24"/>
          <w:highlight w:val="none"/>
          <w:u w:val="single"/>
        </w:rPr>
        <w:t>本项目专门面向中小企业采购</w:t>
      </w:r>
      <w:r>
        <w:rPr>
          <w:rFonts w:hint="eastAsia" w:ascii="宋体" w:hAnsi="宋体"/>
          <w:sz w:val="24"/>
          <w:highlight w:val="none"/>
        </w:rPr>
        <w:t>；</w:t>
      </w:r>
    </w:p>
    <w:p>
      <w:pPr>
        <w:spacing w:line="312"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）投标人须具备城乡规划编制单位乙级及以上资质</w:t>
      </w:r>
      <w:r>
        <w:rPr>
          <w:rFonts w:hint="eastAsia" w:ascii="宋体" w:hAnsi="宋体" w:eastAsia="宋体" w:cs="Times New Roman"/>
          <w:color w:val="auto"/>
          <w:sz w:val="24"/>
          <w:highlight w:val="none"/>
          <w:lang w:val="zh-CN" w:eastAsia="zh-CN"/>
        </w:rPr>
        <w:t>；</w:t>
      </w:r>
    </w:p>
    <w:p>
      <w:pPr>
        <w:spacing w:line="312"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w:t>
      </w:r>
      <w:r>
        <w:rPr>
          <w:rFonts w:hint="eastAsia" w:ascii="宋体"/>
          <w:sz w:val="24"/>
          <w:highlight w:val="none"/>
        </w:rPr>
        <w:t>本项目不接受联合体投标</w:t>
      </w:r>
      <w:r>
        <w:rPr>
          <w:rFonts w:hint="eastAsia" w:ascii="宋体" w:hAnsi="宋体" w:cs="宋体"/>
          <w:kern w:val="0"/>
          <w:sz w:val="24"/>
          <w:highlight w:val="none"/>
          <w:lang w:val="zh-CN"/>
        </w:rPr>
        <w:t>；</w:t>
      </w:r>
    </w:p>
    <w:p>
      <w:pPr>
        <w:spacing w:line="312"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p>
    <w:p>
      <w:pPr>
        <w:snapToGrid w:val="0"/>
        <w:spacing w:before="156" w:beforeLines="50"/>
        <w:ind w:firstLine="472" w:firstLineChars="196"/>
        <w:rPr>
          <w:rFonts w:ascii="宋体" w:cs="宋体"/>
          <w:b/>
          <w:kern w:val="0"/>
          <w:sz w:val="24"/>
          <w:highlight w:val="none"/>
        </w:rPr>
      </w:pPr>
      <w:r>
        <w:rPr>
          <w:rFonts w:hint="eastAsia" w:ascii="宋体" w:hAnsi="宋体" w:cs="宋体"/>
          <w:b/>
          <w:sz w:val="24"/>
          <w:highlight w:val="none"/>
        </w:rPr>
        <w:t>（六）</w:t>
      </w:r>
      <w:r>
        <w:rPr>
          <w:rFonts w:hint="eastAsia" w:ascii="宋体" w:hAnsi="宋体" w:cs="宋体"/>
          <w:b/>
          <w:kern w:val="0"/>
          <w:sz w:val="24"/>
          <w:highlight w:val="none"/>
        </w:rPr>
        <w:t>转包与分包</w:t>
      </w:r>
    </w:p>
    <w:p>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2.除项目需求中约定的情形，</w:t>
      </w:r>
      <w:r>
        <w:rPr>
          <w:rFonts w:hint="eastAsia" w:ascii="宋体" w:hAnsi="宋体"/>
          <w:sz w:val="24"/>
          <w:highlight w:val="none"/>
        </w:rPr>
        <w:t>中标人不得再次分包。</w:t>
      </w:r>
    </w:p>
    <w:p>
      <w:pPr>
        <w:snapToGrid w:val="0"/>
        <w:spacing w:before="156" w:beforeLines="50"/>
        <w:ind w:firstLine="472" w:firstLineChars="196"/>
        <w:jc w:val="left"/>
        <w:outlineLvl w:val="1"/>
        <w:rPr>
          <w:rFonts w:ascii="宋体" w:hAnsi="宋体" w:cs="宋体"/>
          <w:b/>
          <w:sz w:val="24"/>
          <w:highlight w:val="none"/>
        </w:rPr>
      </w:pPr>
      <w:r>
        <w:rPr>
          <w:rFonts w:hint="eastAsia" w:ascii="宋体" w:hAnsi="宋体" w:cs="宋体"/>
          <w:b/>
          <w:sz w:val="24"/>
          <w:highlight w:val="none"/>
        </w:rPr>
        <w:t>（七）特别说明：</w:t>
      </w:r>
    </w:p>
    <w:p>
      <w:pPr>
        <w:snapToGrid w:val="0"/>
        <w:ind w:firstLine="480" w:firstLineChars="200"/>
        <w:rPr>
          <w:rFonts w:ascii="宋体" w:hAnsi="宋体" w:cs="宋体"/>
          <w:kern w:val="0"/>
          <w:sz w:val="24"/>
          <w:highlight w:val="none"/>
        </w:rPr>
      </w:pPr>
      <w:r>
        <w:rPr>
          <w:rFonts w:hint="eastAsia" w:ascii="宋体" w:hAnsi="宋体" w:cs="宋体"/>
          <w:sz w:val="24"/>
          <w:highlight w:val="none"/>
        </w:rPr>
        <w:t>▲</w:t>
      </w:r>
      <w:r>
        <w:rPr>
          <w:rFonts w:ascii="宋体" w:hAnsi="宋体" w:cs="宋体"/>
          <w:kern w:val="0"/>
          <w:sz w:val="24"/>
          <w:highlight w:val="none"/>
        </w:rPr>
        <w:t>1.</w:t>
      </w:r>
      <w:r>
        <w:rPr>
          <w:rFonts w:hint="eastAsia" w:ascii="宋体" w:hAnsi="宋体" w:cs="宋体"/>
          <w:kern w:val="0"/>
          <w:sz w:val="24"/>
          <w:highlight w:val="none"/>
        </w:rPr>
        <w:t>投标人投标所使用的资格、信誉、荣誉、业绩与企业认证必须为本法人所拥有。投标人投标所使用的采购项目实施人员必须为本法人员工（或必须为本法人正式员工）。</w:t>
      </w:r>
    </w:p>
    <w:p>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napToGrid w:val="0"/>
        <w:ind w:firstLine="480" w:firstLineChars="200"/>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投标人应仔细阅读招标文件的所有内容，按照招标文件的要求提交投标文件，并对所提供的全部资料的真实性承担法律责任。</w:t>
      </w:r>
    </w:p>
    <w:p>
      <w:pPr>
        <w:snapToGrid w:val="0"/>
        <w:ind w:firstLine="480" w:firstLineChars="200"/>
        <w:rPr>
          <w:rFonts w:ascii="宋体" w:cs="宋体"/>
          <w:b/>
          <w:bCs/>
          <w:kern w:val="0"/>
          <w:sz w:val="24"/>
          <w:highlight w:val="none"/>
        </w:rPr>
      </w:pPr>
      <w:r>
        <w:rPr>
          <w:rFonts w:hint="eastAsia" w:ascii="宋体" w:hAnsi="宋体" w:cs="宋体"/>
          <w:sz w:val="24"/>
          <w:highlight w:val="none"/>
        </w:rPr>
        <w:t>▲</w:t>
      </w:r>
      <w:r>
        <w:rPr>
          <w:rFonts w:ascii="宋体" w:hAnsi="宋体" w:cs="宋体"/>
          <w:b/>
          <w:bCs/>
          <w:kern w:val="0"/>
          <w:sz w:val="24"/>
          <w:highlight w:val="none"/>
        </w:rPr>
        <w:t>4.</w:t>
      </w:r>
      <w:r>
        <w:rPr>
          <w:rFonts w:ascii="宋体" w:hAnsi="宋体"/>
          <w:b/>
          <w:bCs/>
          <w:sz w:val="24"/>
          <w:highlight w:val="none"/>
        </w:rPr>
        <w:t>投标人在投标活动中提供任何虚假材料</w:t>
      </w:r>
      <w:r>
        <w:rPr>
          <w:rFonts w:hint="eastAsia" w:ascii="宋体" w:hAnsi="宋体"/>
          <w:b/>
          <w:bCs/>
          <w:sz w:val="24"/>
          <w:highlight w:val="none"/>
        </w:rPr>
        <w:t>，</w:t>
      </w:r>
      <w:r>
        <w:rPr>
          <w:rFonts w:ascii="宋体" w:hAnsi="宋体"/>
          <w:b/>
          <w:bCs/>
          <w:sz w:val="24"/>
          <w:highlight w:val="none"/>
        </w:rPr>
        <w:t>其投标无效，并报监管部门查处；中标后发现的,根据《中华人民共和国政府采购法》第七十七条第一款第一项之规定</w:t>
      </w:r>
      <w:r>
        <w:rPr>
          <w:rFonts w:hint="eastAsia" w:ascii="宋体" w:hAnsi="宋体"/>
          <w:b/>
          <w:bCs/>
          <w:sz w:val="24"/>
          <w:highlight w:val="none"/>
        </w:rPr>
        <w:t>，</w:t>
      </w:r>
      <w:r>
        <w:rPr>
          <w:rFonts w:ascii="宋体" w:hAnsi="宋体"/>
          <w:b/>
          <w:bCs/>
          <w:sz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b/>
          <w:bCs/>
          <w:kern w:val="0"/>
          <w:sz w:val="24"/>
          <w:highlight w:val="none"/>
        </w:rPr>
        <w:t>。</w:t>
      </w:r>
    </w:p>
    <w:p>
      <w:pPr>
        <w:tabs>
          <w:tab w:val="left" w:pos="8280"/>
        </w:tabs>
        <w:autoSpaceDE w:val="0"/>
        <w:autoSpaceDN w:val="0"/>
        <w:adjustRightInd w:val="0"/>
        <w:ind w:firstLine="480" w:firstLineChars="200"/>
        <w:rPr>
          <w:rFonts w:ascii="宋体"/>
          <w:bCs/>
          <w:kern w:val="0"/>
          <w:sz w:val="24"/>
          <w:highlight w:val="none"/>
        </w:rPr>
      </w:pPr>
      <w:r>
        <w:rPr>
          <w:rFonts w:hint="eastAsia" w:ascii="宋体" w:hAnsi="宋体"/>
          <w:bCs/>
          <w:kern w:val="0"/>
          <w:sz w:val="24"/>
          <w:highlight w:val="none"/>
        </w:rPr>
        <w:t>5</w:t>
      </w:r>
      <w:r>
        <w:rPr>
          <w:rFonts w:ascii="宋体" w:hAnsi="宋体"/>
          <w:bCs/>
          <w:kern w:val="0"/>
          <w:sz w:val="24"/>
          <w:highlight w:val="none"/>
        </w:rPr>
        <w:t>.</w:t>
      </w:r>
      <w:r>
        <w:rPr>
          <w:rFonts w:hint="eastAsia" w:ascii="宋体" w:hAnsi="宋体"/>
          <w:bCs/>
          <w:kern w:val="0"/>
          <w:sz w:val="24"/>
          <w:highlight w:val="none"/>
        </w:rPr>
        <w:t>投标文件格式中的表格式样可以根据项目差别做适当调整</w:t>
      </w:r>
      <w:r>
        <w:rPr>
          <w:rFonts w:ascii="宋体"/>
          <w:bCs/>
          <w:kern w:val="0"/>
          <w:sz w:val="24"/>
          <w:highlight w:val="none"/>
        </w:rPr>
        <w:t>,</w:t>
      </w:r>
      <w:r>
        <w:rPr>
          <w:rFonts w:hint="eastAsia" w:ascii="宋体" w:hAnsi="宋体"/>
          <w:bCs/>
          <w:kern w:val="0"/>
          <w:sz w:val="24"/>
          <w:highlight w:val="none"/>
        </w:rPr>
        <w:t>但应当保持表格样式基本形态不变。</w:t>
      </w:r>
    </w:p>
    <w:p>
      <w:pPr>
        <w:tabs>
          <w:tab w:val="left" w:pos="8280"/>
        </w:tabs>
        <w:autoSpaceDE w:val="0"/>
        <w:autoSpaceDN w:val="0"/>
        <w:adjustRightInd w:val="0"/>
        <w:ind w:firstLine="480"/>
        <w:rPr>
          <w:rFonts w:ascii="宋体" w:hAnsi="宋体"/>
          <w:bCs/>
          <w:kern w:val="0"/>
          <w:sz w:val="24"/>
          <w:highlight w:val="none"/>
        </w:rPr>
      </w:pPr>
      <w:r>
        <w:rPr>
          <w:rFonts w:hint="eastAsia" w:ascii="宋体" w:hAnsi="宋体"/>
          <w:bCs/>
          <w:kern w:val="0"/>
          <w:sz w:val="24"/>
          <w:highlight w:val="none"/>
          <w:lang w:val="en-US" w:eastAsia="zh-CN"/>
        </w:rPr>
        <w:t>6</w:t>
      </w:r>
      <w:r>
        <w:rPr>
          <w:rFonts w:hint="eastAsia" w:ascii="宋体" w:hAnsi="宋体"/>
          <w:bCs/>
          <w:kern w:val="0"/>
          <w:sz w:val="24"/>
          <w:highlight w:val="none"/>
        </w:rPr>
        <w:t>、关于小微企业投标</w:t>
      </w:r>
    </w:p>
    <w:p>
      <w:pPr>
        <w:tabs>
          <w:tab w:val="left" w:pos="8280"/>
        </w:tabs>
        <w:autoSpaceDE w:val="0"/>
        <w:autoSpaceDN w:val="0"/>
        <w:adjustRightInd w:val="0"/>
        <w:ind w:firstLine="480"/>
        <w:rPr>
          <w:rFonts w:hint="eastAsia" w:ascii="宋体" w:hAnsi="宋体"/>
          <w:bCs/>
          <w:kern w:val="0"/>
          <w:sz w:val="24"/>
          <w:highlight w:val="none"/>
        </w:rPr>
      </w:pPr>
      <w:r>
        <w:rPr>
          <w:rFonts w:hint="eastAsia" w:ascii="宋体" w:hAnsi="宋体"/>
          <w:bCs/>
          <w:kern w:val="0"/>
          <w:sz w:val="24"/>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b/>
          <w:bCs/>
          <w:sz w:val="24"/>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宋体" w:hAnsi="宋体"/>
          <w:bCs/>
          <w:kern w:val="0"/>
          <w:sz w:val="24"/>
          <w:highlight w:val="none"/>
        </w:rPr>
        <w:t>。</w:t>
      </w:r>
    </w:p>
    <w:p>
      <w:pPr>
        <w:tabs>
          <w:tab w:val="left" w:pos="8280"/>
        </w:tabs>
        <w:autoSpaceDE w:val="0"/>
        <w:autoSpaceDN w:val="0"/>
        <w:adjustRightInd w:val="0"/>
        <w:ind w:firstLine="480"/>
        <w:rPr>
          <w:rFonts w:ascii="宋体" w:hAnsi="宋体"/>
          <w:bCs/>
          <w:kern w:val="0"/>
          <w:sz w:val="24"/>
          <w:highlight w:val="none"/>
        </w:rPr>
      </w:pPr>
      <w:r>
        <w:rPr>
          <w:rFonts w:hint="eastAsia" w:ascii="宋体" w:hAnsi="宋体"/>
          <w:b/>
          <w:bCs w:val="0"/>
          <w:color w:val="auto"/>
          <w:sz w:val="24"/>
          <w:highlight w:val="none"/>
          <w:lang w:val="en-US" w:eastAsia="zh-CN"/>
        </w:rPr>
        <w:t>本项目</w:t>
      </w:r>
      <w:r>
        <w:rPr>
          <w:rFonts w:hint="eastAsia" w:ascii="宋体" w:hAnsi="宋体"/>
          <w:b/>
          <w:bCs w:val="0"/>
          <w:color w:val="auto"/>
          <w:sz w:val="24"/>
          <w:highlight w:val="none"/>
          <w:lang w:val="zh-CN"/>
        </w:rPr>
        <w:t>专门面向中小企业采购，</w:t>
      </w:r>
      <w:r>
        <w:rPr>
          <w:rFonts w:hint="eastAsia" w:ascii="宋体" w:hAnsi="宋体"/>
          <w:b/>
          <w:bCs w:val="0"/>
          <w:color w:val="auto"/>
          <w:sz w:val="24"/>
          <w:highlight w:val="none"/>
          <w:lang w:val="en-US" w:eastAsia="zh-CN"/>
        </w:rPr>
        <w:t>价格评审得分不再进行扣除优惠评审</w:t>
      </w:r>
      <w:r>
        <w:rPr>
          <w:rFonts w:ascii="宋体" w:hAnsi="宋体"/>
          <w:b/>
          <w:bCs w:val="0"/>
          <w:color w:val="auto"/>
          <w:sz w:val="24"/>
          <w:highlight w:val="none"/>
          <w:lang w:val="zh-CN"/>
        </w:rPr>
        <w:t>。</w:t>
      </w:r>
    </w:p>
    <w:p>
      <w:pPr>
        <w:tabs>
          <w:tab w:val="left" w:pos="8280"/>
        </w:tabs>
        <w:autoSpaceDE w:val="0"/>
        <w:autoSpaceDN w:val="0"/>
        <w:adjustRightInd w:val="0"/>
        <w:ind w:firstLine="480"/>
        <w:rPr>
          <w:rFonts w:ascii="宋体" w:hAnsi="宋体"/>
          <w:bCs/>
          <w:kern w:val="0"/>
          <w:sz w:val="24"/>
          <w:highlight w:val="none"/>
        </w:rPr>
      </w:pPr>
      <w:r>
        <w:rPr>
          <w:rFonts w:hint="eastAsia" w:ascii="宋体" w:hAnsi="宋体"/>
          <w:bCs/>
          <w:kern w:val="0"/>
          <w:sz w:val="24"/>
          <w:highlight w:val="none"/>
          <w:lang w:val="en-US" w:eastAsia="zh-CN"/>
        </w:rPr>
        <w:t>7</w:t>
      </w:r>
      <w:r>
        <w:rPr>
          <w:rFonts w:hint="eastAsia" w:ascii="宋体" w:hAnsi="宋体"/>
          <w:bCs/>
          <w:kern w:val="0"/>
          <w:sz w:val="24"/>
          <w:highlight w:val="none"/>
        </w:rPr>
        <w:t>、关于联合体投标说明：本项目不接受联合体投标；</w:t>
      </w:r>
    </w:p>
    <w:p>
      <w:pPr>
        <w:tabs>
          <w:tab w:val="left" w:pos="8280"/>
        </w:tabs>
        <w:autoSpaceDE w:val="0"/>
        <w:autoSpaceDN w:val="0"/>
        <w:adjustRightInd w:val="0"/>
        <w:ind w:firstLine="480"/>
        <w:rPr>
          <w:rFonts w:ascii="宋体" w:hAnsi="宋体"/>
          <w:bCs/>
          <w:kern w:val="0"/>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、采用</w:t>
      </w:r>
      <w:r>
        <w:rPr>
          <w:rFonts w:hint="eastAsia" w:ascii="宋体" w:hAnsi="宋体" w:cs="Arial"/>
          <w:sz w:val="24"/>
          <w:highlight w:val="none"/>
        </w:rPr>
        <w:t>合同分包形式投标的</w:t>
      </w:r>
      <w:r>
        <w:rPr>
          <w:rFonts w:hint="eastAsia" w:ascii="宋体" w:hAnsi="宋体"/>
          <w:bCs/>
          <w:kern w:val="0"/>
          <w:sz w:val="24"/>
          <w:highlight w:val="none"/>
        </w:rPr>
        <w:t>投标说明：本项目不接受</w:t>
      </w:r>
      <w:r>
        <w:rPr>
          <w:rFonts w:hint="eastAsia" w:ascii="宋体" w:hAnsi="宋体" w:cs="宋体"/>
          <w:sz w:val="24"/>
          <w:highlight w:val="none"/>
        </w:rPr>
        <w:t>采用</w:t>
      </w:r>
      <w:r>
        <w:rPr>
          <w:rFonts w:hint="eastAsia" w:ascii="宋体" w:hAnsi="宋体" w:cs="Arial"/>
          <w:sz w:val="24"/>
          <w:highlight w:val="none"/>
        </w:rPr>
        <w:t>合同分包形式投标</w:t>
      </w:r>
      <w:r>
        <w:rPr>
          <w:rFonts w:hint="eastAsia" w:ascii="宋体" w:hAnsi="宋体"/>
          <w:bCs/>
          <w:kern w:val="0"/>
          <w:sz w:val="24"/>
          <w:highlight w:val="none"/>
        </w:rPr>
        <w:t>；</w:t>
      </w:r>
    </w:p>
    <w:p>
      <w:pPr>
        <w:tabs>
          <w:tab w:val="left" w:pos="8280"/>
        </w:tabs>
        <w:autoSpaceDE w:val="0"/>
        <w:autoSpaceDN w:val="0"/>
        <w:adjustRightInd w:val="0"/>
        <w:ind w:firstLine="480"/>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kern w:val="0"/>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r>
        <w:rPr>
          <w:rFonts w:hint="eastAsia" w:ascii="宋体" w:hAnsi="宋体" w:cs="宋体"/>
          <w:kern w:val="0"/>
          <w:sz w:val="24"/>
          <w:highlight w:val="none"/>
        </w:rPr>
        <w:t>。</w:t>
      </w:r>
    </w:p>
    <w:p>
      <w:pPr>
        <w:snapToGrid w:val="0"/>
        <w:spacing w:before="156" w:beforeLines="50"/>
        <w:ind w:firstLine="472" w:firstLineChars="196"/>
        <w:jc w:val="left"/>
        <w:outlineLvl w:val="1"/>
        <w:rPr>
          <w:rFonts w:ascii="宋体" w:hAnsi="宋体" w:cs="宋体"/>
          <w:b/>
          <w:sz w:val="24"/>
          <w:highlight w:val="none"/>
        </w:rPr>
      </w:pPr>
      <w:r>
        <w:rPr>
          <w:rFonts w:hint="eastAsia" w:ascii="宋体" w:hAnsi="宋体" w:cs="宋体"/>
          <w:b/>
          <w:sz w:val="24"/>
          <w:highlight w:val="none"/>
        </w:rPr>
        <w:t>（八）质疑和投诉</w:t>
      </w:r>
    </w:p>
    <w:p>
      <w:pPr>
        <w:pStyle w:val="37"/>
        <w:snapToGrid w:val="0"/>
        <w:ind w:firstLine="480" w:firstLineChars="20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供应商认为招标文件使自己的权益受到损害的，可在获取采购文件或者采购文件公告期限届满之日起7个工作日内，一次性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37"/>
        <w:snapToGrid w:val="0"/>
        <w:ind w:firstLine="480" w:firstLineChars="200"/>
        <w:rPr>
          <w:rFonts w:hAnsi="宋体" w:cs="宋体"/>
          <w:sz w:val="24"/>
          <w:szCs w:val="24"/>
          <w:highlight w:val="none"/>
        </w:rPr>
      </w:pPr>
      <w:r>
        <w:rPr>
          <w:rFonts w:hAnsi="宋体" w:cs="宋体"/>
          <w:sz w:val="24"/>
          <w:szCs w:val="24"/>
          <w:highlight w:val="none"/>
        </w:rPr>
        <w:t>2.</w:t>
      </w:r>
      <w:r>
        <w:rPr>
          <w:rFonts w:hint="eastAsia" w:hAnsi="宋体" w:cs="宋体"/>
          <w:sz w:val="24"/>
          <w:szCs w:val="24"/>
          <w:highlight w:val="none"/>
        </w:rPr>
        <w:t>质疑、投诉应当采用书面形式，质疑书、投诉书均应明确阐述招标文件中使自己合法权益受到损害的实质性内容，提供相关事实、依据和证据及其来源或线索，便于有关单位调查、答复和处理。</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3、投标人提出质疑应当提交质疑函的和必要的证明材料，« 政腑采购供应商质疑函范本»下载地址 （中华人民共和国财政部国库司）,质疑函应当包括下列内容:</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(一) 供应商的姓名或者名称、地址、邮编、联 系人及联系电话；</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(二) 质疑项目的名称、编号；</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(三) 具体、明确的质疑事项和与质疑事项相关的请求；</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(四) 事实依据；</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(五) 必要的法律依据；</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(六) 提出质疑的日期。</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投标人为自然人的，应当由本人签字；投标人为法人或者其他组织的，应当由法定代表人、主要负责人，或者其授权代表签字或者盖章，并加盖公章。</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质疑受理地点：路桥区文化路2号房管大楼506（建经投资咨询有限公司）。联系人：林炳洪，联系电话：13362681081。</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3、提出质疑的供应商应当是参与本项招标活动的投标人或法律规定具备质疑资格的主体，在法定质疑期内应一次性提出针对同一采购程序环节的所有质疑。</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4、根据《政府采购质疑和投诉办法》第三十七条的规定，投诉人在全国范围12个月内三次以上投诉查无实据的，由财政部门列入不良行为记录名单。</w:t>
      </w:r>
    </w:p>
    <w:p>
      <w:pPr>
        <w:snapToGrid w:val="0"/>
        <w:spacing w:before="156" w:beforeLines="50"/>
        <w:ind w:firstLine="472" w:firstLineChars="196"/>
        <w:jc w:val="left"/>
        <w:rPr>
          <w:rFonts w:ascii="宋体" w:hAnsi="宋体" w:cs="宋体"/>
          <w:b/>
          <w:sz w:val="24"/>
          <w:highlight w:val="none"/>
        </w:rPr>
      </w:pPr>
      <w:r>
        <w:rPr>
          <w:rFonts w:hint="eastAsia" w:ascii="宋体" w:hAnsi="宋体" w:cs="宋体"/>
          <w:b/>
          <w:sz w:val="24"/>
          <w:highlight w:val="none"/>
        </w:rPr>
        <w:t>二  招标文件</w:t>
      </w:r>
    </w:p>
    <w:p>
      <w:pPr>
        <w:snapToGrid w:val="0"/>
        <w:spacing w:before="156" w:beforeLines="50"/>
        <w:ind w:firstLine="472" w:firstLineChars="196"/>
        <w:jc w:val="left"/>
        <w:rPr>
          <w:rFonts w:ascii="宋体" w:hAnsi="宋体" w:cs="宋体"/>
          <w:b/>
          <w:sz w:val="24"/>
          <w:highlight w:val="none"/>
        </w:rPr>
      </w:pPr>
      <w:r>
        <w:rPr>
          <w:rFonts w:hint="eastAsia" w:ascii="宋体" w:hAnsi="宋体" w:cs="宋体"/>
          <w:b/>
          <w:sz w:val="24"/>
          <w:highlight w:val="none"/>
        </w:rPr>
        <w:t>（一）招标文件的构成。本招标文件由以下部份组成：</w:t>
      </w:r>
    </w:p>
    <w:p>
      <w:pPr>
        <w:pStyle w:val="37"/>
        <w:snapToGrid w:val="0"/>
        <w:ind w:firstLine="480" w:firstLineChars="20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招标公告；</w:t>
      </w:r>
    </w:p>
    <w:p>
      <w:pPr>
        <w:pStyle w:val="37"/>
        <w:snapToGrid w:val="0"/>
        <w:ind w:firstLine="480" w:firstLineChars="200"/>
        <w:rPr>
          <w:rFonts w:hAnsi="宋体" w:cs="宋体"/>
          <w:sz w:val="24"/>
          <w:szCs w:val="24"/>
          <w:highlight w:val="none"/>
        </w:rPr>
      </w:pPr>
      <w:r>
        <w:rPr>
          <w:rFonts w:hAnsi="宋体" w:cs="宋体"/>
          <w:sz w:val="24"/>
          <w:szCs w:val="24"/>
          <w:highlight w:val="none"/>
        </w:rPr>
        <w:t>2.</w:t>
      </w:r>
      <w:r>
        <w:rPr>
          <w:rFonts w:hint="eastAsia" w:hAnsi="宋体" w:cs="宋体"/>
          <w:sz w:val="24"/>
          <w:szCs w:val="24"/>
          <w:highlight w:val="none"/>
        </w:rPr>
        <w:t>招标需求；</w:t>
      </w:r>
    </w:p>
    <w:p>
      <w:pPr>
        <w:pStyle w:val="37"/>
        <w:snapToGrid w:val="0"/>
        <w:ind w:firstLine="480" w:firstLineChars="200"/>
        <w:rPr>
          <w:rFonts w:hAnsi="宋体" w:cs="宋体"/>
          <w:sz w:val="24"/>
          <w:szCs w:val="24"/>
          <w:highlight w:val="none"/>
        </w:rPr>
      </w:pPr>
      <w:r>
        <w:rPr>
          <w:rFonts w:hAnsi="宋体" w:cs="宋体"/>
          <w:sz w:val="24"/>
          <w:szCs w:val="24"/>
          <w:highlight w:val="none"/>
        </w:rPr>
        <w:t>3.</w:t>
      </w:r>
      <w:r>
        <w:rPr>
          <w:rFonts w:hint="eastAsia" w:hAnsi="宋体" w:cs="宋体"/>
          <w:sz w:val="24"/>
          <w:szCs w:val="24"/>
          <w:highlight w:val="none"/>
        </w:rPr>
        <w:t>投标人须知；</w:t>
      </w:r>
    </w:p>
    <w:p>
      <w:pPr>
        <w:pStyle w:val="37"/>
        <w:snapToGrid w:val="0"/>
        <w:ind w:firstLine="480" w:firstLineChars="200"/>
        <w:rPr>
          <w:rFonts w:hAnsi="宋体" w:cs="宋体"/>
          <w:sz w:val="24"/>
          <w:szCs w:val="24"/>
          <w:highlight w:val="none"/>
        </w:rPr>
      </w:pPr>
      <w:r>
        <w:rPr>
          <w:rFonts w:hAnsi="宋体" w:cs="宋体"/>
          <w:sz w:val="24"/>
          <w:szCs w:val="24"/>
          <w:highlight w:val="none"/>
        </w:rPr>
        <w:t>4.</w:t>
      </w:r>
      <w:r>
        <w:rPr>
          <w:rFonts w:hint="eastAsia" w:hAnsi="宋体" w:cs="宋体"/>
          <w:sz w:val="24"/>
          <w:szCs w:val="24"/>
          <w:highlight w:val="none"/>
        </w:rPr>
        <w:t>评标办法及标准；</w:t>
      </w:r>
    </w:p>
    <w:p>
      <w:pPr>
        <w:pStyle w:val="37"/>
        <w:snapToGrid w:val="0"/>
        <w:ind w:firstLine="480" w:firstLineChars="200"/>
        <w:rPr>
          <w:rFonts w:hAnsi="宋体" w:cs="宋体"/>
          <w:sz w:val="24"/>
          <w:szCs w:val="24"/>
          <w:highlight w:val="none"/>
        </w:rPr>
      </w:pPr>
      <w:r>
        <w:rPr>
          <w:rFonts w:hAnsi="宋体" w:cs="宋体"/>
          <w:sz w:val="24"/>
          <w:szCs w:val="24"/>
          <w:highlight w:val="none"/>
        </w:rPr>
        <w:t>5.</w:t>
      </w:r>
      <w:r>
        <w:rPr>
          <w:rFonts w:hint="eastAsia" w:hAnsi="宋体" w:cs="宋体"/>
          <w:sz w:val="24"/>
          <w:szCs w:val="24"/>
          <w:highlight w:val="none"/>
        </w:rPr>
        <w:t>合同主要条款；</w:t>
      </w:r>
    </w:p>
    <w:p>
      <w:pPr>
        <w:pStyle w:val="37"/>
        <w:snapToGrid w:val="0"/>
        <w:ind w:firstLine="480" w:firstLineChars="200"/>
        <w:rPr>
          <w:rFonts w:hAnsi="宋体" w:cs="宋体"/>
          <w:sz w:val="24"/>
          <w:szCs w:val="24"/>
          <w:highlight w:val="none"/>
        </w:rPr>
      </w:pPr>
      <w:r>
        <w:rPr>
          <w:rFonts w:hAnsi="宋体" w:cs="宋体"/>
          <w:sz w:val="24"/>
          <w:szCs w:val="24"/>
          <w:highlight w:val="none"/>
        </w:rPr>
        <w:t>6.</w:t>
      </w:r>
      <w:r>
        <w:rPr>
          <w:rFonts w:hint="eastAsia" w:hAnsi="宋体" w:cs="宋体"/>
          <w:sz w:val="24"/>
          <w:szCs w:val="24"/>
          <w:highlight w:val="none"/>
        </w:rPr>
        <w:t>投标文件格式；</w:t>
      </w:r>
    </w:p>
    <w:p>
      <w:pPr>
        <w:pStyle w:val="37"/>
        <w:snapToGrid w:val="0"/>
        <w:ind w:firstLine="480" w:firstLineChars="200"/>
        <w:rPr>
          <w:rFonts w:hAnsi="宋体" w:cs="宋体"/>
          <w:sz w:val="24"/>
          <w:szCs w:val="24"/>
          <w:highlight w:val="none"/>
        </w:rPr>
      </w:pPr>
      <w:r>
        <w:rPr>
          <w:rFonts w:hAnsi="宋体" w:cs="宋体"/>
          <w:sz w:val="24"/>
          <w:szCs w:val="24"/>
          <w:highlight w:val="none"/>
        </w:rPr>
        <w:t>7.</w:t>
      </w:r>
      <w:r>
        <w:rPr>
          <w:rFonts w:hint="eastAsia" w:hAnsi="宋体" w:cs="宋体"/>
          <w:sz w:val="24"/>
          <w:szCs w:val="24"/>
          <w:highlight w:val="none"/>
        </w:rPr>
        <w:t>本项目招标文件的澄清、答复、修改、补充的内容。</w:t>
      </w:r>
    </w:p>
    <w:p>
      <w:pPr>
        <w:snapToGrid w:val="0"/>
        <w:spacing w:before="156" w:beforeLines="50"/>
        <w:ind w:firstLine="472" w:firstLineChars="196"/>
        <w:jc w:val="left"/>
        <w:rPr>
          <w:rFonts w:ascii="宋体" w:cs="宋体"/>
          <w:b/>
          <w:sz w:val="24"/>
          <w:highlight w:val="none"/>
        </w:rPr>
      </w:pPr>
      <w:r>
        <w:rPr>
          <w:rFonts w:hint="eastAsia" w:ascii="宋体" w:hAnsi="宋体" w:cs="宋体"/>
          <w:b/>
          <w:sz w:val="24"/>
          <w:highlight w:val="none"/>
        </w:rPr>
        <w:t>（二）投标人的风险</w:t>
      </w:r>
    </w:p>
    <w:p>
      <w:pPr>
        <w:pStyle w:val="58"/>
        <w:ind w:firstLine="480" w:firstLineChars="200"/>
        <w:rPr>
          <w:rFonts w:asci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投标人没有按照招标文件要求提供全部资料，或者投标人没有对招标文件在各方面作出实质性响应是投标人的风险，并可能导致其投标被拒绝。</w:t>
      </w:r>
    </w:p>
    <w:p>
      <w:pPr>
        <w:pStyle w:val="16"/>
        <w:numPr>
          <w:ilvl w:val="0"/>
          <w:numId w:val="0"/>
        </w:numPr>
        <w:tabs>
          <w:tab w:val="left" w:pos="454"/>
          <w:tab w:val="left" w:pos="720"/>
        </w:tabs>
        <w:spacing w:before="156" w:beforeLines="50"/>
        <w:ind w:firstLine="472" w:firstLineChars="196"/>
        <w:rPr>
          <w:rFonts w:ascii="宋体" w:hAnsi="宋体" w:eastAsia="宋体" w:cs="宋体"/>
          <w:b/>
          <w:sz w:val="24"/>
          <w:highlight w:val="none"/>
        </w:rPr>
      </w:pPr>
      <w:r>
        <w:rPr>
          <w:rFonts w:hint="eastAsia" w:ascii="宋体" w:hAnsi="宋体" w:eastAsia="宋体" w:cs="宋体"/>
          <w:b/>
          <w:sz w:val="24"/>
          <w:highlight w:val="none"/>
        </w:rPr>
        <w:t>（三）招标文件的澄清与修改</w:t>
      </w:r>
      <w:r>
        <w:rPr>
          <w:rFonts w:ascii="宋体" w:hAnsi="宋体" w:eastAsia="宋体" w:cs="宋体"/>
          <w:b/>
          <w:sz w:val="24"/>
          <w:highlight w:val="none"/>
        </w:rPr>
        <w:t xml:space="preserve"> </w:t>
      </w:r>
    </w:p>
    <w:p>
      <w:pPr>
        <w:pStyle w:val="37"/>
        <w:snapToGrid w:val="0"/>
        <w:ind w:firstLine="480" w:firstLineChars="200"/>
        <w:rPr>
          <w:rFonts w:hAnsi="宋体" w:cs="宋体"/>
          <w:kern w:val="2"/>
          <w:sz w:val="24"/>
          <w:szCs w:val="24"/>
          <w:highlight w:val="none"/>
        </w:rPr>
      </w:pPr>
      <w:r>
        <w:rPr>
          <w:rFonts w:hAnsi="宋体" w:cs="宋体"/>
          <w:kern w:val="2"/>
          <w:sz w:val="24"/>
          <w:szCs w:val="24"/>
          <w:highlight w:val="none"/>
        </w:rPr>
        <w:t>1.</w:t>
      </w:r>
      <w:r>
        <w:rPr>
          <w:rFonts w:hint="eastAsia" w:hAnsi="宋体"/>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pStyle w:val="37"/>
        <w:snapToGrid w:val="0"/>
        <w:ind w:firstLine="480" w:firstLineChars="200"/>
        <w:rPr>
          <w:rFonts w:hAnsi="宋体" w:cs="宋体"/>
          <w:sz w:val="24"/>
          <w:szCs w:val="24"/>
          <w:highlight w:val="none"/>
        </w:rPr>
      </w:pPr>
      <w:r>
        <w:rPr>
          <w:rFonts w:hAnsi="宋体" w:cs="宋体"/>
          <w:kern w:val="2"/>
          <w:sz w:val="24"/>
          <w:szCs w:val="24"/>
          <w:highlight w:val="none"/>
        </w:rPr>
        <w:t>2.</w:t>
      </w:r>
      <w:r>
        <w:rPr>
          <w:rFonts w:hint="eastAsia" w:hAnsi="宋体" w:cs="宋体"/>
          <w:kern w:val="2"/>
          <w:sz w:val="24"/>
          <w:szCs w:val="24"/>
          <w:highlight w:val="none"/>
        </w:rPr>
        <w:t>招标文件澄清、答复、修改、补充的内容为招标文件的组成部分。当招标文件与招标文件的答复、澄清、修改、补充通知就同一内容的表述不一致时，以最后发出的书面文件为准。</w:t>
      </w:r>
    </w:p>
    <w:p>
      <w:pPr>
        <w:pStyle w:val="37"/>
        <w:snapToGrid w:val="0"/>
        <w:ind w:firstLine="480" w:firstLineChars="200"/>
        <w:rPr>
          <w:rFonts w:hAnsi="宋体" w:cs="宋体"/>
          <w:kern w:val="2"/>
          <w:sz w:val="24"/>
          <w:szCs w:val="24"/>
          <w:highlight w:val="none"/>
        </w:rPr>
      </w:pPr>
      <w:r>
        <w:rPr>
          <w:rFonts w:hAnsi="宋体" w:cs="宋体"/>
          <w:kern w:val="2"/>
          <w:sz w:val="24"/>
          <w:szCs w:val="24"/>
          <w:highlight w:val="none"/>
        </w:rPr>
        <w:t>3.</w:t>
      </w:r>
      <w:r>
        <w:rPr>
          <w:rFonts w:hint="eastAsia" w:hAnsi="宋体" w:cs="宋体"/>
          <w:kern w:val="2"/>
          <w:sz w:val="24"/>
          <w:szCs w:val="24"/>
          <w:highlight w:val="none"/>
        </w:rPr>
        <w:t>招标文件的澄清、答复、修改或补充都应该通过本代理机构以法定形式发布，采购人非通过本机构，不得擅自澄清、答复、修改或补充招标文件。</w:t>
      </w:r>
    </w:p>
    <w:p>
      <w:pPr>
        <w:pStyle w:val="37"/>
        <w:snapToGrid w:val="0"/>
        <w:ind w:firstLine="480" w:firstLineChars="200"/>
        <w:rPr>
          <w:rFonts w:hAnsi="宋体" w:cs="宋体"/>
          <w:sz w:val="24"/>
          <w:szCs w:val="24"/>
          <w:highlight w:val="none"/>
        </w:rPr>
      </w:pPr>
      <w:r>
        <w:rPr>
          <w:rFonts w:hint="eastAsia" w:hAnsi="宋体" w:cs="宋体"/>
          <w:kern w:val="2"/>
          <w:sz w:val="24"/>
          <w:szCs w:val="24"/>
          <w:highlight w:val="none"/>
        </w:rPr>
        <w:t>4.</w:t>
      </w:r>
      <w:r>
        <w:rPr>
          <w:rFonts w:hAnsi="宋体"/>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s="宋体"/>
          <w:kern w:val="2"/>
          <w:sz w:val="24"/>
          <w:szCs w:val="24"/>
          <w:highlight w:val="none"/>
        </w:rPr>
        <w:t>。</w:t>
      </w:r>
    </w:p>
    <w:p>
      <w:pPr>
        <w:pStyle w:val="37"/>
        <w:snapToGrid w:val="0"/>
        <w:ind w:firstLine="472" w:firstLineChars="196"/>
        <w:outlineLvl w:val="1"/>
        <w:rPr>
          <w:rFonts w:hAnsi="宋体" w:cs="宋体"/>
          <w:b/>
          <w:sz w:val="24"/>
          <w:szCs w:val="24"/>
          <w:highlight w:val="none"/>
        </w:rPr>
      </w:pPr>
      <w:r>
        <w:rPr>
          <w:rFonts w:hint="eastAsia" w:hAnsi="宋体" w:cs="宋体"/>
          <w:b/>
          <w:sz w:val="24"/>
          <w:szCs w:val="24"/>
          <w:highlight w:val="none"/>
        </w:rPr>
        <w:t>三、投标文件的编制</w:t>
      </w:r>
    </w:p>
    <w:p>
      <w:pPr>
        <w:snapToGrid w:val="0"/>
        <w:ind w:firstLine="472" w:firstLineChars="196"/>
        <w:jc w:val="left"/>
        <w:outlineLvl w:val="0"/>
        <w:rPr>
          <w:rFonts w:ascii="宋体" w:cs="宋体"/>
          <w:b/>
          <w:sz w:val="24"/>
          <w:highlight w:val="none"/>
        </w:rPr>
      </w:pPr>
      <w:r>
        <w:rPr>
          <w:rFonts w:hint="eastAsia" w:ascii="宋体" w:hAnsi="宋体" w:cs="宋体"/>
          <w:b/>
          <w:sz w:val="24"/>
          <w:highlight w:val="none"/>
        </w:rPr>
        <w:t>（一）投标文件的组成</w:t>
      </w:r>
    </w:p>
    <w:p>
      <w:pPr>
        <w:snapToGrid w:val="0"/>
        <w:ind w:firstLine="480" w:firstLineChars="200"/>
        <w:jc w:val="left"/>
        <w:rPr>
          <w:rFonts w:ascii="宋体" w:hAnsi="宋体" w:cs="宋体"/>
          <w:sz w:val="24"/>
          <w:highlight w:val="none"/>
        </w:rPr>
      </w:pPr>
      <w:r>
        <w:rPr>
          <w:rFonts w:hint="eastAsia" w:ascii="宋体" w:hAnsi="宋体" w:cs="宋体"/>
          <w:sz w:val="24"/>
          <w:highlight w:val="none"/>
        </w:rPr>
        <w:t>投标文件由</w:t>
      </w:r>
      <w:r>
        <w:rPr>
          <w:rFonts w:hint="eastAsia" w:ascii="宋体" w:hAnsi="宋体"/>
          <w:b/>
          <w:bCs/>
          <w:sz w:val="24"/>
          <w:highlight w:val="none"/>
          <w:u w:val="single"/>
        </w:rPr>
        <w:t>资格证明文件、商务与技术文件和报价文件</w:t>
      </w:r>
      <w:r>
        <w:rPr>
          <w:rFonts w:hint="eastAsia" w:ascii="宋体" w:hAnsi="宋体"/>
          <w:sz w:val="24"/>
          <w:highlight w:val="none"/>
        </w:rPr>
        <w:t>三部分</w:t>
      </w:r>
      <w:r>
        <w:rPr>
          <w:rFonts w:hint="eastAsia" w:ascii="宋体" w:hAnsi="宋体" w:cs="宋体"/>
          <w:sz w:val="24"/>
          <w:highlight w:val="none"/>
        </w:rPr>
        <w:t>组成。</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1、资格证明文件的组成：</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（1）投标声明书</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（2）授权委托书</w:t>
      </w:r>
      <w:r>
        <w:rPr>
          <w:rFonts w:hint="eastAsia" w:ascii="宋体" w:hAnsi="宋体" w:cs="宋体"/>
          <w:sz w:val="24"/>
          <w:highlight w:val="none"/>
        </w:rPr>
        <w:t>（格式见附件）</w:t>
      </w:r>
      <w:r>
        <w:rPr>
          <w:rFonts w:hint="eastAsia" w:ascii="宋体" w:hAnsi="宋体" w:cs="宋体"/>
          <w:sz w:val="24"/>
          <w:highlight w:val="none"/>
          <w:lang w:val="zh-CN"/>
        </w:rPr>
        <w:t>（法定代表人亲自办理投标事宜的，则无需提交</w:t>
      </w:r>
      <w:r>
        <w:rPr>
          <w:rFonts w:hint="eastAsia" w:ascii="宋体" w:hAnsi="宋体" w:cs="Calibri Light"/>
          <w:color w:val="000000"/>
          <w:sz w:val="24"/>
          <w:highlight w:val="none"/>
        </w:rPr>
        <w:t>法定代表人授权书，仅提供法定代表人身份证明即可，法定代表人须与营业执照上载明的一致</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（3）营业执照（复印件）；</w:t>
      </w:r>
    </w:p>
    <w:p>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w:t>
      </w:r>
      <w:r>
        <w:rPr>
          <w:rFonts w:hint="eastAsia" w:ascii="宋体" w:hAnsi="宋体" w:cs="Times New Roman"/>
          <w:color w:val="auto"/>
          <w:sz w:val="24"/>
          <w:highlight w:val="none"/>
          <w:lang w:eastAsia="zh-CN"/>
        </w:rPr>
        <w:t>城乡规划编制单位乙级及以上资质</w:t>
      </w:r>
      <w:r>
        <w:rPr>
          <w:rFonts w:hint="eastAsia" w:ascii="宋体" w:hAnsi="宋体" w:cs="Times New Roman"/>
          <w:color w:val="auto"/>
          <w:sz w:val="24"/>
          <w:highlight w:val="none"/>
          <w:lang w:val="en-US" w:eastAsia="zh-CN"/>
        </w:rPr>
        <w:t>影印件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5</w:t>
      </w:r>
      <w:r>
        <w:rPr>
          <w:rFonts w:hint="eastAsia" w:ascii="宋体" w:hAnsi="宋体" w:cs="宋体"/>
          <w:sz w:val="24"/>
          <w:highlight w:val="none"/>
          <w:lang w:val="zh-CN"/>
        </w:rPr>
        <w:t>）具有履行合同所必需的场地、设备和专业技术能力的承诺函</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）依法缴纳税收和社会保障资金的承诺函（</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）投标供应商没有失信记录承诺函（</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）《中小企业声明函》（</w:t>
      </w:r>
      <w:r>
        <w:rPr>
          <w:rFonts w:hint="eastAsia" w:ascii="宋体" w:hAnsi="宋体" w:cs="宋体"/>
          <w:sz w:val="24"/>
          <w:highlight w:val="none"/>
        </w:rPr>
        <w:t>格式见</w:t>
      </w:r>
      <w:r>
        <w:rPr>
          <w:rFonts w:hint="eastAsia" w:ascii="宋体" w:hAnsi="宋体" w:cs="宋体"/>
          <w:sz w:val="24"/>
          <w:highlight w:val="none"/>
          <w:lang w:val="zh-CN"/>
        </w:rPr>
        <w:t>附件）。</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上述资格条件审查材料有一项不提供的，视为资格审查不通过。</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2、商务技术文件的组成：</w:t>
      </w:r>
    </w:p>
    <w:p>
      <w:pPr>
        <w:snapToGrid w:val="0"/>
        <w:ind w:firstLine="470" w:firstLineChars="196"/>
        <w:jc w:val="left"/>
        <w:rPr>
          <w:rFonts w:ascii="宋体" w:hAnsi="宋体" w:cs="宋体"/>
          <w:sz w:val="24"/>
          <w:highlight w:val="none"/>
        </w:rPr>
      </w:pPr>
      <w:r>
        <w:rPr>
          <w:rFonts w:hint="eastAsia" w:ascii="宋体" w:hAnsi="宋体" w:cs="宋体"/>
          <w:sz w:val="24"/>
          <w:highlight w:val="none"/>
          <w:lang w:val="zh-CN"/>
        </w:rPr>
        <w:t>（1）</w:t>
      </w:r>
      <w:r>
        <w:rPr>
          <w:rFonts w:hint="eastAsia" w:ascii="宋体" w:hAnsi="宋体" w:cs="宋体"/>
          <w:sz w:val="24"/>
          <w:highlight w:val="none"/>
        </w:rPr>
        <w:t>投标人基本情况表（格式见附件）；</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（2）类似项目实施情况一览表（格式见附件）；</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（3）拟派本项目人员汇总表（格式见附件），相关人员的社保证明扫描件、身份证扫描件、职称证书等；</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（4）按照评标办法要求进行编制，并按要求提供相关证明资料；</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rPr>
        <w:t>（5）投标人认为需要提供的其他资料（包括可能影响投标人商务技术文件评分的各类证明材料）。</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3、报价文件的组成：</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（1）开标一览表</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zh-CN" w:eastAsia="zh-CN"/>
        </w:rPr>
        <w:t>报价明细</w:t>
      </w:r>
      <w:r>
        <w:rPr>
          <w:rFonts w:hint="eastAsia" w:ascii="宋体" w:hAnsi="宋体" w:cs="宋体"/>
          <w:sz w:val="24"/>
          <w:highlight w:val="none"/>
          <w:lang w:val="zh-CN"/>
        </w:rPr>
        <w:t>表</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3</w:t>
      </w:r>
      <w:r>
        <w:rPr>
          <w:rFonts w:hint="eastAsia" w:ascii="宋体" w:hAnsi="宋体" w:cs="宋体"/>
          <w:sz w:val="24"/>
          <w:highlight w:val="none"/>
          <w:lang w:val="zh-CN"/>
        </w:rPr>
        <w:t>）《中小企业声明函》（</w:t>
      </w:r>
      <w:r>
        <w:rPr>
          <w:rFonts w:hint="eastAsia" w:ascii="宋体" w:hAnsi="宋体" w:cs="宋体"/>
          <w:sz w:val="24"/>
          <w:highlight w:val="none"/>
        </w:rPr>
        <w:t>格式见附件</w:t>
      </w:r>
      <w:r>
        <w:rPr>
          <w:rFonts w:hint="eastAsia" w:ascii="宋体" w:hAnsi="宋体" w:cs="宋体"/>
          <w:sz w:val="24"/>
          <w:highlight w:val="none"/>
          <w:lang w:val="zh-CN"/>
        </w:rPr>
        <w:t>）；</w:t>
      </w:r>
    </w:p>
    <w:p>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4</w:t>
      </w:r>
      <w:r>
        <w:rPr>
          <w:rFonts w:hint="eastAsia" w:ascii="宋体" w:hAnsi="宋体" w:cs="宋体"/>
          <w:sz w:val="24"/>
          <w:highlight w:val="none"/>
          <w:lang w:val="zh-CN"/>
        </w:rPr>
        <w:t xml:space="preserve">）投标人认为需要的其他文件或说明（如有）。 </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注：法定代表人授权委托书必须由法定代表人签名并加盖单位公章（如有）。</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注意：相关报价单需打印或用不退色的墨水填写， 投标报价单不得涂改和增删，如有错漏必须修改，修改处须由报价单同一签署人签字或盖章。由于字迹模糊或表达不清引起的后果由投标人负责。</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pPr>
        <w:snapToGrid w:val="0"/>
        <w:ind w:firstLine="470" w:firstLineChars="196"/>
        <w:jc w:val="left"/>
        <w:rPr>
          <w:rFonts w:ascii="宋体" w:hAnsi="宋体" w:cs="宋体"/>
          <w:sz w:val="24"/>
          <w:highlight w:val="none"/>
        </w:rPr>
      </w:pPr>
      <w:r>
        <w:rPr>
          <w:rFonts w:hint="eastAsia" w:ascii="宋体" w:hAnsi="宋体" w:cs="宋体"/>
          <w:sz w:val="24"/>
          <w:highlight w:val="none"/>
        </w:rPr>
        <w:t>▲投标总报价为完成本项目的所有费用，包括所有人员的人工费、交通费、住宿费、伙食费、办公设施费、</w:t>
      </w:r>
      <w:r>
        <w:rPr>
          <w:rFonts w:hint="eastAsia"/>
          <w:bCs/>
          <w:sz w:val="24"/>
          <w:highlight w:val="none"/>
          <w:lang w:val="zh-CN"/>
        </w:rPr>
        <w:t>调研及前期资料收集整理、相关</w:t>
      </w:r>
      <w:r>
        <w:rPr>
          <w:rFonts w:hint="eastAsia"/>
          <w:bCs/>
          <w:sz w:val="24"/>
          <w:highlight w:val="none"/>
        </w:rPr>
        <w:t>方案</w:t>
      </w:r>
      <w:r>
        <w:rPr>
          <w:rFonts w:hint="eastAsia"/>
          <w:bCs/>
          <w:sz w:val="24"/>
          <w:highlight w:val="none"/>
          <w:lang w:val="zh-CN"/>
        </w:rPr>
        <w:t>的编制、咨询费、评审专家费、会务费、</w:t>
      </w:r>
      <w:r>
        <w:rPr>
          <w:rFonts w:hint="eastAsia" w:ascii="宋体" w:hAnsi="宋体" w:cs="宋体"/>
          <w:sz w:val="24"/>
          <w:highlight w:val="none"/>
        </w:rPr>
        <w:t>采购代理费、管理费</w:t>
      </w:r>
      <w:r>
        <w:rPr>
          <w:rFonts w:hint="eastAsia"/>
          <w:bCs/>
          <w:sz w:val="24"/>
          <w:highlight w:val="none"/>
          <w:lang w:val="zh-CN"/>
        </w:rPr>
        <w:t>、风险费、保险、利润、规费、税金、政策性文件规定及合同包含的所有风险、责任等所有费用</w:t>
      </w:r>
      <w:r>
        <w:rPr>
          <w:rFonts w:hint="eastAsia" w:ascii="宋体" w:hAnsi="宋体" w:cs="宋体"/>
          <w:sz w:val="24"/>
          <w:highlight w:val="none"/>
        </w:rPr>
        <w:t>，所有费用已包含在投标报价中。</w:t>
      </w:r>
    </w:p>
    <w:p>
      <w:pPr>
        <w:snapToGrid w:val="0"/>
        <w:ind w:firstLine="472" w:firstLineChars="196"/>
        <w:jc w:val="left"/>
        <w:outlineLvl w:val="0"/>
        <w:rPr>
          <w:rFonts w:ascii="宋体" w:cs="宋体"/>
          <w:b/>
          <w:sz w:val="24"/>
          <w:highlight w:val="none"/>
        </w:rPr>
      </w:pPr>
      <w:r>
        <w:rPr>
          <w:rFonts w:hint="eastAsia" w:ascii="宋体" w:hAnsi="宋体" w:cs="宋体"/>
          <w:b/>
          <w:sz w:val="24"/>
          <w:highlight w:val="none"/>
        </w:rPr>
        <w:t>（二）</w:t>
      </w:r>
      <w:r>
        <w:rPr>
          <w:rFonts w:hint="eastAsia" w:ascii="宋体" w:hAnsi="宋体"/>
          <w:b/>
          <w:bCs/>
          <w:kern w:val="0"/>
          <w:sz w:val="24"/>
          <w:highlight w:val="none"/>
        </w:rPr>
        <w:t>投标文件的制作、封装及递交要求</w:t>
      </w:r>
    </w:p>
    <w:p>
      <w:pPr>
        <w:snapToGrid w:val="0"/>
        <w:ind w:firstLine="472" w:firstLineChars="196"/>
        <w:jc w:val="left"/>
        <w:rPr>
          <w:rFonts w:ascii="宋体" w:hAnsi="宋体" w:cs="宋体"/>
          <w:sz w:val="24"/>
          <w:highlight w:val="none"/>
        </w:rPr>
      </w:pPr>
      <w:r>
        <w:rPr>
          <w:rFonts w:hint="eastAsia" w:ascii="宋体" w:hAnsi="宋体" w:cs="宋体"/>
          <w:b/>
          <w:bCs/>
          <w:sz w:val="24"/>
          <w:highlight w:val="none"/>
        </w:rPr>
        <w:t>1.投标文件制作要求：</w:t>
      </w:r>
      <w:r>
        <w:rPr>
          <w:rFonts w:hint="eastAsia" w:ascii="宋体" w:hAnsi="宋体" w:cs="宋体"/>
          <w:sz w:val="24"/>
          <w:highlight w:val="none"/>
        </w:rPr>
        <w:tab/>
      </w:r>
    </w:p>
    <w:p>
      <w:pPr>
        <w:snapToGrid w:val="0"/>
        <w:ind w:firstLine="480" w:firstLineChars="200"/>
        <w:jc w:val="left"/>
        <w:rPr>
          <w:rFonts w:ascii="宋体" w:hAnsi="宋体"/>
          <w:kern w:val="0"/>
          <w:sz w:val="24"/>
          <w:highlight w:val="none"/>
        </w:rPr>
      </w:pPr>
      <w:r>
        <w:rPr>
          <w:rFonts w:hint="eastAsia" w:ascii="宋体" w:hAnsi="宋体"/>
          <w:sz w:val="24"/>
          <w:highlight w:val="none"/>
        </w:rPr>
        <w:t>（1）投标人应按照投标文件组成内容及项目招标需求制作投标文件，</w:t>
      </w:r>
      <w:r>
        <w:rPr>
          <w:rFonts w:hint="eastAsia" w:ascii="宋体" w:hAnsi="宋体"/>
          <w:kern w:val="0"/>
          <w:sz w:val="24"/>
          <w:highlight w:val="none"/>
        </w:rPr>
        <w:t>不按招标文件要求制作投标文件的将视情处理（拒收、扣分等），由此产生的责任由投标人自行承担。</w:t>
      </w:r>
    </w:p>
    <w:p>
      <w:pPr>
        <w:snapToGrid w:val="0"/>
        <w:ind w:firstLine="480" w:firstLineChars="200"/>
        <w:jc w:val="left"/>
        <w:rPr>
          <w:highlight w:val="none"/>
        </w:rPr>
      </w:pPr>
      <w:r>
        <w:rPr>
          <w:rFonts w:hint="eastAsia" w:ascii="宋体" w:hAnsi="宋体"/>
          <w:sz w:val="24"/>
          <w:highlight w:val="none"/>
        </w:rPr>
        <w:t>（2）投标人应对所提供的全部资料的真实性承担法律责任，</w:t>
      </w:r>
      <w:r>
        <w:rPr>
          <w:rFonts w:hint="eastAsia" w:ascii="宋体" w:hAnsi="宋体"/>
          <w:kern w:val="0"/>
          <w:sz w:val="24"/>
          <w:highlight w:val="none"/>
          <w:lang w:val="zh-CN"/>
        </w:rPr>
        <w:t>投标文件内容中有要求盖章或签字的地方，必须加盖投标人的公章以及法定代表人或</w:t>
      </w:r>
      <w:r>
        <w:rPr>
          <w:rFonts w:hint="eastAsia" w:ascii="宋体" w:hAnsi="宋体"/>
          <w:kern w:val="0"/>
          <w:sz w:val="24"/>
          <w:highlight w:val="none"/>
        </w:rPr>
        <w:t>授权委托代理人</w:t>
      </w:r>
      <w:r>
        <w:rPr>
          <w:rFonts w:hint="eastAsia" w:ascii="宋体" w:hAnsi="宋体"/>
          <w:kern w:val="0"/>
          <w:sz w:val="24"/>
          <w:highlight w:val="none"/>
          <w:lang w:val="zh-CN"/>
        </w:rPr>
        <w:t>盖章或签字。</w:t>
      </w:r>
    </w:p>
    <w:p>
      <w:pPr>
        <w:snapToGrid w:val="0"/>
        <w:ind w:firstLine="470" w:firstLineChars="196"/>
        <w:jc w:val="left"/>
        <w:rPr>
          <w:rFonts w:ascii="宋体" w:hAnsi="宋体" w:cs="宋体"/>
          <w:sz w:val="24"/>
          <w:highlight w:val="none"/>
        </w:rPr>
      </w:pPr>
      <w:r>
        <w:rPr>
          <w:rFonts w:hint="eastAsia" w:ascii="宋体" w:hAnsi="宋体"/>
          <w:sz w:val="24"/>
          <w:highlight w:val="none"/>
        </w:rPr>
        <w:t>（3）</w:t>
      </w:r>
      <w:r>
        <w:rPr>
          <w:rFonts w:ascii="宋体" w:hAnsi="宋体"/>
          <w:sz w:val="24"/>
          <w:highlight w:val="none"/>
        </w:rPr>
        <w:t>投标文件以及投标人与</w:t>
      </w:r>
      <w:r>
        <w:rPr>
          <w:rFonts w:hint="eastAsia" w:ascii="宋体" w:hAnsi="宋体"/>
          <w:sz w:val="24"/>
          <w:highlight w:val="none"/>
        </w:rPr>
        <w:t>采购组织机构</w:t>
      </w:r>
      <w:r>
        <w:rPr>
          <w:rFonts w:ascii="宋体" w:hAnsi="宋体"/>
          <w:sz w:val="24"/>
          <w:highlight w:val="none"/>
        </w:rPr>
        <w:t>就有关投标事宜的所有来往函电，均应以中文汉语书写。除</w:t>
      </w:r>
      <w:r>
        <w:rPr>
          <w:rFonts w:hint="eastAsia" w:ascii="宋体" w:hAnsi="宋体"/>
          <w:sz w:val="24"/>
          <w:highlight w:val="none"/>
        </w:rPr>
        <w:t>签字</w:t>
      </w:r>
      <w:r>
        <w:rPr>
          <w:rFonts w:ascii="宋体" w:hAnsi="宋体"/>
          <w:sz w:val="24"/>
          <w:highlight w:val="none"/>
        </w:rPr>
        <w:t>、盖章、专用名称等特殊情形外，以中文汉语以外的文字表述的投标文件视同未提供</w:t>
      </w:r>
      <w:r>
        <w:rPr>
          <w:rFonts w:hint="eastAsia" w:ascii="宋体" w:hAnsi="宋体"/>
          <w:sz w:val="24"/>
          <w:highlight w:val="none"/>
        </w:rPr>
        <w:t>。</w:t>
      </w:r>
    </w:p>
    <w:p>
      <w:pPr>
        <w:snapToGrid w:val="0"/>
        <w:ind w:firstLine="470" w:firstLineChars="196"/>
        <w:jc w:val="left"/>
        <w:rPr>
          <w:rFonts w:ascii="宋体" w:hAnsi="宋体"/>
          <w:sz w:val="24"/>
          <w:highlight w:val="none"/>
        </w:rPr>
      </w:pPr>
      <w:r>
        <w:rPr>
          <w:rFonts w:hint="eastAsia" w:ascii="宋体" w:hAnsi="宋体"/>
          <w:sz w:val="24"/>
          <w:highlight w:val="none"/>
        </w:rPr>
        <w:t>（4）</w:t>
      </w:r>
      <w:r>
        <w:rPr>
          <w:rFonts w:ascii="宋体" w:hAnsi="宋体"/>
          <w:sz w:val="24"/>
          <w:highlight w:val="none"/>
        </w:rPr>
        <w:t>投标计量单位，招标文件已有明确规定的，使用招标文件规定的计量单位；招标文件没有规定的，应采用中华人民共和国法定计量单位</w:t>
      </w:r>
      <w:r>
        <w:rPr>
          <w:rFonts w:hint="eastAsia" w:ascii="宋体" w:hAnsi="宋体" w:cs="宋体"/>
          <w:sz w:val="24"/>
          <w:highlight w:val="none"/>
        </w:rPr>
        <w:t>，否则视同未响应，按无效标处理。</w:t>
      </w:r>
    </w:p>
    <w:p>
      <w:pPr>
        <w:snapToGrid w:val="0"/>
        <w:ind w:firstLine="470" w:firstLineChars="196"/>
        <w:jc w:val="left"/>
        <w:rPr>
          <w:rFonts w:ascii="宋体" w:hAnsi="宋体"/>
          <w:sz w:val="24"/>
          <w:highlight w:val="none"/>
        </w:rPr>
      </w:pPr>
      <w:r>
        <w:rPr>
          <w:rFonts w:hint="eastAsia" w:ascii="宋体" w:hAnsi="宋体"/>
          <w:sz w:val="24"/>
          <w:highlight w:val="none"/>
        </w:rPr>
        <w:t>（5）</w:t>
      </w:r>
      <w:r>
        <w:rPr>
          <w:rFonts w:ascii="宋体" w:hAnsi="宋体"/>
          <w:sz w:val="24"/>
          <w:highlight w:val="none"/>
        </w:rPr>
        <w:t>若投标人不按招标文件的要求提供材料，其风险</w:t>
      </w:r>
      <w:r>
        <w:rPr>
          <w:rFonts w:hint="eastAsia" w:ascii="宋体" w:hAnsi="宋体"/>
          <w:sz w:val="24"/>
          <w:highlight w:val="none"/>
        </w:rPr>
        <w:t>、责任</w:t>
      </w:r>
      <w:r>
        <w:rPr>
          <w:rFonts w:ascii="宋体" w:hAnsi="宋体"/>
          <w:sz w:val="24"/>
          <w:highlight w:val="none"/>
        </w:rPr>
        <w:t>由投标人自行承担</w:t>
      </w:r>
      <w:r>
        <w:rPr>
          <w:rFonts w:hint="eastAsia" w:ascii="宋体" w:hAnsi="宋体"/>
          <w:sz w:val="24"/>
          <w:highlight w:val="none"/>
        </w:rPr>
        <w:t>。</w:t>
      </w:r>
    </w:p>
    <w:p>
      <w:pPr>
        <w:snapToGrid w:val="0"/>
        <w:ind w:firstLine="470" w:firstLineChars="196"/>
        <w:jc w:val="left"/>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与本次投标无关的内容请不要制作在内，确保投标文件有针对性、简洁明了，同时节约纸张；书面投标文件建议以A4纸大小双面打印并装订。</w:t>
      </w:r>
    </w:p>
    <w:p>
      <w:pPr>
        <w:snapToGrid w:val="0"/>
        <w:ind w:firstLine="480" w:firstLineChars="200"/>
        <w:jc w:val="left"/>
        <w:rPr>
          <w:rFonts w:ascii="宋体" w:cs="宋体"/>
          <w:sz w:val="24"/>
          <w:highlight w:val="none"/>
        </w:rPr>
      </w:pPr>
      <w:r>
        <w:rPr>
          <w:rFonts w:hint="eastAsia" w:ascii="宋体" w:hAnsi="宋体"/>
          <w:sz w:val="24"/>
          <w:highlight w:val="none"/>
        </w:rPr>
        <w:t>（7）</w:t>
      </w:r>
      <w:r>
        <w:rPr>
          <w:rFonts w:hint="eastAsia" w:ascii="宋体" w:hAnsi="宋体" w:cs="宋体"/>
          <w:sz w:val="24"/>
          <w:highlight w:val="none"/>
        </w:rPr>
        <w:t>本项目不接受其他形式递交投标文件。</w:t>
      </w:r>
    </w:p>
    <w:p>
      <w:pPr>
        <w:autoSpaceDE w:val="0"/>
        <w:autoSpaceDN w:val="0"/>
        <w:adjustRightInd w:val="0"/>
        <w:ind w:firstLine="480"/>
        <w:rPr>
          <w:rFonts w:ascii="宋体" w:hAnsi="宋体"/>
          <w:b/>
          <w:bCs/>
          <w:sz w:val="24"/>
          <w:highlight w:val="none"/>
        </w:rPr>
      </w:pPr>
      <w:r>
        <w:rPr>
          <w:rFonts w:hint="eastAsia" w:ascii="宋体" w:hAnsi="宋体"/>
          <w:b/>
          <w:bCs/>
          <w:sz w:val="24"/>
          <w:highlight w:val="none"/>
        </w:rPr>
        <w:t>2、投标文件的封装、提交要求</w:t>
      </w:r>
    </w:p>
    <w:p>
      <w:pPr>
        <w:spacing w:line="440" w:lineRule="exact"/>
        <w:ind w:firstLine="480" w:firstLineChars="200"/>
        <w:rPr>
          <w:rFonts w:ascii="宋体" w:hAnsi="宋体"/>
          <w:sz w:val="24"/>
          <w:highlight w:val="none"/>
        </w:rPr>
      </w:pPr>
      <w:r>
        <w:rPr>
          <w:rFonts w:hint="eastAsia" w:ascii="宋体" w:hAnsi="宋体"/>
          <w:sz w:val="24"/>
          <w:highlight w:val="none"/>
        </w:rPr>
        <w:t>2.1本项目实行电子投标。</w:t>
      </w:r>
    </w:p>
    <w:p>
      <w:pPr>
        <w:spacing w:line="440" w:lineRule="exact"/>
        <w:ind w:firstLine="480" w:firstLineChars="200"/>
        <w:rPr>
          <w:rFonts w:ascii="宋体" w:hAnsi="宋体"/>
          <w:sz w:val="24"/>
          <w:highlight w:val="none"/>
        </w:rPr>
      </w:pPr>
      <w:r>
        <w:rPr>
          <w:rFonts w:hint="eastAsia" w:ascii="宋体" w:hAnsi="宋体"/>
          <w:sz w:val="24"/>
          <w:highlight w:val="none"/>
        </w:rPr>
        <w:t>2.1.1电子投标文件：</w:t>
      </w:r>
      <w:r>
        <w:rPr>
          <w:rFonts w:hint="eastAsia" w:ascii="宋体" w:hAnsi="宋体"/>
          <w:sz w:val="24"/>
          <w:highlight w:val="none"/>
          <w:lang w:val="zh-CN"/>
        </w:rPr>
        <w:t>按政府采购云平台供应商项目采购</w:t>
      </w:r>
      <w:r>
        <w:rPr>
          <w:rFonts w:hint="eastAsia" w:ascii="宋体" w:hAnsi="宋体"/>
          <w:sz w:val="24"/>
          <w:highlight w:val="none"/>
        </w:rPr>
        <w:t>--电子招投标操作指南及本项目招标文件要求编制</w:t>
      </w:r>
      <w:r>
        <w:rPr>
          <w:rFonts w:hint="eastAsia" w:ascii="宋体" w:hAnsi="宋体"/>
          <w:sz w:val="24"/>
          <w:highlight w:val="none"/>
          <w:lang w:val="zh-CN"/>
        </w:rPr>
        <w:t>、加密并递交。</w:t>
      </w:r>
    </w:p>
    <w:p>
      <w:pPr>
        <w:spacing w:line="440" w:lineRule="exact"/>
        <w:ind w:firstLine="480" w:firstLineChars="200"/>
        <w:rPr>
          <w:highlight w:val="none"/>
        </w:rPr>
      </w:pPr>
      <w:r>
        <w:rPr>
          <w:rFonts w:hint="eastAsia" w:ascii="宋体" w:hAnsi="宋体"/>
          <w:sz w:val="24"/>
          <w:highlight w:val="none"/>
        </w:rPr>
        <w:t>2.1.2</w:t>
      </w:r>
      <w:r>
        <w:rPr>
          <w:rFonts w:hint="eastAsia" w:ascii="宋体" w:hAnsi="宋体" w:cs="宋体"/>
          <w:sz w:val="24"/>
          <w:highlight w:val="none"/>
        </w:rPr>
        <w:t>投标文件启用顺序和效力：投标文件的启用，</w:t>
      </w:r>
      <w:r>
        <w:rPr>
          <w:rFonts w:hint="eastAsia" w:ascii="宋体" w:hAnsi="宋体" w:cs="宋体"/>
          <w:b/>
          <w:bCs/>
          <w:sz w:val="24"/>
          <w:highlight w:val="none"/>
        </w:rPr>
        <w:t>按先后顺位分别为电子投标文件、电子备份投标文件、纸质备份投标文件</w:t>
      </w:r>
      <w:r>
        <w:rPr>
          <w:rFonts w:hint="eastAsia" w:ascii="宋体" w:hAnsi="宋体" w:cs="宋体"/>
          <w:sz w:val="24"/>
          <w:highlight w:val="none"/>
        </w:rPr>
        <w:t>。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r>
        <w:rPr>
          <w:rFonts w:hint="eastAsia" w:ascii="宋体" w:hAnsi="宋体" w:cs="宋体"/>
          <w:kern w:val="0"/>
          <w:sz w:val="24"/>
          <w:highlight w:val="none"/>
        </w:rPr>
        <w:t>若因招标文件规定的原因电子投标文件和电子备份投标文件均无法完成解密的，</w:t>
      </w:r>
      <w:r>
        <w:rPr>
          <w:rFonts w:hint="eastAsia" w:ascii="宋体" w:hAnsi="宋体" w:cs="宋体"/>
          <w:sz w:val="24"/>
          <w:highlight w:val="none"/>
        </w:rPr>
        <w:t>采购代理机构将开启投标人递交的纸质备份投标文件，以完成开、评标，</w:t>
      </w:r>
      <w:r>
        <w:rPr>
          <w:rFonts w:hint="eastAsia" w:ascii="宋体" w:hAnsi="宋体" w:cs="宋体"/>
          <w:kern w:val="0"/>
          <w:sz w:val="24"/>
          <w:highlight w:val="none"/>
        </w:rPr>
        <w:t>电子投标文件和电子备份投标文件</w:t>
      </w:r>
      <w:r>
        <w:rPr>
          <w:rFonts w:hint="eastAsia" w:ascii="宋体" w:hAnsi="宋体" w:cs="宋体"/>
          <w:sz w:val="24"/>
          <w:highlight w:val="none"/>
        </w:rPr>
        <w:t>自动失效。</w:t>
      </w:r>
    </w:p>
    <w:p>
      <w:pPr>
        <w:spacing w:line="440" w:lineRule="exact"/>
        <w:ind w:firstLine="480" w:firstLineChars="200"/>
        <w:rPr>
          <w:rFonts w:ascii="宋体" w:hAnsi="宋体"/>
          <w:sz w:val="24"/>
          <w:highlight w:val="none"/>
        </w:rPr>
      </w:pPr>
      <w:r>
        <w:rPr>
          <w:rFonts w:hint="eastAsia" w:ascii="宋体" w:hAnsi="宋体"/>
          <w:sz w:val="24"/>
          <w:highlight w:val="none"/>
        </w:rPr>
        <w:t>2.1.3</w:t>
      </w:r>
      <w:r>
        <w:rPr>
          <w:rFonts w:hint="eastAsia" w:ascii="宋体" w:hAnsi="宋体" w:cs="宋体"/>
          <w:sz w:val="24"/>
          <w:highlight w:val="none"/>
        </w:rPr>
        <w:t>投标人未通过“政府采购云平台”上传递交“电子加密投标文件”及未按规定提供相应的备份投标文件的，其投标无效</w:t>
      </w:r>
      <w:r>
        <w:rPr>
          <w:rFonts w:hint="eastAsia" w:ascii="宋体" w:hAnsi="宋体"/>
          <w:sz w:val="24"/>
          <w:highlight w:val="none"/>
        </w:rPr>
        <w:t>。</w:t>
      </w:r>
    </w:p>
    <w:p>
      <w:pPr>
        <w:spacing w:line="440" w:lineRule="exact"/>
        <w:ind w:firstLine="480" w:firstLineChars="200"/>
        <w:rPr>
          <w:rFonts w:ascii="宋体" w:hAnsi="宋体" w:cs="宋体"/>
          <w:b/>
          <w:bCs/>
          <w:sz w:val="24"/>
          <w:szCs w:val="32"/>
          <w:highlight w:val="none"/>
        </w:rPr>
      </w:pPr>
      <w:r>
        <w:rPr>
          <w:rFonts w:hint="eastAsia" w:ascii="宋体" w:hAnsi="宋体"/>
          <w:sz w:val="24"/>
          <w:highlight w:val="none"/>
        </w:rPr>
        <w:t>2.2</w:t>
      </w:r>
      <w:r>
        <w:rPr>
          <w:rFonts w:hint="eastAsia" w:ascii="宋体" w:hAnsi="宋体" w:cs="宋体"/>
          <w:b/>
          <w:bCs/>
          <w:sz w:val="24"/>
          <w:szCs w:val="32"/>
          <w:highlight w:val="none"/>
        </w:rPr>
        <w:t>电子投标文件、电子备份投标文件制作要求</w:t>
      </w:r>
    </w:p>
    <w:p>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2）电子投标文件、电子备份投标文件如内容不完整、编排混乱导致投标文件被误读、漏读，或者在按采购文件规定的部位查找不到相关内容的，由投标人自行承担。</w:t>
      </w:r>
    </w:p>
    <w:p>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pPr>
        <w:autoSpaceDE w:val="0"/>
        <w:autoSpaceDN w:val="0"/>
        <w:adjustRightInd w:val="0"/>
        <w:ind w:firstLine="480" w:firstLineChars="200"/>
        <w:rPr>
          <w:rFonts w:ascii="宋体" w:hAnsi="宋体"/>
          <w:sz w:val="24"/>
          <w:highlight w:val="none"/>
        </w:rPr>
      </w:pPr>
      <w:r>
        <w:rPr>
          <w:rFonts w:hint="eastAsia" w:ascii="宋体" w:hAnsi="宋体"/>
          <w:sz w:val="24"/>
          <w:highlight w:val="none"/>
        </w:rPr>
        <w:t>2.3</w:t>
      </w:r>
      <w:r>
        <w:rPr>
          <w:rFonts w:hint="eastAsia" w:ascii="宋体" w:hAnsi="宋体" w:cs="宋体"/>
          <w:b/>
          <w:bCs/>
          <w:sz w:val="24"/>
          <w:szCs w:val="32"/>
          <w:highlight w:val="none"/>
        </w:rPr>
        <w:t>纸质备份投标文件制作要求</w:t>
      </w:r>
      <w:r>
        <w:rPr>
          <w:rFonts w:hint="eastAsia" w:ascii="宋体" w:hAnsi="宋体" w:cs="宋体"/>
          <w:b/>
          <w:bCs/>
          <w:sz w:val="24"/>
          <w:highlight w:val="none"/>
        </w:rPr>
        <w:t>（</w:t>
      </w:r>
      <w:r>
        <w:rPr>
          <w:rStyle w:val="88"/>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b/>
          <w:bCs/>
          <w:sz w:val="24"/>
          <w:highlight w:val="none"/>
        </w:rPr>
        <w:t>）</w:t>
      </w:r>
    </w:p>
    <w:p>
      <w:pPr>
        <w:autoSpaceDE w:val="0"/>
        <w:autoSpaceDN w:val="0"/>
        <w:adjustRightInd w:val="0"/>
        <w:ind w:firstLine="480" w:firstLineChars="200"/>
        <w:rPr>
          <w:rFonts w:ascii="宋体" w:hAnsi="宋体"/>
          <w:sz w:val="24"/>
          <w:highlight w:val="none"/>
        </w:rPr>
      </w:pPr>
      <w:r>
        <w:rPr>
          <w:rFonts w:hint="eastAsia" w:ascii="宋体" w:hAnsi="宋体"/>
          <w:sz w:val="24"/>
          <w:highlight w:val="none"/>
        </w:rPr>
        <w:t>（1）纸质备份投标文件建议按招标文件中投标文件的组成所列内容及顺序装订成册，</w:t>
      </w:r>
      <w:r>
        <w:rPr>
          <w:rFonts w:hint="eastAsia" w:ascii="宋体" w:hAnsi="宋体"/>
          <w:sz w:val="24"/>
          <w:highlight w:val="none"/>
          <w:lang w:val="zh-CN"/>
        </w:rPr>
        <w:t>并逐页连续标注页码，</w:t>
      </w:r>
      <w:r>
        <w:rPr>
          <w:rFonts w:hint="eastAsia" w:ascii="宋体" w:hAnsi="宋体" w:cs="宋体"/>
          <w:sz w:val="24"/>
          <w:szCs w:val="32"/>
          <w:highlight w:val="none"/>
        </w:rPr>
        <w:t>活页装订的投标文件将被拒绝。投标文件需打印或用不褪色的墨水填写。</w:t>
      </w:r>
      <w:r>
        <w:rPr>
          <w:rFonts w:hint="eastAsia" w:ascii="宋体" w:hAnsi="宋体"/>
          <w:sz w:val="24"/>
          <w:highlight w:val="none"/>
          <w:lang w:val="zh-CN"/>
        </w:rPr>
        <w:t>因投标文件内容不完整、编排混乱导致投标文件被误读、漏读或者查找不到相关内容的责任由投标人自行承担。</w:t>
      </w:r>
    </w:p>
    <w:p>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（2）纸质备份投标文件</w:t>
      </w:r>
      <w:r>
        <w:rPr>
          <w:rFonts w:hint="eastAsia" w:ascii="宋体" w:hAnsi="宋体"/>
          <w:kern w:val="0"/>
          <w:sz w:val="24"/>
          <w:highlight w:val="none"/>
        </w:rPr>
        <w:t>在密封袋的封口处应有投标单位公章或投标授权委托代理人签字。封皮上写明项目编号、标段、招标项目名称、投标人名称，并注明“投标文件名称（</w:t>
      </w:r>
      <w:r>
        <w:rPr>
          <w:rFonts w:hint="eastAsia" w:ascii="宋体" w:hAnsi="宋体"/>
          <w:sz w:val="24"/>
          <w:highlight w:val="none"/>
        </w:rPr>
        <w:t>资格证明文件、商务与技术文件和报价文件</w:t>
      </w:r>
      <w:r>
        <w:rPr>
          <w:rFonts w:hint="eastAsia" w:ascii="宋体" w:hAnsi="宋体"/>
          <w:kern w:val="0"/>
          <w:sz w:val="24"/>
          <w:highlight w:val="none"/>
        </w:rPr>
        <w:t>）”、“开标时启封”字样，未按上述要求密封及加写标记，采购组织机构对投标文件的误投和提前启封不负责任。</w:t>
      </w:r>
    </w:p>
    <w:p>
      <w:pPr>
        <w:ind w:firstLine="480" w:firstLineChars="200"/>
        <w:rPr>
          <w:rFonts w:ascii="宋体" w:hAnsi="宋体" w:cs="宋体"/>
          <w:sz w:val="24"/>
          <w:szCs w:val="32"/>
          <w:highlight w:val="none"/>
        </w:rPr>
      </w:pPr>
      <w:r>
        <w:rPr>
          <w:rFonts w:hint="eastAsia" w:ascii="宋体" w:hAnsi="宋体"/>
          <w:sz w:val="24"/>
          <w:highlight w:val="none"/>
        </w:rPr>
        <w:t>（3）</w:t>
      </w:r>
      <w:r>
        <w:rPr>
          <w:rFonts w:hint="eastAsia" w:ascii="宋体" w:hAnsi="宋体" w:cs="宋体"/>
          <w:sz w:val="24"/>
          <w:szCs w:val="32"/>
          <w:highlight w:val="none"/>
        </w:rPr>
        <w:t>纸质备份投标文件须由投标人在规定位置盖章并由法定代表人签署或盖章，投标人应写全称。纸质备份投标文件未按照招标文件要求签署、盖章的，其投标无效。</w:t>
      </w:r>
    </w:p>
    <w:p>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（4）</w:t>
      </w:r>
      <w:r>
        <w:rPr>
          <w:rFonts w:hint="eastAsia" w:ascii="宋体" w:hAnsi="宋体" w:cs="宋体"/>
          <w:sz w:val="24"/>
          <w:szCs w:val="32"/>
          <w:highlight w:val="none"/>
        </w:rPr>
        <w:t>纸质备份投标文件不得涂改，若有修改错漏处，须加盖单位公章或法定代表人或授权委托人签字或盖章。投标文件因字迹潦草或表达不清所引起的后果由投标人负责。</w:t>
      </w:r>
    </w:p>
    <w:p>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（5）</w:t>
      </w:r>
      <w:r>
        <w:rPr>
          <w:rFonts w:hint="eastAsia" w:ascii="宋体" w:hAnsi="宋体"/>
          <w:kern w:val="0"/>
          <w:sz w:val="24"/>
          <w:highlight w:val="none"/>
        </w:rPr>
        <w:t>项目如分标段，各标段投标文件（报价文件）必须分开编制，并按份数要求单独密封包装。</w:t>
      </w:r>
    </w:p>
    <w:p>
      <w:pPr>
        <w:snapToGrid w:val="0"/>
        <w:spacing w:before="156" w:beforeLines="50"/>
        <w:ind w:firstLine="470" w:firstLineChars="196"/>
        <w:jc w:val="left"/>
        <w:outlineLvl w:val="0"/>
        <w:rPr>
          <w:rFonts w:ascii="宋体" w:hAnsi="宋体" w:cs="宋体"/>
          <w:b/>
          <w:sz w:val="24"/>
          <w:highlight w:val="none"/>
        </w:rPr>
      </w:pPr>
      <w:r>
        <w:rPr>
          <w:rFonts w:hint="eastAsia" w:ascii="宋体" w:hAnsi="宋体"/>
          <w:sz w:val="24"/>
          <w:highlight w:val="none"/>
        </w:rPr>
        <w:t>（6）</w:t>
      </w:r>
      <w:r>
        <w:rPr>
          <w:rFonts w:hint="eastAsia" w:ascii="宋体" w:hAnsi="宋体"/>
          <w:kern w:val="0"/>
          <w:sz w:val="24"/>
          <w:highlight w:val="none"/>
          <w:lang w:val="zh-CN"/>
        </w:rPr>
        <w:t>因密封不严、标记不明而造成失密、拒收、过早启封等情况，采购组织机构概不负责。</w:t>
      </w:r>
    </w:p>
    <w:p>
      <w:pPr>
        <w:autoSpaceDE w:val="0"/>
        <w:autoSpaceDN w:val="0"/>
        <w:adjustRightInd w:val="0"/>
        <w:ind w:firstLine="480"/>
        <w:rPr>
          <w:rFonts w:ascii="宋体" w:hAnsi="宋体"/>
          <w:b/>
          <w:bCs/>
          <w:sz w:val="24"/>
          <w:highlight w:val="none"/>
        </w:rPr>
      </w:pPr>
      <w:r>
        <w:rPr>
          <w:rFonts w:hint="eastAsia" w:ascii="宋体" w:hAnsi="宋体"/>
          <w:b/>
          <w:bCs/>
          <w:kern w:val="0"/>
          <w:sz w:val="24"/>
          <w:highlight w:val="none"/>
        </w:rPr>
        <w:t>3、</w:t>
      </w:r>
      <w:r>
        <w:rPr>
          <w:rFonts w:hint="eastAsia" w:ascii="宋体" w:hAnsi="宋体"/>
          <w:b/>
          <w:bCs/>
          <w:sz w:val="24"/>
          <w:highlight w:val="none"/>
        </w:rPr>
        <w:t>投标文件的递交时间要求</w:t>
      </w:r>
    </w:p>
    <w:p>
      <w:pPr>
        <w:tabs>
          <w:tab w:val="left" w:pos="1418"/>
        </w:tabs>
        <w:autoSpaceDE w:val="0"/>
        <w:autoSpaceDN w:val="0"/>
        <w:adjustRightInd w:val="0"/>
        <w:ind w:firstLine="480" w:firstLineChars="200"/>
        <w:rPr>
          <w:rFonts w:ascii="宋体" w:hAnsi="宋体"/>
          <w:kern w:val="0"/>
          <w:sz w:val="24"/>
          <w:highlight w:val="none"/>
        </w:rPr>
      </w:pPr>
      <w:r>
        <w:rPr>
          <w:rFonts w:hint="eastAsia" w:ascii="宋体" w:hAnsi="宋体"/>
          <w:kern w:val="0"/>
          <w:sz w:val="24"/>
          <w:highlight w:val="none"/>
        </w:rPr>
        <w:t>（1）</w:t>
      </w:r>
      <w:r>
        <w:rPr>
          <w:rFonts w:hint="eastAsia" w:ascii="宋体" w:hAnsi="宋体"/>
          <w:b/>
          <w:bCs/>
          <w:kern w:val="0"/>
          <w:sz w:val="24"/>
          <w:highlight w:val="none"/>
        </w:rPr>
        <w:t>电子投标文件须在投标截止时间之前上传。</w:t>
      </w:r>
    </w:p>
    <w:p>
      <w:pPr>
        <w:tabs>
          <w:tab w:val="left" w:pos="1418"/>
        </w:tabs>
        <w:autoSpaceDE w:val="0"/>
        <w:autoSpaceDN w:val="0"/>
        <w:adjustRightInd w:val="0"/>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（2）如有特殊情况，采购组织机构延长截止时间和开标时间，采购组织机构和投标人的权利和义务将受到新的截止时间和开标时间的约束。</w:t>
      </w:r>
    </w:p>
    <w:p>
      <w:pPr>
        <w:autoSpaceDE w:val="0"/>
        <w:autoSpaceDN w:val="0"/>
        <w:adjustRightInd w:val="0"/>
        <w:spacing w:line="440" w:lineRule="exact"/>
        <w:ind w:firstLine="482" w:firstLineChars="200"/>
        <w:rPr>
          <w:rFonts w:ascii="宋体" w:hAnsi="宋体" w:cs="宋体"/>
          <w:b/>
          <w:bCs/>
          <w:sz w:val="24"/>
          <w:highlight w:val="none"/>
          <w:lang w:val="zh-CN"/>
        </w:rPr>
      </w:pPr>
      <w:r>
        <w:rPr>
          <w:rFonts w:hint="eastAsia" w:ascii="宋体" w:hAnsi="宋体"/>
          <w:b/>
          <w:bCs/>
          <w:kern w:val="0"/>
          <w:sz w:val="24"/>
          <w:highlight w:val="none"/>
        </w:rPr>
        <w:t>4、</w:t>
      </w:r>
      <w:r>
        <w:rPr>
          <w:rFonts w:hint="eastAsia" w:ascii="宋体" w:hAnsi="宋体" w:cs="宋体"/>
          <w:b/>
          <w:bCs/>
          <w:sz w:val="24"/>
          <w:highlight w:val="none"/>
          <w:lang w:val="zh-CN"/>
        </w:rPr>
        <w:t>投标文件的编制、签署、份数</w:t>
      </w:r>
    </w:p>
    <w:p>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1</w:t>
      </w:r>
      <w:r>
        <w:rPr>
          <w:rFonts w:hint="eastAsia" w:ascii="宋体" w:hAnsi="宋体" w:cs="宋体"/>
          <w:kern w:val="0"/>
          <w:sz w:val="24"/>
          <w:highlight w:val="none"/>
          <w:lang w:val="zh-CN"/>
        </w:rPr>
        <w:t>）投标文件包括“</w:t>
      </w:r>
      <w:r>
        <w:rPr>
          <w:rFonts w:hint="eastAsia" w:ascii="宋体" w:hAnsi="宋体"/>
          <w:sz w:val="24"/>
          <w:highlight w:val="none"/>
        </w:rPr>
        <w:t>资格证明文件、商务与技术文件和报价文件</w:t>
      </w:r>
      <w:r>
        <w:rPr>
          <w:rFonts w:hint="eastAsia" w:ascii="宋体" w:hAnsi="宋体" w:cs="宋体"/>
          <w:kern w:val="0"/>
          <w:sz w:val="24"/>
          <w:highlight w:val="none"/>
          <w:lang w:val="zh-CN"/>
        </w:rPr>
        <w:t>”</w:t>
      </w:r>
      <w:r>
        <w:rPr>
          <w:rFonts w:hint="eastAsia" w:ascii="宋体" w:hAnsi="宋体" w:cs="宋体"/>
          <w:kern w:val="0"/>
          <w:sz w:val="24"/>
          <w:highlight w:val="none"/>
        </w:rPr>
        <w:t>三</w:t>
      </w:r>
      <w:r>
        <w:rPr>
          <w:rFonts w:hint="eastAsia" w:ascii="宋体" w:hAnsi="宋体" w:cs="宋体"/>
          <w:kern w:val="0"/>
          <w:sz w:val="24"/>
          <w:highlight w:val="none"/>
          <w:lang w:val="zh-CN"/>
        </w:rPr>
        <w:t>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kern w:val="0"/>
          <w:sz w:val="24"/>
          <w:highlight w:val="none"/>
          <w:lang w:val="zh-CN"/>
        </w:rPr>
        <w:t>https://help.zcy.gov.cn/web/site_2/2018/12-28/2573.html）及本招标文件要求制作</w:t>
      </w:r>
      <w:r>
        <w:rPr>
          <w:rFonts w:hint="eastAsia" w:ascii="宋体" w:hAnsi="宋体" w:cs="宋体"/>
          <w:kern w:val="0"/>
          <w:sz w:val="24"/>
          <w:highlight w:val="none"/>
          <w:lang w:val="zh-CN"/>
        </w:rPr>
        <w:fldChar w:fldCharType="end"/>
      </w:r>
      <w:r>
        <w:rPr>
          <w:rFonts w:hint="eastAsia" w:ascii="宋体" w:hAnsi="宋体" w:cs="宋体"/>
          <w:kern w:val="0"/>
          <w:sz w:val="24"/>
          <w:highlight w:val="none"/>
          <w:lang w:val="zh-CN"/>
        </w:rPr>
        <w:t>。</w:t>
      </w:r>
    </w:p>
    <w:p>
      <w:pPr>
        <w:autoSpaceDE w:val="0"/>
        <w:autoSpaceDN w:val="0"/>
        <w:adjustRightInd w:val="0"/>
        <w:spacing w:line="44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r>
        <w:rPr>
          <w:rFonts w:hint="eastAsia" w:ascii="宋体" w:hAnsi="宋体" w:cs="宋体"/>
          <w:b/>
          <w:bCs/>
          <w:kern w:val="0"/>
          <w:sz w:val="24"/>
          <w:highlight w:val="none"/>
        </w:rPr>
        <w:t>备份纸质投标文件加盖单位公章。</w:t>
      </w:r>
    </w:p>
    <w:p>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kern w:val="0"/>
          <w:sz w:val="24"/>
          <w:highlight w:val="none"/>
          <w:lang w:val="zh-CN"/>
        </w:rPr>
        <w:t>）份数：</w:t>
      </w:r>
    </w:p>
    <w:p>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lang w:val="zh-CN"/>
        </w:rPr>
        <w:t>“电子加密投标文件”（后缀格式为.jmbs）：在线上传递交一份。</w:t>
      </w:r>
    </w:p>
    <w:p>
      <w:pPr>
        <w:tabs>
          <w:tab w:val="left" w:pos="1898"/>
        </w:tabs>
        <w:autoSpaceDE w:val="0"/>
        <w:autoSpaceDN w:val="0"/>
        <w:adjustRightInd w:val="0"/>
        <w:ind w:firstLine="480" w:firstLineChars="200"/>
        <w:rPr>
          <w:rFonts w:ascii="宋体" w:hAnsi="宋体"/>
          <w:b/>
          <w:bCs/>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“备份投标文件”（后缀格式为.bfbs）</w:t>
      </w:r>
      <w:r>
        <w:rPr>
          <w:rFonts w:hint="eastAsia" w:ascii="宋体" w:hAnsi="宋体" w:cs="宋体"/>
          <w:b/>
          <w:bCs/>
          <w:sz w:val="24"/>
          <w:highlight w:val="none"/>
        </w:rPr>
        <w:t>（</w:t>
      </w:r>
      <w:r>
        <w:rPr>
          <w:rStyle w:val="88"/>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b/>
          <w:bCs/>
          <w:sz w:val="24"/>
          <w:highlight w:val="none"/>
        </w:rPr>
        <w:t>）</w:t>
      </w:r>
      <w:r>
        <w:rPr>
          <w:rFonts w:hint="eastAsia" w:ascii="宋体" w:hAnsi="宋体" w:cs="宋体"/>
          <w:kern w:val="0"/>
          <w:sz w:val="24"/>
          <w:highlight w:val="none"/>
          <w:lang w:val="zh-CN"/>
        </w:rPr>
        <w:t>：发送一份</w:t>
      </w:r>
      <w:r>
        <w:rPr>
          <w:rFonts w:hint="eastAsia" w:ascii="宋体" w:hAnsi="宋体" w:cs="宋体"/>
          <w:kern w:val="0"/>
          <w:sz w:val="24"/>
          <w:highlight w:val="none"/>
        </w:rPr>
        <w:t>电子备份投标文件</w:t>
      </w:r>
      <w:r>
        <w:rPr>
          <w:rFonts w:hint="eastAsia" w:ascii="宋体" w:hAnsi="宋体" w:cs="宋体"/>
          <w:kern w:val="0"/>
          <w:sz w:val="24"/>
          <w:highlight w:val="none"/>
          <w:lang w:val="zh-CN"/>
        </w:rPr>
        <w:t>至邮箱：</w:t>
      </w:r>
      <w:r>
        <w:rPr>
          <w:rFonts w:hint="eastAsia" w:ascii="宋体" w:hAnsi="宋体" w:cs="宋体"/>
          <w:kern w:val="0"/>
          <w:sz w:val="24"/>
          <w:highlight w:val="none"/>
        </w:rPr>
        <w:t>464178749@qq.com</w:t>
      </w:r>
      <w:r>
        <w:rPr>
          <w:rFonts w:hint="eastAsia" w:ascii="宋体" w:hAnsi="宋体" w:cs="宋体"/>
          <w:kern w:val="0"/>
          <w:sz w:val="24"/>
          <w:highlight w:val="none"/>
          <w:lang w:val="zh-CN"/>
        </w:rPr>
        <w:t>，以接收方邮箱收件箱所显示时间为准。</w:t>
      </w:r>
      <w:r>
        <w:rPr>
          <w:rFonts w:hint="eastAsia" w:ascii="宋体" w:hAnsi="宋体"/>
          <w:sz w:val="24"/>
          <w:highlight w:val="none"/>
        </w:rPr>
        <w:t>纸质备份投标文件一份投标人须在投标截止时间之前邮寄或送至：</w:t>
      </w:r>
      <w:r>
        <w:rPr>
          <w:rFonts w:hint="eastAsia" w:ascii="宋体" w:hAnsi="宋体"/>
          <w:b/>
          <w:bCs/>
          <w:sz w:val="24"/>
          <w:highlight w:val="none"/>
          <w:u w:val="single"/>
        </w:rPr>
        <w:t>路桥区文化路2号房管大楼506，联系人：陈苏伟</w:t>
      </w:r>
      <w:r>
        <w:rPr>
          <w:rFonts w:hint="eastAsia" w:ascii="宋体" w:hAnsi="宋体"/>
          <w:sz w:val="24"/>
          <w:highlight w:val="none"/>
        </w:rPr>
        <w:t>，</w:t>
      </w:r>
      <w:r>
        <w:rPr>
          <w:rFonts w:hint="eastAsia" w:ascii="宋体" w:hAnsi="宋体"/>
          <w:b/>
          <w:bCs/>
          <w:sz w:val="24"/>
          <w:highlight w:val="none"/>
        </w:rPr>
        <w:t>投标当天提交的，送至开标地点。</w:t>
      </w:r>
    </w:p>
    <w:p>
      <w:pPr>
        <w:tabs>
          <w:tab w:val="left" w:pos="1898"/>
        </w:tabs>
        <w:autoSpaceDE w:val="0"/>
        <w:autoSpaceDN w:val="0"/>
        <w:adjustRightInd w:val="0"/>
        <w:ind w:firstLine="482" w:firstLineChars="200"/>
        <w:rPr>
          <w:rFonts w:ascii="宋体" w:hAnsi="宋体"/>
          <w:b/>
          <w:bCs/>
          <w:kern w:val="0"/>
          <w:sz w:val="24"/>
          <w:highlight w:val="none"/>
        </w:rPr>
      </w:pPr>
      <w:r>
        <w:rPr>
          <w:rFonts w:hint="eastAsia" w:ascii="宋体" w:hAnsi="宋体"/>
          <w:b/>
          <w:bCs/>
          <w:kern w:val="0"/>
          <w:sz w:val="24"/>
          <w:highlight w:val="none"/>
        </w:rPr>
        <w:t>5、纸质备份投标文件的包装、补充、修改和撤回</w:t>
      </w:r>
    </w:p>
    <w:p>
      <w:pPr>
        <w:tabs>
          <w:tab w:val="left" w:pos="1418"/>
        </w:tabs>
        <w:autoSpaceDE w:val="0"/>
        <w:autoSpaceDN w:val="0"/>
        <w:adjustRightInd w:val="0"/>
        <w:ind w:firstLine="480" w:firstLineChars="200"/>
        <w:rPr>
          <w:highlight w:val="none"/>
        </w:rPr>
      </w:pPr>
      <w:r>
        <w:rPr>
          <w:rFonts w:hint="eastAsia" w:ascii="宋体" w:hAnsi="宋体"/>
          <w:kern w:val="0"/>
          <w:sz w:val="24"/>
          <w:highlight w:val="none"/>
        </w:rPr>
        <w:t>（1）</w:t>
      </w:r>
      <w:r>
        <w:rPr>
          <w:rFonts w:hint="eastAsia" w:ascii="宋体" w:hAnsi="宋体" w:cs="宋体"/>
          <w:sz w:val="24"/>
          <w:szCs w:val="32"/>
          <w:highlight w:val="none"/>
        </w:rPr>
        <w:t>投标人在投标截止时间之前，可以对已提交的纸质备份投标文件进行修改或撤回，但应以书面形式通知招标人（或招标代理机构），书面形式应加盖投标人公章或由法定代表人（或委托人）签署或盖章。投标截止时间后，投标人不得撤回、修改投标文件。修改后重新递交的投标文件应当按本招标文件的要求签署、盖章和密封。</w:t>
      </w:r>
    </w:p>
    <w:p>
      <w:pPr>
        <w:tabs>
          <w:tab w:val="left" w:pos="1418"/>
        </w:tabs>
        <w:autoSpaceDE w:val="0"/>
        <w:autoSpaceDN w:val="0"/>
        <w:adjustRightInd w:val="0"/>
        <w:ind w:firstLine="480" w:firstLineChars="200"/>
        <w:rPr>
          <w:rFonts w:ascii="宋体" w:hAnsi="宋体" w:cs="宋体"/>
          <w:b/>
          <w:sz w:val="24"/>
          <w:highlight w:val="none"/>
        </w:rPr>
      </w:pPr>
      <w:r>
        <w:rPr>
          <w:rFonts w:hint="eastAsia" w:ascii="宋体" w:hAnsi="宋体" w:cs="宋体"/>
          <w:sz w:val="24"/>
          <w:highlight w:val="none"/>
        </w:rPr>
        <w:t>（2）投标修改文件必须密封，在密封袋上写明项目编号、标段、招标项目名称、投标人名称、并注明“修改文件”、“开标时启封”、“</w:t>
      </w:r>
      <w:r>
        <w:rPr>
          <w:rFonts w:hint="eastAsia" w:ascii="宋体" w:hAnsi="宋体"/>
          <w:sz w:val="24"/>
          <w:highlight w:val="none"/>
        </w:rPr>
        <w:t>资格证明文件或商务与技术文件或报价文件</w:t>
      </w:r>
      <w:r>
        <w:rPr>
          <w:rFonts w:hint="eastAsia" w:ascii="宋体" w:hAnsi="宋体" w:cs="宋体"/>
          <w:sz w:val="24"/>
          <w:highlight w:val="none"/>
        </w:rPr>
        <w:t>”字样，其作为投标文件的组成部份。未按规定密封或标记的投标文件将被拒绝，由此造成投标文件被误投或提前拆封的风险由投标人承担。</w:t>
      </w:r>
    </w:p>
    <w:p>
      <w:pPr>
        <w:pStyle w:val="16"/>
        <w:numPr>
          <w:ilvl w:val="0"/>
          <w:numId w:val="0"/>
        </w:numPr>
        <w:tabs>
          <w:tab w:val="left" w:pos="454"/>
          <w:tab w:val="left" w:pos="720"/>
        </w:tabs>
        <w:spacing w:before="156" w:beforeLines="50"/>
        <w:ind w:firstLine="472" w:firstLineChars="196"/>
        <w:rPr>
          <w:rFonts w:ascii="宋体" w:hAnsi="宋体" w:eastAsia="宋体" w:cs="宋体"/>
          <w:b/>
          <w:sz w:val="24"/>
          <w:highlight w:val="none"/>
        </w:rPr>
      </w:pPr>
      <w:r>
        <w:rPr>
          <w:rFonts w:hint="eastAsia" w:ascii="宋体" w:hAnsi="宋体" w:eastAsia="宋体" w:cs="宋体"/>
          <w:b/>
          <w:sz w:val="24"/>
          <w:highlight w:val="none"/>
        </w:rPr>
        <w:t>6、投标文件的有效期</w:t>
      </w:r>
    </w:p>
    <w:p>
      <w:pPr>
        <w:pStyle w:val="16"/>
        <w:numPr>
          <w:ilvl w:val="0"/>
          <w:numId w:val="0"/>
        </w:numPr>
        <w:tabs>
          <w:tab w:val="left" w:pos="454"/>
          <w:tab w:val="left" w:pos="720"/>
        </w:tabs>
        <w:ind w:firstLine="480" w:firstLineChars="200"/>
        <w:rPr>
          <w:rFonts w:ascii="宋体" w:hAnsi="宋体" w:eastAsia="宋体" w:cs="宋体"/>
          <w:sz w:val="24"/>
          <w:highlight w:val="none"/>
        </w:rPr>
      </w:pPr>
      <w:r>
        <w:rPr>
          <w:rFonts w:hint="eastAsia" w:ascii="宋体" w:hAnsi="宋体" w:eastAsia="宋体"/>
          <w:kern w:val="0"/>
          <w:sz w:val="24"/>
          <w:highlight w:val="none"/>
        </w:rPr>
        <w:t>（1）</w:t>
      </w:r>
      <w:r>
        <w:rPr>
          <w:rFonts w:hint="eastAsia" w:ascii="宋体" w:hAnsi="宋体" w:eastAsia="宋体" w:cs="宋体"/>
          <w:sz w:val="24"/>
          <w:highlight w:val="none"/>
        </w:rPr>
        <w:t>自投标截止日起</w:t>
      </w:r>
      <w:r>
        <w:rPr>
          <w:rFonts w:ascii="宋体" w:hAnsi="宋体" w:eastAsia="宋体" w:cs="宋体"/>
          <w:sz w:val="24"/>
          <w:highlight w:val="none"/>
          <w:u w:val="single"/>
        </w:rPr>
        <w:t>90</w:t>
      </w:r>
      <w:r>
        <w:rPr>
          <w:rFonts w:hint="eastAsia" w:ascii="宋体" w:hAnsi="宋体" w:eastAsia="宋体" w:cs="宋体"/>
          <w:sz w:val="24"/>
          <w:highlight w:val="none"/>
        </w:rPr>
        <w:t>天内投标文件应保持有效。有效期不足的投标文件将被拒绝。</w:t>
      </w:r>
    </w:p>
    <w:p>
      <w:pPr>
        <w:pStyle w:val="16"/>
        <w:numPr>
          <w:ilvl w:val="0"/>
          <w:numId w:val="0"/>
        </w:numPr>
        <w:tabs>
          <w:tab w:val="left" w:pos="454"/>
          <w:tab w:val="left" w:pos="720"/>
        </w:tabs>
        <w:ind w:firstLine="480" w:firstLineChars="200"/>
        <w:rPr>
          <w:rFonts w:ascii="宋体" w:hAnsi="宋体" w:eastAsia="宋体" w:cs="宋体"/>
          <w:sz w:val="24"/>
          <w:highlight w:val="none"/>
        </w:rPr>
      </w:pPr>
      <w:r>
        <w:rPr>
          <w:rFonts w:hint="eastAsia" w:ascii="宋体" w:hAnsi="宋体" w:eastAsia="宋体"/>
          <w:kern w:val="0"/>
          <w:sz w:val="24"/>
          <w:highlight w:val="none"/>
        </w:rPr>
        <w:t>（2）</w:t>
      </w:r>
      <w:r>
        <w:rPr>
          <w:rFonts w:hint="eastAsia" w:ascii="宋体" w:hAnsi="宋体" w:eastAsia="宋体" w:cs="宋体"/>
          <w:sz w:val="24"/>
          <w:highlight w:val="none"/>
        </w:rPr>
        <w:t>在特殊情况下，招标人可与投标人协商延长投标书的有效期，这种要求和答复均以书面形式进行。</w:t>
      </w:r>
    </w:p>
    <w:p>
      <w:pPr>
        <w:snapToGrid w:val="0"/>
        <w:ind w:firstLine="480" w:firstLineChars="200"/>
        <w:jc w:val="left"/>
        <w:outlineLvl w:val="0"/>
        <w:rPr>
          <w:rFonts w:ascii="宋体" w:cs="宋体"/>
          <w:b/>
          <w:sz w:val="24"/>
          <w:highlight w:val="none"/>
        </w:rPr>
      </w:pPr>
      <w:r>
        <w:rPr>
          <w:rFonts w:hint="eastAsia" w:ascii="宋体" w:hAnsi="宋体"/>
          <w:kern w:val="0"/>
          <w:sz w:val="24"/>
          <w:highlight w:val="none"/>
        </w:rPr>
        <w:t>（3）</w:t>
      </w:r>
      <w:r>
        <w:rPr>
          <w:rFonts w:hint="eastAsia" w:ascii="宋体" w:hAnsi="宋体" w:cs="宋体"/>
          <w:sz w:val="24"/>
          <w:highlight w:val="none"/>
        </w:rPr>
        <w:t>延长有效期内投标人不能修改投标文件。</w:t>
      </w:r>
      <w:r>
        <w:rPr>
          <w:rFonts w:ascii="宋体" w:hAnsi="宋体" w:cs="宋体"/>
          <w:b/>
          <w:sz w:val="24"/>
          <w:highlight w:val="none"/>
        </w:rPr>
        <w:t xml:space="preserve"> </w:t>
      </w:r>
    </w:p>
    <w:p>
      <w:pPr>
        <w:snapToGrid w:val="0"/>
        <w:ind w:firstLine="480" w:firstLineChars="200"/>
        <w:jc w:val="left"/>
        <w:outlineLvl w:val="0"/>
        <w:rPr>
          <w:rFonts w:ascii="宋体" w:hAnsi="宋体" w:cs="宋体"/>
          <w:b/>
          <w:sz w:val="24"/>
          <w:highlight w:val="none"/>
        </w:rPr>
      </w:pPr>
      <w:r>
        <w:rPr>
          <w:rFonts w:hint="eastAsia" w:ascii="宋体" w:hAnsi="宋体"/>
          <w:kern w:val="0"/>
          <w:sz w:val="24"/>
          <w:highlight w:val="none"/>
        </w:rPr>
        <w:t>（4）</w:t>
      </w:r>
      <w:r>
        <w:rPr>
          <w:rFonts w:hint="eastAsia" w:ascii="宋体" w:hAnsi="宋体" w:cs="宋体"/>
          <w:sz w:val="24"/>
          <w:highlight w:val="none"/>
        </w:rPr>
        <w:t>中标人的投标文件自开标之日起至合同履行完毕止均应保持有效。</w:t>
      </w:r>
    </w:p>
    <w:p>
      <w:pPr>
        <w:snapToGrid w:val="0"/>
        <w:spacing w:before="156" w:beforeLines="50"/>
        <w:jc w:val="left"/>
        <w:outlineLvl w:val="0"/>
        <w:rPr>
          <w:rFonts w:ascii="宋体" w:cs="宋体"/>
          <w:b/>
          <w:sz w:val="24"/>
          <w:highlight w:val="none"/>
        </w:rPr>
      </w:pPr>
      <w:r>
        <w:rPr>
          <w:rFonts w:hint="eastAsia" w:ascii="宋体" w:hAnsi="宋体" w:cs="宋体"/>
          <w:b/>
          <w:sz w:val="24"/>
          <w:highlight w:val="none"/>
        </w:rPr>
        <w:t>四、投标保证金</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不收取投标保证金</w:t>
      </w:r>
      <w:r>
        <w:rPr>
          <w:rFonts w:ascii="宋体" w:hAnsi="宋体" w:cs="宋体"/>
          <w:sz w:val="24"/>
          <w:highlight w:val="none"/>
        </w:rPr>
        <w:t>。</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中标人应在中标通知书发出后30日内与采购人签订合同并在签订合同前提交履约保证金给采购人。如提供现金的，履约保证金账户由招标人(采购人)提供。</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但投标人有下列情形之一的，将视情节轻重予以处罚（处罚措施由招标人合理确定，若给招标人造成损失的，须承担所有损失赔偿，</w:t>
      </w:r>
      <w:r>
        <w:rPr>
          <w:rFonts w:hint="eastAsia" w:ascii="_5b8b_4f53" w:hAnsi="_5b8b_4f53" w:cs="宋体"/>
          <w:kern w:val="0"/>
          <w:sz w:val="24"/>
          <w:highlight w:val="none"/>
        </w:rPr>
        <w:t>并上报采购监管机构进行处理</w:t>
      </w:r>
      <w:r>
        <w:rPr>
          <w:rFonts w:hint="eastAsia" w:ascii="宋体" w:hAnsi="宋体" w:cs="宋体"/>
          <w:sz w:val="24"/>
          <w:highlight w:val="none"/>
        </w:rPr>
        <w:t>）。</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sz w:val="24"/>
          <w:highlight w:val="none"/>
        </w:rPr>
        <w:t>投标人在截止时间后至投标有效期内无故撤回投标文件</w:t>
      </w:r>
      <w:r>
        <w:rPr>
          <w:rFonts w:hint="eastAsia" w:ascii="宋体" w:hAnsi="宋体" w:cs="宋体"/>
          <w:kern w:val="0"/>
          <w:sz w:val="24"/>
          <w:highlight w:val="none"/>
        </w:rPr>
        <w:t>或放弃中标资格的</w:t>
      </w:r>
      <w:r>
        <w:rPr>
          <w:rFonts w:hint="eastAsia" w:ascii="宋体" w:hAnsi="宋体" w:cs="宋体"/>
          <w:sz w:val="24"/>
          <w:highlight w:val="none"/>
        </w:rPr>
        <w:t>；</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（2）投标人在投标过程中弄虚作假，提供虚假材料的；</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（3）</w:t>
      </w:r>
      <w:r>
        <w:rPr>
          <w:rFonts w:hint="eastAsia" w:ascii="宋体" w:hAnsi="宋体"/>
          <w:bCs/>
          <w:sz w:val="24"/>
          <w:highlight w:val="none"/>
        </w:rPr>
        <w:t>与采购人另行订立背离合同实质性内容的协议的</w:t>
      </w:r>
      <w:r>
        <w:rPr>
          <w:rFonts w:hint="eastAsia" w:ascii="宋体" w:hAnsi="宋体" w:cs="宋体"/>
          <w:sz w:val="24"/>
          <w:highlight w:val="none"/>
        </w:rPr>
        <w:t>；</w:t>
      </w:r>
    </w:p>
    <w:p>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（4）将中标项目转让或违规分包给他人；</w:t>
      </w:r>
    </w:p>
    <w:p>
      <w:pPr>
        <w:snapToGrid w:val="0"/>
        <w:ind w:firstLine="480" w:firstLineChars="200"/>
        <w:jc w:val="left"/>
        <w:outlineLvl w:val="0"/>
        <w:rPr>
          <w:rFonts w:ascii="宋体" w:hAnsi="宋体"/>
          <w:bCs/>
          <w:sz w:val="24"/>
          <w:highlight w:val="none"/>
        </w:rPr>
      </w:pPr>
      <w:r>
        <w:rPr>
          <w:rFonts w:hint="eastAsia" w:ascii="宋体" w:hAnsi="宋体" w:cs="宋体"/>
          <w:sz w:val="24"/>
          <w:highlight w:val="none"/>
        </w:rPr>
        <w:t>（5）</w:t>
      </w:r>
      <w:r>
        <w:rPr>
          <w:rFonts w:hint="eastAsia" w:ascii="宋体" w:hAnsi="宋体"/>
          <w:bCs/>
          <w:sz w:val="24"/>
          <w:highlight w:val="none"/>
        </w:rPr>
        <w:t>除因不可抗力或招标文件认可的情形以外，中标供应商不与采购人签订合同或拒绝履行合同义务的；</w:t>
      </w:r>
    </w:p>
    <w:p>
      <w:pPr>
        <w:snapToGrid w:val="0"/>
        <w:ind w:firstLine="480" w:firstLineChars="200"/>
        <w:jc w:val="left"/>
        <w:outlineLvl w:val="0"/>
        <w:rPr>
          <w:rFonts w:ascii="宋体" w:hAnsi="宋体"/>
          <w:bCs/>
          <w:sz w:val="24"/>
          <w:highlight w:val="none"/>
        </w:rPr>
      </w:pPr>
      <w:r>
        <w:rPr>
          <w:rFonts w:hint="eastAsia" w:ascii="宋体" w:hAnsi="宋体"/>
          <w:bCs/>
          <w:sz w:val="24"/>
          <w:highlight w:val="none"/>
        </w:rPr>
        <w:t>（6）供应商与采购人、其他供应商或者采购组织机构恶意串通的；</w:t>
      </w:r>
    </w:p>
    <w:p>
      <w:pPr>
        <w:snapToGrid w:val="0"/>
        <w:ind w:firstLine="480" w:firstLineChars="200"/>
        <w:rPr>
          <w:rFonts w:ascii="宋体" w:hAnsi="宋体" w:cs="宋体"/>
          <w:sz w:val="24"/>
          <w:highlight w:val="none"/>
        </w:rPr>
      </w:pPr>
      <w:r>
        <w:rPr>
          <w:rFonts w:hint="eastAsia" w:ascii="宋体" w:hAnsi="宋体"/>
          <w:bCs/>
          <w:sz w:val="24"/>
          <w:highlight w:val="none"/>
        </w:rPr>
        <w:t>（7）其他严重扰乱招投标程序的，法律、法规明确规定的其他行为。</w:t>
      </w:r>
    </w:p>
    <w:p>
      <w:pPr>
        <w:snapToGrid w:val="0"/>
        <w:jc w:val="left"/>
        <w:rPr>
          <w:rFonts w:ascii="宋体" w:hAnsi="宋体"/>
          <w:b/>
          <w:kern w:val="0"/>
          <w:sz w:val="24"/>
          <w:highlight w:val="none"/>
        </w:rPr>
      </w:pPr>
      <w:r>
        <w:rPr>
          <w:rFonts w:hint="eastAsia" w:ascii="宋体" w:hAnsi="宋体"/>
          <w:b/>
          <w:kern w:val="0"/>
          <w:sz w:val="24"/>
          <w:highlight w:val="none"/>
        </w:rPr>
        <w:t>五、开标</w:t>
      </w:r>
    </w:p>
    <w:p>
      <w:pPr>
        <w:autoSpaceDE w:val="0"/>
        <w:autoSpaceDN w:val="0"/>
        <w:adjustRightInd w:val="0"/>
        <w:rPr>
          <w:rFonts w:ascii="宋体" w:hAnsi="宋体"/>
          <w:kern w:val="0"/>
          <w:sz w:val="24"/>
          <w:highlight w:val="none"/>
        </w:rPr>
      </w:pPr>
      <w:r>
        <w:rPr>
          <w:rFonts w:hint="eastAsia" w:ascii="宋体" w:hAnsi="宋体"/>
          <w:kern w:val="0"/>
          <w:sz w:val="24"/>
          <w:highlight w:val="none"/>
        </w:rPr>
        <w:t xml:space="preserve">    （一）开标事项</w:t>
      </w:r>
    </w:p>
    <w:p>
      <w:pPr>
        <w:autoSpaceDE w:val="0"/>
        <w:autoSpaceDN w:val="0"/>
        <w:adjustRightInd w:val="0"/>
        <w:ind w:firstLine="480" w:firstLineChars="200"/>
        <w:rPr>
          <w:rFonts w:ascii="宋体" w:hAnsi="宋体"/>
          <w:bCs/>
          <w:sz w:val="24"/>
          <w:highlight w:val="none"/>
        </w:rPr>
      </w:pPr>
      <w:r>
        <w:rPr>
          <w:rFonts w:hint="eastAsia" w:ascii="宋体" w:hAnsi="宋体"/>
          <w:kern w:val="0"/>
          <w:sz w:val="24"/>
          <w:highlight w:val="none"/>
        </w:rPr>
        <w:t>采购组织机构在“招标公告”规定的时间和地点公开开标，</w:t>
      </w:r>
      <w:r>
        <w:rPr>
          <w:rFonts w:hint="eastAsia" w:ascii="宋体" w:hAnsi="宋体" w:cs="宋体"/>
          <w:sz w:val="24"/>
          <w:highlight w:val="none"/>
        </w:rPr>
        <w:t>所有投标人均可不参加本项目现场开标。投标人未在规定时间参与开标过程的，视为放弃开标监督权利、认可开标结果。</w:t>
      </w:r>
    </w:p>
    <w:p>
      <w:pPr>
        <w:autoSpaceDE w:val="0"/>
        <w:autoSpaceDN w:val="0"/>
        <w:adjustRightInd w:val="0"/>
        <w:ind w:firstLine="480" w:firstLineChars="200"/>
        <w:rPr>
          <w:rFonts w:ascii="宋体" w:hAnsi="宋体"/>
          <w:kern w:val="0"/>
          <w:sz w:val="24"/>
          <w:highlight w:val="none"/>
        </w:rPr>
      </w:pPr>
      <w:r>
        <w:rPr>
          <w:rFonts w:hint="eastAsia" w:ascii="宋体" w:hAnsi="宋体"/>
          <w:bCs/>
          <w:sz w:val="24"/>
          <w:highlight w:val="none"/>
        </w:rPr>
        <w:t>在开标过程中如有异议，按规定出具加盖公章</w:t>
      </w:r>
      <w:r>
        <w:rPr>
          <w:rFonts w:hint="eastAsia" w:ascii="宋体" w:hAnsi="宋体"/>
          <w:b/>
          <w:bCs/>
          <w:kern w:val="0"/>
          <w:sz w:val="24"/>
          <w:highlight w:val="none"/>
        </w:rPr>
        <w:t>（或者由法定代理人或其授权的代表签字）</w:t>
      </w:r>
      <w:r>
        <w:rPr>
          <w:rFonts w:hint="eastAsia" w:ascii="宋体" w:hAnsi="宋体"/>
          <w:bCs/>
          <w:sz w:val="24"/>
          <w:highlight w:val="none"/>
        </w:rPr>
        <w:t>的质疑函的原件扫描件，原件也同时寄给或送至招标代理公司（或采购人）。在开标过程中如有澄清、无效标等，投标人也按上述方式进行操作。</w:t>
      </w:r>
    </w:p>
    <w:p>
      <w:pPr>
        <w:autoSpaceDE w:val="0"/>
        <w:autoSpaceDN w:val="0"/>
        <w:adjustRightInd w:val="0"/>
        <w:ind w:firstLine="480" w:firstLineChars="200"/>
        <w:rPr>
          <w:rFonts w:ascii="宋体" w:hAnsi="宋体" w:cs="宋体"/>
          <w:sz w:val="24"/>
          <w:highlight w:val="none"/>
        </w:rPr>
      </w:pPr>
      <w:r>
        <w:rPr>
          <w:rFonts w:hint="eastAsia" w:ascii="宋体" w:hAnsi="宋体" w:cs="宋体"/>
          <w:sz w:val="24"/>
          <w:highlight w:val="none"/>
        </w:rPr>
        <w:t>本次招标先开评资格证明文件、商务和技术文件，资格证明文件、商务和技术文件评审结束后再开评报价文件。</w:t>
      </w:r>
    </w:p>
    <w:p>
      <w:pPr>
        <w:ind w:firstLine="480" w:firstLineChars="200"/>
        <w:rPr>
          <w:rFonts w:ascii="宋体" w:hAnsi="宋体" w:cs="宋体"/>
          <w:sz w:val="24"/>
          <w:szCs w:val="32"/>
          <w:highlight w:val="none"/>
        </w:rPr>
      </w:pPr>
      <w:r>
        <w:rPr>
          <w:rFonts w:hint="eastAsia" w:ascii="宋体" w:hAnsi="宋体" w:cs="宋体"/>
          <w:sz w:val="24"/>
          <w:szCs w:val="32"/>
          <w:highlight w:val="none"/>
        </w:rPr>
        <w:t>采购过程中出现以下情形，导致电子交易平台无法正常运行，或者无法保证电子交易的公平、公正和安全时，采购组织机构可中止电子交易活动：</w:t>
      </w:r>
    </w:p>
    <w:p>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（1）电子交易平台发生故障而无法登录访问的； </w:t>
      </w:r>
    </w:p>
    <w:p>
      <w:pPr>
        <w:ind w:firstLine="480" w:firstLineChars="200"/>
        <w:rPr>
          <w:rFonts w:ascii="宋体" w:hAnsi="宋体" w:cs="宋体"/>
          <w:sz w:val="24"/>
          <w:szCs w:val="32"/>
          <w:highlight w:val="none"/>
        </w:rPr>
      </w:pPr>
      <w:r>
        <w:rPr>
          <w:rFonts w:hint="eastAsia" w:ascii="宋体" w:hAnsi="宋体" w:cs="宋体"/>
          <w:sz w:val="24"/>
          <w:szCs w:val="32"/>
          <w:highlight w:val="none"/>
        </w:rPr>
        <w:t>（2）电子交易平台应用或数据库出现错误，不能进行正常操作的；</w:t>
      </w:r>
    </w:p>
    <w:p>
      <w:pPr>
        <w:ind w:firstLine="480" w:firstLineChars="200"/>
        <w:rPr>
          <w:rFonts w:ascii="宋体" w:hAnsi="宋体" w:cs="宋体"/>
          <w:sz w:val="24"/>
          <w:szCs w:val="32"/>
          <w:highlight w:val="none"/>
        </w:rPr>
      </w:pPr>
      <w:r>
        <w:rPr>
          <w:rFonts w:hint="eastAsia" w:ascii="宋体" w:hAnsi="宋体" w:cs="宋体"/>
          <w:sz w:val="24"/>
          <w:szCs w:val="32"/>
          <w:highlight w:val="none"/>
        </w:rPr>
        <w:t>（3）电子交易平台发现严重安全漏洞，有潜在泄密危险的；</w:t>
      </w:r>
    </w:p>
    <w:p>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（4）病毒发作导致不能进行正常操作的； </w:t>
      </w:r>
    </w:p>
    <w:p>
      <w:pPr>
        <w:ind w:firstLine="480" w:firstLineChars="200"/>
        <w:rPr>
          <w:rFonts w:ascii="宋体" w:hAnsi="宋体" w:cs="宋体"/>
          <w:sz w:val="24"/>
          <w:szCs w:val="32"/>
          <w:highlight w:val="none"/>
        </w:rPr>
      </w:pPr>
      <w:r>
        <w:rPr>
          <w:rFonts w:hint="eastAsia" w:ascii="宋体" w:hAnsi="宋体" w:cs="宋体"/>
          <w:sz w:val="24"/>
          <w:szCs w:val="32"/>
          <w:highlight w:val="none"/>
        </w:rPr>
        <w:t>（5）其他无法保证电子交易的公平、公正和安全的情况。</w:t>
      </w:r>
    </w:p>
    <w:p>
      <w:pPr>
        <w:pStyle w:val="95"/>
        <w:rPr>
          <w:highlight w:val="none"/>
        </w:rPr>
      </w:pPr>
      <w:r>
        <w:rPr>
          <w:rFonts w:hint="eastAsia" w:ascii="宋体" w:hAnsi="宋体" w:cs="宋体"/>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utoSpaceDE w:val="0"/>
        <w:autoSpaceDN w:val="0"/>
        <w:adjustRightInd w:val="0"/>
        <w:ind w:firstLine="480" w:firstLineChars="200"/>
        <w:rPr>
          <w:rFonts w:ascii="宋体" w:hAnsi="宋体"/>
          <w:bCs/>
          <w:sz w:val="24"/>
          <w:highlight w:val="none"/>
        </w:rPr>
      </w:pPr>
      <w:r>
        <w:rPr>
          <w:rFonts w:ascii="宋体" w:hAnsi="宋体"/>
          <w:bCs/>
          <w:sz w:val="24"/>
          <w:highlight w:val="none"/>
        </w:rPr>
        <w:t>（二） 开</w:t>
      </w:r>
      <w:r>
        <w:rPr>
          <w:rFonts w:hint="eastAsia" w:ascii="宋体" w:hAnsi="宋体"/>
          <w:bCs/>
          <w:sz w:val="24"/>
          <w:highlight w:val="none"/>
        </w:rPr>
        <w:t>标</w:t>
      </w:r>
      <w:r>
        <w:rPr>
          <w:rFonts w:ascii="宋体" w:hAnsi="宋体"/>
          <w:bCs/>
          <w:sz w:val="24"/>
          <w:highlight w:val="none"/>
        </w:rPr>
        <w:t>程序：</w:t>
      </w:r>
    </w:p>
    <w:p>
      <w:pPr>
        <w:ind w:firstLine="480" w:firstLineChars="200"/>
        <w:rPr>
          <w:rFonts w:ascii="宋体" w:hAnsi="宋体" w:cs="宋体"/>
          <w:sz w:val="24"/>
          <w:szCs w:val="32"/>
          <w:highlight w:val="none"/>
        </w:rPr>
      </w:pPr>
      <w:r>
        <w:rPr>
          <w:rFonts w:hint="eastAsia" w:ascii="宋体" w:hAnsi="宋体" w:cs="宋体"/>
          <w:sz w:val="24"/>
          <w:szCs w:val="32"/>
          <w:highlight w:val="none"/>
        </w:rPr>
        <w:t>1、</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参加在线</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，同时投标供应商因未在线参加开标而导致投标文件无法按时解密等一切后果由供应商自行承担</w:t>
      </w:r>
      <w:r>
        <w:rPr>
          <w:rFonts w:hint="eastAsia" w:ascii="宋体" w:hAnsi="宋体" w:cs="宋体"/>
          <w:sz w:val="24"/>
          <w:szCs w:val="32"/>
          <w:highlight w:val="none"/>
        </w:rPr>
        <w:t>；</w:t>
      </w:r>
    </w:p>
    <w:p>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2、主持人介绍参加开标会的人员名单； </w:t>
      </w:r>
    </w:p>
    <w:p>
      <w:pPr>
        <w:ind w:firstLine="480" w:firstLineChars="200"/>
        <w:rPr>
          <w:rFonts w:ascii="宋体" w:hAnsi="宋体" w:cs="宋体"/>
          <w:sz w:val="24"/>
          <w:szCs w:val="32"/>
          <w:highlight w:val="none"/>
        </w:rPr>
      </w:pPr>
      <w:r>
        <w:rPr>
          <w:rFonts w:hint="eastAsia" w:ascii="宋体" w:hAnsi="宋体" w:cs="宋体"/>
          <w:sz w:val="24"/>
          <w:szCs w:val="32"/>
          <w:highlight w:val="none"/>
        </w:rPr>
        <w:t>3、主持人宣布评标期间的有关注意事项；</w:t>
      </w:r>
    </w:p>
    <w:p>
      <w:pPr>
        <w:ind w:firstLine="480" w:firstLineChars="200"/>
        <w:rPr>
          <w:rFonts w:ascii="宋体" w:hAnsi="宋体" w:cs="宋体"/>
          <w:sz w:val="24"/>
          <w:szCs w:val="32"/>
          <w:highlight w:val="none"/>
        </w:rPr>
      </w:pPr>
      <w:r>
        <w:rPr>
          <w:rFonts w:hint="eastAsia" w:ascii="宋体" w:hAnsi="宋体" w:cs="宋体"/>
          <w:sz w:val="24"/>
          <w:szCs w:val="32"/>
          <w:highlight w:val="none"/>
        </w:rPr>
        <w:t>4、向各投标人发出电子加密投标文件【开始解密】通知，由投标人按招标文件规定的时间内</w:t>
      </w:r>
      <w:r>
        <w:rPr>
          <w:rFonts w:hint="eastAsia" w:ascii="宋体" w:hAnsi="宋体" w:cs="宋体"/>
          <w:b/>
          <w:bCs/>
          <w:sz w:val="24"/>
          <w:szCs w:val="32"/>
          <w:highlight w:val="none"/>
        </w:rPr>
        <w:t>（30分钟内）</w:t>
      </w:r>
      <w:r>
        <w:rPr>
          <w:rFonts w:hint="eastAsia" w:ascii="宋体" w:hAnsi="宋体" w:cs="宋体"/>
          <w:sz w:val="24"/>
          <w:szCs w:val="32"/>
          <w:highlight w:val="none"/>
        </w:rPr>
        <w:t>自行进行投标文件解密。投标文件的制作和解密应使用同一个数字证书，否则将可能解密失败。</w:t>
      </w:r>
      <w:r>
        <w:rPr>
          <w:rFonts w:hint="eastAsia" w:ascii="宋体" w:hAnsi="宋体" w:cs="宋体"/>
          <w:sz w:val="24"/>
          <w:highlight w:val="none"/>
        </w:rPr>
        <w:t>投标文件解密结束，供应商通过邮件形式将经授权代表或法定代表人签署的《政府采购活动现场确认声明书》（</w:t>
      </w:r>
      <w:r>
        <w:rPr>
          <w:rFonts w:hint="eastAsia" w:ascii="宋体" w:hAnsi="宋体" w:cs="宋体"/>
          <w:b/>
          <w:bCs/>
          <w:sz w:val="24"/>
          <w:highlight w:val="none"/>
        </w:rPr>
        <w:t>格式见附件</w:t>
      </w:r>
      <w:r>
        <w:rPr>
          <w:rFonts w:hint="eastAsia" w:ascii="宋体" w:hAnsi="宋体" w:cs="宋体"/>
          <w:sz w:val="24"/>
          <w:highlight w:val="none"/>
        </w:rPr>
        <w:t>）的扫描件或（图片）发至代理机构经办人邮箱（邮箱地址：464178749@qq.com）。</w:t>
      </w:r>
    </w:p>
    <w:p>
      <w:pPr>
        <w:ind w:firstLine="480" w:firstLineChars="200"/>
        <w:rPr>
          <w:rFonts w:ascii="宋体" w:hAnsi="宋体" w:cs="宋体"/>
          <w:sz w:val="24"/>
          <w:szCs w:val="32"/>
          <w:highlight w:val="none"/>
        </w:rPr>
      </w:pPr>
      <w:r>
        <w:rPr>
          <w:rFonts w:hint="eastAsia" w:ascii="宋体" w:hAnsi="宋体" w:cs="宋体"/>
          <w:sz w:val="24"/>
          <w:szCs w:val="32"/>
          <w:highlight w:val="none"/>
        </w:rPr>
        <w:t>5、采购组织机构点击【开启标书信息】，开启标书成功后进入开标流程。</w:t>
      </w:r>
    </w:p>
    <w:p>
      <w:pPr>
        <w:ind w:firstLine="480" w:firstLineChars="200"/>
        <w:rPr>
          <w:rFonts w:ascii="宋体" w:hAnsi="宋体" w:cs="宋体"/>
          <w:sz w:val="24"/>
          <w:szCs w:val="32"/>
          <w:highlight w:val="none"/>
        </w:rPr>
      </w:pPr>
      <w:r>
        <w:rPr>
          <w:rFonts w:hint="eastAsia" w:ascii="宋体" w:hAnsi="宋体" w:cs="宋体"/>
          <w:sz w:val="24"/>
          <w:szCs w:val="32"/>
          <w:highlight w:val="none"/>
        </w:rPr>
        <w:t>6、</w:t>
      </w:r>
      <w:r>
        <w:rPr>
          <w:rFonts w:hint="eastAsia" w:ascii="宋体" w:hAnsi="宋体" w:cs="宋体"/>
          <w:sz w:val="24"/>
          <w:highlight w:val="none"/>
        </w:rPr>
        <w:t>资格证明文件、商务和技术文件</w:t>
      </w:r>
      <w:r>
        <w:rPr>
          <w:rFonts w:hint="eastAsia" w:ascii="宋体" w:hAnsi="宋体" w:cs="宋体"/>
          <w:sz w:val="24"/>
          <w:szCs w:val="32"/>
          <w:highlight w:val="none"/>
        </w:rPr>
        <w:t>评审；</w:t>
      </w:r>
    </w:p>
    <w:p>
      <w:pPr>
        <w:ind w:firstLine="480" w:firstLineChars="200"/>
        <w:rPr>
          <w:rFonts w:ascii="宋体" w:hAnsi="宋体" w:cs="宋体"/>
          <w:sz w:val="24"/>
          <w:szCs w:val="32"/>
          <w:highlight w:val="none"/>
        </w:rPr>
      </w:pPr>
      <w:r>
        <w:rPr>
          <w:rFonts w:hint="eastAsia" w:ascii="宋体" w:hAnsi="宋体" w:cs="宋体"/>
          <w:sz w:val="24"/>
          <w:szCs w:val="32"/>
          <w:highlight w:val="none"/>
        </w:rPr>
        <w:t>7、由主持人公布无效投标的投标人名单、投标无效的原因及其他有效投标的评分汇总分；</w:t>
      </w:r>
    </w:p>
    <w:p>
      <w:pPr>
        <w:ind w:firstLine="480" w:firstLineChars="200"/>
        <w:rPr>
          <w:rFonts w:ascii="宋体" w:hAnsi="宋体" w:cs="宋体"/>
          <w:sz w:val="24"/>
          <w:szCs w:val="32"/>
          <w:highlight w:val="none"/>
        </w:rPr>
      </w:pPr>
      <w:r>
        <w:rPr>
          <w:rFonts w:hint="eastAsia" w:ascii="宋体" w:hAnsi="宋体" w:cs="宋体"/>
          <w:sz w:val="24"/>
          <w:szCs w:val="32"/>
          <w:highlight w:val="none"/>
        </w:rPr>
        <w:t>8、开启报价文件：采购代理机构成功开启报价文件后，方可查看各供应商报价情况，</w:t>
      </w:r>
      <w:r>
        <w:rPr>
          <w:rFonts w:hint="eastAsia" w:ascii="宋体" w:hAnsi="宋体" w:cs="Arial"/>
          <w:kern w:val="0"/>
          <w:sz w:val="24"/>
          <w:highlight w:val="none"/>
        </w:rPr>
        <w:t>同时当场制作开标记录表，</w:t>
      </w:r>
      <w:r>
        <w:rPr>
          <w:rFonts w:hint="eastAsia" w:ascii="宋体" w:hAnsi="宋体" w:cs="Arial"/>
          <w:kern w:val="0"/>
          <w:sz w:val="24"/>
          <w:highlight w:val="none"/>
          <w:u w:val="single"/>
        </w:rPr>
        <w:t>供应商通过政府采购平台线上签章</w:t>
      </w:r>
      <w:r>
        <w:rPr>
          <w:rFonts w:ascii="宋体" w:hAnsi="宋体" w:cs="Arial"/>
          <w:kern w:val="0"/>
          <w:sz w:val="24"/>
          <w:highlight w:val="none"/>
          <w:u w:val="single"/>
        </w:rPr>
        <w:t>确认</w:t>
      </w:r>
      <w:r>
        <w:rPr>
          <w:rFonts w:ascii="宋体" w:hAnsi="宋体" w:cs="Arial"/>
          <w:kern w:val="0"/>
          <w:sz w:val="24"/>
          <w:highlight w:val="none"/>
        </w:rPr>
        <w:t>（不予确认的应说明理由，否则视为无异议）</w:t>
      </w:r>
      <w:r>
        <w:rPr>
          <w:rFonts w:hint="eastAsia" w:ascii="宋体" w:hAnsi="宋体" w:cs="宋体"/>
          <w:sz w:val="24"/>
          <w:szCs w:val="32"/>
          <w:highlight w:val="none"/>
        </w:rPr>
        <w:t>。</w:t>
      </w:r>
    </w:p>
    <w:p>
      <w:pPr>
        <w:ind w:firstLine="480" w:firstLineChars="200"/>
        <w:rPr>
          <w:rFonts w:ascii="宋体" w:hAnsi="宋体" w:cs="宋体"/>
          <w:sz w:val="24"/>
          <w:szCs w:val="32"/>
          <w:highlight w:val="none"/>
        </w:rPr>
      </w:pPr>
      <w:r>
        <w:rPr>
          <w:rFonts w:hint="eastAsia" w:ascii="宋体" w:hAnsi="宋体" w:cs="宋体"/>
          <w:sz w:val="24"/>
          <w:szCs w:val="32"/>
          <w:highlight w:val="none"/>
        </w:rPr>
        <w:t>9、报价文件评审；</w:t>
      </w:r>
    </w:p>
    <w:p>
      <w:pPr>
        <w:ind w:firstLine="480" w:firstLineChars="200"/>
        <w:rPr>
          <w:rFonts w:ascii="宋体" w:hAnsi="宋体" w:cs="宋体"/>
          <w:sz w:val="24"/>
          <w:szCs w:val="32"/>
          <w:highlight w:val="none"/>
        </w:rPr>
      </w:pPr>
      <w:r>
        <w:rPr>
          <w:rFonts w:hint="eastAsia" w:ascii="宋体" w:hAnsi="宋体" w:cs="宋体"/>
          <w:sz w:val="24"/>
          <w:szCs w:val="32"/>
          <w:highlight w:val="none"/>
        </w:rPr>
        <w:t>10、由主持人公布无效投标的投标人名单、投标无效的原因及其他有效投标的报价文件得分；</w:t>
      </w:r>
    </w:p>
    <w:p>
      <w:pPr>
        <w:pStyle w:val="37"/>
        <w:snapToGrid w:val="0"/>
        <w:ind w:firstLine="480" w:firstLineChars="200"/>
        <w:rPr>
          <w:rFonts w:hAnsi="宋体" w:cs="宋体"/>
          <w:sz w:val="24"/>
          <w:szCs w:val="32"/>
          <w:highlight w:val="none"/>
        </w:rPr>
      </w:pPr>
      <w:r>
        <w:rPr>
          <w:rFonts w:hint="eastAsia" w:hAnsi="宋体" w:cs="宋体"/>
          <w:sz w:val="24"/>
          <w:szCs w:val="32"/>
          <w:highlight w:val="none"/>
        </w:rPr>
        <w:t>11、</w:t>
      </w:r>
      <w:r>
        <w:rPr>
          <w:rFonts w:hint="eastAsia" w:hAnsi="宋体"/>
          <w:sz w:val="24"/>
          <w:szCs w:val="24"/>
          <w:highlight w:val="none"/>
        </w:rPr>
        <w:t>在完成评标后，宣布评标结果，开标会议结束</w:t>
      </w:r>
      <w:r>
        <w:rPr>
          <w:rFonts w:hint="eastAsia" w:hAnsi="宋体" w:cs="宋体"/>
          <w:sz w:val="24"/>
          <w:szCs w:val="32"/>
          <w:highlight w:val="none"/>
        </w:rPr>
        <w:t>。</w:t>
      </w:r>
    </w:p>
    <w:p>
      <w:pPr>
        <w:snapToGrid w:val="0"/>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特别说明：如政府采购云平台如对电子化开标及评审程序有调整的，按调整后的程序操作。</w:t>
      </w:r>
    </w:p>
    <w:p>
      <w:pPr>
        <w:pStyle w:val="37"/>
        <w:snapToGrid w:val="0"/>
        <w:outlineLvl w:val="1"/>
        <w:rPr>
          <w:rFonts w:hAnsi="宋体"/>
          <w:b/>
          <w:sz w:val="24"/>
          <w:szCs w:val="24"/>
          <w:highlight w:val="none"/>
        </w:rPr>
      </w:pPr>
      <w:r>
        <w:rPr>
          <w:rFonts w:hint="eastAsia" w:hAnsi="宋体"/>
          <w:b/>
          <w:sz w:val="24"/>
          <w:szCs w:val="24"/>
          <w:highlight w:val="none"/>
        </w:rPr>
        <w:t>六、评标</w:t>
      </w:r>
    </w:p>
    <w:p>
      <w:pPr>
        <w:pStyle w:val="37"/>
        <w:snapToGrid w:val="0"/>
        <w:ind w:firstLine="480" w:firstLineChars="200"/>
        <w:rPr>
          <w:rFonts w:hAnsi="宋体"/>
          <w:b/>
          <w:sz w:val="24"/>
          <w:szCs w:val="24"/>
          <w:highlight w:val="none"/>
        </w:rPr>
      </w:pPr>
      <w:r>
        <w:rPr>
          <w:rFonts w:hint="eastAsia" w:hAnsi="宋体" w:cs="宋体"/>
          <w:sz w:val="24"/>
          <w:szCs w:val="32"/>
          <w:highlight w:val="none"/>
        </w:rPr>
        <w:t>本项目采用不公开方式评标，评标的依据为招标文件和投标文件。本项目采用电子评审方法，</w:t>
      </w:r>
      <w:r>
        <w:rPr>
          <w:rFonts w:hint="eastAsia" w:hAnsi="宋体" w:cs="宋体"/>
          <w:sz w:val="24"/>
          <w:szCs w:val="24"/>
          <w:highlight w:val="none"/>
          <w:lang w:val="zh-CN"/>
        </w:rPr>
        <w:t>因</w:t>
      </w:r>
      <w:r>
        <w:rPr>
          <w:rFonts w:hint="eastAsia" w:hAnsi="宋体" w:cs="宋体"/>
          <w:sz w:val="24"/>
          <w:szCs w:val="32"/>
          <w:highlight w:val="none"/>
        </w:rPr>
        <w:t>政采云平台原因无法读取或电子开评标无法正常进行或</w:t>
      </w:r>
      <w:r>
        <w:rPr>
          <w:rFonts w:hint="eastAsia" w:hAnsi="宋体" w:cs="宋体"/>
          <w:sz w:val="24"/>
          <w:szCs w:val="24"/>
          <w:highlight w:val="none"/>
          <w:lang w:val="zh-CN"/>
        </w:rPr>
        <w:t>网络</w:t>
      </w:r>
      <w:r>
        <w:rPr>
          <w:rFonts w:hint="eastAsia" w:hAnsi="宋体" w:cs="宋体"/>
          <w:sz w:val="24"/>
          <w:szCs w:val="32"/>
          <w:highlight w:val="none"/>
        </w:rPr>
        <w:t>等问题</w:t>
      </w:r>
      <w:r>
        <w:rPr>
          <w:rFonts w:hint="eastAsia" w:hAnsi="宋体" w:cs="宋体"/>
          <w:sz w:val="24"/>
          <w:szCs w:val="24"/>
          <w:highlight w:val="none"/>
          <w:lang w:val="zh-CN"/>
        </w:rPr>
        <w:t>造成“电子加密投标文件”在规定时间内无法正常解密的，投标人提供了“备份投标文件”的，将由采购代理机构按“政府采购云平台”操作规范将“备份</w:t>
      </w:r>
      <w:r>
        <w:rPr>
          <w:rFonts w:hint="eastAsia" w:hAnsi="宋体" w:cs="宋体"/>
          <w:sz w:val="24"/>
          <w:szCs w:val="24"/>
          <w:highlight w:val="none"/>
        </w:rPr>
        <w:t>电子</w:t>
      </w:r>
      <w:r>
        <w:rPr>
          <w:rFonts w:hint="eastAsia" w:hAnsi="宋体" w:cs="宋体"/>
          <w:sz w:val="24"/>
          <w:szCs w:val="24"/>
          <w:highlight w:val="none"/>
          <w:lang w:val="zh-CN"/>
        </w:rPr>
        <w:t>投标文件”上传至“政府采购云平台”，完成解密。</w:t>
      </w:r>
      <w:r>
        <w:rPr>
          <w:rFonts w:hint="eastAsia" w:hAnsi="宋体" w:cs="宋体"/>
          <w:sz w:val="24"/>
          <w:szCs w:val="24"/>
          <w:highlight w:val="none"/>
        </w:rPr>
        <w:t>若因上述原因电子投标文件和电子备份投标文件均无法完成解密的，</w:t>
      </w:r>
      <w:r>
        <w:rPr>
          <w:rFonts w:hint="eastAsia" w:hAnsi="宋体" w:cs="宋体"/>
          <w:sz w:val="24"/>
          <w:szCs w:val="32"/>
          <w:highlight w:val="none"/>
        </w:rPr>
        <w:t>采购代理机构将开启投标人递交的纸质备份投标文件，以完成开、评标，</w:t>
      </w:r>
      <w:r>
        <w:rPr>
          <w:rFonts w:hint="eastAsia" w:hAnsi="宋体" w:cs="宋体"/>
          <w:sz w:val="24"/>
          <w:szCs w:val="24"/>
          <w:highlight w:val="none"/>
        </w:rPr>
        <w:t>电子投标文件和电子备份投标文件</w:t>
      </w:r>
      <w:r>
        <w:rPr>
          <w:rFonts w:hint="eastAsia" w:hAnsi="宋体" w:cs="宋体"/>
          <w:sz w:val="24"/>
          <w:szCs w:val="32"/>
          <w:highlight w:val="none"/>
        </w:rPr>
        <w:t>自动失效。</w:t>
      </w:r>
    </w:p>
    <w:p>
      <w:pPr>
        <w:pStyle w:val="37"/>
        <w:snapToGrid w:val="0"/>
        <w:ind w:left="720" w:leftChars="228" w:hanging="241" w:hangingChars="100"/>
        <w:rPr>
          <w:rFonts w:hAnsi="宋体"/>
          <w:b/>
          <w:sz w:val="24"/>
          <w:szCs w:val="24"/>
          <w:highlight w:val="none"/>
        </w:rPr>
      </w:pPr>
      <w:r>
        <w:rPr>
          <w:rFonts w:hAnsi="宋体"/>
          <w:b/>
          <w:sz w:val="24"/>
          <w:szCs w:val="24"/>
          <w:highlight w:val="none"/>
        </w:rPr>
        <w:t>（一）组建评标委员会</w:t>
      </w:r>
    </w:p>
    <w:p>
      <w:pPr>
        <w:pStyle w:val="37"/>
        <w:snapToGrid w:val="0"/>
        <w:ind w:firstLine="480" w:firstLineChars="200"/>
        <w:rPr>
          <w:rFonts w:hAnsi="宋体"/>
          <w:sz w:val="24"/>
          <w:szCs w:val="24"/>
          <w:highlight w:val="none"/>
        </w:rPr>
      </w:pPr>
      <w:r>
        <w:rPr>
          <w:rFonts w:hAnsi="宋体"/>
          <w:sz w:val="24"/>
          <w:szCs w:val="24"/>
          <w:highlight w:val="none"/>
        </w:rPr>
        <w:t>本项目评标委员会由政府采购评审专家</w:t>
      </w:r>
      <w:r>
        <w:rPr>
          <w:rFonts w:hint="eastAsia" w:hAnsi="宋体"/>
          <w:sz w:val="24"/>
          <w:szCs w:val="24"/>
          <w:highlight w:val="none"/>
        </w:rPr>
        <w:t>和采购单位评审代表</w:t>
      </w:r>
      <w:r>
        <w:rPr>
          <w:rFonts w:hAnsi="宋体"/>
          <w:sz w:val="24"/>
          <w:szCs w:val="24"/>
          <w:highlight w:val="none"/>
        </w:rPr>
        <w:t>组成</w:t>
      </w:r>
      <w:r>
        <w:rPr>
          <w:rFonts w:hint="eastAsia" w:hAnsi="宋体" w:cs="Arial"/>
          <w:sz w:val="24"/>
          <w:highlight w:val="none"/>
        </w:rPr>
        <w:t>，成员人数</w:t>
      </w:r>
      <w:r>
        <w:rPr>
          <w:rFonts w:hAnsi="宋体" w:cs="Arial"/>
          <w:sz w:val="24"/>
          <w:highlight w:val="none"/>
        </w:rPr>
        <w:t>为</w:t>
      </w:r>
      <w:r>
        <w:rPr>
          <w:rFonts w:hint="eastAsia" w:hAnsi="宋体" w:cs="Arial"/>
          <w:sz w:val="24"/>
          <w:highlight w:val="none"/>
        </w:rPr>
        <w:t>五</w:t>
      </w:r>
      <w:r>
        <w:rPr>
          <w:rFonts w:hAnsi="宋体" w:cs="Arial"/>
          <w:sz w:val="24"/>
          <w:highlight w:val="none"/>
        </w:rPr>
        <w:t>人</w:t>
      </w:r>
      <w:r>
        <w:rPr>
          <w:rFonts w:hint="eastAsia" w:hAnsi="宋体" w:cs="Arial"/>
          <w:sz w:val="24"/>
          <w:highlight w:val="none"/>
        </w:rPr>
        <w:t>或以上单数，其中评审专家不少于成员总数的三分之二</w:t>
      </w:r>
      <w:r>
        <w:rPr>
          <w:rFonts w:hAnsi="宋体"/>
          <w:sz w:val="24"/>
          <w:szCs w:val="24"/>
          <w:highlight w:val="none"/>
        </w:rPr>
        <w:t>。</w:t>
      </w:r>
    </w:p>
    <w:p>
      <w:pPr>
        <w:pStyle w:val="37"/>
        <w:snapToGrid w:val="0"/>
        <w:ind w:left="720" w:leftChars="228" w:hanging="241" w:hangingChars="100"/>
        <w:rPr>
          <w:rFonts w:hAnsi="宋体"/>
          <w:b/>
          <w:sz w:val="24"/>
          <w:szCs w:val="24"/>
          <w:highlight w:val="none"/>
        </w:rPr>
      </w:pPr>
      <w:r>
        <w:rPr>
          <w:rFonts w:hAnsi="宋体"/>
          <w:b/>
          <w:sz w:val="24"/>
          <w:szCs w:val="24"/>
          <w:highlight w:val="none"/>
        </w:rPr>
        <w:t>（</w:t>
      </w:r>
      <w:r>
        <w:rPr>
          <w:rFonts w:hint="eastAsia" w:hAnsi="宋体"/>
          <w:b/>
          <w:sz w:val="24"/>
          <w:szCs w:val="24"/>
          <w:highlight w:val="none"/>
        </w:rPr>
        <w:t>二</w:t>
      </w:r>
      <w:r>
        <w:rPr>
          <w:rFonts w:hAnsi="宋体"/>
          <w:b/>
          <w:sz w:val="24"/>
          <w:szCs w:val="24"/>
          <w:highlight w:val="none"/>
        </w:rPr>
        <w:t>）</w:t>
      </w:r>
      <w:r>
        <w:rPr>
          <w:rFonts w:hAnsi="宋体"/>
          <w:b/>
          <w:bCs/>
          <w:sz w:val="24"/>
          <w:szCs w:val="24"/>
          <w:highlight w:val="none"/>
        </w:rPr>
        <w:t>评标程序</w:t>
      </w:r>
    </w:p>
    <w:p>
      <w:pPr>
        <w:snapToGrid w:val="0"/>
        <w:ind w:firstLine="472" w:firstLineChars="196"/>
        <w:rPr>
          <w:rFonts w:ascii="宋体" w:hAnsi="宋体"/>
          <w:b/>
          <w:bCs/>
          <w:sz w:val="24"/>
          <w:highlight w:val="none"/>
        </w:rPr>
      </w:pPr>
      <w:r>
        <w:rPr>
          <w:rFonts w:hint="eastAsia" w:ascii="宋体" w:hAnsi="宋体"/>
          <w:b/>
          <w:bCs/>
          <w:sz w:val="24"/>
          <w:highlight w:val="none"/>
        </w:rPr>
        <w:t>1、资格</w:t>
      </w:r>
      <w:r>
        <w:rPr>
          <w:rFonts w:ascii="宋体" w:hAnsi="宋体"/>
          <w:b/>
          <w:bCs/>
          <w:sz w:val="24"/>
          <w:highlight w:val="none"/>
        </w:rPr>
        <w:t>审查</w:t>
      </w:r>
    </w:p>
    <w:p>
      <w:pPr>
        <w:pStyle w:val="69"/>
        <w:spacing w:before="0" w:beforeAutospacing="0" w:after="0" w:afterAutospacing="0"/>
        <w:ind w:firstLine="480" w:firstLineChars="200"/>
        <w:jc w:val="both"/>
        <w:rPr>
          <w:highlight w:val="none"/>
        </w:rPr>
      </w:pPr>
      <w:r>
        <w:rPr>
          <w:highlight w:val="none"/>
        </w:rPr>
        <w:t>公开招标采购项目开标结束后，采购人或者</w:t>
      </w:r>
      <w:r>
        <w:rPr>
          <w:rFonts w:hint="eastAsia"/>
          <w:highlight w:val="none"/>
        </w:rPr>
        <w:t>采购组织机构</w:t>
      </w:r>
      <w:r>
        <w:rPr>
          <w:highlight w:val="none"/>
        </w:rPr>
        <w:t>应当依法对投标人的资格进行审查</w:t>
      </w:r>
      <w:r>
        <w:rPr>
          <w:rFonts w:hint="eastAsia"/>
          <w:highlight w:val="none"/>
        </w:rPr>
        <w:t>，对审查发现无效的进行必要的询标，结束后公布无效投标的投标人名单、投标无效的原因</w:t>
      </w:r>
      <w:r>
        <w:rPr>
          <w:highlight w:val="none"/>
        </w:rPr>
        <w:t>。</w:t>
      </w:r>
    </w:p>
    <w:p>
      <w:pPr>
        <w:pStyle w:val="69"/>
        <w:spacing w:before="0" w:beforeAutospacing="0" w:after="0" w:afterAutospacing="0"/>
        <w:ind w:firstLine="472" w:firstLineChars="196"/>
        <w:jc w:val="both"/>
        <w:rPr>
          <w:b/>
          <w:bCs/>
          <w:highlight w:val="none"/>
        </w:rPr>
      </w:pPr>
      <w:r>
        <w:rPr>
          <w:b/>
          <w:bCs/>
          <w:highlight w:val="none"/>
        </w:rPr>
        <w:t>2、</w:t>
      </w:r>
      <w:r>
        <w:rPr>
          <w:rFonts w:hint="eastAsia"/>
          <w:b/>
          <w:bCs/>
          <w:highlight w:val="none"/>
        </w:rPr>
        <w:t>符合性</w:t>
      </w:r>
      <w:r>
        <w:rPr>
          <w:b/>
          <w:bCs/>
          <w:highlight w:val="none"/>
        </w:rPr>
        <w:t>审查</w:t>
      </w:r>
    </w:p>
    <w:p>
      <w:pPr>
        <w:pStyle w:val="69"/>
        <w:spacing w:before="0" w:beforeAutospacing="0" w:after="0" w:afterAutospacing="0"/>
        <w:ind w:firstLine="480" w:firstLineChars="200"/>
        <w:jc w:val="both"/>
        <w:rPr>
          <w:highlight w:val="none"/>
        </w:rPr>
      </w:pPr>
      <w:r>
        <w:rPr>
          <w:highlight w:val="none"/>
        </w:rPr>
        <w:t>评标委员会应当对符合资格的投标人的投标文件进行符合性审查，以确定其是否满足招标文件的实质性要求</w:t>
      </w:r>
      <w:r>
        <w:rPr>
          <w:rFonts w:hint="eastAsia"/>
          <w:highlight w:val="none"/>
        </w:rPr>
        <w:t>，对审查发现无效的进行必要的询标（投标人开标过程中先提供加盖公章（或者由法定代理人或其授权的代表签字）的扫描件（时间不超过30分钟），原件随后马上寄给招标代理公司（原件须与扫描件一致，否则视为弄虚作假）），结束后公布无效投标的投标人名单、投标无效的原因</w:t>
      </w:r>
      <w:r>
        <w:rPr>
          <w:highlight w:val="none"/>
        </w:rPr>
        <w:t>。</w:t>
      </w:r>
    </w:p>
    <w:p>
      <w:pPr>
        <w:pStyle w:val="69"/>
        <w:spacing w:before="0" w:beforeAutospacing="0" w:after="0" w:afterAutospacing="0"/>
        <w:ind w:firstLine="482" w:firstLineChars="200"/>
        <w:jc w:val="both"/>
        <w:rPr>
          <w:highlight w:val="none"/>
        </w:rPr>
      </w:pPr>
      <w:r>
        <w:rPr>
          <w:rFonts w:hint="eastAsia"/>
          <w:b/>
          <w:bCs/>
          <w:highlight w:val="none"/>
        </w:rPr>
        <w:t>3</w:t>
      </w:r>
      <w:r>
        <w:rPr>
          <w:b/>
          <w:bCs/>
          <w:highlight w:val="none"/>
        </w:rPr>
        <w:t>、</w:t>
      </w:r>
      <w:r>
        <w:rPr>
          <w:rFonts w:ascii="Arial" w:hAnsi="Arial" w:cs="Arial"/>
          <w:b/>
          <w:bCs/>
          <w:highlight w:val="none"/>
        </w:rPr>
        <w:t>综合比较与评价</w:t>
      </w:r>
    </w:p>
    <w:p>
      <w:pPr>
        <w:pStyle w:val="69"/>
        <w:spacing w:before="0" w:beforeAutospacing="0" w:after="0" w:afterAutospacing="0"/>
        <w:ind w:firstLine="360" w:firstLineChars="150"/>
        <w:jc w:val="both"/>
        <w:rPr>
          <w:highlight w:val="none"/>
        </w:rPr>
      </w:pPr>
      <w:r>
        <w:rPr>
          <w:highlight w:val="none"/>
        </w:rPr>
        <w:t>（</w:t>
      </w:r>
      <w:r>
        <w:rPr>
          <w:rFonts w:hint="eastAsia"/>
          <w:highlight w:val="none"/>
        </w:rPr>
        <w:t>1</w:t>
      </w:r>
      <w:r>
        <w:rPr>
          <w:highlight w:val="none"/>
        </w:rPr>
        <w:t>）对于投标文件中含义不明确、同类问题表述不一致或者有明显文字和计算错误的内容，评标委员会应当以书面形式要求投标人作出必要的澄清、说明或者补正</w:t>
      </w:r>
      <w:r>
        <w:rPr>
          <w:rFonts w:hint="eastAsia"/>
          <w:highlight w:val="none"/>
        </w:rPr>
        <w:t>（投标人开标过程中先提供加盖公章（或者由法定代理人或其授权的代表签字）的扫描件（时间不超过30分钟），原件随后马上寄给招标代理公司（原件须与扫描件一致，否则视为弄虚作假））</w:t>
      </w:r>
      <w:r>
        <w:rPr>
          <w:highlight w:val="none"/>
        </w:rPr>
        <w:t>。</w:t>
      </w:r>
    </w:p>
    <w:p>
      <w:pPr>
        <w:pStyle w:val="69"/>
        <w:spacing w:before="0" w:beforeAutospacing="0" w:after="0" w:afterAutospacing="0"/>
        <w:ind w:firstLine="360" w:firstLineChars="150"/>
        <w:jc w:val="both"/>
        <w:rPr>
          <w:highlight w:val="none"/>
        </w:rPr>
      </w:pPr>
      <w:r>
        <w:rPr>
          <w:highlight w:val="none"/>
        </w:rPr>
        <w:t>（</w:t>
      </w:r>
      <w:r>
        <w:rPr>
          <w:rFonts w:hint="eastAsia"/>
          <w:highlight w:val="none"/>
        </w:rPr>
        <w:t>2</w:t>
      </w:r>
      <w:r>
        <w:rPr>
          <w:highlight w:val="none"/>
        </w:rPr>
        <w:t>）评标委员会应当按照招标文件中规定的评标方法和标准，对符合性审查合格的投标文件进行评估，综合比较与评价。</w:t>
      </w:r>
    </w:p>
    <w:p>
      <w:pPr>
        <w:snapToGrid w:val="0"/>
        <w:ind w:firstLine="360" w:firstLineChars="150"/>
        <w:rPr>
          <w:rFonts w:ascii="宋体" w:hAnsi="宋体"/>
          <w:kern w:val="0"/>
          <w:sz w:val="24"/>
          <w:highlight w:val="none"/>
        </w:rPr>
      </w:pPr>
      <w:r>
        <w:rPr>
          <w:rFonts w:hint="eastAsia" w:ascii="宋体" w:hAnsi="宋体"/>
          <w:kern w:val="0"/>
          <w:sz w:val="24"/>
          <w:highlight w:val="none"/>
        </w:rPr>
        <w:t>（3）评标时，评标委员会各成员应当独立对每个投标人的投标文件进行评价，并汇总每个投标人的得分。</w:t>
      </w:r>
    </w:p>
    <w:p>
      <w:pPr>
        <w:snapToGrid w:val="0"/>
        <w:ind w:firstLine="360" w:firstLineChars="150"/>
        <w:rPr>
          <w:rFonts w:ascii="宋体" w:hAnsi="宋体"/>
          <w:kern w:val="0"/>
          <w:sz w:val="24"/>
          <w:highlight w:val="none"/>
        </w:rPr>
      </w:pPr>
      <w:r>
        <w:rPr>
          <w:rFonts w:hint="eastAsia" w:ascii="宋体" w:hAnsi="宋体"/>
          <w:kern w:val="0"/>
          <w:sz w:val="24"/>
          <w:highlight w:val="none"/>
        </w:rPr>
        <w:t>（4）评标委员会将根据投标人的投标文件进行审查、核对,如有疑问,将对投标人进行询标,投标人要向评标委员会澄清有关问题,并最终以书面形式进行答复（投标人开标过程中先提供加盖公章（或者由法定代理人或其授权的代表签字）的扫描件（时间不超过30分钟），原件随后马上寄给招标代理公司（原件须与扫描件一致，否则视为弄虚作假））。投标人代表拒绝澄清或者澄清的内容改变了投标文件的实质性内容的，评标委员会有权对该投标文件作出不利于投标人的评判。</w:t>
      </w:r>
    </w:p>
    <w:p>
      <w:pPr>
        <w:snapToGrid w:val="0"/>
        <w:ind w:firstLine="482" w:firstLineChars="200"/>
        <w:rPr>
          <w:rFonts w:ascii="Arial" w:hAnsi="Arial" w:cs="Arial"/>
          <w:b/>
          <w:bCs/>
          <w:sz w:val="24"/>
          <w:highlight w:val="none"/>
        </w:rPr>
      </w:pPr>
      <w:r>
        <w:rPr>
          <w:rFonts w:hint="eastAsia" w:ascii="Arial" w:hAnsi="Arial" w:cs="Arial"/>
          <w:b/>
          <w:bCs/>
          <w:sz w:val="24"/>
          <w:highlight w:val="none"/>
        </w:rPr>
        <w:t>4、得分确认及评审报告编写</w:t>
      </w:r>
    </w:p>
    <w:p>
      <w:pPr>
        <w:snapToGrid w:val="0"/>
        <w:ind w:firstLine="360" w:firstLineChars="150"/>
        <w:rPr>
          <w:rFonts w:ascii="宋体" w:hAnsi="宋体"/>
          <w:kern w:val="0"/>
          <w:sz w:val="24"/>
          <w:highlight w:val="none"/>
        </w:rPr>
      </w:pPr>
      <w:r>
        <w:rPr>
          <w:rFonts w:hint="eastAsia" w:ascii="宋体" w:hAnsi="宋体"/>
          <w:kern w:val="0"/>
          <w:sz w:val="24"/>
          <w:highlight w:val="none"/>
        </w:rPr>
        <w:t>（1）评标委员会对投标文件进行复核，对于总得分进行确认；</w:t>
      </w:r>
    </w:p>
    <w:p>
      <w:pPr>
        <w:snapToGrid w:val="0"/>
        <w:ind w:firstLine="360" w:firstLineChars="150"/>
        <w:rPr>
          <w:rFonts w:ascii="宋体" w:hAnsi="宋体"/>
          <w:kern w:val="0"/>
          <w:sz w:val="24"/>
          <w:highlight w:val="none"/>
        </w:rPr>
      </w:pPr>
      <w:r>
        <w:rPr>
          <w:rFonts w:hint="eastAsia" w:ascii="宋体" w:hAnsi="宋体"/>
          <w:kern w:val="0"/>
          <w:sz w:val="24"/>
          <w:highlight w:val="none"/>
        </w:rPr>
        <w:t>（2）评标委员会应当按照招标文件中规定的评标方法和标准，对符合性审查合格的投标文件进行评估，综合比较与评价；</w:t>
      </w:r>
    </w:p>
    <w:p>
      <w:pPr>
        <w:snapToGrid w:val="0"/>
        <w:ind w:firstLine="360" w:firstLineChars="150"/>
        <w:rPr>
          <w:rFonts w:ascii="宋体" w:hAnsi="宋体"/>
          <w:kern w:val="0"/>
          <w:sz w:val="24"/>
          <w:highlight w:val="none"/>
        </w:rPr>
      </w:pPr>
      <w:r>
        <w:rPr>
          <w:rFonts w:hint="eastAsia" w:ascii="宋体" w:hAnsi="宋体"/>
          <w:kern w:val="0"/>
          <w:sz w:val="24"/>
          <w:highlight w:val="none"/>
        </w:rPr>
        <w:t>（3）评标委员会按评标原则及得分情况编写评审报告。</w:t>
      </w:r>
    </w:p>
    <w:p>
      <w:pPr>
        <w:snapToGrid w:val="0"/>
        <w:ind w:firstLine="482" w:firstLineChars="200"/>
        <w:rPr>
          <w:rFonts w:ascii="Arial" w:hAnsi="Arial" w:cs="Arial"/>
          <w:b/>
          <w:bCs/>
          <w:sz w:val="24"/>
          <w:highlight w:val="none"/>
        </w:rPr>
      </w:pPr>
      <w:r>
        <w:rPr>
          <w:rFonts w:hint="eastAsia" w:ascii="Arial" w:hAnsi="Arial" w:cs="Arial"/>
          <w:b/>
          <w:bCs/>
          <w:sz w:val="24"/>
          <w:highlight w:val="none"/>
        </w:rPr>
        <w:t>5、评价</w:t>
      </w:r>
    </w:p>
    <w:p>
      <w:pPr>
        <w:snapToGrid w:val="0"/>
        <w:ind w:firstLine="360" w:firstLineChars="150"/>
        <w:rPr>
          <w:rFonts w:ascii="宋体" w:hAnsi="宋体"/>
          <w:kern w:val="0"/>
          <w:sz w:val="24"/>
          <w:highlight w:val="none"/>
        </w:rPr>
      </w:pPr>
      <w:r>
        <w:rPr>
          <w:rFonts w:hint="eastAsia" w:ascii="宋体" w:hAnsi="宋体"/>
          <w:kern w:val="0"/>
          <w:sz w:val="24"/>
          <w:highlight w:val="none"/>
        </w:rPr>
        <w:t>采购组织机构对评标委员会评审专家进行评价。</w:t>
      </w:r>
    </w:p>
    <w:p>
      <w:pPr>
        <w:snapToGrid w:val="0"/>
        <w:ind w:firstLine="482" w:firstLineChars="200"/>
        <w:rPr>
          <w:rFonts w:ascii="宋体" w:hAnsi="宋体"/>
          <w:b/>
          <w:sz w:val="24"/>
          <w:highlight w:val="none"/>
        </w:rPr>
      </w:pPr>
      <w:r>
        <w:rPr>
          <w:rFonts w:hint="eastAsia" w:ascii="宋体" w:hAnsi="宋体"/>
          <w:b/>
          <w:sz w:val="24"/>
          <w:highlight w:val="none"/>
        </w:rPr>
        <w:t>（三）澄清问题的形式</w:t>
      </w:r>
    </w:p>
    <w:p>
      <w:pPr>
        <w:snapToGrid w:val="0"/>
        <w:ind w:firstLine="480" w:firstLineChars="200"/>
        <w:rPr>
          <w:rFonts w:ascii="宋体" w:hAnsi="宋体"/>
          <w:sz w:val="24"/>
          <w:highlight w:val="none"/>
        </w:rPr>
      </w:pPr>
      <w:r>
        <w:rPr>
          <w:rFonts w:hint="eastAsia" w:ascii="宋体" w:hAnsi="宋体"/>
          <w:sz w:val="24"/>
          <w:highlight w:val="none"/>
        </w:rPr>
        <w:t>投标人的澄清、说明或者补正应当采用书面形式（投标人开标过程中先提供加盖公章（或者由法定代理人或其授权的代表签字）的扫描件（时间不超过30分钟），原件随后马上寄给招标代理公司（原件须与扫描件一致，否则视为弄虚作假）），或者由法定代理人或其授权的代表签字，</w:t>
      </w:r>
      <w:r>
        <w:rPr>
          <w:rFonts w:hint="eastAsia" w:ascii="宋体" w:hAnsi="宋体"/>
          <w:b/>
          <w:bCs/>
          <w:sz w:val="24"/>
          <w:highlight w:val="none"/>
        </w:rPr>
        <w:t>并不得超出投标文件的范围或者改变投标文件的实质性内容。</w:t>
      </w:r>
    </w:p>
    <w:p>
      <w:pPr>
        <w:pStyle w:val="37"/>
        <w:snapToGrid w:val="0"/>
        <w:ind w:left="720" w:leftChars="228" w:hanging="241" w:hangingChars="100"/>
        <w:rPr>
          <w:rFonts w:hAnsi="宋体"/>
          <w:b/>
          <w:sz w:val="24"/>
          <w:szCs w:val="24"/>
          <w:highlight w:val="none"/>
        </w:rPr>
      </w:pPr>
      <w:r>
        <w:rPr>
          <w:rFonts w:hint="eastAsia" w:hAnsi="宋体"/>
          <w:b/>
          <w:sz w:val="24"/>
          <w:szCs w:val="24"/>
          <w:highlight w:val="none"/>
        </w:rPr>
        <w:t>（四）错误修正</w:t>
      </w:r>
    </w:p>
    <w:p>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投标文件报价出现前后不一致的，除招标文件另有规定外，按照下列规定修正：</w:t>
      </w:r>
    </w:p>
    <w:p>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1、大写金额和小写金额不一致的，以大写金额为准；</w:t>
      </w:r>
    </w:p>
    <w:p>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修正应当采用书面形式，并加盖公章，或者由法定代表人或其授权的代表签字，投标人开标过程中先提供加盖公章（或者由法定代理人或其授权的代表签字）的扫描件（时间不超过30分钟），原件随后马上寄给招标代理公司（原件须与扫描件一致，否则视为弄虚作假）。修正后的报价经投标人确认后产生约束力，投标人不确认的，其投标无效。</w:t>
      </w:r>
    </w:p>
    <w:p>
      <w:pPr>
        <w:pStyle w:val="69"/>
        <w:spacing w:before="0" w:beforeAutospacing="0" w:after="0" w:afterAutospacing="0"/>
        <w:ind w:firstLine="361" w:firstLineChars="150"/>
        <w:jc w:val="both"/>
        <w:rPr>
          <w:b/>
          <w:highlight w:val="none"/>
        </w:rPr>
      </w:pPr>
      <w:r>
        <w:rPr>
          <w:b/>
          <w:bCs/>
          <w:highlight w:val="none"/>
        </w:rPr>
        <w:t>（五）</w:t>
      </w:r>
      <w:r>
        <w:rPr>
          <w:b/>
          <w:highlight w:val="none"/>
        </w:rPr>
        <w:t>投标人存在下列情况之一的，投标无效</w:t>
      </w:r>
    </w:p>
    <w:p>
      <w:pPr>
        <w:adjustRightInd w:val="0"/>
        <w:snapToGrid w:val="0"/>
        <w:spacing w:line="312" w:lineRule="auto"/>
        <w:ind w:left="4" w:firstLine="470" w:firstLineChars="196"/>
        <w:jc w:val="left"/>
        <w:rPr>
          <w:rFonts w:ascii="宋体" w:hAnsi="宋体"/>
          <w:sz w:val="24"/>
          <w:highlight w:val="none"/>
        </w:rPr>
      </w:pPr>
      <w:r>
        <w:rPr>
          <w:rFonts w:ascii="宋体" w:hAnsi="宋体"/>
          <w:sz w:val="24"/>
          <w:highlight w:val="none"/>
        </w:rPr>
        <w:t>1、</w:t>
      </w:r>
      <w:r>
        <w:rPr>
          <w:rFonts w:hint="eastAsia" w:ascii="宋体" w:hAnsi="宋体" w:cs="宋体"/>
          <w:sz w:val="24"/>
          <w:szCs w:val="32"/>
          <w:highlight w:val="none"/>
        </w:rPr>
        <w:t>投标文件在指定页面无法定代表人盖章或签字、未在指定页面盖公章、在指定页面无被授权人签字、未提供法定代表人授权委托书、未提供投标函或者投标函格式不符合招标文件要求或填写项目不齐全的。</w:t>
      </w:r>
    </w:p>
    <w:p>
      <w:pPr>
        <w:adjustRightInd w:val="0"/>
        <w:snapToGrid w:val="0"/>
        <w:spacing w:line="312" w:lineRule="auto"/>
        <w:ind w:left="4" w:firstLine="470" w:firstLineChars="196"/>
        <w:jc w:val="left"/>
        <w:rPr>
          <w:rFonts w:ascii="宋体" w:hAnsi="宋体"/>
          <w:b/>
          <w:bCs/>
          <w:sz w:val="24"/>
          <w:highlight w:val="none"/>
        </w:rPr>
      </w:pPr>
      <w:r>
        <w:rPr>
          <w:rFonts w:hint="eastAsia" w:ascii="宋体" w:hAnsi="宋体"/>
          <w:sz w:val="24"/>
          <w:highlight w:val="none"/>
        </w:rPr>
        <w:t>2、</w:t>
      </w:r>
      <w:r>
        <w:rPr>
          <w:rFonts w:hint="eastAsia" w:ascii="宋体" w:hAnsi="宋体"/>
          <w:kern w:val="0"/>
          <w:sz w:val="24"/>
          <w:highlight w:val="none"/>
        </w:rPr>
        <w:t>资格证明文件、商务与技术文件、报价文件出现混装的，在资格证明文件或商务与技术文件中出现投标报价的，或者报价文件报价中出现重大偏差的；</w:t>
      </w:r>
    </w:p>
    <w:p>
      <w:pPr>
        <w:pStyle w:val="69"/>
        <w:tabs>
          <w:tab w:val="left" w:pos="7380"/>
        </w:tabs>
        <w:adjustRightInd w:val="0"/>
        <w:snapToGrid w:val="0"/>
        <w:spacing w:before="0" w:beforeAutospacing="0" w:after="0" w:afterAutospacing="0" w:line="312" w:lineRule="auto"/>
        <w:jc w:val="both"/>
        <w:rPr>
          <w:highlight w:val="none"/>
        </w:rPr>
      </w:pPr>
      <w:r>
        <w:rPr>
          <w:highlight w:val="none"/>
        </w:rPr>
        <w:t>　　</w:t>
      </w:r>
      <w:r>
        <w:rPr>
          <w:rFonts w:hint="eastAsia"/>
          <w:highlight w:val="none"/>
        </w:rPr>
        <w:t>3</w:t>
      </w:r>
      <w:r>
        <w:rPr>
          <w:highlight w:val="none"/>
        </w:rPr>
        <w:t>、不具备招标文件中规定的资格要求的。</w:t>
      </w:r>
      <w:r>
        <w:rPr>
          <w:highlight w:val="none"/>
        </w:rPr>
        <w:tab/>
      </w:r>
    </w:p>
    <w:p>
      <w:pPr>
        <w:pStyle w:val="69"/>
        <w:adjustRightInd w:val="0"/>
        <w:snapToGrid w:val="0"/>
        <w:spacing w:before="0" w:beforeAutospacing="0" w:after="0" w:afterAutospacing="0" w:line="312" w:lineRule="auto"/>
        <w:jc w:val="both"/>
        <w:rPr>
          <w:highlight w:val="none"/>
        </w:rPr>
      </w:pPr>
      <w:r>
        <w:rPr>
          <w:highlight w:val="none"/>
        </w:rPr>
        <w:t xml:space="preserve">　  </w:t>
      </w:r>
      <w:r>
        <w:rPr>
          <w:rFonts w:hint="eastAsia"/>
          <w:highlight w:val="none"/>
        </w:rPr>
        <w:t>4</w:t>
      </w:r>
      <w:r>
        <w:rPr>
          <w:highlight w:val="none"/>
        </w:rPr>
        <w:t>、投标文件含有采购人不能接受的附加条件的。</w:t>
      </w:r>
    </w:p>
    <w:p>
      <w:pPr>
        <w:adjustRightInd w:val="0"/>
        <w:snapToGrid w:val="0"/>
        <w:spacing w:line="312" w:lineRule="auto"/>
        <w:ind w:firstLine="470" w:firstLineChars="196"/>
        <w:rPr>
          <w:rFonts w:ascii="宋体" w:hAnsi="宋体"/>
          <w:bCs/>
          <w:kern w:val="0"/>
          <w:sz w:val="24"/>
          <w:highlight w:val="none"/>
        </w:rPr>
      </w:pPr>
      <w:r>
        <w:rPr>
          <w:rFonts w:hint="eastAsia" w:ascii="宋体" w:hAnsi="宋体"/>
          <w:kern w:val="0"/>
          <w:sz w:val="24"/>
          <w:highlight w:val="none"/>
        </w:rPr>
        <w:t>5</w:t>
      </w:r>
      <w:r>
        <w:rPr>
          <w:rFonts w:hint="eastAsia" w:ascii="宋体" w:hAnsi="宋体"/>
          <w:sz w:val="24"/>
          <w:highlight w:val="none"/>
        </w:rPr>
        <w:t>、</w:t>
      </w:r>
      <w:r>
        <w:rPr>
          <w:rFonts w:hint="eastAsia" w:ascii="宋体" w:hAnsi="宋体" w:cs="宋体"/>
          <w:kern w:val="0"/>
          <w:sz w:val="24"/>
          <w:highlight w:val="none"/>
        </w:rPr>
        <w:t>投标人没有提供合法、有效的“授权委托书”或“法定代表人身份证明书”的</w:t>
      </w:r>
      <w:r>
        <w:rPr>
          <w:rFonts w:hint="eastAsia" w:ascii="宋体" w:hAnsi="宋体"/>
          <w:sz w:val="24"/>
          <w:highlight w:val="none"/>
        </w:rPr>
        <w:t>；</w:t>
      </w:r>
    </w:p>
    <w:p>
      <w:pPr>
        <w:pStyle w:val="69"/>
        <w:adjustRightInd w:val="0"/>
        <w:snapToGrid w:val="0"/>
        <w:spacing w:before="0" w:beforeAutospacing="0" w:after="0" w:afterAutospacing="0" w:line="312" w:lineRule="auto"/>
        <w:ind w:firstLine="480" w:firstLineChars="200"/>
        <w:jc w:val="both"/>
        <w:rPr>
          <w:highlight w:val="none"/>
        </w:rPr>
      </w:pPr>
      <w:r>
        <w:rPr>
          <w:rFonts w:hint="eastAsia"/>
          <w:highlight w:val="none"/>
        </w:rPr>
        <w:t>6</w:t>
      </w:r>
      <w:r>
        <w:rPr>
          <w:highlight w:val="none"/>
        </w:rPr>
        <w:t>、评标委员会认为投标人的报价明显低于其他通过符合性审查投标人的报价，有可能影响</w:t>
      </w:r>
      <w:r>
        <w:rPr>
          <w:rFonts w:hint="eastAsia"/>
          <w:highlight w:val="none"/>
        </w:rPr>
        <w:t>服务</w:t>
      </w:r>
      <w:r>
        <w:rPr>
          <w:highlight w:val="none"/>
        </w:rPr>
        <w:t>或者不能诚信履约的，应当要求其在评标现场合理的时间内提供书面说明</w:t>
      </w:r>
      <w:r>
        <w:rPr>
          <w:rFonts w:hint="eastAsia"/>
          <w:highlight w:val="none"/>
        </w:rPr>
        <w:t>（投标人开标过程中先提供加盖公章（或者由法定代理人或其授权的代表签字）的扫描件（时间不超过30分钟），原件随后马上寄给招标代理公司（原件须与扫描件一致，否则视为弄虚作假））</w:t>
      </w:r>
      <w:r>
        <w:rPr>
          <w:highlight w:val="none"/>
        </w:rPr>
        <w:t>，必要时提交相关证明材料；投标人不能证明其报价合理性的，评标委员会应当将其作为无效投标处理。</w:t>
      </w:r>
    </w:p>
    <w:p>
      <w:pPr>
        <w:pStyle w:val="69"/>
        <w:adjustRightInd w:val="0"/>
        <w:snapToGrid w:val="0"/>
        <w:spacing w:before="0" w:beforeAutospacing="0" w:after="0" w:afterAutospacing="0" w:line="312" w:lineRule="auto"/>
        <w:ind w:firstLine="480" w:firstLineChars="200"/>
        <w:jc w:val="both"/>
        <w:rPr>
          <w:highlight w:val="none"/>
        </w:rPr>
      </w:pPr>
      <w:r>
        <w:rPr>
          <w:rFonts w:hint="eastAsia"/>
          <w:highlight w:val="none"/>
        </w:rPr>
        <w:t>7</w:t>
      </w:r>
      <w:r>
        <w:rPr>
          <w:highlight w:val="none"/>
        </w:rPr>
        <w:t>、投标人的电子投标文件无法按时解密且本项目未达到启动纸质备份文件条件的</w:t>
      </w:r>
      <w:r>
        <w:rPr>
          <w:rFonts w:hint="eastAsia"/>
          <w:highlight w:val="none"/>
        </w:rPr>
        <w:t>；</w:t>
      </w:r>
    </w:p>
    <w:p>
      <w:pPr>
        <w:pStyle w:val="69"/>
        <w:adjustRightInd w:val="0"/>
        <w:snapToGrid w:val="0"/>
        <w:spacing w:before="0" w:beforeAutospacing="0" w:after="0" w:afterAutospacing="0" w:line="312" w:lineRule="auto"/>
        <w:ind w:firstLine="480" w:firstLineChars="200"/>
        <w:jc w:val="both"/>
        <w:rPr>
          <w:highlight w:val="none"/>
        </w:rPr>
      </w:pPr>
      <w:r>
        <w:rPr>
          <w:rFonts w:hint="eastAsia"/>
          <w:highlight w:val="none"/>
        </w:rPr>
        <w:t>8</w:t>
      </w:r>
      <w:r>
        <w:rPr>
          <w:highlight w:val="none"/>
        </w:rPr>
        <w:t>、电子投标文件解密失败的，且未在规定时间内提交纸质备份投标文件的；</w:t>
      </w:r>
    </w:p>
    <w:p>
      <w:pPr>
        <w:pStyle w:val="69"/>
        <w:adjustRightInd w:val="0"/>
        <w:snapToGrid w:val="0"/>
        <w:spacing w:before="0" w:beforeAutospacing="0" w:after="0" w:afterAutospacing="0" w:line="312" w:lineRule="auto"/>
        <w:ind w:firstLine="480" w:firstLineChars="200"/>
        <w:jc w:val="both"/>
        <w:rPr>
          <w:highlight w:val="none"/>
        </w:rPr>
      </w:pPr>
      <w:r>
        <w:rPr>
          <w:rFonts w:hint="eastAsia"/>
          <w:highlight w:val="none"/>
        </w:rPr>
        <w:t>9</w:t>
      </w:r>
      <w:r>
        <w:rPr>
          <w:highlight w:val="none"/>
        </w:rPr>
        <w:t>、电子投标文件未按规定要求提供电子签章的；</w:t>
      </w:r>
    </w:p>
    <w:p>
      <w:pPr>
        <w:pStyle w:val="69"/>
        <w:adjustRightInd w:val="0"/>
        <w:snapToGrid w:val="0"/>
        <w:spacing w:before="0" w:beforeAutospacing="0" w:after="0" w:afterAutospacing="0" w:line="312" w:lineRule="auto"/>
        <w:ind w:firstLine="480" w:firstLineChars="200"/>
        <w:jc w:val="both"/>
        <w:rPr>
          <w:highlight w:val="none"/>
        </w:rPr>
      </w:pPr>
      <w:r>
        <w:rPr>
          <w:rFonts w:hint="eastAsia"/>
          <w:highlight w:val="none"/>
        </w:rPr>
        <w:t>10</w:t>
      </w:r>
      <w:r>
        <w:rPr>
          <w:highlight w:val="none"/>
        </w:rPr>
        <w:t>、</w:t>
      </w:r>
      <w:r>
        <w:rPr>
          <w:rFonts w:hint="eastAsia"/>
          <w:highlight w:val="none"/>
        </w:rPr>
        <w:t>投标文件提供虚假材料的。</w:t>
      </w:r>
    </w:p>
    <w:p>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kern w:val="0"/>
          <w:sz w:val="24"/>
          <w:highlight w:val="none"/>
        </w:rPr>
        <w:t>投标文件的实质性内容未使用中文表述或者使用计量单位不符合招标文件要求的。</w:t>
      </w:r>
    </w:p>
    <w:p>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kern w:val="0"/>
          <w:sz w:val="24"/>
          <w:highlight w:val="none"/>
        </w:rPr>
        <w:t>12、服务期限等条款</w:t>
      </w:r>
      <w:r>
        <w:rPr>
          <w:rFonts w:hint="eastAsia" w:ascii="宋体" w:hAnsi="宋体" w:cs="宋体"/>
          <w:sz w:val="24"/>
          <w:highlight w:val="none"/>
        </w:rPr>
        <w:t>不能满足招标文件要求的。</w:t>
      </w:r>
    </w:p>
    <w:p>
      <w:pPr>
        <w:tabs>
          <w:tab w:val="left" w:pos="1898"/>
        </w:tabs>
        <w:autoSpaceDE w:val="0"/>
        <w:autoSpaceDN w:val="0"/>
        <w:adjustRightInd w:val="0"/>
        <w:snapToGrid w:val="0"/>
        <w:spacing w:line="312" w:lineRule="auto"/>
        <w:ind w:firstLine="480"/>
        <w:rPr>
          <w:rFonts w:ascii="宋体"/>
          <w:kern w:val="0"/>
          <w:sz w:val="24"/>
          <w:highlight w:val="none"/>
        </w:rPr>
      </w:pPr>
      <w:r>
        <w:rPr>
          <w:rFonts w:hint="eastAsia" w:ascii="宋体"/>
          <w:kern w:val="0"/>
          <w:sz w:val="24"/>
          <w:highlight w:val="none"/>
        </w:rPr>
        <w:t>13、</w:t>
      </w:r>
      <w:r>
        <w:rPr>
          <w:rFonts w:hint="eastAsia" w:ascii="宋体" w:hAnsi="宋体" w:cs="宋体"/>
          <w:sz w:val="24"/>
          <w:highlight w:val="none"/>
        </w:rPr>
        <w:t>投标文件份数不符合要求的。</w:t>
      </w:r>
    </w:p>
    <w:p>
      <w:pPr>
        <w:tabs>
          <w:tab w:val="left" w:pos="1898"/>
        </w:tabs>
        <w:autoSpaceDE w:val="0"/>
        <w:autoSpaceDN w:val="0"/>
        <w:adjustRightInd w:val="0"/>
        <w:snapToGrid w:val="0"/>
        <w:spacing w:line="312" w:lineRule="auto"/>
        <w:ind w:firstLine="480"/>
        <w:rPr>
          <w:rFonts w:ascii="宋体"/>
          <w:kern w:val="0"/>
          <w:sz w:val="24"/>
          <w:highlight w:val="none"/>
        </w:rPr>
      </w:pPr>
      <w:r>
        <w:rPr>
          <w:rFonts w:hint="eastAsia" w:ascii="宋体"/>
          <w:kern w:val="0"/>
          <w:sz w:val="24"/>
          <w:highlight w:val="none"/>
        </w:rPr>
        <w:t>14、</w:t>
      </w:r>
      <w:r>
        <w:rPr>
          <w:rFonts w:hint="eastAsia" w:ascii="宋体" w:hAnsi="宋体" w:cs="宋体"/>
          <w:sz w:val="24"/>
          <w:highlight w:val="none"/>
        </w:rPr>
        <w:t>提交两份或多份内容不同的投标文件的。</w:t>
      </w:r>
    </w:p>
    <w:p>
      <w:pPr>
        <w:snapToGrid w:val="0"/>
        <w:spacing w:line="312" w:lineRule="auto"/>
        <w:ind w:firstLine="480" w:firstLineChars="200"/>
        <w:jc w:val="left"/>
        <w:rPr>
          <w:rFonts w:ascii="宋体"/>
          <w:kern w:val="0"/>
          <w:sz w:val="24"/>
          <w:highlight w:val="none"/>
        </w:rPr>
      </w:pPr>
      <w:r>
        <w:rPr>
          <w:rFonts w:hint="eastAsia" w:ascii="宋体"/>
          <w:kern w:val="0"/>
          <w:sz w:val="24"/>
          <w:highlight w:val="none"/>
        </w:rPr>
        <w:t>15、招标文件确定规定做无效标的；</w:t>
      </w:r>
    </w:p>
    <w:p>
      <w:pPr>
        <w:snapToGrid w:val="0"/>
        <w:spacing w:line="312" w:lineRule="auto"/>
        <w:ind w:firstLine="480" w:firstLineChars="200"/>
        <w:jc w:val="left"/>
        <w:rPr>
          <w:rFonts w:ascii="宋体"/>
          <w:kern w:val="0"/>
          <w:sz w:val="24"/>
          <w:highlight w:val="none"/>
        </w:rPr>
      </w:pPr>
      <w:r>
        <w:rPr>
          <w:rFonts w:hint="eastAsia" w:ascii="宋体"/>
          <w:kern w:val="0"/>
          <w:sz w:val="24"/>
          <w:highlight w:val="none"/>
        </w:rPr>
        <w:t>16、投标文件存在重大偏差，被评标委员会确定无效的；</w:t>
      </w:r>
    </w:p>
    <w:p>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kern w:val="0"/>
          <w:sz w:val="24"/>
          <w:highlight w:val="none"/>
        </w:rPr>
        <w:t>17、</w:t>
      </w:r>
      <w:r>
        <w:rPr>
          <w:rFonts w:hint="eastAsia" w:ascii="宋体" w:hAnsi="宋体" w:cs="宋体"/>
          <w:sz w:val="24"/>
          <w:highlight w:val="none"/>
        </w:rPr>
        <w:t>投标文件标明的响应或偏离与事实不符或虚假投标的；</w:t>
      </w:r>
    </w:p>
    <w:p>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18、明显不符合招标文件要求，或者</w:t>
      </w:r>
      <w:r>
        <w:rPr>
          <w:rFonts w:hint="eastAsia" w:ascii="宋体" w:hAnsi="宋体" w:cs="宋体"/>
          <w:sz w:val="24"/>
          <w:highlight w:val="none"/>
          <w:lang w:val="zh-CN"/>
        </w:rPr>
        <w:t>未响应招标文件标注“</w:t>
      </w:r>
      <w:r>
        <w:rPr>
          <w:rFonts w:hint="eastAsia" w:ascii="宋体" w:hAnsi="宋体" w:cs="宋体"/>
          <w:sz w:val="24"/>
          <w:highlight w:val="none"/>
        </w:rPr>
        <w:t>▲</w:t>
      </w:r>
      <w:r>
        <w:rPr>
          <w:rFonts w:hint="eastAsia" w:ascii="宋体" w:hAnsi="宋体" w:cs="宋体"/>
          <w:sz w:val="24"/>
          <w:highlight w:val="none"/>
          <w:lang w:val="zh-CN"/>
        </w:rPr>
        <w:t>”的实质性要求的</w:t>
      </w:r>
      <w:r>
        <w:rPr>
          <w:rFonts w:hint="eastAsia" w:ascii="宋体" w:hAnsi="宋体" w:cs="宋体"/>
          <w:sz w:val="24"/>
          <w:highlight w:val="none"/>
        </w:rPr>
        <w:t>；</w:t>
      </w:r>
    </w:p>
    <w:p>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19、存在一个或一个以上备选（替代）商务与技术文件的；</w:t>
      </w:r>
    </w:p>
    <w:p>
      <w:pPr>
        <w:snapToGrid w:val="0"/>
        <w:spacing w:line="312" w:lineRule="auto"/>
        <w:ind w:firstLine="480" w:firstLineChars="200"/>
        <w:jc w:val="left"/>
        <w:rPr>
          <w:rFonts w:ascii="宋体" w:cs="宋体"/>
          <w:b/>
          <w:bCs/>
          <w:sz w:val="24"/>
          <w:highlight w:val="none"/>
        </w:rPr>
      </w:pPr>
      <w:r>
        <w:rPr>
          <w:rFonts w:hint="eastAsia" w:ascii="宋体" w:hAnsi="宋体"/>
          <w:kern w:val="0"/>
          <w:sz w:val="24"/>
          <w:highlight w:val="none"/>
        </w:rPr>
        <w:t>20、</w:t>
      </w:r>
      <w:r>
        <w:rPr>
          <w:rFonts w:hint="eastAsia" w:ascii="宋体" w:hAnsi="宋体" w:cs="宋体"/>
          <w:b/>
          <w:bCs/>
          <w:sz w:val="24"/>
          <w:highlight w:val="none"/>
        </w:rPr>
        <w:t>在报价评审时，如发现下列情形之一的，投标文件将被视为无效：</w:t>
      </w:r>
    </w:p>
    <w:p>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（1）未采用人民币报价的；</w:t>
      </w:r>
    </w:p>
    <w:p>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（2）</w:t>
      </w:r>
      <w:r>
        <w:rPr>
          <w:rFonts w:ascii="宋体" w:hAnsi="宋体"/>
          <w:sz w:val="24"/>
          <w:highlight w:val="none"/>
        </w:rPr>
        <w:t>报价</w:t>
      </w:r>
      <w:r>
        <w:rPr>
          <w:rFonts w:hint="eastAsia" w:ascii="宋体" w:hAnsi="宋体"/>
          <w:sz w:val="24"/>
          <w:highlight w:val="none"/>
        </w:rPr>
        <w:t>不符合招标文件要求的</w:t>
      </w:r>
      <w:r>
        <w:rPr>
          <w:rFonts w:hint="eastAsia" w:ascii="宋体" w:hAnsi="宋体" w:cs="宋体"/>
          <w:sz w:val="24"/>
          <w:highlight w:val="none"/>
        </w:rPr>
        <w:t>；</w:t>
      </w:r>
    </w:p>
    <w:p>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cs="宋体"/>
          <w:sz w:val="24"/>
          <w:highlight w:val="none"/>
        </w:rPr>
        <w:t>（3）投标报价具有多个报价或有选择性的。</w:t>
      </w:r>
    </w:p>
    <w:p>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kern w:val="0"/>
          <w:sz w:val="24"/>
          <w:highlight w:val="none"/>
        </w:rPr>
        <w:t>21、</w:t>
      </w:r>
      <w:r>
        <w:rPr>
          <w:rFonts w:ascii="宋体" w:hAnsi="宋体"/>
          <w:kern w:val="0"/>
          <w:sz w:val="24"/>
          <w:highlight w:val="none"/>
        </w:rPr>
        <w:t>不符合中华人民共和国财政部令第87号《政府采购货物和服务招标投标管理办法》第三十七条情形之一的，视为投标人串通投标，其投标无效</w:t>
      </w:r>
      <w:r>
        <w:rPr>
          <w:rFonts w:hint="eastAsia" w:ascii="宋体" w:hAnsi="宋体"/>
          <w:kern w:val="0"/>
          <w:sz w:val="24"/>
          <w:highlight w:val="none"/>
        </w:rPr>
        <w:t>，并移送相关监管部门</w:t>
      </w:r>
      <w:r>
        <w:rPr>
          <w:rFonts w:ascii="宋体" w:hAnsi="宋体"/>
          <w:kern w:val="0"/>
          <w:sz w:val="24"/>
          <w:highlight w:val="none"/>
        </w:rPr>
        <w:t>：</w:t>
      </w:r>
    </w:p>
    <w:p>
      <w:pPr>
        <w:pStyle w:val="69"/>
        <w:spacing w:before="0" w:beforeAutospacing="0" w:after="0" w:afterAutospacing="0" w:line="312" w:lineRule="auto"/>
        <w:jc w:val="both"/>
        <w:rPr>
          <w:highlight w:val="none"/>
        </w:rPr>
      </w:pPr>
      <w:r>
        <w:rPr>
          <w:highlight w:val="none"/>
        </w:rPr>
        <w:t>　 （1）不同投标人的投标文件由同一单位或者个人编制；</w:t>
      </w:r>
    </w:p>
    <w:p>
      <w:pPr>
        <w:pStyle w:val="69"/>
        <w:spacing w:before="0" w:beforeAutospacing="0" w:after="0" w:afterAutospacing="0" w:line="312" w:lineRule="auto"/>
        <w:jc w:val="both"/>
        <w:rPr>
          <w:highlight w:val="none"/>
        </w:rPr>
      </w:pPr>
      <w:r>
        <w:rPr>
          <w:highlight w:val="none"/>
        </w:rPr>
        <w:t>　 （2）不同投标人委托同一单位或者个人办理投标事宜；</w:t>
      </w:r>
    </w:p>
    <w:p>
      <w:pPr>
        <w:pStyle w:val="69"/>
        <w:spacing w:before="0" w:beforeAutospacing="0" w:after="0" w:afterAutospacing="0" w:line="312" w:lineRule="auto"/>
        <w:jc w:val="both"/>
        <w:rPr>
          <w:highlight w:val="none"/>
        </w:rPr>
      </w:pPr>
      <w:r>
        <w:rPr>
          <w:highlight w:val="none"/>
        </w:rPr>
        <w:t>　 （3）不同投标人的投标文件载明的项目管理成员或者联系人员为同一人；</w:t>
      </w:r>
    </w:p>
    <w:p>
      <w:pPr>
        <w:pStyle w:val="69"/>
        <w:spacing w:before="0" w:beforeAutospacing="0" w:after="0" w:afterAutospacing="0" w:line="312" w:lineRule="auto"/>
        <w:jc w:val="both"/>
        <w:rPr>
          <w:highlight w:val="none"/>
        </w:rPr>
      </w:pPr>
      <w:r>
        <w:rPr>
          <w:highlight w:val="none"/>
        </w:rPr>
        <w:t>　 （4）不同投标人的投标文件异常一致或者投标报价呈规律性差异；</w:t>
      </w:r>
    </w:p>
    <w:p>
      <w:pPr>
        <w:pStyle w:val="69"/>
        <w:spacing w:before="0" w:beforeAutospacing="0" w:after="0" w:afterAutospacing="0" w:line="312" w:lineRule="auto"/>
        <w:jc w:val="both"/>
        <w:rPr>
          <w:highlight w:val="none"/>
        </w:rPr>
      </w:pPr>
      <w:r>
        <w:rPr>
          <w:highlight w:val="none"/>
        </w:rPr>
        <w:t>　 （5）不同投标人的投标文件相互混装。</w:t>
      </w:r>
    </w:p>
    <w:p>
      <w:pPr>
        <w:pStyle w:val="69"/>
        <w:spacing w:before="0" w:beforeAutospacing="0" w:after="0" w:afterAutospacing="0" w:line="312" w:lineRule="auto"/>
        <w:ind w:firstLine="480" w:firstLineChars="200"/>
        <w:jc w:val="both"/>
        <w:rPr>
          <w:highlight w:val="none"/>
        </w:rPr>
      </w:pPr>
      <w:r>
        <w:rPr>
          <w:rFonts w:hint="eastAsia"/>
          <w:highlight w:val="none"/>
        </w:rPr>
        <w:t>22、不符合法律、法规和招标文件中规定的其他实质性要求的（招标文件中打“▲”内容及被拒绝的条款）。</w:t>
      </w:r>
      <w:r>
        <w:rPr>
          <w:rFonts w:hint="eastAsia" w:cs="宋体"/>
          <w:highlight w:val="none"/>
        </w:rPr>
        <w:t>实质上没有响应招标文件要求的投标将被视为无效投标。投标人不得通过修正、澄清或撤消不合要求的偏离或保留从而使其投标成为实质上响应的投标。</w:t>
      </w:r>
    </w:p>
    <w:p>
      <w:pPr>
        <w:autoSpaceDE w:val="0"/>
        <w:autoSpaceDN w:val="0"/>
        <w:adjustRightInd w:val="0"/>
        <w:ind w:left="480"/>
        <w:rPr>
          <w:rFonts w:ascii="宋体" w:hAnsi="宋体"/>
          <w:kern w:val="0"/>
          <w:sz w:val="24"/>
          <w:highlight w:val="none"/>
        </w:rPr>
      </w:pPr>
      <w:r>
        <w:rPr>
          <w:rFonts w:hint="eastAsia" w:ascii="宋体" w:hAnsi="宋体"/>
          <w:b/>
          <w:kern w:val="0"/>
          <w:sz w:val="24"/>
          <w:highlight w:val="none"/>
        </w:rPr>
        <w:t>（六）有下列情况之一的，本次招标作为废标处理</w:t>
      </w:r>
    </w:p>
    <w:p>
      <w:pPr>
        <w:pStyle w:val="69"/>
        <w:spacing w:before="0" w:beforeAutospacing="0" w:after="0" w:afterAutospacing="0" w:line="312" w:lineRule="auto"/>
        <w:ind w:firstLine="480" w:firstLineChars="200"/>
        <w:jc w:val="both"/>
        <w:rPr>
          <w:highlight w:val="none"/>
        </w:rPr>
      </w:pPr>
      <w:r>
        <w:rPr>
          <w:rFonts w:hint="eastAsia"/>
          <w:highlight w:val="none"/>
        </w:rPr>
        <w:t>1、出现影响采购公正的违法、违规行为的；</w:t>
      </w:r>
    </w:p>
    <w:p>
      <w:pPr>
        <w:pStyle w:val="69"/>
        <w:spacing w:before="0" w:beforeAutospacing="0" w:after="0" w:afterAutospacing="0" w:line="312" w:lineRule="auto"/>
        <w:ind w:firstLine="480" w:firstLineChars="200"/>
        <w:jc w:val="both"/>
        <w:rPr>
          <w:highlight w:val="none"/>
        </w:rPr>
      </w:pPr>
      <w:r>
        <w:rPr>
          <w:rFonts w:hint="eastAsia"/>
          <w:highlight w:val="none"/>
        </w:rPr>
        <w:t xml:space="preserve">2、评标委员会发现招标文件存在歧义、重大缺陷导致评标工作无法进行，或者招标文件内容违反国家有关强制性规定的； </w:t>
      </w:r>
    </w:p>
    <w:p>
      <w:pPr>
        <w:pStyle w:val="69"/>
        <w:spacing w:before="0" w:beforeAutospacing="0" w:after="0" w:afterAutospacing="0" w:line="312" w:lineRule="auto"/>
        <w:ind w:firstLine="480" w:firstLineChars="200"/>
        <w:jc w:val="both"/>
        <w:rPr>
          <w:highlight w:val="none"/>
        </w:rPr>
      </w:pPr>
      <w:r>
        <w:rPr>
          <w:rFonts w:hint="eastAsia"/>
          <w:highlight w:val="none"/>
        </w:rPr>
        <w:t>3、因重大变故，采购任务取消的；</w:t>
      </w:r>
    </w:p>
    <w:p>
      <w:pPr>
        <w:pStyle w:val="69"/>
        <w:spacing w:before="0" w:beforeAutospacing="0" w:after="0" w:afterAutospacing="0" w:line="312" w:lineRule="auto"/>
        <w:ind w:firstLine="480" w:firstLineChars="200"/>
        <w:jc w:val="both"/>
        <w:rPr>
          <w:highlight w:val="none"/>
        </w:rPr>
      </w:pPr>
      <w:r>
        <w:rPr>
          <w:rFonts w:hint="eastAsia"/>
          <w:highlight w:val="none"/>
        </w:rPr>
        <w:t>4、法律、法规和招标文件规定的其他导致评标结果无效的；</w:t>
      </w:r>
    </w:p>
    <w:p>
      <w:pPr>
        <w:pStyle w:val="69"/>
        <w:spacing w:before="0" w:beforeAutospacing="0" w:after="0" w:afterAutospacing="0" w:line="312" w:lineRule="auto"/>
        <w:ind w:firstLine="480" w:firstLineChars="200"/>
        <w:jc w:val="both"/>
        <w:rPr>
          <w:highlight w:val="none"/>
        </w:rPr>
      </w:pPr>
      <w:r>
        <w:rPr>
          <w:rFonts w:hint="eastAsia"/>
          <w:highlight w:val="none"/>
        </w:rPr>
        <w:t>5、有效投标人少于三家的。</w:t>
      </w:r>
    </w:p>
    <w:p>
      <w:pPr>
        <w:pStyle w:val="37"/>
        <w:tabs>
          <w:tab w:val="left" w:pos="630"/>
        </w:tabs>
        <w:snapToGrid w:val="0"/>
        <w:ind w:firstLine="472" w:firstLineChars="196"/>
        <w:rPr>
          <w:rFonts w:hAnsi="宋体"/>
          <w:b/>
          <w:sz w:val="24"/>
          <w:szCs w:val="24"/>
          <w:highlight w:val="none"/>
        </w:rPr>
      </w:pPr>
      <w:r>
        <w:rPr>
          <w:rFonts w:hAnsi="宋体"/>
          <w:b/>
          <w:sz w:val="24"/>
          <w:szCs w:val="24"/>
          <w:highlight w:val="none"/>
        </w:rPr>
        <w:t>（</w:t>
      </w:r>
      <w:r>
        <w:rPr>
          <w:rFonts w:hint="eastAsia" w:hAnsi="宋体"/>
          <w:b/>
          <w:sz w:val="24"/>
          <w:szCs w:val="24"/>
          <w:highlight w:val="none"/>
        </w:rPr>
        <w:t>七</w:t>
      </w:r>
      <w:r>
        <w:rPr>
          <w:rFonts w:hAnsi="宋体"/>
          <w:b/>
          <w:sz w:val="24"/>
          <w:szCs w:val="24"/>
          <w:highlight w:val="none"/>
        </w:rPr>
        <w:t>）评标原则和评标办法</w:t>
      </w:r>
    </w:p>
    <w:p>
      <w:pPr>
        <w:pStyle w:val="69"/>
        <w:spacing w:before="0" w:beforeAutospacing="0" w:after="0" w:afterAutospacing="0" w:line="312" w:lineRule="auto"/>
        <w:ind w:firstLine="480" w:firstLineChars="200"/>
        <w:jc w:val="both"/>
        <w:rPr>
          <w:highlight w:val="none"/>
        </w:rPr>
      </w:pPr>
      <w:r>
        <w:rPr>
          <w:rFonts w:hint="eastAsia"/>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9"/>
        <w:spacing w:before="0" w:beforeAutospacing="0" w:after="0" w:afterAutospacing="0" w:line="312" w:lineRule="auto"/>
        <w:ind w:firstLine="480" w:firstLineChars="200"/>
        <w:jc w:val="both"/>
        <w:rPr>
          <w:highlight w:val="none"/>
        </w:rPr>
      </w:pPr>
      <w:r>
        <w:rPr>
          <w:rFonts w:hint="eastAsia"/>
          <w:highlight w:val="none"/>
        </w:rPr>
        <w:t>2、评标办法。具体评标内容及评分标准等详见《评标方法及评分标准》。</w:t>
      </w:r>
    </w:p>
    <w:p>
      <w:pPr>
        <w:pStyle w:val="37"/>
        <w:snapToGrid w:val="0"/>
        <w:ind w:firstLine="472" w:firstLineChars="196"/>
        <w:rPr>
          <w:rFonts w:hAnsi="宋体"/>
          <w:b/>
          <w:sz w:val="24"/>
          <w:szCs w:val="24"/>
          <w:highlight w:val="none"/>
        </w:rPr>
      </w:pPr>
      <w:r>
        <w:rPr>
          <w:rFonts w:hAnsi="宋体"/>
          <w:b/>
          <w:sz w:val="24"/>
          <w:szCs w:val="24"/>
          <w:highlight w:val="none"/>
        </w:rPr>
        <w:t>（</w:t>
      </w:r>
      <w:r>
        <w:rPr>
          <w:rFonts w:hint="eastAsia" w:hAnsi="宋体"/>
          <w:b/>
          <w:sz w:val="24"/>
          <w:szCs w:val="24"/>
          <w:highlight w:val="none"/>
        </w:rPr>
        <w:t>八</w:t>
      </w:r>
      <w:r>
        <w:rPr>
          <w:rFonts w:hAnsi="宋体"/>
          <w:b/>
          <w:sz w:val="24"/>
          <w:szCs w:val="24"/>
          <w:highlight w:val="none"/>
        </w:rPr>
        <w:t>）评标过程的监控</w:t>
      </w:r>
    </w:p>
    <w:p>
      <w:pPr>
        <w:pStyle w:val="69"/>
        <w:spacing w:before="0" w:beforeAutospacing="0" w:after="0" w:afterAutospacing="0" w:line="312" w:lineRule="auto"/>
        <w:ind w:firstLine="480" w:firstLineChars="200"/>
        <w:jc w:val="both"/>
        <w:rPr>
          <w:highlight w:val="none"/>
        </w:rPr>
      </w:pPr>
      <w:r>
        <w:rPr>
          <w:rFonts w:hint="eastAsia" w:cs="宋体"/>
          <w:szCs w:val="32"/>
          <w:highlight w:val="none"/>
        </w:rPr>
        <w:t>本项目评标过程实行全程录音、录像监控，政府采购监管部门视情进行现场监督，投标人在评标过程中所进行的试图影响评标结果的不公正活动，可能导致其投标被拒绝。</w:t>
      </w:r>
    </w:p>
    <w:p>
      <w:pPr>
        <w:pStyle w:val="69"/>
        <w:spacing w:before="0" w:beforeAutospacing="0" w:after="0" w:afterAutospacing="0"/>
        <w:ind w:firstLine="361" w:firstLineChars="150"/>
        <w:jc w:val="both"/>
        <w:rPr>
          <w:b/>
          <w:highlight w:val="none"/>
        </w:rPr>
      </w:pPr>
      <w:r>
        <w:rPr>
          <w:b/>
          <w:highlight w:val="none"/>
        </w:rPr>
        <w:t>七、定标</w:t>
      </w:r>
    </w:p>
    <w:p>
      <w:pPr>
        <w:pStyle w:val="69"/>
        <w:spacing w:before="0" w:beforeAutospacing="0" w:after="0" w:afterAutospacing="0"/>
        <w:ind w:firstLine="480" w:firstLineChars="200"/>
        <w:jc w:val="both"/>
        <w:rPr>
          <w:highlight w:val="none"/>
        </w:rPr>
      </w:pPr>
      <w:r>
        <w:rPr>
          <w:highlight w:val="none"/>
        </w:rPr>
        <w:t>1、确定中标供应商。评标委员会根据采购单位的</w:t>
      </w:r>
      <w:r>
        <w:rPr>
          <w:rFonts w:hint="eastAsia"/>
          <w:highlight w:val="none"/>
        </w:rPr>
        <w:t>《授权意见确认书》</w:t>
      </w:r>
      <w:r>
        <w:rPr>
          <w:highlight w:val="none"/>
        </w:rPr>
        <w:t>，推荐中标候选人或确定中标人。</w:t>
      </w:r>
      <w:r>
        <w:rPr>
          <w:rFonts w:hint="eastAsia" w:cs="宋体"/>
          <w:szCs w:val="32"/>
          <w:highlight w:val="none"/>
        </w:rPr>
        <w:t>其中推荐中标候选人的，采购组织机构在评审结束后2个工作日内将评标报告送采购人，采购人自收到评审报告之日起5个工作日内在评审报告推荐的中标候选人中按顺序确定中标人。</w:t>
      </w:r>
    </w:p>
    <w:p>
      <w:pPr>
        <w:ind w:firstLine="480" w:firstLineChars="200"/>
        <w:rPr>
          <w:rFonts w:ascii="宋体" w:hAnsi="宋体"/>
          <w:kern w:val="0"/>
          <w:sz w:val="24"/>
          <w:highlight w:val="none"/>
        </w:rPr>
      </w:pPr>
      <w:r>
        <w:rPr>
          <w:rFonts w:ascii="宋体" w:hAnsi="宋体"/>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结果公告（同时公示《中小企业声明函》（如有））。采购组织机构应当自中标人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中标结果，招标文件应当随中标结果同时公告。</w:t>
      </w:r>
    </w:p>
    <w:p>
      <w:pPr>
        <w:pStyle w:val="69"/>
        <w:spacing w:before="0" w:beforeAutospacing="0" w:after="0" w:afterAutospacing="0"/>
        <w:ind w:firstLine="480" w:firstLineChars="200"/>
        <w:jc w:val="both"/>
        <w:rPr>
          <w:highlight w:val="none"/>
        </w:rPr>
      </w:pPr>
      <w:r>
        <w:rPr>
          <w:rFonts w:hint="eastAsia"/>
          <w:highlight w:val="none"/>
        </w:rPr>
        <w:t>3、发出中标通知书。采购组织机构在发布中标结果的同时，向中标人发出中标通知书。</w:t>
      </w:r>
    </w:p>
    <w:p>
      <w:pPr>
        <w:ind w:firstLine="482" w:firstLineChars="200"/>
        <w:rPr>
          <w:rFonts w:ascii="宋体" w:hAnsi="宋体"/>
          <w:kern w:val="0"/>
          <w:sz w:val="24"/>
          <w:highlight w:val="none"/>
        </w:rPr>
      </w:pPr>
      <w:r>
        <w:rPr>
          <w:rFonts w:ascii="宋体" w:hAnsi="宋体"/>
          <w:b/>
          <w:sz w:val="24"/>
          <w:highlight w:val="none"/>
        </w:rPr>
        <w:t>八、</w:t>
      </w:r>
      <w:r>
        <w:rPr>
          <w:rFonts w:hint="eastAsia" w:ascii="宋体" w:hAnsi="宋体"/>
          <w:b/>
          <w:kern w:val="0"/>
          <w:sz w:val="24"/>
          <w:highlight w:val="none"/>
        </w:rPr>
        <w:t>合同签订及中标公告</w:t>
      </w:r>
    </w:p>
    <w:p>
      <w:pPr>
        <w:ind w:firstLine="482" w:firstLineChars="200"/>
        <w:rPr>
          <w:rFonts w:ascii="宋体" w:hAnsi="宋体"/>
          <w:b/>
          <w:kern w:val="0"/>
          <w:sz w:val="24"/>
          <w:highlight w:val="none"/>
        </w:rPr>
      </w:pPr>
      <w:r>
        <w:rPr>
          <w:rFonts w:hint="eastAsia" w:ascii="宋体" w:hAnsi="宋体"/>
          <w:b/>
          <w:sz w:val="24"/>
          <w:highlight w:val="none"/>
        </w:rPr>
        <w:t>（一）签订合同</w:t>
      </w:r>
    </w:p>
    <w:p>
      <w:pPr>
        <w:pStyle w:val="37"/>
        <w:snapToGrid w:val="0"/>
        <w:ind w:firstLine="600" w:firstLineChars="250"/>
        <w:rPr>
          <w:rFonts w:hAnsi="宋体"/>
          <w:sz w:val="24"/>
          <w:szCs w:val="24"/>
          <w:highlight w:val="none"/>
        </w:rPr>
      </w:pPr>
      <w:r>
        <w:rPr>
          <w:rFonts w:hAnsi="宋体"/>
          <w:sz w:val="24"/>
          <w:szCs w:val="24"/>
          <w:highlight w:val="none"/>
        </w:rPr>
        <w:t>1、采购人应当自中标通知书发出之日起</w:t>
      </w:r>
      <w:r>
        <w:rPr>
          <w:rFonts w:hint="eastAsia" w:hAnsi="宋体"/>
          <w:sz w:val="24"/>
          <w:szCs w:val="24"/>
          <w:highlight w:val="none"/>
        </w:rPr>
        <w:t>30</w:t>
      </w:r>
      <w:r>
        <w:rPr>
          <w:rFonts w:hAnsi="宋体"/>
          <w:sz w:val="24"/>
          <w:szCs w:val="24"/>
          <w:highlight w:val="none"/>
        </w:rPr>
        <w:t>日内，按照招标文件和中标人投标文件的规定，与中标人签订书面合同。所签订的合同不得对招标文件确定的事项和中标人投标文件作实质性修改。</w:t>
      </w:r>
    </w:p>
    <w:p>
      <w:pPr>
        <w:pStyle w:val="37"/>
        <w:snapToGrid w:val="0"/>
        <w:ind w:firstLine="600" w:firstLineChars="250"/>
        <w:rPr>
          <w:rFonts w:hAnsi="宋体"/>
          <w:sz w:val="24"/>
          <w:szCs w:val="24"/>
          <w:highlight w:val="none"/>
        </w:rPr>
      </w:pPr>
      <w:r>
        <w:rPr>
          <w:rFonts w:hAnsi="宋体"/>
          <w:sz w:val="24"/>
          <w:szCs w:val="24"/>
          <w:highlight w:val="none"/>
        </w:rPr>
        <w:t>2、采购人不得向中标人提出任何不合理的要求作为签订合同的条件。</w:t>
      </w:r>
    </w:p>
    <w:p>
      <w:pPr>
        <w:pStyle w:val="37"/>
        <w:snapToGrid w:val="0"/>
        <w:ind w:firstLine="600" w:firstLineChars="250"/>
        <w:rPr>
          <w:rFonts w:hAnsi="宋体"/>
          <w:sz w:val="24"/>
          <w:szCs w:val="24"/>
          <w:highlight w:val="none"/>
        </w:rPr>
      </w:pPr>
      <w:r>
        <w:rPr>
          <w:rFonts w:hAnsi="宋体"/>
          <w:sz w:val="24"/>
          <w:szCs w:val="24"/>
          <w:highlight w:val="none"/>
        </w:rPr>
        <w:t>3、中标供应商无故拖延、拒签合同的,取消中标资格。</w:t>
      </w:r>
    </w:p>
    <w:p>
      <w:pPr>
        <w:pStyle w:val="37"/>
        <w:snapToGrid w:val="0"/>
        <w:ind w:firstLine="600" w:firstLineChars="250"/>
        <w:rPr>
          <w:rFonts w:hAnsi="宋体"/>
          <w:sz w:val="24"/>
          <w:szCs w:val="24"/>
          <w:highlight w:val="none"/>
        </w:rPr>
      </w:pPr>
      <w:r>
        <w:rPr>
          <w:rFonts w:hAnsi="宋体"/>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7"/>
        <w:snapToGrid w:val="0"/>
        <w:ind w:firstLine="600" w:firstLineChars="250"/>
        <w:rPr>
          <w:rFonts w:hAnsi="宋体"/>
          <w:sz w:val="24"/>
          <w:szCs w:val="24"/>
          <w:highlight w:val="none"/>
        </w:rPr>
      </w:pPr>
      <w:r>
        <w:rPr>
          <w:rFonts w:hAnsi="宋体"/>
          <w:sz w:val="24"/>
          <w:szCs w:val="24"/>
          <w:highlight w:val="none"/>
        </w:rPr>
        <w:t>5、询问或者质疑事项可能影响中标结果的，采购人应当暂停签订合同，已经签订合同的，应当中止履行合同（中标结果的质疑期为中标结果公告期限届满之日起七个工作日）。</w:t>
      </w:r>
    </w:p>
    <w:p>
      <w:pPr>
        <w:ind w:firstLine="482" w:firstLineChars="200"/>
        <w:rPr>
          <w:rFonts w:ascii="宋体" w:hAnsi="宋体"/>
          <w:b/>
          <w:sz w:val="24"/>
          <w:highlight w:val="none"/>
        </w:rPr>
      </w:pPr>
      <w:r>
        <w:rPr>
          <w:rFonts w:hint="eastAsia" w:ascii="宋体" w:hAnsi="宋体"/>
          <w:b/>
          <w:sz w:val="24"/>
          <w:highlight w:val="none"/>
        </w:rPr>
        <w:t>（二）合同公告及备案</w:t>
      </w:r>
    </w:p>
    <w:p>
      <w:pPr>
        <w:pStyle w:val="69"/>
        <w:spacing w:before="0" w:beforeAutospacing="0" w:after="0" w:afterAutospacing="0"/>
        <w:ind w:firstLine="600" w:firstLineChars="250"/>
        <w:jc w:val="both"/>
        <w:rPr>
          <w:highlight w:val="none"/>
        </w:rPr>
      </w:pPr>
      <w:r>
        <w:rPr>
          <w:rFonts w:hint="eastAsia"/>
          <w:highlight w:val="none"/>
        </w:rPr>
        <w:t>1、采购人应当自政府采购合同签订之日起2个工作日内，</w:t>
      </w:r>
      <w:r>
        <w:rPr>
          <w:highlight w:val="none"/>
        </w:rPr>
        <w:t>在省级以上财政部门指定的</w:t>
      </w:r>
      <w:r>
        <w:rPr>
          <w:rFonts w:hint="eastAsia"/>
          <w:highlight w:val="none"/>
        </w:rPr>
        <w:t>政府采购信息发布</w:t>
      </w:r>
      <w:r>
        <w:rPr>
          <w:highlight w:val="none"/>
        </w:rPr>
        <w:t>媒体及相关网站</w:t>
      </w:r>
      <w:r>
        <w:rPr>
          <w:rFonts w:hint="eastAsia"/>
          <w:highlight w:val="none"/>
        </w:rPr>
        <w:t>上</w:t>
      </w:r>
      <w:r>
        <w:rPr>
          <w:highlight w:val="none"/>
        </w:rPr>
        <w:t>公告</w:t>
      </w:r>
      <w:r>
        <w:rPr>
          <w:rFonts w:hint="eastAsia"/>
          <w:highlight w:val="none"/>
        </w:rPr>
        <w:t>。</w:t>
      </w:r>
    </w:p>
    <w:p>
      <w:pPr>
        <w:pStyle w:val="69"/>
        <w:spacing w:before="0" w:beforeAutospacing="0" w:after="0" w:afterAutospacing="0"/>
        <w:ind w:firstLine="600" w:firstLineChars="250"/>
        <w:jc w:val="both"/>
        <w:rPr>
          <w:highlight w:val="none"/>
        </w:rPr>
      </w:pPr>
      <w:r>
        <w:rPr>
          <w:rFonts w:hint="eastAsia"/>
          <w:highlight w:val="none"/>
        </w:rPr>
        <w:t>2、采购人应当自政府采购合同签订之日起7个工作日内，将政府采购合同副本报同级人民政府财政部门备案以及采购组织机构存档。</w:t>
      </w:r>
    </w:p>
    <w:p>
      <w:pPr>
        <w:pStyle w:val="37"/>
        <w:snapToGrid w:val="0"/>
        <w:ind w:firstLine="472" w:firstLineChars="196"/>
        <w:rPr>
          <w:rFonts w:hAnsi="宋体" w:cs="宋体"/>
          <w:b/>
          <w:sz w:val="24"/>
          <w:szCs w:val="24"/>
          <w:highlight w:val="none"/>
        </w:rPr>
      </w:pPr>
      <w:r>
        <w:rPr>
          <w:rFonts w:hint="eastAsia" w:hAnsi="宋体" w:cs="宋体"/>
          <w:b/>
          <w:sz w:val="24"/>
          <w:szCs w:val="24"/>
          <w:highlight w:val="none"/>
        </w:rPr>
        <w:t>（三）履约保证金</w:t>
      </w:r>
    </w:p>
    <w:p>
      <w:pPr>
        <w:snapToGrid w:val="0"/>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、中标人应按招标文件确定的履约保证金和代理服务费的金额，交纳履约保证金和代理服务费。</w:t>
      </w:r>
    </w:p>
    <w:p>
      <w:pPr>
        <w:snapToGrid w:val="0"/>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、签订合同后，如中标人不按双方合同约定履约或未按规定缴纳履约保证金和代理服务费，则没收其全部履约保证金，履约保证金不足以赔偿损失的，按实际损失赔偿。</w:t>
      </w:r>
    </w:p>
    <w:p>
      <w:pPr>
        <w:snapToGrid w:val="0"/>
        <w:ind w:firstLine="480" w:firstLineChars="200"/>
        <w:rPr>
          <w:rFonts w:ascii="宋体" w:cs="宋体"/>
          <w:sz w:val="24"/>
          <w:highlight w:val="none"/>
        </w:rPr>
      </w:pPr>
      <w:r>
        <w:rPr>
          <w:rFonts w:ascii="宋体" w:hAnsi="宋体" w:cs="宋体"/>
          <w:sz w:val="24"/>
          <w:highlight w:val="none"/>
        </w:rPr>
        <w:t>3</w:t>
      </w:r>
      <w:r>
        <w:rPr>
          <w:rFonts w:hint="eastAsia" w:ascii="宋体" w:hAnsi="宋体" w:cs="宋体"/>
          <w:sz w:val="24"/>
          <w:highlight w:val="none"/>
        </w:rPr>
        <w:t>、履约保证金在中标人按在合同履约到期且无异议情况下30日内无息退还（保函方式的自动失效）。</w:t>
      </w: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p>
      <w:pPr>
        <w:pStyle w:val="37"/>
        <w:snapToGrid w:val="0"/>
        <w:ind w:firstLine="600" w:firstLineChars="250"/>
        <w:rPr>
          <w:rFonts w:hAnsi="宋体"/>
          <w:sz w:val="24"/>
          <w:szCs w:val="24"/>
          <w:highlight w:val="none"/>
        </w:rPr>
      </w:pPr>
    </w:p>
    <w:bookmarkEnd w:id="7"/>
    <w:bookmarkEnd w:id="8"/>
    <w:bookmarkEnd w:id="9"/>
    <w:bookmarkEnd w:id="10"/>
    <w:p>
      <w:pPr>
        <w:pStyle w:val="3"/>
        <w:numPr>
          <w:ilvl w:val="0"/>
          <w:numId w:val="0"/>
        </w:numPr>
        <w:tabs>
          <w:tab w:val="clear" w:pos="432"/>
        </w:tabs>
        <w:rPr>
          <w:rFonts w:ascii="宋体" w:hAnsi="宋体"/>
          <w:sz w:val="36"/>
          <w:szCs w:val="36"/>
          <w:highlight w:val="none"/>
        </w:rPr>
      </w:pPr>
      <w:bookmarkStart w:id="11" w:name="_Toc331502481"/>
    </w:p>
    <w:p>
      <w:pPr>
        <w:pStyle w:val="3"/>
        <w:numPr>
          <w:ilvl w:val="0"/>
          <w:numId w:val="0"/>
        </w:numPr>
        <w:tabs>
          <w:tab w:val="clear" w:pos="432"/>
        </w:tabs>
        <w:jc w:val="center"/>
        <w:rPr>
          <w:rFonts w:ascii="宋体"/>
          <w:sz w:val="36"/>
          <w:szCs w:val="36"/>
          <w:highlight w:val="none"/>
        </w:rPr>
      </w:pPr>
      <w:r>
        <w:rPr>
          <w:rFonts w:hint="eastAsia" w:ascii="宋体" w:hAnsi="宋体"/>
          <w:sz w:val="36"/>
          <w:szCs w:val="36"/>
          <w:highlight w:val="none"/>
        </w:rPr>
        <w:t>第四部分</w:t>
      </w:r>
      <w:r>
        <w:rPr>
          <w:rFonts w:ascii="宋体" w:hAnsi="宋体"/>
          <w:sz w:val="36"/>
          <w:szCs w:val="36"/>
          <w:highlight w:val="none"/>
        </w:rPr>
        <w:t xml:space="preserve">  </w:t>
      </w:r>
      <w:r>
        <w:rPr>
          <w:rFonts w:hint="eastAsia" w:ascii="宋体" w:hAnsi="宋体"/>
          <w:sz w:val="36"/>
          <w:szCs w:val="36"/>
          <w:highlight w:val="none"/>
        </w:rPr>
        <w:t>投标文件有关格式和</w:t>
      </w:r>
      <w:bookmarkEnd w:id="11"/>
      <w:r>
        <w:rPr>
          <w:rFonts w:hint="eastAsia" w:ascii="宋体" w:hAnsi="宋体"/>
          <w:sz w:val="36"/>
          <w:szCs w:val="36"/>
          <w:highlight w:val="none"/>
        </w:rPr>
        <w:t>样式</w:t>
      </w:r>
    </w:p>
    <w:p>
      <w:pPr>
        <w:jc w:val="center"/>
        <w:rPr>
          <w:rFonts w:ascii="宋体"/>
          <w:sz w:val="24"/>
          <w:highlight w:val="none"/>
        </w:rPr>
      </w:pPr>
      <w:bookmarkStart w:id="12" w:name="_关_于_资"/>
      <w:bookmarkEnd w:id="12"/>
      <w:bookmarkStart w:id="13" w:name="_Toc331502482"/>
    </w:p>
    <w:p>
      <w:pPr>
        <w:jc w:val="center"/>
        <w:rPr>
          <w:rFonts w:ascii="宋体"/>
          <w:sz w:val="24"/>
          <w:highlight w:val="none"/>
        </w:rPr>
      </w:pPr>
    </w:p>
    <w:p>
      <w:pPr>
        <w:jc w:val="center"/>
        <w:rPr>
          <w:rFonts w:ascii="宋体"/>
          <w:sz w:val="24"/>
          <w:highlight w:val="none"/>
        </w:rPr>
      </w:pPr>
    </w:p>
    <w:p>
      <w:pPr>
        <w:jc w:val="center"/>
        <w:rPr>
          <w:rFonts w:ascii="宋体"/>
          <w:sz w:val="24"/>
          <w:highlight w:val="none"/>
        </w:rPr>
      </w:pPr>
    </w:p>
    <w:p>
      <w:pPr>
        <w:jc w:val="center"/>
        <w:rPr>
          <w:rFonts w:ascii="宋体"/>
          <w:sz w:val="24"/>
          <w:highlight w:val="none"/>
        </w:rPr>
      </w:pPr>
    </w:p>
    <w:p>
      <w:pPr>
        <w:rPr>
          <w:rFonts w:ascii="宋体"/>
          <w:sz w:val="24"/>
          <w:highlight w:val="none"/>
        </w:rPr>
      </w:pPr>
    </w:p>
    <w:p>
      <w:pPr>
        <w:jc w:val="center"/>
        <w:rPr>
          <w:rFonts w:ascii="宋体"/>
          <w:sz w:val="24"/>
          <w:highlight w:val="none"/>
        </w:rPr>
      </w:pPr>
    </w:p>
    <w:bookmarkEnd w:id="13"/>
    <w:p>
      <w:pPr>
        <w:rPr>
          <w:rFonts w:ascii="宋体" w:hAnsi="宋体"/>
          <w:sz w:val="24"/>
          <w:highlight w:val="none"/>
        </w:rPr>
      </w:pPr>
    </w:p>
    <w:p>
      <w:pPr>
        <w:rPr>
          <w:rFonts w:ascii="宋体" w:hAnsi="宋体"/>
          <w:sz w:val="24"/>
          <w:highlight w:val="none"/>
        </w:rPr>
      </w:pPr>
      <w:r>
        <w:rPr>
          <w:rFonts w:hint="eastAsia" w:ascii="宋体" w:hAnsi="宋体"/>
          <w:sz w:val="24"/>
          <w:highlight w:val="none"/>
        </w:rPr>
        <w:br w:type="page"/>
      </w:r>
    </w:p>
    <w:p>
      <w:pPr>
        <w:widowControl/>
        <w:spacing w:line="240" w:lineRule="auto"/>
        <w:jc w:val="left"/>
        <w:rPr>
          <w:rFonts w:ascii="宋体" w:hAnsi="宋体" w:cs="宋体"/>
          <w:b/>
          <w:kern w:val="0"/>
          <w:sz w:val="24"/>
          <w:highlight w:val="none"/>
        </w:rPr>
      </w:pPr>
      <w:r>
        <w:rPr>
          <w:rFonts w:hint="eastAsia" w:ascii="宋体" w:hAnsi="宋体" w:cs="宋体"/>
          <w:b/>
          <w:bCs/>
          <w:sz w:val="24"/>
          <w:highlight w:val="none"/>
        </w:rPr>
        <w:t>附件1　</w:t>
      </w:r>
      <w:r>
        <w:rPr>
          <w:rFonts w:hint="eastAsia" w:ascii="宋体" w:hAnsi="宋体" w:cs="宋体"/>
          <w:sz w:val="24"/>
          <w:highlight w:val="none"/>
        </w:rPr>
        <w:t xml:space="preserve">　　                                      </w:t>
      </w:r>
    </w:p>
    <w:p>
      <w:pPr>
        <w:spacing w:line="240" w:lineRule="auto"/>
        <w:rPr>
          <w:rFonts w:ascii="宋体" w:hAnsi="宋体" w:cs="宋体"/>
          <w:b/>
          <w:sz w:val="36"/>
          <w:szCs w:val="36"/>
          <w:highlight w:val="none"/>
        </w:rPr>
      </w:pPr>
    </w:p>
    <w:p>
      <w:pPr>
        <w:spacing w:line="240" w:lineRule="auto"/>
        <w:jc w:val="center"/>
        <w:rPr>
          <w:rFonts w:hint="eastAsia" w:ascii="宋体" w:hAnsi="宋体" w:eastAsia="宋体" w:cs="宋体"/>
          <w:spacing w:val="40"/>
          <w:sz w:val="36"/>
          <w:szCs w:val="36"/>
          <w:highlight w:val="none"/>
          <w:lang w:eastAsia="zh-CN"/>
        </w:rPr>
      </w:pPr>
      <w:r>
        <w:rPr>
          <w:rFonts w:hint="eastAsia" w:ascii="宋体" w:hAnsi="宋体" w:cs="宋体"/>
          <w:spacing w:val="40"/>
          <w:sz w:val="36"/>
          <w:szCs w:val="36"/>
          <w:highlight w:val="none"/>
          <w:lang w:eastAsia="zh-CN"/>
        </w:rPr>
        <w:t>龙头王、锦泰、飞龙湖未来社区实施方案编制</w:t>
      </w:r>
    </w:p>
    <w:p>
      <w:pPr>
        <w:autoSpaceDE w:val="0"/>
        <w:autoSpaceDN w:val="0"/>
        <w:adjustRightInd w:val="0"/>
        <w:spacing w:line="240" w:lineRule="auto"/>
        <w:jc w:val="center"/>
        <w:rPr>
          <w:rFonts w:ascii="宋体" w:hAnsi="宋体" w:cs="宋体"/>
          <w:sz w:val="36"/>
          <w:szCs w:val="36"/>
          <w:highlight w:val="none"/>
          <w:lang w:val="zh-CN"/>
        </w:rPr>
      </w:pPr>
    </w:p>
    <w:p>
      <w:pPr>
        <w:pStyle w:val="2"/>
        <w:spacing w:line="240" w:lineRule="auto"/>
        <w:rPr>
          <w:rFonts w:hAnsi="宋体" w:cs="宋体"/>
          <w:sz w:val="36"/>
          <w:szCs w:val="36"/>
          <w:highlight w:val="none"/>
        </w:rPr>
      </w:pPr>
    </w:p>
    <w:p>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投</w:t>
      </w:r>
    </w:p>
    <w:p>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标</w:t>
      </w:r>
    </w:p>
    <w:p>
      <w:pPr>
        <w:autoSpaceDE w:val="0"/>
        <w:autoSpaceDN w:val="0"/>
        <w:adjustRightInd w:val="0"/>
        <w:spacing w:line="240" w:lineRule="auto"/>
        <w:jc w:val="center"/>
        <w:rPr>
          <w:rFonts w:ascii="宋体" w:hAnsi="宋体" w:cs="宋体"/>
          <w:sz w:val="36"/>
          <w:szCs w:val="36"/>
          <w:highlight w:val="none"/>
        </w:rPr>
      </w:pPr>
      <w:r>
        <w:rPr>
          <w:rFonts w:hint="eastAsia" w:ascii="宋体" w:hAnsi="宋体" w:cs="宋体"/>
          <w:sz w:val="36"/>
          <w:szCs w:val="36"/>
          <w:highlight w:val="none"/>
          <w:lang w:val="zh-CN"/>
        </w:rPr>
        <w:t>文</w:t>
      </w:r>
    </w:p>
    <w:p>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件</w:t>
      </w:r>
    </w:p>
    <w:p>
      <w:pPr>
        <w:autoSpaceDE w:val="0"/>
        <w:autoSpaceDN w:val="0"/>
        <w:adjustRightInd w:val="0"/>
        <w:spacing w:line="240" w:lineRule="auto"/>
        <w:jc w:val="center"/>
        <w:rPr>
          <w:rFonts w:ascii="宋体" w:hAnsi="宋体" w:cs="宋体"/>
          <w:b/>
          <w:spacing w:val="40"/>
          <w:sz w:val="36"/>
          <w:szCs w:val="36"/>
          <w:highlight w:val="none"/>
        </w:rPr>
      </w:pPr>
      <w:r>
        <w:rPr>
          <w:rFonts w:hint="eastAsia" w:ascii="宋体" w:hAnsi="宋体" w:cs="宋体"/>
          <w:b/>
          <w:spacing w:val="40"/>
          <w:sz w:val="36"/>
          <w:szCs w:val="36"/>
          <w:highlight w:val="none"/>
        </w:rPr>
        <w:t>（资格证明文件）</w:t>
      </w:r>
    </w:p>
    <w:p>
      <w:pPr>
        <w:autoSpaceDE w:val="0"/>
        <w:autoSpaceDN w:val="0"/>
        <w:adjustRightInd w:val="0"/>
        <w:spacing w:line="240" w:lineRule="auto"/>
        <w:rPr>
          <w:rFonts w:ascii="宋体" w:hAnsi="宋体" w:cs="宋体"/>
          <w:sz w:val="36"/>
          <w:szCs w:val="36"/>
          <w:highlight w:val="none"/>
        </w:rPr>
      </w:pPr>
    </w:p>
    <w:p>
      <w:pPr>
        <w:autoSpaceDE w:val="0"/>
        <w:autoSpaceDN w:val="0"/>
        <w:adjustRightInd w:val="0"/>
        <w:spacing w:line="240" w:lineRule="auto"/>
        <w:rPr>
          <w:rFonts w:ascii="宋体" w:hAnsi="宋体" w:cs="宋体"/>
          <w:sz w:val="36"/>
          <w:szCs w:val="36"/>
          <w:highlight w:val="none"/>
        </w:rPr>
      </w:pPr>
      <w:r>
        <w:rPr>
          <w:rFonts w:hint="eastAsia" w:ascii="宋体" w:hAnsi="宋体" w:cs="宋体"/>
          <w:sz w:val="36"/>
          <w:szCs w:val="36"/>
          <w:highlight w:val="none"/>
        </w:rPr>
        <w:t>投标人全称（公章）：</w:t>
      </w:r>
    </w:p>
    <w:p>
      <w:pPr>
        <w:autoSpaceDE w:val="0"/>
        <w:autoSpaceDN w:val="0"/>
        <w:adjustRightInd w:val="0"/>
        <w:spacing w:line="240" w:lineRule="auto"/>
        <w:rPr>
          <w:rFonts w:ascii="宋体" w:hAnsi="宋体" w:cs="宋体"/>
          <w:sz w:val="36"/>
          <w:szCs w:val="36"/>
          <w:highlight w:val="none"/>
        </w:rPr>
      </w:pPr>
      <w:r>
        <w:rPr>
          <w:rFonts w:hint="eastAsia" w:ascii="宋体" w:hAnsi="宋体" w:cs="宋体"/>
          <w:sz w:val="36"/>
          <w:szCs w:val="36"/>
          <w:highlight w:val="none"/>
        </w:rPr>
        <w:t>地址：</w:t>
      </w:r>
    </w:p>
    <w:p>
      <w:pPr>
        <w:autoSpaceDE w:val="0"/>
        <w:autoSpaceDN w:val="0"/>
        <w:adjustRightInd w:val="0"/>
        <w:spacing w:line="240" w:lineRule="auto"/>
        <w:rPr>
          <w:rFonts w:ascii="宋体" w:hAnsi="宋体" w:cs="宋体"/>
          <w:b/>
          <w:bCs/>
          <w:sz w:val="24"/>
          <w:highlight w:val="none"/>
        </w:rPr>
      </w:pPr>
      <w:r>
        <w:rPr>
          <w:rFonts w:hint="eastAsia" w:ascii="宋体" w:hAnsi="宋体" w:cs="宋体"/>
          <w:sz w:val="36"/>
          <w:szCs w:val="36"/>
          <w:highlight w:val="none"/>
        </w:rPr>
        <w:t>时间：</w:t>
      </w:r>
      <w:r>
        <w:rPr>
          <w:rFonts w:hint="eastAsia" w:ascii="宋体" w:hAnsi="宋体" w:cs="宋体"/>
          <w:b/>
          <w:bCs/>
          <w:sz w:val="24"/>
          <w:highlight w:val="none"/>
        </w:rPr>
        <w:br w:type="page"/>
      </w:r>
    </w:p>
    <w:p>
      <w:pPr>
        <w:spacing w:line="240" w:lineRule="auto"/>
        <w:jc w:val="center"/>
        <w:rPr>
          <w:rFonts w:ascii="宋体" w:hAnsi="宋体" w:cs="宋体"/>
          <w:b/>
          <w:bCs/>
          <w:sz w:val="30"/>
          <w:szCs w:val="30"/>
          <w:highlight w:val="none"/>
        </w:rPr>
      </w:pPr>
      <w:r>
        <w:rPr>
          <w:rFonts w:hint="eastAsia" w:ascii="宋体" w:hAnsi="宋体" w:cs="宋体"/>
          <w:b/>
          <w:bCs/>
          <w:sz w:val="30"/>
          <w:szCs w:val="30"/>
          <w:highlight w:val="none"/>
        </w:rPr>
        <w:t>资格证明文件目录</w:t>
      </w:r>
    </w:p>
    <w:p>
      <w:pPr>
        <w:spacing w:line="240" w:lineRule="auto"/>
        <w:rPr>
          <w:rFonts w:ascii="宋体" w:hAnsi="宋体" w:cs="宋体"/>
          <w:sz w:val="30"/>
          <w:szCs w:val="30"/>
          <w:highlight w:val="none"/>
        </w:rPr>
      </w:pPr>
    </w:p>
    <w:p>
      <w:pPr>
        <w:spacing w:line="240" w:lineRule="auto"/>
        <w:rPr>
          <w:rFonts w:ascii="宋体" w:hAnsi="宋体" w:cs="宋体"/>
          <w:sz w:val="30"/>
          <w:szCs w:val="30"/>
          <w:highlight w:val="none"/>
          <w:lang w:val="zh-CN"/>
        </w:rPr>
      </w:pPr>
      <w:r>
        <w:rPr>
          <w:rFonts w:hint="eastAsia" w:ascii="宋体" w:hAnsi="宋体" w:cs="宋体"/>
          <w:sz w:val="30"/>
          <w:szCs w:val="30"/>
          <w:highlight w:val="none"/>
          <w:lang w:val="zh-CN"/>
        </w:rPr>
        <w:t>（1）投标声明书</w:t>
      </w:r>
      <w:r>
        <w:rPr>
          <w:rFonts w:hint="eastAsia" w:ascii="宋体" w:hAnsi="宋体" w:cs="宋体"/>
          <w:sz w:val="30"/>
          <w:szCs w:val="30"/>
          <w:highlight w:val="none"/>
        </w:rPr>
        <w:t>（格式见附件）</w:t>
      </w:r>
      <w:r>
        <w:rPr>
          <w:rFonts w:hint="eastAsia" w:ascii="宋体" w:hAnsi="宋体" w:cs="宋体"/>
          <w:sz w:val="30"/>
          <w:szCs w:val="30"/>
          <w:highlight w:val="none"/>
          <w:lang w:val="zh-CN"/>
        </w:rPr>
        <w:t>；</w:t>
      </w:r>
    </w:p>
    <w:p>
      <w:pPr>
        <w:spacing w:line="240" w:lineRule="auto"/>
        <w:rPr>
          <w:rFonts w:ascii="宋体" w:hAnsi="宋体" w:cs="宋体"/>
          <w:sz w:val="30"/>
          <w:szCs w:val="30"/>
          <w:highlight w:val="none"/>
          <w:lang w:val="zh-CN"/>
        </w:rPr>
      </w:pPr>
      <w:r>
        <w:rPr>
          <w:rFonts w:hint="eastAsia" w:ascii="宋体" w:hAnsi="宋体" w:cs="宋体"/>
          <w:sz w:val="30"/>
          <w:szCs w:val="30"/>
          <w:highlight w:val="none"/>
          <w:lang w:val="zh-CN"/>
        </w:rPr>
        <w:t>（2）授权委托书</w:t>
      </w:r>
      <w:r>
        <w:rPr>
          <w:rFonts w:hint="eastAsia" w:ascii="宋体" w:hAnsi="宋体" w:cs="宋体"/>
          <w:sz w:val="30"/>
          <w:szCs w:val="30"/>
          <w:highlight w:val="none"/>
        </w:rPr>
        <w:t>（格式见附件）</w:t>
      </w:r>
      <w:r>
        <w:rPr>
          <w:rFonts w:hint="eastAsia" w:ascii="宋体" w:hAnsi="宋体" w:cs="宋体"/>
          <w:sz w:val="30"/>
          <w:szCs w:val="30"/>
          <w:highlight w:val="none"/>
          <w:lang w:val="zh-CN"/>
        </w:rPr>
        <w:t>（法定代表人亲自办理投标事宜的，则无需提交</w:t>
      </w:r>
      <w:r>
        <w:rPr>
          <w:rFonts w:hint="eastAsia" w:ascii="宋体" w:hAnsi="宋体" w:cs="宋体"/>
          <w:sz w:val="30"/>
          <w:szCs w:val="30"/>
          <w:highlight w:val="none"/>
        </w:rPr>
        <w:t>法定代表人授权书，仅提供法定代表人身份证明即可，法定代表人须与营业执照上载明的一致</w:t>
      </w:r>
      <w:r>
        <w:rPr>
          <w:rFonts w:hint="eastAsia" w:ascii="宋体" w:hAnsi="宋体" w:cs="宋体"/>
          <w:sz w:val="30"/>
          <w:szCs w:val="30"/>
          <w:highlight w:val="none"/>
          <w:lang w:val="zh-CN"/>
        </w:rPr>
        <w:t>)；</w:t>
      </w:r>
    </w:p>
    <w:p>
      <w:pPr>
        <w:spacing w:line="240" w:lineRule="auto"/>
        <w:rPr>
          <w:rFonts w:ascii="宋体" w:hAnsi="宋体" w:cs="宋体"/>
          <w:sz w:val="30"/>
          <w:szCs w:val="30"/>
          <w:highlight w:val="none"/>
          <w:lang w:val="zh-CN"/>
        </w:rPr>
      </w:pPr>
      <w:r>
        <w:rPr>
          <w:rFonts w:hint="eastAsia" w:ascii="宋体" w:hAnsi="宋体" w:cs="宋体"/>
          <w:sz w:val="30"/>
          <w:szCs w:val="30"/>
          <w:highlight w:val="none"/>
          <w:lang w:val="zh-CN"/>
        </w:rPr>
        <w:t>（3）营业执照（复印件）；</w:t>
      </w:r>
    </w:p>
    <w:p>
      <w:pPr>
        <w:spacing w:line="240" w:lineRule="auto"/>
        <w:rPr>
          <w:rFonts w:hint="eastAsia" w:ascii="宋体" w:hAnsi="宋体" w:cs="宋体"/>
          <w:sz w:val="30"/>
          <w:szCs w:val="30"/>
          <w:highlight w:val="none"/>
          <w:lang w:val="zh-CN" w:eastAsia="zh-CN"/>
        </w:rPr>
      </w:pPr>
      <w:r>
        <w:rPr>
          <w:rFonts w:hint="eastAsia" w:ascii="宋体" w:hAnsi="宋体" w:cs="宋体"/>
          <w:sz w:val="30"/>
          <w:szCs w:val="30"/>
          <w:highlight w:val="none"/>
          <w:lang w:val="zh-CN"/>
        </w:rPr>
        <w:t>（</w:t>
      </w:r>
      <w:r>
        <w:rPr>
          <w:rFonts w:hint="eastAsia" w:ascii="宋体" w:hAnsi="宋体" w:cs="宋体"/>
          <w:sz w:val="30"/>
          <w:szCs w:val="30"/>
          <w:highlight w:val="none"/>
          <w:lang w:val="en-US" w:eastAsia="zh-CN"/>
        </w:rPr>
        <w:t>4</w:t>
      </w:r>
      <w:r>
        <w:rPr>
          <w:rFonts w:hint="eastAsia" w:ascii="宋体" w:hAnsi="宋体" w:cs="宋体"/>
          <w:sz w:val="30"/>
          <w:szCs w:val="30"/>
          <w:highlight w:val="none"/>
          <w:lang w:val="zh-CN"/>
        </w:rPr>
        <w:t>）</w:t>
      </w:r>
      <w:r>
        <w:rPr>
          <w:rFonts w:hint="eastAsia" w:ascii="宋体" w:hAnsi="宋体" w:cs="宋体"/>
          <w:sz w:val="30"/>
          <w:szCs w:val="30"/>
          <w:highlight w:val="none"/>
          <w:lang w:val="zh-CN" w:eastAsia="zh-CN"/>
        </w:rPr>
        <w:t>城乡规划编制单位乙级及以上资质影印件；</w:t>
      </w:r>
    </w:p>
    <w:p>
      <w:pPr>
        <w:spacing w:line="240" w:lineRule="auto"/>
        <w:rPr>
          <w:rFonts w:ascii="宋体" w:hAnsi="宋体" w:cs="宋体"/>
          <w:sz w:val="30"/>
          <w:szCs w:val="30"/>
          <w:highlight w:val="none"/>
          <w:lang w:val="zh-CN"/>
        </w:rPr>
      </w:pPr>
      <w:r>
        <w:rPr>
          <w:rFonts w:hint="eastAsia" w:ascii="宋体" w:hAnsi="宋体" w:cs="宋体"/>
          <w:sz w:val="30"/>
          <w:szCs w:val="30"/>
          <w:highlight w:val="none"/>
          <w:lang w:val="zh-CN"/>
        </w:rPr>
        <w:t>（</w:t>
      </w:r>
      <w:r>
        <w:rPr>
          <w:rFonts w:hint="eastAsia" w:ascii="宋体" w:hAnsi="宋体" w:cs="宋体"/>
          <w:sz w:val="30"/>
          <w:szCs w:val="30"/>
          <w:highlight w:val="none"/>
          <w:lang w:val="en-US" w:eastAsia="zh-CN"/>
        </w:rPr>
        <w:t>5</w:t>
      </w:r>
      <w:r>
        <w:rPr>
          <w:rFonts w:hint="eastAsia" w:ascii="宋体" w:hAnsi="宋体" w:cs="宋体"/>
          <w:sz w:val="30"/>
          <w:szCs w:val="30"/>
          <w:highlight w:val="none"/>
          <w:lang w:val="zh-CN"/>
        </w:rPr>
        <w:t>）具有履行合同所必需的场地、设备和专业技术能力的承诺函</w:t>
      </w:r>
      <w:r>
        <w:rPr>
          <w:rFonts w:hint="eastAsia" w:ascii="宋体" w:hAnsi="宋体" w:cs="宋体"/>
          <w:sz w:val="30"/>
          <w:szCs w:val="30"/>
          <w:highlight w:val="none"/>
        </w:rPr>
        <w:t>（格式见附件）</w:t>
      </w:r>
      <w:r>
        <w:rPr>
          <w:rFonts w:hint="eastAsia" w:ascii="宋体" w:hAnsi="宋体" w:cs="宋体"/>
          <w:sz w:val="30"/>
          <w:szCs w:val="30"/>
          <w:highlight w:val="none"/>
          <w:lang w:val="zh-CN"/>
        </w:rPr>
        <w:t>；</w:t>
      </w:r>
    </w:p>
    <w:p>
      <w:pPr>
        <w:spacing w:line="240" w:lineRule="auto"/>
        <w:rPr>
          <w:rFonts w:ascii="宋体" w:hAnsi="宋体" w:cs="宋体"/>
          <w:sz w:val="30"/>
          <w:szCs w:val="30"/>
          <w:highlight w:val="none"/>
          <w:lang w:val="zh-CN"/>
        </w:rPr>
      </w:pPr>
      <w:r>
        <w:rPr>
          <w:rFonts w:hint="eastAsia" w:ascii="宋体" w:hAnsi="宋体" w:cs="宋体"/>
          <w:sz w:val="30"/>
          <w:szCs w:val="30"/>
          <w:highlight w:val="none"/>
          <w:lang w:val="zh-CN"/>
        </w:rPr>
        <w:t>（</w:t>
      </w:r>
      <w:r>
        <w:rPr>
          <w:rFonts w:hint="eastAsia" w:ascii="宋体" w:hAnsi="宋体" w:cs="宋体"/>
          <w:sz w:val="30"/>
          <w:szCs w:val="30"/>
          <w:highlight w:val="none"/>
          <w:lang w:val="en-US" w:eastAsia="zh-CN"/>
        </w:rPr>
        <w:t>6</w:t>
      </w:r>
      <w:r>
        <w:rPr>
          <w:rFonts w:hint="eastAsia" w:ascii="宋体" w:hAnsi="宋体" w:cs="宋体"/>
          <w:sz w:val="30"/>
          <w:szCs w:val="30"/>
          <w:highlight w:val="none"/>
          <w:lang w:val="zh-CN"/>
        </w:rPr>
        <w:t>）依法缴纳税收和社会保障资金的承诺函（</w:t>
      </w:r>
      <w:r>
        <w:rPr>
          <w:rFonts w:hint="eastAsia" w:ascii="宋体" w:hAnsi="宋体" w:cs="宋体"/>
          <w:sz w:val="30"/>
          <w:szCs w:val="30"/>
          <w:highlight w:val="none"/>
        </w:rPr>
        <w:t>格式见附件</w:t>
      </w:r>
      <w:r>
        <w:rPr>
          <w:rFonts w:hint="eastAsia" w:ascii="宋体" w:hAnsi="宋体" w:cs="宋体"/>
          <w:sz w:val="30"/>
          <w:szCs w:val="30"/>
          <w:highlight w:val="none"/>
          <w:lang w:val="zh-CN"/>
        </w:rPr>
        <w:t>）；</w:t>
      </w:r>
    </w:p>
    <w:p>
      <w:pPr>
        <w:pStyle w:val="72"/>
        <w:jc w:val="both"/>
        <w:rPr>
          <w:rFonts w:hint="eastAsia" w:ascii="宋体" w:hAnsi="宋体" w:cs="宋体"/>
          <w:sz w:val="30"/>
          <w:szCs w:val="30"/>
          <w:highlight w:val="none"/>
          <w:lang w:val="zh-CN"/>
        </w:rPr>
      </w:pPr>
      <w:r>
        <w:rPr>
          <w:rFonts w:hint="eastAsia" w:ascii="宋体" w:hAnsi="宋体" w:cs="宋体"/>
          <w:sz w:val="30"/>
          <w:szCs w:val="30"/>
          <w:highlight w:val="none"/>
          <w:lang w:val="zh-CN"/>
        </w:rPr>
        <w:t>（</w:t>
      </w:r>
      <w:r>
        <w:rPr>
          <w:rFonts w:hint="eastAsia" w:ascii="宋体" w:hAnsi="宋体" w:cs="宋体"/>
          <w:sz w:val="30"/>
          <w:szCs w:val="30"/>
          <w:highlight w:val="none"/>
          <w:lang w:val="en-US" w:eastAsia="zh-CN"/>
        </w:rPr>
        <w:t>7</w:t>
      </w:r>
      <w:r>
        <w:rPr>
          <w:rFonts w:hint="eastAsia" w:ascii="宋体" w:hAnsi="宋体" w:cs="宋体"/>
          <w:sz w:val="30"/>
          <w:szCs w:val="30"/>
          <w:highlight w:val="none"/>
          <w:lang w:val="zh-CN"/>
        </w:rPr>
        <w:t>）投标供应商没有失信记录承诺函（</w:t>
      </w:r>
      <w:r>
        <w:rPr>
          <w:rFonts w:hint="eastAsia" w:ascii="宋体" w:hAnsi="宋体" w:cs="宋体"/>
          <w:sz w:val="30"/>
          <w:szCs w:val="30"/>
          <w:highlight w:val="none"/>
        </w:rPr>
        <w:t>格式见附件</w:t>
      </w:r>
      <w:r>
        <w:rPr>
          <w:rFonts w:hint="eastAsia" w:ascii="宋体" w:hAnsi="宋体" w:cs="宋体"/>
          <w:sz w:val="30"/>
          <w:szCs w:val="30"/>
          <w:highlight w:val="none"/>
          <w:lang w:val="zh-CN"/>
        </w:rPr>
        <w:t>）；</w:t>
      </w:r>
    </w:p>
    <w:p>
      <w:pPr>
        <w:pStyle w:val="72"/>
        <w:jc w:val="both"/>
        <w:rPr>
          <w:rFonts w:ascii="宋体" w:hAnsi="宋体" w:cs="宋体"/>
          <w:sz w:val="30"/>
          <w:szCs w:val="30"/>
          <w:highlight w:val="none"/>
          <w:lang w:val="zh-CN"/>
        </w:rPr>
      </w:pPr>
      <w:r>
        <w:rPr>
          <w:rFonts w:hint="eastAsia" w:ascii="宋体" w:hAnsi="宋体" w:cs="宋体"/>
          <w:b w:val="0"/>
          <w:kern w:val="2"/>
          <w:sz w:val="30"/>
          <w:szCs w:val="30"/>
          <w:highlight w:val="none"/>
        </w:rPr>
        <w:t>（</w:t>
      </w:r>
      <w:r>
        <w:rPr>
          <w:rFonts w:hint="eastAsia" w:ascii="宋体" w:hAnsi="宋体" w:cs="宋体"/>
          <w:b w:val="0"/>
          <w:kern w:val="2"/>
          <w:sz w:val="30"/>
          <w:szCs w:val="30"/>
          <w:highlight w:val="none"/>
          <w:lang w:val="en-US" w:eastAsia="zh-CN"/>
        </w:rPr>
        <w:t>8</w:t>
      </w:r>
      <w:r>
        <w:rPr>
          <w:rFonts w:hint="eastAsia" w:ascii="宋体" w:hAnsi="宋体" w:cs="宋体"/>
          <w:b w:val="0"/>
          <w:kern w:val="2"/>
          <w:sz w:val="30"/>
          <w:szCs w:val="30"/>
          <w:highlight w:val="none"/>
        </w:rPr>
        <w:t>）《中小企业声明函》（格式见附件）</w:t>
      </w:r>
      <w:r>
        <w:rPr>
          <w:rFonts w:hint="eastAsia" w:ascii="宋体" w:hAnsi="宋体" w:cs="宋体"/>
          <w:sz w:val="30"/>
          <w:szCs w:val="30"/>
          <w:highlight w:val="none"/>
          <w:lang w:val="zh-CN"/>
        </w:rPr>
        <w:t>。</w:t>
      </w:r>
    </w:p>
    <w:p>
      <w:pPr>
        <w:spacing w:line="240" w:lineRule="auto"/>
        <w:rPr>
          <w:rFonts w:ascii="宋体" w:hAnsi="宋体" w:cs="宋体"/>
          <w:sz w:val="24"/>
          <w:highlight w:val="none"/>
        </w:rPr>
      </w:pPr>
      <w:r>
        <w:rPr>
          <w:rFonts w:hint="eastAsia" w:ascii="宋体" w:hAnsi="宋体" w:cs="宋体"/>
          <w:sz w:val="30"/>
          <w:szCs w:val="30"/>
          <w:highlight w:val="none"/>
        </w:rPr>
        <w:t>上述资格条件审查材料有一项不提供的，视为资格审查不通过</w:t>
      </w:r>
      <w:r>
        <w:rPr>
          <w:rFonts w:hint="eastAsia" w:ascii="宋体" w:hAnsi="宋体" w:cs="宋体"/>
          <w:sz w:val="24"/>
          <w:highlight w:val="none"/>
        </w:rPr>
        <w:t>。</w:t>
      </w: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r>
        <w:rPr>
          <w:rFonts w:hint="eastAsia" w:ascii="宋体" w:hAnsi="宋体" w:cs="宋体"/>
          <w:sz w:val="24"/>
          <w:highlight w:val="none"/>
        </w:rPr>
        <w:br w:type="page"/>
      </w:r>
    </w:p>
    <w:p>
      <w:pPr>
        <w:widowControl/>
        <w:spacing w:line="240" w:lineRule="auto"/>
        <w:jc w:val="left"/>
        <w:rPr>
          <w:rFonts w:ascii="宋体" w:hAnsi="宋体" w:cs="宋体"/>
          <w:b/>
          <w:kern w:val="0"/>
          <w:sz w:val="36"/>
          <w:szCs w:val="36"/>
          <w:highlight w:val="none"/>
          <w:lang w:val="zh-CN"/>
        </w:rPr>
      </w:pPr>
      <w:r>
        <w:rPr>
          <w:rFonts w:hint="eastAsia" w:ascii="宋体" w:hAnsi="宋体" w:cs="宋体"/>
          <w:b/>
          <w:sz w:val="24"/>
          <w:highlight w:val="none"/>
        </w:rPr>
        <w:t xml:space="preserve">附件                 </w:t>
      </w:r>
      <w:r>
        <w:rPr>
          <w:rFonts w:hint="eastAsia" w:ascii="宋体" w:hAnsi="宋体" w:cs="宋体"/>
          <w:b/>
          <w:sz w:val="36"/>
          <w:szCs w:val="36"/>
          <w:highlight w:val="none"/>
        </w:rPr>
        <w:t xml:space="preserve"> </w:t>
      </w:r>
      <w:r>
        <w:rPr>
          <w:rFonts w:hint="eastAsia" w:ascii="宋体" w:hAnsi="宋体" w:cs="宋体"/>
          <w:b/>
          <w:kern w:val="0"/>
          <w:sz w:val="36"/>
          <w:szCs w:val="36"/>
          <w:highlight w:val="none"/>
          <w:lang w:val="zh-CN"/>
        </w:rPr>
        <w:t>投标声明书</w:t>
      </w:r>
    </w:p>
    <w:p>
      <w:pPr>
        <w:rPr>
          <w:rFonts w:ascii="宋体" w:hAnsi="宋体" w:cs="宋体"/>
          <w:sz w:val="24"/>
          <w:highlight w:val="non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pPr>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pPr>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投标人名称 </w:t>
      </w:r>
      <w:r>
        <w:rPr>
          <w:rFonts w:hint="eastAsia" w:ascii="宋体" w:hAnsi="宋体" w:cs="宋体"/>
          <w:sz w:val="24"/>
          <w:highlight w:val="none"/>
        </w:rPr>
        <w:t>）的法定代表人，我公司自愿参加贵方组织的（</w:t>
      </w:r>
      <w:r>
        <w:rPr>
          <w:rFonts w:hint="eastAsia" w:ascii="宋体" w:hAnsi="宋体" w:cs="宋体"/>
          <w:sz w:val="24"/>
          <w:highlight w:val="none"/>
          <w:u w:val="single"/>
          <w:lang w:eastAsia="zh-CN"/>
        </w:rPr>
        <w:t>龙头王、锦泰、飞龙湖未来社区实施方案编制</w:t>
      </w:r>
      <w:r>
        <w:rPr>
          <w:rFonts w:hint="eastAsia" w:ascii="宋体" w:hAnsi="宋体" w:cs="宋体"/>
          <w:sz w:val="24"/>
          <w:highlight w:val="none"/>
        </w:rPr>
        <w:t>）（编号为</w:t>
      </w:r>
      <w:r>
        <w:rPr>
          <w:rFonts w:hint="eastAsia" w:ascii="宋体" w:hAnsi="宋体" w:cs="宋体"/>
          <w:sz w:val="24"/>
          <w:highlight w:val="none"/>
          <w:u w:val="single"/>
          <w:lang w:eastAsia="zh-CN"/>
        </w:rPr>
        <w:t>JJLQ2022-011</w:t>
      </w:r>
      <w:r>
        <w:rPr>
          <w:rFonts w:hint="eastAsia" w:ascii="宋体" w:hAnsi="宋体" w:cs="宋体"/>
          <w:sz w:val="24"/>
          <w:highlight w:val="none"/>
        </w:rPr>
        <w:t>）的投标，为此，我公司就本次投标有关事项郑重声明如下：</w:t>
      </w:r>
    </w:p>
    <w:p>
      <w:pPr>
        <w:ind w:firstLine="480" w:firstLineChars="200"/>
        <w:rPr>
          <w:rFonts w:ascii="宋体" w:hAnsi="宋体" w:cs="宋体"/>
          <w:sz w:val="24"/>
          <w:highlight w:val="none"/>
        </w:rPr>
      </w:pPr>
      <w:r>
        <w:rPr>
          <w:rFonts w:hint="eastAsia" w:ascii="宋体" w:hAnsi="宋体" w:cs="宋体"/>
          <w:sz w:val="24"/>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ind w:firstLine="480" w:firstLineChars="200"/>
        <w:rPr>
          <w:rFonts w:ascii="宋体" w:hAnsi="宋体" w:cs="宋体"/>
          <w:sz w:val="24"/>
          <w:highlight w:val="none"/>
        </w:rPr>
      </w:pPr>
      <w:r>
        <w:rPr>
          <w:rFonts w:hint="eastAsia" w:ascii="宋体" w:hAnsi="宋体" w:cs="宋体"/>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ind w:firstLine="480" w:firstLineChars="200"/>
        <w:rPr>
          <w:rFonts w:ascii="宋体" w:hAnsi="宋体" w:cs="宋体"/>
          <w:sz w:val="24"/>
          <w:highlight w:val="none"/>
        </w:rPr>
      </w:pPr>
      <w:r>
        <w:rPr>
          <w:rFonts w:hint="eastAsia" w:ascii="宋体" w:hAnsi="宋体" w:cs="宋体"/>
          <w:sz w:val="24"/>
          <w:highlight w:val="none"/>
        </w:rPr>
        <w:t>3、我</w:t>
      </w:r>
      <w:r>
        <w:rPr>
          <w:rFonts w:hint="eastAsia" w:ascii="宋体" w:hAnsi="宋体" w:cs="宋体"/>
          <w:sz w:val="24"/>
          <w:highlight w:val="none"/>
          <w:lang w:val="zh-CN"/>
        </w:rPr>
        <w:t>公司</w:t>
      </w:r>
      <w:r>
        <w:rPr>
          <w:rFonts w:hint="eastAsia" w:ascii="宋体" w:hAnsi="宋体" w:cs="宋体"/>
          <w:sz w:val="24"/>
          <w:highlight w:val="none"/>
        </w:rPr>
        <w:t>不是采购人的附属机构；在获知本项目采购信息后，与采购人聘请的为此项目提供咨询服务的公司及其附属机构没有任何联系。</w:t>
      </w:r>
    </w:p>
    <w:p>
      <w:pPr>
        <w:ind w:firstLine="480" w:firstLineChars="200"/>
        <w:rPr>
          <w:rFonts w:ascii="宋体" w:hAnsi="宋体" w:cs="宋体"/>
          <w:sz w:val="24"/>
          <w:highlight w:val="none"/>
          <w:lang w:val="af-ZA"/>
        </w:rPr>
      </w:pPr>
      <w:r>
        <w:rPr>
          <w:rFonts w:hint="eastAsia" w:ascii="宋体" w:hAnsi="宋体" w:cs="宋体"/>
          <w:sz w:val="24"/>
          <w:highlight w:val="none"/>
        </w:rPr>
        <w:t>4、我</w:t>
      </w:r>
      <w:r>
        <w:rPr>
          <w:rFonts w:hint="eastAsia" w:ascii="宋体" w:hAnsi="宋体" w:cs="宋体"/>
          <w:sz w:val="24"/>
          <w:highlight w:val="none"/>
          <w:lang w:val="zh-CN"/>
        </w:rPr>
        <w:t>公司</w:t>
      </w:r>
      <w:r>
        <w:rPr>
          <w:rFonts w:hint="eastAsia" w:ascii="宋体" w:hAnsi="宋体" w:cs="宋体"/>
          <w:sz w:val="24"/>
          <w:highlight w:val="none"/>
        </w:rPr>
        <w:t>保证，</w:t>
      </w:r>
      <w:r>
        <w:rPr>
          <w:rFonts w:hint="eastAsia" w:ascii="宋体" w:hAnsi="宋体" w:cs="宋体"/>
          <w:sz w:val="24"/>
          <w:highlight w:val="none"/>
          <w:lang w:val="af-ZA"/>
        </w:rPr>
        <w:t>采购人在中华人民共和国境内使用</w:t>
      </w:r>
      <w:r>
        <w:rPr>
          <w:rFonts w:hint="eastAsia" w:ascii="宋体" w:hAnsi="宋体" w:cs="宋体"/>
          <w:sz w:val="24"/>
          <w:highlight w:val="none"/>
        </w:rPr>
        <w:t>我</w:t>
      </w:r>
      <w:r>
        <w:rPr>
          <w:rFonts w:hint="eastAsia" w:ascii="宋体" w:hAnsi="宋体" w:cs="宋体"/>
          <w:sz w:val="24"/>
          <w:highlight w:val="none"/>
          <w:lang w:val="zh-CN"/>
        </w:rPr>
        <w:t>公司</w:t>
      </w:r>
      <w:r>
        <w:rPr>
          <w:rFonts w:hint="eastAsia" w:ascii="宋体" w:hAnsi="宋体" w:cs="宋体"/>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ind w:firstLine="480" w:firstLineChars="200"/>
        <w:rPr>
          <w:rFonts w:ascii="宋体" w:hAnsi="宋体" w:cs="宋体"/>
          <w:sz w:val="24"/>
          <w:highlight w:val="none"/>
        </w:rPr>
      </w:pPr>
      <w:r>
        <w:rPr>
          <w:rFonts w:hint="eastAsia" w:ascii="宋体" w:hAnsi="宋体" w:cs="宋体"/>
          <w:sz w:val="24"/>
          <w:highlight w:val="none"/>
          <w:lang w:val="af-ZA"/>
        </w:rPr>
        <w:t>5、我</w:t>
      </w:r>
      <w:r>
        <w:rPr>
          <w:rFonts w:hint="eastAsia" w:ascii="宋体" w:hAnsi="宋体" w:cs="宋体"/>
          <w:sz w:val="24"/>
          <w:highlight w:val="none"/>
          <w:lang w:val="zh-CN"/>
        </w:rPr>
        <w:t>公司</w:t>
      </w:r>
      <w:r>
        <w:rPr>
          <w:rFonts w:hint="eastAsia" w:ascii="宋体" w:hAnsi="宋体" w:cs="宋体"/>
          <w:sz w:val="24"/>
          <w:highlight w:val="none"/>
          <w:lang w:val="af-ZA"/>
        </w:rPr>
        <w:t>严格履行政府采购合同，不降低合同约定的产品质量和服务，不擅自变更、中止、终止合同，或拒绝履行合同义务；</w:t>
      </w:r>
    </w:p>
    <w:p>
      <w:pPr>
        <w:ind w:firstLine="480" w:firstLineChars="200"/>
        <w:rPr>
          <w:rFonts w:ascii="宋体" w:hAnsi="宋体" w:cs="宋体"/>
          <w:sz w:val="24"/>
          <w:highlight w:val="none"/>
        </w:rPr>
      </w:pPr>
      <w:r>
        <w:rPr>
          <w:rFonts w:hint="eastAsia" w:ascii="宋体" w:hAnsi="宋体" w:cs="宋体"/>
          <w:sz w:val="24"/>
          <w:highlight w:val="none"/>
        </w:rPr>
        <w:t>6、以上事项如有虚假或隐瞒，我</w:t>
      </w:r>
      <w:r>
        <w:rPr>
          <w:rFonts w:hint="eastAsia" w:ascii="宋体" w:hAnsi="宋体" w:cs="宋体"/>
          <w:sz w:val="24"/>
          <w:highlight w:val="none"/>
          <w:lang w:val="zh-CN"/>
        </w:rPr>
        <w:t>公司</w:t>
      </w:r>
      <w:r>
        <w:rPr>
          <w:rFonts w:hint="eastAsia" w:ascii="宋体" w:hAnsi="宋体" w:cs="宋体"/>
          <w:sz w:val="24"/>
          <w:highlight w:val="none"/>
        </w:rPr>
        <w:t>愿意承担一切后果，并不再寻求任何旨在减轻或免除法律责任的辩解。</w:t>
      </w:r>
    </w:p>
    <w:p>
      <w:pPr>
        <w:adjustRightInd w:val="0"/>
        <w:snapToGrid w:val="0"/>
        <w:ind w:firstLine="480"/>
        <w:rPr>
          <w:rFonts w:ascii="宋体" w:hAnsi="宋体" w:cs="宋体"/>
          <w:kern w:val="0"/>
          <w:sz w:val="24"/>
          <w:highlight w:val="none"/>
        </w:rPr>
      </w:pPr>
    </w:p>
    <w:p>
      <w:pPr>
        <w:ind w:firstLine="4560" w:firstLineChars="1900"/>
        <w:rPr>
          <w:rFonts w:ascii="宋体" w:hAnsi="宋体" w:cs="宋体"/>
          <w:sz w:val="24"/>
          <w:highlight w:val="none"/>
          <w:lang w:val="zh-CN"/>
        </w:rPr>
      </w:pPr>
      <w:r>
        <w:rPr>
          <w:rFonts w:hint="eastAsia" w:ascii="宋体" w:hAnsi="宋体" w:cs="宋体"/>
          <w:sz w:val="24"/>
          <w:highlight w:val="none"/>
          <w:lang w:val="zh-CN"/>
        </w:rPr>
        <w:t>投标人名称(公章)：</w:t>
      </w:r>
    </w:p>
    <w:p>
      <w:pPr>
        <w:ind w:firstLine="4560" w:firstLineChars="1900"/>
        <w:rPr>
          <w:rFonts w:ascii="宋体" w:hAnsi="宋体" w:cs="宋体"/>
          <w:sz w:val="24"/>
          <w:highlight w:val="none"/>
          <w:lang w:val="zh-CN"/>
        </w:rPr>
      </w:pPr>
      <w:r>
        <w:rPr>
          <w:rFonts w:hint="eastAsia" w:ascii="宋体" w:hAnsi="宋体" w:cs="宋体"/>
          <w:sz w:val="24"/>
          <w:highlight w:val="none"/>
          <w:lang w:val="zh-CN"/>
        </w:rPr>
        <w:t>法定代表人或授权委托人(签字)：</w:t>
      </w:r>
    </w:p>
    <w:p>
      <w:pPr>
        <w:ind w:firstLine="4560" w:firstLineChars="190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u w:val="single"/>
        </w:rPr>
        <w:t xml:space="preserve">      </w:t>
      </w:r>
      <w:r>
        <w:rPr>
          <w:rFonts w:hint="eastAsia" w:ascii="宋体" w:hAnsi="宋体" w:cs="宋体"/>
          <w:sz w:val="24"/>
          <w:highlight w:val="none"/>
          <w:lang w:val="zh-CN"/>
        </w:rPr>
        <w:t>年</w:t>
      </w:r>
      <w:r>
        <w:rPr>
          <w:rFonts w:hint="eastAsia" w:ascii="宋体" w:hAnsi="宋体" w:cs="宋体"/>
          <w:sz w:val="24"/>
          <w:highlight w:val="none"/>
          <w:u w:val="single"/>
        </w:rPr>
        <w:t xml:space="preserve">    </w:t>
      </w:r>
      <w:r>
        <w:rPr>
          <w:rFonts w:hint="eastAsia" w:ascii="宋体" w:hAnsi="宋体" w:cs="宋体"/>
          <w:sz w:val="24"/>
          <w:highlight w:val="none"/>
          <w:lang w:val="zh-CN"/>
        </w:rPr>
        <w:t>月</w:t>
      </w:r>
      <w:r>
        <w:rPr>
          <w:rFonts w:hint="eastAsia" w:ascii="宋体" w:hAnsi="宋体" w:cs="宋体"/>
          <w:sz w:val="24"/>
          <w:highlight w:val="none"/>
          <w:u w:val="single"/>
        </w:rPr>
        <w:t xml:space="preserve">    </w:t>
      </w:r>
      <w:r>
        <w:rPr>
          <w:rFonts w:hint="eastAsia" w:ascii="宋体" w:hAnsi="宋体" w:cs="宋体"/>
          <w:sz w:val="24"/>
          <w:highlight w:val="none"/>
          <w:lang w:val="zh-CN"/>
        </w:rPr>
        <w:t>日</w:t>
      </w:r>
    </w:p>
    <w:p>
      <w:pPr>
        <w:spacing w:line="240" w:lineRule="auto"/>
        <w:rPr>
          <w:rFonts w:ascii="宋体" w:hAnsi="宋体" w:cs="宋体"/>
          <w:b/>
          <w:sz w:val="24"/>
          <w:highlight w:val="none"/>
        </w:rPr>
      </w:pPr>
    </w:p>
    <w:p>
      <w:pPr>
        <w:widowControl/>
        <w:spacing w:line="240" w:lineRule="auto"/>
        <w:jc w:val="left"/>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附件                   授权委托书</w:t>
      </w:r>
    </w:p>
    <w:p>
      <w:pPr>
        <w:jc w:val="left"/>
        <w:rPr>
          <w:rFonts w:ascii="宋体" w:hAnsi="宋体" w:cs="宋体"/>
          <w:sz w:val="24"/>
          <w:highlight w:val="non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pPr>
        <w:ind w:firstLine="480" w:firstLineChars="200"/>
        <w:rPr>
          <w:rFonts w:ascii="宋体" w:hAnsi="宋体" w:cs="宋体"/>
          <w:sz w:val="24"/>
          <w:highlight w:val="none"/>
        </w:rPr>
      </w:pPr>
      <w:r>
        <w:rPr>
          <w:rFonts w:hint="eastAsia" w:ascii="宋体" w:hAnsi="宋体" w:cs="宋体"/>
          <w:sz w:val="24"/>
          <w:highlight w:val="none"/>
          <w:u w:val="single"/>
        </w:rPr>
        <w:t>（投标人全称）</w:t>
      </w:r>
      <w:r>
        <w:rPr>
          <w:rFonts w:hint="eastAsia" w:ascii="宋体" w:hAnsi="宋体" w:cs="宋体"/>
          <w:sz w:val="24"/>
          <w:highlight w:val="none"/>
        </w:rPr>
        <w:t>法定代表人（或营业执照中单位负责人）</w:t>
      </w:r>
      <w:r>
        <w:rPr>
          <w:rFonts w:hint="eastAsia" w:ascii="宋体" w:hAnsi="宋体" w:cs="宋体"/>
          <w:sz w:val="24"/>
          <w:highlight w:val="none"/>
          <w:u w:val="single"/>
        </w:rPr>
        <w:tab/>
      </w:r>
      <w:r>
        <w:rPr>
          <w:rFonts w:hint="eastAsia" w:ascii="宋体" w:hAnsi="宋体" w:cs="宋体"/>
          <w:sz w:val="24"/>
          <w:highlight w:val="none"/>
          <w:u w:val="single"/>
        </w:rPr>
        <w:t xml:space="preserve">（法定代表人或营业执照中单位负责人姓名） </w:t>
      </w:r>
      <w:r>
        <w:rPr>
          <w:rFonts w:hint="eastAsia" w:ascii="宋体" w:hAnsi="宋体" w:cs="宋体"/>
          <w:sz w:val="24"/>
          <w:highlight w:val="none"/>
        </w:rPr>
        <w:t>授权</w:t>
      </w:r>
      <w:r>
        <w:rPr>
          <w:rFonts w:hint="eastAsia" w:ascii="宋体" w:hAnsi="宋体" w:cs="宋体"/>
          <w:sz w:val="24"/>
          <w:highlight w:val="none"/>
          <w:u w:val="single"/>
        </w:rPr>
        <w:t xml:space="preserve"> （授权委托代理人姓名） </w:t>
      </w:r>
      <w:r>
        <w:rPr>
          <w:rFonts w:hint="eastAsia" w:ascii="宋体" w:hAnsi="宋体" w:cs="宋体"/>
          <w:sz w:val="24"/>
          <w:highlight w:val="none"/>
        </w:rPr>
        <w:t>为授权委托代理人，参加贵单位组织的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龙头王、锦泰、飞龙湖未来社区实施方案编制</w:t>
      </w:r>
      <w:r>
        <w:rPr>
          <w:rFonts w:hint="eastAsia" w:ascii="宋体" w:hAnsi="宋体" w:cs="宋体"/>
          <w:sz w:val="24"/>
          <w:highlight w:val="none"/>
          <w:u w:val="single"/>
        </w:rPr>
        <w:t xml:space="preserve"> </w:t>
      </w:r>
      <w:r>
        <w:rPr>
          <w:rFonts w:hint="eastAsia" w:ascii="宋体" w:hAnsi="宋体" w:cs="宋体"/>
          <w:sz w:val="24"/>
          <w:highlight w:val="none"/>
        </w:rPr>
        <w:t>的采购活动，并代表我方全权办理针对上述项目的投标、开标、评标、签约等具体事务和签署相关文件。我方对授权委托代理人的签字事项负全部责任。</w:t>
      </w:r>
    </w:p>
    <w:p>
      <w:pPr>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在撤销授权的书面通知以前，本授权书一直有效。授权委托代理人在授权委托书有效期内签署的所有文件不因授权的撤销而失效。</w:t>
      </w:r>
    </w:p>
    <w:p>
      <w:pPr>
        <w:ind w:firstLine="480" w:firstLineChars="200"/>
        <w:rPr>
          <w:rFonts w:ascii="宋体" w:hAnsi="宋体" w:cs="宋体"/>
          <w:sz w:val="24"/>
          <w:highlight w:val="none"/>
        </w:rPr>
      </w:pPr>
      <w:r>
        <w:rPr>
          <w:rFonts w:hint="eastAsia" w:ascii="宋体" w:hAnsi="宋体" w:cs="宋体"/>
          <w:sz w:val="24"/>
          <w:highlight w:val="none"/>
        </w:rPr>
        <w:t>授权委托代理人无转委托权，特此委托。</w:t>
      </w: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r>
        <w:rPr>
          <w:rFonts w:hint="eastAsia" w:ascii="宋体" w:hAnsi="宋体" w:cs="宋体"/>
          <w:sz w:val="24"/>
          <w:highlight w:val="none"/>
        </w:rPr>
        <w:t>法定代表人签字或盖章：</w:t>
      </w:r>
    </w:p>
    <w:p>
      <w:pPr>
        <w:ind w:firstLine="480" w:firstLineChars="200"/>
        <w:rPr>
          <w:rFonts w:ascii="宋体" w:hAnsi="宋体" w:cs="宋体"/>
          <w:sz w:val="24"/>
          <w:highlight w:val="none"/>
        </w:rPr>
      </w:pPr>
    </w:p>
    <w:p>
      <w:pPr>
        <w:ind w:firstLine="480" w:firstLineChars="200"/>
        <w:rPr>
          <w:rFonts w:ascii="宋体" w:hAnsi="宋体" w:cs="宋体"/>
          <w:sz w:val="24"/>
          <w:highlight w:val="none"/>
        </w:rPr>
      </w:pPr>
      <w:r>
        <w:rPr>
          <w:rFonts w:hint="eastAsia" w:ascii="宋体" w:hAnsi="宋体" w:cs="宋体"/>
          <w:sz w:val="24"/>
          <w:highlight w:val="none"/>
        </w:rPr>
        <w:t xml:space="preserve">投标人全称（公章）：                      </w:t>
      </w:r>
      <w:r>
        <w:rPr>
          <w:rFonts w:hint="eastAsia" w:ascii="宋体" w:hAnsi="宋体" w:cs="宋体"/>
          <w:sz w:val="24"/>
          <w:highlight w:val="none"/>
          <w:lang w:val="zh-CN"/>
        </w:rPr>
        <w:t>日期：</w:t>
      </w:r>
      <w:r>
        <w:rPr>
          <w:rFonts w:hint="eastAsia" w:ascii="宋体" w:hAnsi="宋体" w:cs="宋体"/>
          <w:sz w:val="24"/>
          <w:highlight w:val="none"/>
          <w:u w:val="single"/>
        </w:rPr>
        <w:t xml:space="preserve">      </w:t>
      </w:r>
      <w:r>
        <w:rPr>
          <w:rFonts w:hint="eastAsia" w:ascii="宋体" w:hAnsi="宋体" w:cs="宋体"/>
          <w:sz w:val="24"/>
          <w:highlight w:val="none"/>
          <w:lang w:val="zh-CN"/>
        </w:rPr>
        <w:t>年</w:t>
      </w:r>
      <w:r>
        <w:rPr>
          <w:rFonts w:hint="eastAsia" w:ascii="宋体" w:hAnsi="宋体" w:cs="宋体"/>
          <w:sz w:val="24"/>
          <w:highlight w:val="none"/>
          <w:u w:val="single"/>
        </w:rPr>
        <w:t xml:space="preserve">    </w:t>
      </w:r>
      <w:r>
        <w:rPr>
          <w:rFonts w:hint="eastAsia" w:ascii="宋体" w:hAnsi="宋体" w:cs="宋体"/>
          <w:sz w:val="24"/>
          <w:highlight w:val="none"/>
          <w:lang w:val="zh-CN"/>
        </w:rPr>
        <w:t>月</w:t>
      </w:r>
      <w:r>
        <w:rPr>
          <w:rFonts w:hint="eastAsia" w:ascii="宋体" w:hAnsi="宋体" w:cs="宋体"/>
          <w:sz w:val="24"/>
          <w:highlight w:val="none"/>
          <w:u w:val="single"/>
        </w:rPr>
        <w:t xml:space="preserve">    </w:t>
      </w:r>
      <w:r>
        <w:rPr>
          <w:rFonts w:hint="eastAsia" w:ascii="宋体" w:hAnsi="宋体" w:cs="宋体"/>
          <w:sz w:val="24"/>
          <w:highlight w:val="none"/>
          <w:lang w:val="zh-CN"/>
        </w:rPr>
        <w:t>日</w:t>
      </w:r>
    </w:p>
    <w:p>
      <w:pPr>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t>附：</w:t>
      </w: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jc w:val="center"/>
              <w:rPr>
                <w:rFonts w:ascii="宋体" w:hAnsi="宋体" w:cs="宋体"/>
                <w:b/>
                <w:sz w:val="24"/>
                <w:highlight w:val="none"/>
              </w:rPr>
            </w:pPr>
            <w:r>
              <w:rPr>
                <w:rFonts w:hint="eastAsia" w:ascii="宋体" w:hAnsi="宋体" w:cs="宋体"/>
                <w:b/>
                <w:sz w:val="24"/>
                <w:highlight w:val="none"/>
              </w:rPr>
              <w:t>法定代表身份证复印件粘帖处</w:t>
            </w:r>
          </w:p>
        </w:tc>
      </w:tr>
    </w:tbl>
    <w:p>
      <w:pPr>
        <w:rPr>
          <w:rFonts w:ascii="宋体" w:hAnsi="宋体" w:cs="宋体"/>
          <w:sz w:val="24"/>
          <w:highlight w:val="none"/>
        </w:rPr>
      </w:pPr>
      <w:r>
        <w:rPr>
          <w:rFonts w:hint="eastAsia" w:ascii="宋体" w:hAnsi="宋体" w:cs="宋体"/>
          <w:sz w:val="24"/>
          <w:highlight w:val="none"/>
        </w:rPr>
        <w:t>法定代表人姓名：</w:t>
      </w:r>
    </w:p>
    <w:p>
      <w:pPr>
        <w:rPr>
          <w:rFonts w:ascii="宋体" w:hAnsi="宋体" w:cs="宋体"/>
          <w:sz w:val="24"/>
          <w:highlight w:val="none"/>
        </w:rPr>
      </w:pPr>
      <w:r>
        <w:rPr>
          <w:rFonts w:hint="eastAsia" w:ascii="宋体" w:hAnsi="宋体" w:cs="宋体"/>
          <w:sz w:val="24"/>
          <w:highlight w:val="none"/>
        </w:rPr>
        <w:t>传真：</w:t>
      </w:r>
    </w:p>
    <w:p>
      <w:pPr>
        <w:rPr>
          <w:rFonts w:ascii="宋体" w:hAnsi="宋体" w:cs="宋体"/>
          <w:sz w:val="24"/>
          <w:highlight w:val="none"/>
        </w:rPr>
      </w:pPr>
      <w:r>
        <w:rPr>
          <w:rFonts w:hint="eastAsia" w:ascii="宋体" w:hAnsi="宋体" w:cs="宋体"/>
          <w:sz w:val="24"/>
          <w:highlight w:val="none"/>
        </w:rPr>
        <w:t>手机：</w:t>
      </w:r>
    </w:p>
    <w:p>
      <w:pPr>
        <w:rPr>
          <w:rFonts w:ascii="宋体" w:hAnsi="宋体" w:cs="宋体"/>
          <w:sz w:val="24"/>
          <w:highlight w:val="none"/>
        </w:rPr>
      </w:pPr>
      <w:r>
        <w:rPr>
          <w:rFonts w:hint="eastAsia" w:ascii="宋体" w:hAnsi="宋体" w:cs="宋体"/>
          <w:sz w:val="24"/>
          <w:highlight w:val="none"/>
        </w:rPr>
        <w:t>详细通讯地址：</w:t>
      </w:r>
    </w:p>
    <w:p>
      <w:pPr>
        <w:rPr>
          <w:rFonts w:ascii="宋体" w:hAnsi="宋体" w:cs="宋体"/>
          <w:sz w:val="24"/>
          <w:highlight w:val="none"/>
        </w:rPr>
      </w:pPr>
      <w:r>
        <w:rPr>
          <w:rFonts w:hint="eastAsia" w:ascii="宋体" w:hAnsi="宋体" w:cs="宋体"/>
          <w:sz w:val="24"/>
          <w:highlight w:val="none"/>
        </w:rPr>
        <w:t>邮政编码：</w:t>
      </w:r>
    </w:p>
    <w:p>
      <w:pPr>
        <w:rPr>
          <w:rFonts w:ascii="宋体" w:hAnsi="宋体" w:cs="宋体"/>
          <w:b/>
          <w:sz w:val="24"/>
          <w:highlight w:val="none"/>
        </w:rPr>
      </w:pP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jc w:val="center"/>
              <w:rPr>
                <w:rFonts w:ascii="宋体" w:hAnsi="宋体" w:cs="宋体"/>
                <w:b/>
                <w:sz w:val="24"/>
                <w:highlight w:val="none"/>
              </w:rPr>
            </w:pPr>
            <w:r>
              <w:rPr>
                <w:rFonts w:hint="eastAsia" w:ascii="宋体" w:hAnsi="宋体" w:cs="宋体"/>
                <w:b/>
                <w:sz w:val="24"/>
                <w:highlight w:val="none"/>
              </w:rPr>
              <w:t>授权委托代理人身份证复印件粘帖处</w:t>
            </w:r>
          </w:p>
        </w:tc>
      </w:tr>
    </w:tbl>
    <w:p>
      <w:pPr>
        <w:rPr>
          <w:rFonts w:ascii="宋体" w:hAnsi="宋体" w:cs="宋体"/>
          <w:sz w:val="24"/>
          <w:highlight w:val="none"/>
        </w:rPr>
      </w:pPr>
      <w:r>
        <w:rPr>
          <w:rFonts w:hint="eastAsia" w:ascii="宋体" w:hAnsi="宋体" w:cs="宋体"/>
          <w:sz w:val="24"/>
          <w:highlight w:val="none"/>
        </w:rPr>
        <w:t>授权委托代理人姓名：</w:t>
      </w:r>
    </w:p>
    <w:p>
      <w:pPr>
        <w:rPr>
          <w:rFonts w:ascii="宋体" w:hAnsi="宋体" w:cs="宋体"/>
          <w:sz w:val="24"/>
          <w:highlight w:val="none"/>
        </w:rPr>
      </w:pPr>
      <w:r>
        <w:rPr>
          <w:rFonts w:hint="eastAsia" w:ascii="宋体" w:hAnsi="宋体" w:cs="宋体"/>
          <w:sz w:val="24"/>
          <w:highlight w:val="none"/>
        </w:rPr>
        <w:t>职务：</w:t>
      </w:r>
    </w:p>
    <w:p>
      <w:pPr>
        <w:rPr>
          <w:rFonts w:ascii="宋体" w:hAnsi="宋体" w:cs="宋体"/>
          <w:sz w:val="24"/>
          <w:highlight w:val="none"/>
        </w:rPr>
      </w:pPr>
      <w:r>
        <w:rPr>
          <w:rFonts w:hint="eastAsia" w:ascii="宋体" w:hAnsi="宋体" w:cs="宋体"/>
          <w:sz w:val="24"/>
          <w:highlight w:val="none"/>
        </w:rPr>
        <w:t>传真：</w:t>
      </w:r>
    </w:p>
    <w:p>
      <w:pPr>
        <w:rPr>
          <w:rFonts w:ascii="宋体" w:hAnsi="宋体" w:cs="宋体"/>
          <w:sz w:val="24"/>
          <w:highlight w:val="none"/>
        </w:rPr>
      </w:pPr>
      <w:r>
        <w:rPr>
          <w:rFonts w:hint="eastAsia" w:ascii="宋体" w:hAnsi="宋体" w:cs="宋体"/>
          <w:sz w:val="24"/>
          <w:highlight w:val="none"/>
        </w:rPr>
        <w:t>手机：</w:t>
      </w:r>
    </w:p>
    <w:p>
      <w:pPr>
        <w:rPr>
          <w:rFonts w:ascii="宋体" w:hAnsi="宋体" w:cs="宋体"/>
          <w:sz w:val="24"/>
          <w:highlight w:val="none"/>
        </w:rPr>
      </w:pPr>
      <w:r>
        <w:rPr>
          <w:rFonts w:hint="eastAsia" w:ascii="宋体" w:hAnsi="宋体" w:cs="宋体"/>
          <w:sz w:val="24"/>
          <w:highlight w:val="none"/>
        </w:rPr>
        <w:t>详细通讯地址：</w:t>
      </w:r>
    </w:p>
    <w:p>
      <w:pPr>
        <w:rPr>
          <w:rFonts w:ascii="宋体" w:hAnsi="宋体" w:cs="宋体"/>
          <w:sz w:val="24"/>
          <w:highlight w:val="none"/>
        </w:rPr>
      </w:pPr>
      <w:r>
        <w:rPr>
          <w:rFonts w:hint="eastAsia" w:ascii="宋体" w:hAnsi="宋体" w:cs="宋体"/>
          <w:sz w:val="24"/>
          <w:highlight w:val="none"/>
        </w:rPr>
        <w:t>邮政编码：</w:t>
      </w:r>
    </w:p>
    <w:p>
      <w:pPr>
        <w:widowControl/>
        <w:jc w:val="left"/>
        <w:rPr>
          <w:rFonts w:ascii="宋体" w:hAnsi="宋体" w:cs="宋体"/>
          <w:b/>
          <w:bCs/>
          <w:sz w:val="24"/>
          <w:highlight w:val="none"/>
          <w:lang w:val="zh-CN"/>
        </w:rPr>
      </w:pPr>
      <w:r>
        <w:rPr>
          <w:rFonts w:hint="eastAsia" w:ascii="宋体" w:hAnsi="宋体" w:cs="宋体"/>
          <w:b/>
          <w:bCs/>
          <w:sz w:val="24"/>
          <w:highlight w:val="none"/>
          <w:lang w:val="zh-CN"/>
        </w:rPr>
        <w:br w:type="page"/>
      </w:r>
      <w:r>
        <w:rPr>
          <w:rFonts w:hint="eastAsia" w:ascii="宋体" w:hAnsi="宋体" w:cs="宋体"/>
          <w:b/>
          <w:bCs/>
          <w:sz w:val="24"/>
          <w:highlight w:val="none"/>
          <w:lang w:val="zh-CN"/>
        </w:rPr>
        <w:t>附件</w:t>
      </w:r>
    </w:p>
    <w:p>
      <w:pPr>
        <w:snapToGrid w:val="0"/>
        <w:spacing w:line="240" w:lineRule="auto"/>
        <w:rPr>
          <w:rFonts w:ascii="宋体" w:hAnsi="宋体" w:cs="宋体"/>
          <w:sz w:val="24"/>
          <w:highlight w:val="none"/>
        </w:rPr>
      </w:pPr>
    </w:p>
    <w:p>
      <w:pPr>
        <w:spacing w:line="480" w:lineRule="auto"/>
        <w:jc w:val="center"/>
        <w:rPr>
          <w:rFonts w:ascii="宋体" w:hAnsi="宋体" w:cs="宋体"/>
          <w:b/>
          <w:sz w:val="24"/>
          <w:highlight w:val="none"/>
        </w:rPr>
      </w:pPr>
      <w:bookmarkStart w:id="14" w:name="_Toc27119254"/>
      <w:bookmarkStart w:id="15" w:name="_Toc33194405"/>
      <w:bookmarkStart w:id="16" w:name="_Toc34826419"/>
      <w:bookmarkStart w:id="17" w:name="_Toc34814861"/>
      <w:r>
        <w:rPr>
          <w:rFonts w:hint="eastAsia" w:ascii="宋体" w:hAnsi="宋体" w:cs="宋体"/>
          <w:b/>
          <w:sz w:val="24"/>
          <w:highlight w:val="none"/>
        </w:rPr>
        <w:t>具有履行合同所必需的场地、设备和专业技术能力的承诺函</w:t>
      </w:r>
      <w:bookmarkEnd w:id="14"/>
      <w:bookmarkEnd w:id="15"/>
      <w:bookmarkEnd w:id="16"/>
      <w:bookmarkEnd w:id="17"/>
    </w:p>
    <w:p>
      <w:pPr>
        <w:snapToGrid w:val="0"/>
        <w:spacing w:line="480" w:lineRule="auto"/>
        <w:rPr>
          <w:rFonts w:ascii="宋体" w:hAnsi="宋体" w:cs="宋体"/>
          <w:sz w:val="24"/>
          <w:highlight w:val="none"/>
        </w:rPr>
      </w:pPr>
    </w:p>
    <w:p>
      <w:pPr>
        <w:snapToGrid w:val="0"/>
        <w:spacing w:before="156" w:beforeLines="50" w:after="50" w:line="48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建经投资咨询有限公司</w:t>
      </w:r>
      <w:r>
        <w:rPr>
          <w:rFonts w:hint="eastAsia" w:ascii="宋体" w:hAnsi="宋体" w:cs="宋体"/>
          <w:kern w:val="0"/>
          <w:sz w:val="24"/>
          <w:highlight w:val="none"/>
        </w:rPr>
        <w:t>（采购代理机构名称）：</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我方</w:t>
      </w:r>
      <w:r>
        <w:rPr>
          <w:rFonts w:hint="eastAsia" w:ascii="宋体" w:hAnsi="宋体" w:cs="宋体"/>
          <w:kern w:val="0"/>
          <w:sz w:val="24"/>
          <w:highlight w:val="none"/>
          <w:u w:val="single"/>
        </w:rPr>
        <w:t xml:space="preserve"> （投标人名称）</w:t>
      </w:r>
      <w:r>
        <w:rPr>
          <w:rFonts w:hint="eastAsia" w:ascii="宋体" w:hAnsi="宋体" w:cs="宋体"/>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480" w:lineRule="auto"/>
        <w:ind w:firstLine="480" w:firstLineChars="200"/>
        <w:jc w:val="left"/>
        <w:rPr>
          <w:rFonts w:ascii="宋体" w:hAnsi="宋体" w:cs="宋体"/>
          <w:kern w:val="0"/>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widowControl/>
        <w:snapToGrid w:val="0"/>
        <w:spacing w:line="480" w:lineRule="auto"/>
        <w:ind w:firstLine="480" w:firstLineChars="200"/>
        <w:jc w:val="left"/>
        <w:rPr>
          <w:rFonts w:ascii="宋体" w:hAnsi="宋体" w:cs="宋体"/>
          <w:kern w:val="0"/>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eastAsia="zh-CN"/>
        </w:rPr>
        <w:t>法定代表人或其授权委托代理人（签字或盖章）</w:t>
      </w:r>
      <w:r>
        <w:rPr>
          <w:rFonts w:hint="eastAsia" w:ascii="宋体" w:hAnsi="宋体" w:cs="宋体"/>
          <w:kern w:val="0"/>
          <w:sz w:val="24"/>
          <w:highlight w:val="none"/>
        </w:rPr>
        <w:t>：</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pPr>
        <w:widowControl/>
        <w:snapToGrid w:val="0"/>
        <w:spacing w:line="240" w:lineRule="auto"/>
        <w:ind w:firstLine="480" w:firstLineChars="200"/>
        <w:jc w:val="left"/>
        <w:rPr>
          <w:rFonts w:ascii="宋体" w:hAnsi="宋体" w:cs="宋体"/>
          <w:kern w:val="0"/>
          <w:sz w:val="24"/>
          <w:highlight w:val="none"/>
        </w:rPr>
      </w:pPr>
    </w:p>
    <w:p>
      <w:pPr>
        <w:spacing w:line="240" w:lineRule="auto"/>
        <w:rPr>
          <w:rFonts w:ascii="宋体" w:hAnsi="宋体" w:cs="宋体"/>
          <w:sz w:val="24"/>
          <w:highlight w:val="none"/>
        </w:rPr>
      </w:pPr>
    </w:p>
    <w:p>
      <w:pPr>
        <w:widowControl/>
        <w:spacing w:line="480" w:lineRule="auto"/>
        <w:jc w:val="left"/>
        <w:rPr>
          <w:rFonts w:ascii="宋体" w:hAnsi="宋体" w:cs="宋体"/>
          <w:b/>
          <w:bCs/>
          <w:sz w:val="24"/>
          <w:highlight w:val="none"/>
          <w:lang w:val="zh-CN"/>
        </w:rPr>
      </w:pPr>
      <w:r>
        <w:rPr>
          <w:rFonts w:hint="eastAsia" w:ascii="宋体" w:hAnsi="宋体" w:cs="宋体"/>
          <w:b/>
          <w:kern w:val="36"/>
          <w:sz w:val="24"/>
          <w:highlight w:val="none"/>
        </w:rPr>
        <w:br w:type="page"/>
      </w:r>
      <w:r>
        <w:rPr>
          <w:rFonts w:hint="eastAsia" w:ascii="宋体" w:hAnsi="宋体" w:cs="宋体"/>
          <w:b/>
          <w:bCs/>
          <w:sz w:val="24"/>
          <w:highlight w:val="none"/>
          <w:lang w:val="zh-CN"/>
        </w:rPr>
        <w:t>附件</w:t>
      </w:r>
    </w:p>
    <w:p>
      <w:pPr>
        <w:spacing w:line="480" w:lineRule="auto"/>
        <w:jc w:val="center"/>
        <w:rPr>
          <w:rFonts w:ascii="宋体" w:hAnsi="宋体" w:cs="宋体"/>
          <w:b/>
          <w:kern w:val="36"/>
          <w:sz w:val="24"/>
          <w:highlight w:val="none"/>
        </w:rPr>
      </w:pPr>
      <w:r>
        <w:rPr>
          <w:rFonts w:hint="eastAsia" w:ascii="宋体" w:hAnsi="宋体" w:cs="宋体"/>
          <w:b/>
          <w:kern w:val="36"/>
          <w:sz w:val="24"/>
          <w:highlight w:val="none"/>
        </w:rPr>
        <w:t>依法缴纳税收和社会保障资金的承诺函</w:t>
      </w:r>
    </w:p>
    <w:p>
      <w:pPr>
        <w:spacing w:line="480" w:lineRule="auto"/>
        <w:rPr>
          <w:rFonts w:ascii="宋体" w:hAnsi="宋体" w:cs="宋体"/>
          <w:b/>
          <w:kern w:val="0"/>
          <w:sz w:val="24"/>
          <w:highlight w:val="none"/>
          <w:u w:val="single"/>
        </w:rPr>
      </w:pPr>
    </w:p>
    <w:p>
      <w:pPr>
        <w:snapToGrid w:val="0"/>
        <w:spacing w:before="156" w:beforeLines="50" w:after="50" w:line="48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建经投资咨询有限公司</w:t>
      </w:r>
      <w:r>
        <w:rPr>
          <w:rFonts w:hint="eastAsia" w:ascii="宋体" w:hAnsi="宋体" w:cs="宋体"/>
          <w:kern w:val="0"/>
          <w:sz w:val="24"/>
          <w:highlight w:val="none"/>
        </w:rPr>
        <w:t>（采购代理机构名称）：</w:t>
      </w: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我公司郑重声明，我公司严格依法缴纳税收和社会保障资金，本文件中所提供的相关材料均真实有效，不存在虚假、造假行为。如有违反，愿承担一切责任。</w:t>
      </w:r>
    </w:p>
    <w:p>
      <w:pPr>
        <w:spacing w:line="480" w:lineRule="auto"/>
        <w:ind w:firstLine="480" w:firstLineChars="200"/>
        <w:rPr>
          <w:rFonts w:ascii="宋体" w:hAnsi="宋体" w:cs="宋体"/>
          <w:kern w:val="0"/>
          <w:sz w:val="24"/>
          <w:highlight w:val="none"/>
        </w:rPr>
      </w:pPr>
    </w:p>
    <w:p>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特此承诺！</w:t>
      </w:r>
    </w:p>
    <w:p>
      <w:pPr>
        <w:widowControl/>
        <w:snapToGrid w:val="0"/>
        <w:spacing w:line="480" w:lineRule="auto"/>
        <w:ind w:firstLine="480" w:firstLineChars="200"/>
        <w:jc w:val="left"/>
        <w:rPr>
          <w:rFonts w:ascii="宋体" w:hAnsi="宋体" w:cs="宋体"/>
          <w:kern w:val="0"/>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eastAsia="zh-CN"/>
        </w:rPr>
        <w:t>法定代表人或其授权委托代理人（签字或盖章）</w:t>
      </w:r>
      <w:r>
        <w:rPr>
          <w:rFonts w:hint="eastAsia" w:ascii="宋体" w:hAnsi="宋体" w:cs="宋体"/>
          <w:kern w:val="0"/>
          <w:sz w:val="24"/>
          <w:highlight w:val="none"/>
        </w:rPr>
        <w:t>：</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pPr>
        <w:pStyle w:val="2"/>
        <w:spacing w:line="480" w:lineRule="auto"/>
        <w:rPr>
          <w:rFonts w:hAnsi="宋体" w:cs="宋体"/>
          <w:b/>
          <w:bCs/>
          <w:szCs w:val="24"/>
          <w:highlight w:val="none"/>
        </w:rPr>
      </w:pPr>
      <w:r>
        <w:rPr>
          <w:rFonts w:hint="eastAsia" w:hAnsi="宋体" w:cs="宋体"/>
          <w:kern w:val="0"/>
          <w:szCs w:val="24"/>
          <w:highlight w:val="none"/>
        </w:rPr>
        <w:br w:type="page"/>
      </w:r>
      <w:r>
        <w:rPr>
          <w:rFonts w:hint="eastAsia" w:hAnsi="宋体" w:cs="宋体"/>
          <w:b/>
          <w:bCs/>
          <w:szCs w:val="24"/>
          <w:highlight w:val="none"/>
        </w:rPr>
        <w:t>附件</w:t>
      </w:r>
    </w:p>
    <w:p>
      <w:pPr>
        <w:shd w:val="clear" w:color="auto" w:fill="FFFFFF"/>
        <w:snapToGrid w:val="0"/>
        <w:spacing w:line="480" w:lineRule="auto"/>
        <w:jc w:val="center"/>
        <w:rPr>
          <w:rFonts w:ascii="宋体" w:hAnsi="宋体" w:cs="宋体"/>
          <w:b/>
          <w:kern w:val="36"/>
          <w:sz w:val="24"/>
          <w:highlight w:val="none"/>
        </w:rPr>
      </w:pPr>
      <w:r>
        <w:rPr>
          <w:rFonts w:hint="eastAsia" w:ascii="宋体" w:hAnsi="宋体" w:cs="宋体"/>
          <w:b/>
          <w:kern w:val="36"/>
          <w:sz w:val="24"/>
          <w:highlight w:val="none"/>
        </w:rPr>
        <w:t>投标供应商没有失信记录承诺函</w:t>
      </w:r>
    </w:p>
    <w:p>
      <w:pPr>
        <w:pStyle w:val="27"/>
        <w:spacing w:line="480" w:lineRule="auto"/>
        <w:rPr>
          <w:rFonts w:cs="宋体"/>
          <w:highlight w:val="none"/>
        </w:rPr>
      </w:pPr>
    </w:p>
    <w:p>
      <w:pPr>
        <w:spacing w:line="480" w:lineRule="auto"/>
        <w:ind w:firstLine="484" w:firstLineChars="202"/>
        <w:jc w:val="left"/>
        <w:rPr>
          <w:rFonts w:ascii="宋体" w:hAnsi="宋体" w:cs="宋体"/>
          <w:sz w:val="24"/>
          <w:highlight w:val="none"/>
          <w:u w:val="singl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pPr>
        <w:spacing w:line="480" w:lineRule="auto"/>
        <w:ind w:firstLine="484" w:firstLineChars="202"/>
        <w:jc w:val="left"/>
        <w:rPr>
          <w:rFonts w:ascii="宋体" w:hAnsi="宋体" w:cs="宋体"/>
          <w:kern w:val="0"/>
          <w:sz w:val="24"/>
          <w:highlight w:val="none"/>
        </w:rPr>
      </w:pPr>
      <w:r>
        <w:rPr>
          <w:rFonts w:hint="eastAsia" w:ascii="宋体" w:hAnsi="宋体" w:cs="宋体"/>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480" w:lineRule="auto"/>
        <w:rPr>
          <w:rFonts w:ascii="宋体" w:hAnsi="宋体" w:cs="宋体"/>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widowControl/>
        <w:snapToGrid w:val="0"/>
        <w:spacing w:line="480" w:lineRule="auto"/>
        <w:ind w:firstLine="480" w:firstLineChars="200"/>
        <w:jc w:val="left"/>
        <w:rPr>
          <w:rFonts w:ascii="宋体" w:hAnsi="宋体" w:cs="宋体"/>
          <w:kern w:val="0"/>
          <w:sz w:val="24"/>
          <w:highlight w:val="none"/>
        </w:rPr>
      </w:pP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eastAsia="zh-CN"/>
        </w:rPr>
        <w:t>法定代表人或其授权委托代理人（签字或盖章）</w:t>
      </w:r>
      <w:r>
        <w:rPr>
          <w:rFonts w:hint="eastAsia" w:ascii="宋体" w:hAnsi="宋体" w:cs="宋体"/>
          <w:kern w:val="0"/>
          <w:sz w:val="24"/>
          <w:highlight w:val="none"/>
        </w:rPr>
        <w:t>：</w:t>
      </w:r>
    </w:p>
    <w:p>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pPr>
        <w:pStyle w:val="2"/>
        <w:spacing w:line="480" w:lineRule="auto"/>
        <w:rPr>
          <w:rFonts w:hAnsi="宋体" w:cs="宋体"/>
          <w:b/>
          <w:bCs/>
          <w:szCs w:val="24"/>
          <w:highlight w:val="none"/>
        </w:rPr>
      </w:pPr>
      <w:r>
        <w:rPr>
          <w:rFonts w:hint="eastAsia" w:hAnsi="宋体" w:cs="宋体"/>
          <w:kern w:val="0"/>
          <w:szCs w:val="24"/>
          <w:highlight w:val="none"/>
        </w:rPr>
        <w:br w:type="page"/>
      </w:r>
      <w:r>
        <w:rPr>
          <w:rFonts w:hint="eastAsia" w:hAnsi="宋体" w:cs="宋体"/>
          <w:b/>
          <w:bCs/>
          <w:szCs w:val="24"/>
          <w:highlight w:val="none"/>
        </w:rPr>
        <w:t>附件</w:t>
      </w:r>
    </w:p>
    <w:p>
      <w:pPr>
        <w:pStyle w:val="2"/>
        <w:spacing w:line="240" w:lineRule="auto"/>
        <w:rPr>
          <w:rFonts w:hAnsi="宋体" w:cs="宋体"/>
          <w:szCs w:val="24"/>
          <w:highlight w:val="none"/>
        </w:rPr>
      </w:pPr>
    </w:p>
    <w:p>
      <w:pPr>
        <w:spacing w:line="480" w:lineRule="auto"/>
        <w:jc w:val="center"/>
        <w:rPr>
          <w:rFonts w:hint="eastAsia" w:ascii="宋体" w:hAnsi="宋体" w:eastAsia="宋体" w:cs="宋体"/>
          <w:spacing w:val="40"/>
          <w:sz w:val="28"/>
          <w:szCs w:val="28"/>
          <w:highlight w:val="none"/>
          <w:lang w:eastAsia="zh-CN"/>
        </w:rPr>
      </w:pPr>
      <w:r>
        <w:rPr>
          <w:rFonts w:hint="eastAsia" w:ascii="宋体" w:hAnsi="宋体" w:cs="宋体"/>
          <w:spacing w:val="40"/>
          <w:sz w:val="28"/>
          <w:szCs w:val="28"/>
          <w:highlight w:val="none"/>
          <w:lang w:eastAsia="zh-CN"/>
        </w:rPr>
        <w:t>龙头王、锦泰、飞龙湖未来社区实施方案编制</w:t>
      </w:r>
    </w:p>
    <w:p>
      <w:pPr>
        <w:autoSpaceDE w:val="0"/>
        <w:autoSpaceDN w:val="0"/>
        <w:adjustRightInd w:val="0"/>
        <w:spacing w:line="480" w:lineRule="auto"/>
        <w:jc w:val="center"/>
        <w:rPr>
          <w:rFonts w:ascii="宋体" w:hAnsi="宋体" w:cs="宋体"/>
          <w:sz w:val="28"/>
          <w:szCs w:val="28"/>
          <w:highlight w:val="none"/>
          <w:lang w:val="zh-CN"/>
        </w:rPr>
      </w:pPr>
    </w:p>
    <w:p>
      <w:pPr>
        <w:pStyle w:val="2"/>
        <w:spacing w:line="480" w:lineRule="auto"/>
        <w:rPr>
          <w:rFonts w:hAnsi="宋体" w:cs="宋体"/>
          <w:sz w:val="28"/>
          <w:szCs w:val="28"/>
          <w:highlight w:val="none"/>
        </w:rPr>
      </w:pPr>
    </w:p>
    <w:p>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投</w:t>
      </w:r>
    </w:p>
    <w:p>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标</w:t>
      </w:r>
    </w:p>
    <w:p>
      <w:pPr>
        <w:autoSpaceDE w:val="0"/>
        <w:autoSpaceDN w:val="0"/>
        <w:adjustRightInd w:val="0"/>
        <w:spacing w:line="480" w:lineRule="auto"/>
        <w:jc w:val="center"/>
        <w:rPr>
          <w:rFonts w:ascii="宋体" w:hAnsi="宋体" w:cs="宋体"/>
          <w:sz w:val="28"/>
          <w:szCs w:val="28"/>
          <w:highlight w:val="none"/>
        </w:rPr>
      </w:pPr>
      <w:r>
        <w:rPr>
          <w:rFonts w:hint="eastAsia" w:ascii="宋体" w:hAnsi="宋体" w:cs="宋体"/>
          <w:sz w:val="28"/>
          <w:szCs w:val="28"/>
          <w:highlight w:val="none"/>
          <w:lang w:val="zh-CN"/>
        </w:rPr>
        <w:t>文</w:t>
      </w:r>
    </w:p>
    <w:p>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件</w:t>
      </w:r>
    </w:p>
    <w:p>
      <w:pPr>
        <w:autoSpaceDE w:val="0"/>
        <w:autoSpaceDN w:val="0"/>
        <w:adjustRightInd w:val="0"/>
        <w:spacing w:line="480" w:lineRule="auto"/>
        <w:jc w:val="center"/>
        <w:rPr>
          <w:rFonts w:ascii="宋体" w:hAnsi="宋体" w:cs="宋体"/>
          <w:b/>
          <w:spacing w:val="40"/>
          <w:sz w:val="28"/>
          <w:szCs w:val="28"/>
          <w:highlight w:val="none"/>
        </w:rPr>
      </w:pPr>
      <w:r>
        <w:rPr>
          <w:rFonts w:hint="eastAsia" w:ascii="宋体" w:hAnsi="宋体" w:cs="宋体"/>
          <w:b/>
          <w:spacing w:val="40"/>
          <w:sz w:val="28"/>
          <w:szCs w:val="28"/>
          <w:highlight w:val="none"/>
        </w:rPr>
        <w:t>（商务技术文件）</w:t>
      </w:r>
    </w:p>
    <w:p>
      <w:pPr>
        <w:autoSpaceDE w:val="0"/>
        <w:autoSpaceDN w:val="0"/>
        <w:adjustRightInd w:val="0"/>
        <w:spacing w:line="480" w:lineRule="auto"/>
        <w:rPr>
          <w:rFonts w:ascii="宋体" w:hAnsi="宋体" w:cs="宋体"/>
          <w:sz w:val="28"/>
          <w:szCs w:val="28"/>
          <w:highlight w:val="none"/>
        </w:rPr>
      </w:pPr>
    </w:p>
    <w:p>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投标人全称（公章）：</w:t>
      </w:r>
    </w:p>
    <w:p>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地址：</w:t>
      </w:r>
    </w:p>
    <w:p>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时间：</w:t>
      </w:r>
    </w:p>
    <w:p>
      <w:pPr>
        <w:pStyle w:val="2"/>
        <w:spacing w:line="240" w:lineRule="auto"/>
        <w:rPr>
          <w:rFonts w:hAnsi="宋体" w:cs="宋体"/>
          <w:szCs w:val="24"/>
          <w:highlight w:val="none"/>
        </w:rPr>
      </w:pPr>
      <w:r>
        <w:rPr>
          <w:rFonts w:hint="eastAsia" w:hAnsi="宋体" w:cs="宋体"/>
          <w:szCs w:val="24"/>
          <w:highlight w:val="none"/>
        </w:rPr>
        <w:br w:type="page"/>
      </w:r>
    </w:p>
    <w:p>
      <w:pPr>
        <w:autoSpaceDE w:val="0"/>
        <w:autoSpaceDN w:val="0"/>
        <w:adjustRightInd w:val="0"/>
        <w:spacing w:line="480" w:lineRule="auto"/>
        <w:jc w:val="center"/>
        <w:rPr>
          <w:rFonts w:ascii="宋体" w:hAnsi="宋体" w:cs="宋体"/>
          <w:b/>
          <w:bCs/>
          <w:sz w:val="24"/>
          <w:highlight w:val="none"/>
        </w:rPr>
      </w:pPr>
      <w:r>
        <w:rPr>
          <w:rFonts w:hint="eastAsia" w:ascii="宋体" w:hAnsi="宋体" w:cs="宋体"/>
          <w:b/>
          <w:bCs/>
          <w:sz w:val="24"/>
          <w:highlight w:val="none"/>
          <w:lang w:val="zh-CN"/>
        </w:rPr>
        <w:t>商务技术文件</w:t>
      </w:r>
      <w:r>
        <w:rPr>
          <w:rFonts w:hint="eastAsia" w:ascii="宋体" w:hAnsi="宋体" w:cs="宋体"/>
          <w:b/>
          <w:bCs/>
          <w:sz w:val="24"/>
          <w:highlight w:val="none"/>
        </w:rPr>
        <w:t>目录</w:t>
      </w:r>
    </w:p>
    <w:p>
      <w:pPr>
        <w:pStyle w:val="2"/>
        <w:spacing w:line="480" w:lineRule="auto"/>
        <w:rPr>
          <w:rFonts w:hAnsi="宋体" w:cs="宋体"/>
          <w:szCs w:val="24"/>
          <w:highlight w:val="none"/>
          <w:lang w:val="en-US"/>
        </w:rPr>
      </w:pPr>
      <w:r>
        <w:rPr>
          <w:rFonts w:hint="eastAsia" w:hAnsi="宋体" w:cs="宋体"/>
          <w:szCs w:val="24"/>
          <w:highlight w:val="none"/>
          <w:lang w:val="en-US"/>
        </w:rPr>
        <w:t>（1）投标人基本情况表（格式见附件）；</w:t>
      </w:r>
    </w:p>
    <w:p>
      <w:pPr>
        <w:pStyle w:val="2"/>
        <w:spacing w:line="480" w:lineRule="auto"/>
        <w:rPr>
          <w:rFonts w:hAnsi="宋体" w:cs="宋体"/>
          <w:szCs w:val="24"/>
          <w:highlight w:val="none"/>
          <w:lang w:val="en-US"/>
        </w:rPr>
      </w:pPr>
      <w:r>
        <w:rPr>
          <w:rFonts w:hint="eastAsia" w:hAnsi="宋体" w:cs="宋体"/>
          <w:szCs w:val="24"/>
          <w:highlight w:val="none"/>
          <w:lang w:val="en-US"/>
        </w:rPr>
        <w:t>（2）类似项目实施情况一览表（格式见附件）；</w:t>
      </w:r>
    </w:p>
    <w:p>
      <w:pPr>
        <w:pStyle w:val="2"/>
        <w:spacing w:line="480" w:lineRule="auto"/>
        <w:rPr>
          <w:rFonts w:hAnsi="宋体" w:cs="宋体"/>
          <w:szCs w:val="24"/>
          <w:highlight w:val="none"/>
          <w:lang w:val="en-US"/>
        </w:rPr>
      </w:pPr>
      <w:r>
        <w:rPr>
          <w:rFonts w:hint="eastAsia" w:hAnsi="宋体" w:cs="宋体"/>
          <w:szCs w:val="24"/>
          <w:highlight w:val="none"/>
          <w:lang w:val="en-US"/>
        </w:rPr>
        <w:t>（3）拟派本项目人员汇总表（格式见附件），相关人员的社保证明扫描件、身份证扫描件、职称证书等；</w:t>
      </w:r>
    </w:p>
    <w:p>
      <w:pPr>
        <w:pStyle w:val="2"/>
        <w:spacing w:line="480" w:lineRule="auto"/>
        <w:rPr>
          <w:rFonts w:hAnsi="宋体" w:cs="宋体"/>
          <w:szCs w:val="24"/>
          <w:highlight w:val="none"/>
          <w:lang w:val="en-US"/>
        </w:rPr>
      </w:pPr>
      <w:r>
        <w:rPr>
          <w:rFonts w:hint="eastAsia" w:hAnsi="宋体" w:cs="宋体"/>
          <w:szCs w:val="24"/>
          <w:highlight w:val="none"/>
          <w:lang w:val="en-US"/>
        </w:rPr>
        <w:t>（4）按照评标办法要求进行编制，并按要求提供相关证明资料；</w:t>
      </w:r>
    </w:p>
    <w:p>
      <w:pPr>
        <w:pStyle w:val="2"/>
        <w:spacing w:line="480" w:lineRule="auto"/>
        <w:rPr>
          <w:rFonts w:hAnsi="宋体" w:cs="宋体"/>
          <w:szCs w:val="24"/>
          <w:highlight w:val="none"/>
          <w:lang w:val="en-US"/>
        </w:rPr>
      </w:pPr>
      <w:r>
        <w:rPr>
          <w:rFonts w:hint="eastAsia" w:hAnsi="宋体" w:cs="宋体"/>
          <w:szCs w:val="24"/>
          <w:highlight w:val="none"/>
          <w:lang w:val="en-US"/>
        </w:rPr>
        <w:t>（5）投标人认为需要提供的其他资料（包括可能影响投标人商务技术文件评分的各类证明材料）。</w:t>
      </w:r>
    </w:p>
    <w:p>
      <w:pPr>
        <w:pStyle w:val="2"/>
        <w:spacing w:line="480" w:lineRule="auto"/>
        <w:rPr>
          <w:rFonts w:hAnsi="宋体" w:cs="宋体"/>
          <w:szCs w:val="24"/>
          <w:highlight w:val="none"/>
          <w:lang w:val="en-US"/>
        </w:rPr>
      </w:pPr>
    </w:p>
    <w:p>
      <w:pPr>
        <w:pStyle w:val="2"/>
        <w:spacing w:line="240" w:lineRule="auto"/>
        <w:rPr>
          <w:rFonts w:hAnsi="宋体" w:cs="宋体"/>
          <w:szCs w:val="24"/>
          <w:highlight w:val="none"/>
          <w:lang w:val="en-US"/>
        </w:rPr>
      </w:pPr>
    </w:p>
    <w:p>
      <w:pPr>
        <w:widowControl/>
        <w:spacing w:line="240" w:lineRule="auto"/>
        <w:jc w:val="left"/>
        <w:rPr>
          <w:rFonts w:ascii="宋体" w:hAnsi="宋体" w:cs="宋体"/>
          <w:b/>
          <w:bCs/>
          <w:sz w:val="24"/>
          <w:highlight w:val="none"/>
          <w:lang w:val="zh-CN"/>
        </w:rPr>
      </w:pPr>
    </w:p>
    <w:p>
      <w:pPr>
        <w:widowControl/>
        <w:spacing w:line="240" w:lineRule="auto"/>
        <w:jc w:val="left"/>
        <w:rPr>
          <w:rFonts w:ascii="宋体" w:hAnsi="宋体" w:cs="宋体"/>
          <w:b/>
          <w:bCs/>
          <w:sz w:val="24"/>
          <w:highlight w:val="none"/>
          <w:lang w:val="zh-CN"/>
        </w:rPr>
      </w:pPr>
      <w:r>
        <w:rPr>
          <w:rFonts w:hint="eastAsia" w:ascii="宋体" w:hAnsi="宋体" w:cs="宋体"/>
          <w:b/>
          <w:bCs/>
          <w:sz w:val="24"/>
          <w:highlight w:val="none"/>
          <w:lang w:val="zh-CN"/>
        </w:rPr>
        <w:br w:type="page"/>
      </w:r>
      <w:r>
        <w:rPr>
          <w:rFonts w:hint="eastAsia" w:ascii="宋体" w:hAnsi="宋体" w:cs="宋体"/>
          <w:b/>
          <w:bCs/>
          <w:sz w:val="24"/>
          <w:highlight w:val="none"/>
          <w:lang w:val="zh-CN"/>
        </w:rPr>
        <w:t>附件</w:t>
      </w:r>
      <w:r>
        <w:rPr>
          <w:rFonts w:hint="eastAsia" w:ascii="宋体" w:hAnsi="宋体" w:cs="宋体"/>
          <w:b/>
          <w:bCs/>
          <w:sz w:val="24"/>
          <w:highlight w:val="none"/>
        </w:rPr>
        <w:t xml:space="preserve"> </w:t>
      </w:r>
    </w:p>
    <w:p>
      <w:pPr>
        <w:spacing w:line="240" w:lineRule="auto"/>
        <w:jc w:val="center"/>
        <w:rPr>
          <w:rFonts w:ascii="宋体" w:hAnsi="宋体" w:cs="宋体"/>
          <w:b/>
          <w:bCs/>
          <w:sz w:val="24"/>
          <w:highlight w:val="none"/>
          <w:lang w:val="zh-CN"/>
        </w:rPr>
      </w:pPr>
      <w:r>
        <w:rPr>
          <w:rFonts w:hint="eastAsia" w:ascii="宋体" w:hAnsi="宋体" w:cs="宋体"/>
          <w:b/>
          <w:bCs/>
          <w:sz w:val="24"/>
          <w:highlight w:val="none"/>
          <w:lang w:val="zh-CN"/>
        </w:rPr>
        <w:t>投标人基本情况表</w:t>
      </w:r>
    </w:p>
    <w:tbl>
      <w:tblPr>
        <w:tblStyle w:val="76"/>
        <w:tblpPr w:leftFromText="180" w:rightFromText="180" w:vertAnchor="text" w:horzAnchor="page" w:tblpX="1407" w:tblpY="317"/>
        <w:tblOverlap w:val="never"/>
        <w:tblW w:w="55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566"/>
        <w:gridCol w:w="1225"/>
        <w:gridCol w:w="1190"/>
        <w:gridCol w:w="1100"/>
        <w:gridCol w:w="1464"/>
        <w:gridCol w:w="921"/>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7" w:type="pct"/>
            <w:vAlign w:val="center"/>
          </w:tcPr>
          <w:p>
            <w:pPr>
              <w:pStyle w:val="696"/>
              <w:shd w:val="clear" w:color="auto" w:fill="FFFFFF"/>
              <w:jc w:val="both"/>
              <w:rPr>
                <w:bCs/>
                <w:highlight w:val="none"/>
              </w:rPr>
            </w:pPr>
            <w:r>
              <w:rPr>
                <w:rFonts w:hint="eastAsia"/>
                <w:bCs/>
                <w:spacing w:val="27"/>
                <w:highlight w:val="none"/>
              </w:rPr>
              <w:t>企业名称</w:t>
            </w:r>
          </w:p>
        </w:tc>
        <w:tc>
          <w:tcPr>
            <w:tcW w:w="2952" w:type="pct"/>
            <w:gridSpan w:val="4"/>
            <w:vAlign w:val="center"/>
          </w:tcPr>
          <w:p>
            <w:pPr>
              <w:pStyle w:val="696"/>
              <w:shd w:val="clear" w:color="auto" w:fill="FFFFFF"/>
              <w:jc w:val="both"/>
              <w:rPr>
                <w:bCs/>
                <w:highlight w:val="none"/>
              </w:rPr>
            </w:pPr>
          </w:p>
        </w:tc>
        <w:tc>
          <w:tcPr>
            <w:tcW w:w="711" w:type="pct"/>
            <w:vAlign w:val="center"/>
          </w:tcPr>
          <w:p>
            <w:pPr>
              <w:pStyle w:val="696"/>
              <w:shd w:val="clear" w:color="auto" w:fill="FFFFFF"/>
              <w:jc w:val="center"/>
              <w:rPr>
                <w:bCs/>
                <w:highlight w:val="none"/>
              </w:rPr>
            </w:pPr>
            <w:r>
              <w:rPr>
                <w:rFonts w:hint="eastAsia"/>
                <w:bCs/>
                <w:spacing w:val="16"/>
                <w:highlight w:val="none"/>
              </w:rPr>
              <w:t>法人代表</w:t>
            </w:r>
          </w:p>
        </w:tc>
        <w:tc>
          <w:tcPr>
            <w:tcW w:w="758" w:type="pct"/>
            <w:gridSpan w:val="2"/>
            <w:vAlign w:val="center"/>
          </w:tcPr>
          <w:p>
            <w:pPr>
              <w:pStyle w:val="696"/>
              <w:shd w:val="clear" w:color="auto" w:fill="FFFFFF"/>
              <w:jc w:val="both"/>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77" w:type="pct"/>
            <w:vAlign w:val="center"/>
          </w:tcPr>
          <w:p>
            <w:pPr>
              <w:pStyle w:val="696"/>
              <w:shd w:val="clear" w:color="auto" w:fill="FFFFFF"/>
              <w:jc w:val="both"/>
              <w:rPr>
                <w:bCs/>
                <w:spacing w:val="16"/>
                <w:highlight w:val="none"/>
              </w:rPr>
            </w:pPr>
            <w:r>
              <w:rPr>
                <w:rFonts w:hint="eastAsia"/>
                <w:bCs/>
                <w:spacing w:val="27"/>
                <w:highlight w:val="none"/>
              </w:rPr>
              <w:t>地址</w:t>
            </w:r>
          </w:p>
        </w:tc>
        <w:tc>
          <w:tcPr>
            <w:tcW w:w="2952" w:type="pct"/>
            <w:gridSpan w:val="4"/>
            <w:tcBorders>
              <w:bottom w:val="single" w:color="auto" w:sz="4" w:space="0"/>
            </w:tcBorders>
            <w:vAlign w:val="center"/>
          </w:tcPr>
          <w:p>
            <w:pPr>
              <w:pStyle w:val="696"/>
              <w:shd w:val="clear" w:color="auto" w:fill="FFFFFF"/>
              <w:jc w:val="both"/>
              <w:rPr>
                <w:bCs/>
                <w:spacing w:val="16"/>
                <w:highlight w:val="none"/>
              </w:rPr>
            </w:pPr>
          </w:p>
        </w:tc>
        <w:tc>
          <w:tcPr>
            <w:tcW w:w="711" w:type="pct"/>
            <w:vAlign w:val="center"/>
          </w:tcPr>
          <w:p>
            <w:pPr>
              <w:pStyle w:val="696"/>
              <w:shd w:val="clear" w:color="auto" w:fill="FFFFFF"/>
              <w:jc w:val="center"/>
              <w:rPr>
                <w:bCs/>
                <w:spacing w:val="16"/>
                <w:highlight w:val="none"/>
              </w:rPr>
            </w:pPr>
            <w:r>
              <w:rPr>
                <w:rFonts w:hint="eastAsia"/>
                <w:bCs/>
                <w:spacing w:val="16"/>
                <w:highlight w:val="none"/>
              </w:rPr>
              <w:t>企业性质</w:t>
            </w:r>
          </w:p>
        </w:tc>
        <w:tc>
          <w:tcPr>
            <w:tcW w:w="758" w:type="pct"/>
            <w:gridSpan w:val="2"/>
            <w:vAlign w:val="center"/>
          </w:tcPr>
          <w:p>
            <w:pPr>
              <w:pStyle w:val="696"/>
              <w:shd w:val="clear" w:color="auto" w:fill="FFFFFF"/>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7" w:type="pct"/>
            <w:tcBorders>
              <w:bottom w:val="single" w:color="auto" w:sz="4" w:space="0"/>
            </w:tcBorders>
            <w:vAlign w:val="center"/>
          </w:tcPr>
          <w:p>
            <w:pPr>
              <w:pStyle w:val="696"/>
              <w:shd w:val="clear" w:color="auto" w:fill="FFFFFF"/>
              <w:jc w:val="both"/>
              <w:rPr>
                <w:bCs/>
                <w:spacing w:val="16"/>
                <w:highlight w:val="none"/>
              </w:rPr>
            </w:pPr>
            <w:r>
              <w:rPr>
                <w:rFonts w:hint="eastAsia"/>
                <w:bCs/>
                <w:spacing w:val="27"/>
                <w:highlight w:val="none"/>
              </w:rPr>
              <w:t>股东姓名</w:t>
            </w:r>
          </w:p>
        </w:tc>
        <w:tc>
          <w:tcPr>
            <w:tcW w:w="1246" w:type="pct"/>
            <w:tcBorders>
              <w:bottom w:val="single" w:color="auto" w:sz="4" w:space="0"/>
            </w:tcBorders>
            <w:vAlign w:val="center"/>
          </w:tcPr>
          <w:p>
            <w:pPr>
              <w:pStyle w:val="696"/>
              <w:shd w:val="clear" w:color="auto" w:fill="FFFFFF"/>
              <w:spacing w:before="0" w:beforeAutospacing="0" w:after="0" w:afterAutospacing="0"/>
              <w:jc w:val="both"/>
              <w:rPr>
                <w:bCs/>
                <w:spacing w:val="16"/>
                <w:highlight w:val="none"/>
              </w:rPr>
            </w:pPr>
          </w:p>
        </w:tc>
        <w:tc>
          <w:tcPr>
            <w:tcW w:w="595" w:type="pct"/>
            <w:tcBorders>
              <w:bottom w:val="single" w:color="auto" w:sz="4" w:space="0"/>
            </w:tcBorders>
            <w:vAlign w:val="center"/>
          </w:tcPr>
          <w:p>
            <w:pPr>
              <w:pStyle w:val="696"/>
              <w:shd w:val="clear" w:color="auto" w:fill="FFFFFF"/>
              <w:jc w:val="both"/>
              <w:rPr>
                <w:bCs/>
                <w:spacing w:val="16"/>
                <w:highlight w:val="none"/>
              </w:rPr>
            </w:pPr>
            <w:r>
              <w:rPr>
                <w:rFonts w:hint="eastAsia"/>
                <w:bCs/>
                <w:spacing w:val="16"/>
                <w:highlight w:val="none"/>
              </w:rPr>
              <w:t>股权结构（%）</w:t>
            </w:r>
          </w:p>
        </w:tc>
        <w:tc>
          <w:tcPr>
            <w:tcW w:w="1109" w:type="pct"/>
            <w:gridSpan w:val="2"/>
            <w:tcBorders>
              <w:bottom w:val="single" w:color="auto" w:sz="4" w:space="0"/>
            </w:tcBorders>
            <w:vAlign w:val="center"/>
          </w:tcPr>
          <w:p>
            <w:pPr>
              <w:widowControl/>
              <w:spacing w:line="240" w:lineRule="auto"/>
              <w:rPr>
                <w:rFonts w:ascii="宋体" w:hAnsi="宋体" w:cs="宋体"/>
                <w:bCs/>
                <w:spacing w:val="16"/>
                <w:kern w:val="0"/>
                <w:sz w:val="24"/>
                <w:highlight w:val="none"/>
              </w:rPr>
            </w:pPr>
          </w:p>
          <w:p>
            <w:pPr>
              <w:pStyle w:val="696"/>
              <w:shd w:val="clear" w:color="auto" w:fill="FFFFFF"/>
              <w:jc w:val="both"/>
              <w:rPr>
                <w:bCs/>
                <w:spacing w:val="16"/>
                <w:highlight w:val="none"/>
              </w:rPr>
            </w:pPr>
          </w:p>
        </w:tc>
        <w:tc>
          <w:tcPr>
            <w:tcW w:w="711" w:type="pct"/>
            <w:vAlign w:val="center"/>
          </w:tcPr>
          <w:p>
            <w:pPr>
              <w:pStyle w:val="696"/>
              <w:shd w:val="clear" w:color="auto" w:fill="FFFFFF"/>
              <w:ind w:left="107"/>
              <w:jc w:val="center"/>
              <w:rPr>
                <w:bCs/>
                <w:spacing w:val="16"/>
                <w:highlight w:val="none"/>
              </w:rPr>
            </w:pPr>
            <w:r>
              <w:rPr>
                <w:rFonts w:hint="eastAsia"/>
                <w:bCs/>
                <w:spacing w:val="16"/>
                <w:highlight w:val="none"/>
              </w:rPr>
              <w:t>股东关系</w:t>
            </w:r>
          </w:p>
        </w:tc>
        <w:tc>
          <w:tcPr>
            <w:tcW w:w="758" w:type="pct"/>
            <w:gridSpan w:val="2"/>
            <w:vAlign w:val="center"/>
          </w:tcPr>
          <w:p>
            <w:pPr>
              <w:pStyle w:val="696"/>
              <w:shd w:val="clear" w:color="auto" w:fill="FFFFFF"/>
              <w:ind w:left="107"/>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7" w:type="pct"/>
            <w:vMerge w:val="restart"/>
            <w:vAlign w:val="center"/>
          </w:tcPr>
          <w:p>
            <w:pPr>
              <w:pStyle w:val="696"/>
              <w:shd w:val="clear" w:color="auto" w:fill="FFFFFF"/>
              <w:jc w:val="both"/>
              <w:rPr>
                <w:bCs/>
                <w:spacing w:val="16"/>
                <w:highlight w:val="none"/>
              </w:rPr>
            </w:pPr>
            <w:r>
              <w:rPr>
                <w:rFonts w:hint="eastAsia"/>
                <w:bCs/>
                <w:spacing w:val="12"/>
                <w:highlight w:val="none"/>
              </w:rPr>
              <w:t>联系人</w:t>
            </w:r>
            <w:r>
              <w:rPr>
                <w:rFonts w:hint="eastAsia"/>
                <w:bCs/>
                <w:spacing w:val="27"/>
                <w:highlight w:val="none"/>
              </w:rPr>
              <w:t>姓名</w:t>
            </w:r>
          </w:p>
        </w:tc>
        <w:tc>
          <w:tcPr>
            <w:tcW w:w="1246" w:type="pct"/>
            <w:vMerge w:val="restart"/>
            <w:tcBorders>
              <w:top w:val="nil"/>
            </w:tcBorders>
            <w:vAlign w:val="center"/>
          </w:tcPr>
          <w:p>
            <w:pPr>
              <w:pStyle w:val="696"/>
              <w:shd w:val="clear" w:color="auto" w:fill="FFFFFF"/>
              <w:jc w:val="both"/>
              <w:rPr>
                <w:bCs/>
                <w:spacing w:val="16"/>
                <w:highlight w:val="none"/>
              </w:rPr>
            </w:pPr>
          </w:p>
        </w:tc>
        <w:tc>
          <w:tcPr>
            <w:tcW w:w="595" w:type="pct"/>
            <w:tcBorders>
              <w:top w:val="nil"/>
              <w:bottom w:val="single" w:color="auto" w:sz="4" w:space="0"/>
            </w:tcBorders>
            <w:vAlign w:val="center"/>
          </w:tcPr>
          <w:p>
            <w:pPr>
              <w:pStyle w:val="696"/>
              <w:shd w:val="clear" w:color="auto" w:fill="FFFFFF"/>
              <w:jc w:val="both"/>
              <w:rPr>
                <w:bCs/>
                <w:spacing w:val="16"/>
                <w:highlight w:val="none"/>
              </w:rPr>
            </w:pPr>
            <w:r>
              <w:rPr>
                <w:rFonts w:hint="eastAsia"/>
                <w:bCs/>
                <w:spacing w:val="16"/>
                <w:highlight w:val="none"/>
              </w:rPr>
              <w:t>固定电话</w:t>
            </w:r>
          </w:p>
        </w:tc>
        <w:tc>
          <w:tcPr>
            <w:tcW w:w="1109" w:type="pct"/>
            <w:gridSpan w:val="2"/>
            <w:tcBorders>
              <w:top w:val="nil"/>
              <w:bottom w:val="single" w:color="auto" w:sz="4" w:space="0"/>
            </w:tcBorders>
            <w:vAlign w:val="center"/>
          </w:tcPr>
          <w:p>
            <w:pPr>
              <w:widowControl/>
              <w:spacing w:line="240" w:lineRule="auto"/>
              <w:rPr>
                <w:rFonts w:ascii="宋体" w:hAnsi="宋体" w:cs="宋体"/>
                <w:bCs/>
                <w:spacing w:val="16"/>
                <w:kern w:val="0"/>
                <w:sz w:val="24"/>
                <w:highlight w:val="none"/>
              </w:rPr>
            </w:pPr>
          </w:p>
          <w:p>
            <w:pPr>
              <w:pStyle w:val="696"/>
              <w:shd w:val="clear" w:color="auto" w:fill="FFFFFF"/>
              <w:jc w:val="both"/>
              <w:rPr>
                <w:bCs/>
                <w:spacing w:val="16"/>
                <w:highlight w:val="none"/>
              </w:rPr>
            </w:pPr>
          </w:p>
        </w:tc>
        <w:tc>
          <w:tcPr>
            <w:tcW w:w="711" w:type="pct"/>
            <w:vMerge w:val="restart"/>
            <w:vAlign w:val="center"/>
          </w:tcPr>
          <w:p>
            <w:pPr>
              <w:pStyle w:val="696"/>
              <w:shd w:val="clear" w:color="auto" w:fill="FFFFFF"/>
              <w:spacing w:before="0" w:beforeAutospacing="0" w:after="0" w:afterAutospacing="0"/>
              <w:jc w:val="center"/>
              <w:rPr>
                <w:bCs/>
                <w:spacing w:val="16"/>
                <w:highlight w:val="none"/>
              </w:rPr>
            </w:pPr>
            <w:r>
              <w:rPr>
                <w:rFonts w:hint="eastAsia"/>
                <w:bCs/>
                <w:spacing w:val="16"/>
                <w:highlight w:val="none"/>
              </w:rPr>
              <w:t>传真</w:t>
            </w:r>
          </w:p>
        </w:tc>
        <w:tc>
          <w:tcPr>
            <w:tcW w:w="758" w:type="pct"/>
            <w:gridSpan w:val="2"/>
            <w:vMerge w:val="restart"/>
            <w:vAlign w:val="center"/>
          </w:tcPr>
          <w:p>
            <w:pPr>
              <w:pStyle w:val="696"/>
              <w:shd w:val="clear" w:color="auto" w:fill="FFFFFF"/>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77" w:type="pct"/>
            <w:vMerge w:val="continue"/>
            <w:tcBorders>
              <w:bottom w:val="single" w:color="auto" w:sz="4" w:space="0"/>
            </w:tcBorders>
            <w:vAlign w:val="center"/>
          </w:tcPr>
          <w:p>
            <w:pPr>
              <w:pStyle w:val="696"/>
              <w:shd w:val="clear" w:color="auto" w:fill="FFFFFF"/>
              <w:ind w:left="107"/>
              <w:jc w:val="both"/>
              <w:rPr>
                <w:bCs/>
                <w:highlight w:val="none"/>
              </w:rPr>
            </w:pPr>
          </w:p>
        </w:tc>
        <w:tc>
          <w:tcPr>
            <w:tcW w:w="1246" w:type="pct"/>
            <w:vMerge w:val="continue"/>
            <w:tcBorders>
              <w:bottom w:val="single" w:color="auto" w:sz="4" w:space="0"/>
            </w:tcBorders>
            <w:vAlign w:val="center"/>
          </w:tcPr>
          <w:p>
            <w:pPr>
              <w:pStyle w:val="696"/>
              <w:shd w:val="clear" w:color="auto" w:fill="FFFFFF"/>
              <w:jc w:val="both"/>
              <w:rPr>
                <w:bCs/>
                <w:spacing w:val="16"/>
                <w:highlight w:val="none"/>
              </w:rPr>
            </w:pPr>
          </w:p>
        </w:tc>
        <w:tc>
          <w:tcPr>
            <w:tcW w:w="595" w:type="pct"/>
            <w:tcBorders>
              <w:bottom w:val="single" w:color="auto" w:sz="4" w:space="0"/>
            </w:tcBorders>
            <w:vAlign w:val="center"/>
          </w:tcPr>
          <w:p>
            <w:pPr>
              <w:pStyle w:val="696"/>
              <w:shd w:val="clear" w:color="auto" w:fill="FFFFFF"/>
              <w:jc w:val="both"/>
              <w:rPr>
                <w:bCs/>
                <w:spacing w:val="16"/>
                <w:highlight w:val="none"/>
              </w:rPr>
            </w:pPr>
            <w:r>
              <w:rPr>
                <w:rFonts w:hint="eastAsia"/>
                <w:bCs/>
                <w:spacing w:val="27"/>
                <w:highlight w:val="none"/>
              </w:rPr>
              <w:t>手机</w:t>
            </w:r>
          </w:p>
        </w:tc>
        <w:tc>
          <w:tcPr>
            <w:tcW w:w="1109" w:type="pct"/>
            <w:gridSpan w:val="2"/>
            <w:tcBorders>
              <w:bottom w:val="single" w:color="auto" w:sz="4" w:space="0"/>
            </w:tcBorders>
            <w:vAlign w:val="center"/>
          </w:tcPr>
          <w:p>
            <w:pPr>
              <w:pStyle w:val="696"/>
              <w:shd w:val="clear" w:color="auto" w:fill="FFFFFF"/>
              <w:jc w:val="both"/>
              <w:rPr>
                <w:bCs/>
                <w:spacing w:val="16"/>
                <w:highlight w:val="none"/>
              </w:rPr>
            </w:pPr>
          </w:p>
        </w:tc>
        <w:tc>
          <w:tcPr>
            <w:tcW w:w="711" w:type="pct"/>
            <w:vMerge w:val="continue"/>
            <w:vAlign w:val="center"/>
          </w:tcPr>
          <w:p>
            <w:pPr>
              <w:pStyle w:val="696"/>
              <w:shd w:val="clear" w:color="auto" w:fill="FFFFFF"/>
              <w:jc w:val="center"/>
              <w:rPr>
                <w:bCs/>
                <w:spacing w:val="16"/>
                <w:highlight w:val="none"/>
              </w:rPr>
            </w:pPr>
          </w:p>
        </w:tc>
        <w:tc>
          <w:tcPr>
            <w:tcW w:w="758" w:type="pct"/>
            <w:gridSpan w:val="2"/>
            <w:vMerge w:val="continue"/>
            <w:vAlign w:val="center"/>
          </w:tcPr>
          <w:p>
            <w:pPr>
              <w:pStyle w:val="696"/>
              <w:shd w:val="clear" w:color="auto" w:fill="FFFFFF"/>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77" w:type="pct"/>
            <w:vMerge w:val="restart"/>
            <w:vAlign w:val="center"/>
          </w:tcPr>
          <w:p>
            <w:pPr>
              <w:pStyle w:val="696"/>
              <w:shd w:val="clear" w:color="auto" w:fill="FFFFFF"/>
              <w:ind w:left="107"/>
              <w:jc w:val="both"/>
              <w:rPr>
                <w:bCs/>
                <w:highlight w:val="none"/>
              </w:rPr>
            </w:pPr>
            <w:r>
              <w:rPr>
                <w:rFonts w:hint="eastAsia"/>
                <w:bCs/>
                <w:highlight w:val="none"/>
              </w:rPr>
              <w:t>1.</w:t>
            </w:r>
          </w:p>
          <w:p>
            <w:pPr>
              <w:pStyle w:val="696"/>
              <w:shd w:val="clear" w:color="auto" w:fill="FFFFFF"/>
              <w:ind w:left="107"/>
              <w:jc w:val="both"/>
              <w:rPr>
                <w:bCs/>
                <w:highlight w:val="none"/>
              </w:rPr>
            </w:pPr>
            <w:r>
              <w:rPr>
                <w:rFonts w:hint="eastAsia"/>
                <w:bCs/>
                <w:highlight w:val="none"/>
              </w:rPr>
              <w:t>企</w:t>
            </w:r>
          </w:p>
          <w:p>
            <w:pPr>
              <w:pStyle w:val="696"/>
              <w:shd w:val="clear" w:color="auto" w:fill="FFFFFF"/>
              <w:ind w:left="107"/>
              <w:jc w:val="both"/>
              <w:rPr>
                <w:bCs/>
                <w:highlight w:val="none"/>
              </w:rPr>
            </w:pPr>
            <w:r>
              <w:rPr>
                <w:rFonts w:hint="eastAsia"/>
                <w:bCs/>
                <w:highlight w:val="none"/>
              </w:rPr>
              <w:t>业</w:t>
            </w:r>
          </w:p>
          <w:p>
            <w:pPr>
              <w:pStyle w:val="696"/>
              <w:shd w:val="clear" w:color="auto" w:fill="FFFFFF"/>
              <w:ind w:left="107"/>
              <w:jc w:val="both"/>
              <w:rPr>
                <w:bCs/>
                <w:spacing w:val="27"/>
                <w:highlight w:val="none"/>
              </w:rPr>
            </w:pPr>
            <w:r>
              <w:rPr>
                <w:rFonts w:hint="eastAsia"/>
                <w:bCs/>
                <w:spacing w:val="27"/>
                <w:highlight w:val="none"/>
              </w:rPr>
              <w:t>概</w:t>
            </w:r>
          </w:p>
          <w:p>
            <w:pPr>
              <w:pStyle w:val="696"/>
              <w:shd w:val="clear" w:color="auto" w:fill="FFFFFF"/>
              <w:ind w:left="107"/>
              <w:jc w:val="both"/>
              <w:rPr>
                <w:bCs/>
                <w:highlight w:val="none"/>
              </w:rPr>
            </w:pPr>
            <w:r>
              <w:rPr>
                <w:rFonts w:hint="eastAsia"/>
                <w:bCs/>
                <w:spacing w:val="27"/>
                <w:highlight w:val="none"/>
              </w:rPr>
              <w:t>况</w:t>
            </w:r>
          </w:p>
        </w:tc>
        <w:tc>
          <w:tcPr>
            <w:tcW w:w="1246" w:type="pct"/>
            <w:tcBorders>
              <w:top w:val="nil"/>
            </w:tcBorders>
            <w:vAlign w:val="center"/>
          </w:tcPr>
          <w:p>
            <w:pPr>
              <w:pStyle w:val="696"/>
              <w:shd w:val="clear" w:color="auto" w:fill="FFFFFF"/>
              <w:jc w:val="both"/>
              <w:rPr>
                <w:bCs/>
                <w:spacing w:val="16"/>
                <w:highlight w:val="none"/>
              </w:rPr>
            </w:pPr>
            <w:r>
              <w:rPr>
                <w:rFonts w:hint="eastAsia"/>
                <w:bCs/>
                <w:spacing w:val="16"/>
                <w:highlight w:val="none"/>
              </w:rPr>
              <w:t>职工人数</w:t>
            </w:r>
          </w:p>
        </w:tc>
        <w:tc>
          <w:tcPr>
            <w:tcW w:w="595" w:type="pct"/>
            <w:tcBorders>
              <w:top w:val="nil"/>
            </w:tcBorders>
            <w:vAlign w:val="center"/>
          </w:tcPr>
          <w:p>
            <w:pPr>
              <w:pStyle w:val="696"/>
              <w:shd w:val="clear" w:color="auto" w:fill="FFFFFF"/>
              <w:jc w:val="both"/>
              <w:rPr>
                <w:bCs/>
                <w:spacing w:val="16"/>
                <w:highlight w:val="none"/>
              </w:rPr>
            </w:pPr>
          </w:p>
        </w:tc>
        <w:tc>
          <w:tcPr>
            <w:tcW w:w="577" w:type="pct"/>
            <w:tcBorders>
              <w:top w:val="nil"/>
            </w:tcBorders>
            <w:vAlign w:val="center"/>
          </w:tcPr>
          <w:p>
            <w:pPr>
              <w:pStyle w:val="696"/>
              <w:shd w:val="clear" w:color="auto" w:fill="FFFFFF"/>
              <w:spacing w:before="0" w:beforeAutospacing="0" w:after="0" w:afterAutospacing="0"/>
              <w:jc w:val="both"/>
              <w:rPr>
                <w:bCs/>
                <w:highlight w:val="none"/>
              </w:rPr>
            </w:pPr>
            <w:r>
              <w:rPr>
                <w:rFonts w:hint="eastAsia"/>
                <w:bCs/>
                <w:spacing w:val="18"/>
                <w:highlight w:val="none"/>
              </w:rPr>
              <w:t>具备大专以</w:t>
            </w:r>
            <w:r>
              <w:rPr>
                <w:rFonts w:hint="eastAsia"/>
                <w:bCs/>
                <w:spacing w:val="12"/>
                <w:highlight w:val="none"/>
              </w:rPr>
              <w:t>上学历人数</w:t>
            </w:r>
          </w:p>
        </w:tc>
        <w:tc>
          <w:tcPr>
            <w:tcW w:w="532" w:type="pct"/>
            <w:tcBorders>
              <w:top w:val="nil"/>
            </w:tcBorders>
            <w:vAlign w:val="center"/>
          </w:tcPr>
          <w:p>
            <w:pPr>
              <w:widowControl/>
              <w:spacing w:line="240" w:lineRule="auto"/>
              <w:rPr>
                <w:rFonts w:ascii="宋体" w:hAnsi="宋体" w:cs="宋体"/>
                <w:bCs/>
                <w:spacing w:val="16"/>
                <w:kern w:val="0"/>
                <w:sz w:val="24"/>
                <w:highlight w:val="none"/>
              </w:rPr>
            </w:pPr>
          </w:p>
          <w:p>
            <w:pPr>
              <w:widowControl/>
              <w:spacing w:line="240" w:lineRule="auto"/>
              <w:rPr>
                <w:rFonts w:ascii="宋体" w:hAnsi="宋体" w:cs="宋体"/>
                <w:bCs/>
                <w:spacing w:val="16"/>
                <w:kern w:val="0"/>
                <w:sz w:val="24"/>
                <w:highlight w:val="none"/>
              </w:rPr>
            </w:pPr>
          </w:p>
          <w:p>
            <w:pPr>
              <w:pStyle w:val="696"/>
              <w:shd w:val="clear" w:color="auto" w:fill="FFFFFF"/>
              <w:jc w:val="both"/>
              <w:rPr>
                <w:bCs/>
                <w:spacing w:val="16"/>
                <w:highlight w:val="none"/>
              </w:rPr>
            </w:pPr>
          </w:p>
        </w:tc>
        <w:tc>
          <w:tcPr>
            <w:tcW w:w="711" w:type="pct"/>
            <w:vAlign w:val="center"/>
          </w:tcPr>
          <w:p>
            <w:pPr>
              <w:pStyle w:val="696"/>
              <w:shd w:val="clear" w:color="auto" w:fill="FFFFFF"/>
              <w:jc w:val="center"/>
              <w:rPr>
                <w:bCs/>
                <w:spacing w:val="16"/>
                <w:highlight w:val="none"/>
              </w:rPr>
            </w:pPr>
            <w:r>
              <w:rPr>
                <w:rFonts w:hint="eastAsia"/>
                <w:bCs/>
                <w:spacing w:val="65"/>
                <w:highlight w:val="none"/>
              </w:rPr>
              <w:t>国家授予技</w:t>
            </w:r>
            <w:r>
              <w:rPr>
                <w:rFonts w:hint="eastAsia"/>
                <w:bCs/>
                <w:spacing w:val="12"/>
                <w:highlight w:val="none"/>
              </w:rPr>
              <w:t>术职称人数</w:t>
            </w:r>
          </w:p>
        </w:tc>
        <w:tc>
          <w:tcPr>
            <w:tcW w:w="758" w:type="pct"/>
            <w:gridSpan w:val="2"/>
            <w:vAlign w:val="center"/>
          </w:tcPr>
          <w:p>
            <w:pPr>
              <w:widowControl/>
              <w:spacing w:line="240" w:lineRule="auto"/>
              <w:rPr>
                <w:rFonts w:ascii="宋体" w:hAnsi="宋体" w:cs="宋体"/>
                <w:bCs/>
                <w:spacing w:val="16"/>
                <w:kern w:val="0"/>
                <w:sz w:val="24"/>
                <w:highlight w:val="none"/>
              </w:rPr>
            </w:pPr>
          </w:p>
          <w:p>
            <w:pPr>
              <w:pStyle w:val="696"/>
              <w:shd w:val="clear" w:color="auto" w:fill="FFFFFF"/>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77" w:type="pct"/>
            <w:vMerge w:val="continue"/>
            <w:vAlign w:val="center"/>
          </w:tcPr>
          <w:p>
            <w:pPr>
              <w:pStyle w:val="696"/>
              <w:shd w:val="clear" w:color="auto" w:fill="FFFFFF"/>
              <w:ind w:left="107"/>
              <w:jc w:val="both"/>
              <w:rPr>
                <w:bCs/>
                <w:highlight w:val="none"/>
              </w:rPr>
            </w:pPr>
          </w:p>
        </w:tc>
        <w:tc>
          <w:tcPr>
            <w:tcW w:w="1246" w:type="pct"/>
            <w:vAlign w:val="center"/>
          </w:tcPr>
          <w:p>
            <w:pPr>
              <w:pStyle w:val="696"/>
              <w:shd w:val="clear" w:color="auto" w:fill="FFFFFF"/>
              <w:jc w:val="both"/>
              <w:rPr>
                <w:bCs/>
                <w:highlight w:val="none"/>
              </w:rPr>
            </w:pPr>
            <w:r>
              <w:rPr>
                <w:rFonts w:hint="eastAsia"/>
                <w:bCs/>
                <w:spacing w:val="16"/>
                <w:highlight w:val="none"/>
              </w:rPr>
              <w:t>占地面积</w:t>
            </w:r>
          </w:p>
        </w:tc>
        <w:tc>
          <w:tcPr>
            <w:tcW w:w="595" w:type="pct"/>
            <w:vAlign w:val="center"/>
          </w:tcPr>
          <w:p>
            <w:pPr>
              <w:pStyle w:val="696"/>
              <w:shd w:val="clear" w:color="auto" w:fill="FFFFFF"/>
              <w:jc w:val="both"/>
              <w:rPr>
                <w:bCs/>
                <w:highlight w:val="none"/>
              </w:rPr>
            </w:pPr>
          </w:p>
        </w:tc>
        <w:tc>
          <w:tcPr>
            <w:tcW w:w="577" w:type="pct"/>
            <w:vAlign w:val="center"/>
          </w:tcPr>
          <w:p>
            <w:pPr>
              <w:pStyle w:val="696"/>
              <w:shd w:val="clear" w:color="auto" w:fill="FFFFFF"/>
              <w:jc w:val="both"/>
              <w:rPr>
                <w:bCs/>
                <w:highlight w:val="none"/>
              </w:rPr>
            </w:pPr>
            <w:r>
              <w:rPr>
                <w:rFonts w:hint="eastAsia"/>
                <w:bCs/>
                <w:spacing w:val="16"/>
                <w:highlight w:val="none"/>
              </w:rPr>
              <w:t>建筑面积</w:t>
            </w:r>
          </w:p>
        </w:tc>
        <w:tc>
          <w:tcPr>
            <w:tcW w:w="532" w:type="pct"/>
            <w:vAlign w:val="center"/>
          </w:tcPr>
          <w:p>
            <w:pPr>
              <w:pStyle w:val="696"/>
              <w:shd w:val="clear" w:color="auto" w:fill="FFFFFF"/>
              <w:jc w:val="both"/>
              <w:rPr>
                <w:bCs/>
                <w:highlight w:val="none"/>
              </w:rPr>
            </w:pPr>
            <w:r>
              <w:rPr>
                <w:rFonts w:hint="eastAsia"/>
                <w:bCs/>
                <w:highlight w:val="none"/>
              </w:rPr>
              <w:t>平方米</w:t>
            </w:r>
          </w:p>
          <w:p>
            <w:pPr>
              <w:pStyle w:val="696"/>
              <w:shd w:val="clear" w:color="auto" w:fill="FFFFFF"/>
              <w:jc w:val="both"/>
              <w:rPr>
                <w:bCs/>
                <w:highlight w:val="none"/>
              </w:rPr>
            </w:pPr>
            <w:r>
              <w:rPr>
                <w:rFonts w:hint="eastAsia"/>
                <w:bCs/>
                <w:spacing w:val="16"/>
                <w:highlight w:val="none"/>
              </w:rPr>
              <w:t>□自有□租赁</w:t>
            </w:r>
          </w:p>
        </w:tc>
        <w:tc>
          <w:tcPr>
            <w:tcW w:w="711" w:type="pct"/>
            <w:vAlign w:val="center"/>
          </w:tcPr>
          <w:p>
            <w:pPr>
              <w:pStyle w:val="696"/>
              <w:shd w:val="clear" w:color="auto" w:fill="FFFFFF"/>
              <w:jc w:val="center"/>
              <w:rPr>
                <w:bCs/>
                <w:highlight w:val="none"/>
              </w:rPr>
            </w:pPr>
            <w:r>
              <w:rPr>
                <w:rFonts w:hint="eastAsia"/>
                <w:bCs/>
                <w:spacing w:val="16"/>
                <w:highlight w:val="none"/>
              </w:rPr>
              <w:t>生产经营场所及场所的设施与设备</w:t>
            </w:r>
          </w:p>
        </w:tc>
        <w:tc>
          <w:tcPr>
            <w:tcW w:w="758" w:type="pct"/>
            <w:gridSpan w:val="2"/>
            <w:vAlign w:val="center"/>
          </w:tcPr>
          <w:p>
            <w:pPr>
              <w:pStyle w:val="696"/>
              <w:shd w:val="clear" w:color="auto" w:fill="FFFFFF"/>
              <w:spacing w:before="0" w:beforeAutospacing="0" w:after="0" w:afterAutospacing="0"/>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7" w:type="pct"/>
            <w:vMerge w:val="continue"/>
            <w:vAlign w:val="center"/>
          </w:tcPr>
          <w:p>
            <w:pPr>
              <w:pStyle w:val="696"/>
              <w:shd w:val="clear" w:color="auto" w:fill="FFFFFF"/>
              <w:ind w:left="107"/>
              <w:jc w:val="both"/>
              <w:rPr>
                <w:bCs/>
                <w:highlight w:val="none"/>
              </w:rPr>
            </w:pPr>
          </w:p>
        </w:tc>
        <w:tc>
          <w:tcPr>
            <w:tcW w:w="1246" w:type="pct"/>
            <w:vAlign w:val="center"/>
          </w:tcPr>
          <w:p>
            <w:pPr>
              <w:pStyle w:val="696"/>
              <w:shd w:val="clear" w:color="auto" w:fill="FFFFFF"/>
              <w:ind w:left="2"/>
              <w:jc w:val="both"/>
              <w:rPr>
                <w:bCs/>
                <w:spacing w:val="16"/>
                <w:highlight w:val="none"/>
              </w:rPr>
            </w:pPr>
            <w:r>
              <w:rPr>
                <w:rFonts w:hint="eastAsia"/>
                <w:bCs/>
                <w:spacing w:val="16"/>
                <w:highlight w:val="none"/>
              </w:rPr>
              <w:t>注册资金</w:t>
            </w:r>
          </w:p>
        </w:tc>
        <w:tc>
          <w:tcPr>
            <w:tcW w:w="595" w:type="pct"/>
            <w:vAlign w:val="center"/>
          </w:tcPr>
          <w:p>
            <w:pPr>
              <w:pStyle w:val="696"/>
              <w:shd w:val="clear" w:color="auto" w:fill="FFFFFF"/>
              <w:ind w:left="2"/>
              <w:jc w:val="both"/>
              <w:rPr>
                <w:bCs/>
                <w:highlight w:val="none"/>
              </w:rPr>
            </w:pPr>
          </w:p>
        </w:tc>
        <w:tc>
          <w:tcPr>
            <w:tcW w:w="577" w:type="pct"/>
            <w:vAlign w:val="center"/>
          </w:tcPr>
          <w:p>
            <w:pPr>
              <w:pStyle w:val="696"/>
              <w:shd w:val="clear" w:color="auto" w:fill="FFFFFF"/>
              <w:ind w:left="107"/>
              <w:jc w:val="both"/>
              <w:rPr>
                <w:bCs/>
                <w:highlight w:val="none"/>
              </w:rPr>
            </w:pPr>
            <w:r>
              <w:rPr>
                <w:rFonts w:hint="eastAsia"/>
                <w:bCs/>
                <w:spacing w:val="16"/>
                <w:highlight w:val="none"/>
              </w:rPr>
              <w:t>注册发证</w:t>
            </w:r>
            <w:r>
              <w:rPr>
                <w:rFonts w:hint="eastAsia"/>
                <w:bCs/>
                <w:spacing w:val="27"/>
                <w:highlight w:val="none"/>
              </w:rPr>
              <w:t>机关</w:t>
            </w:r>
          </w:p>
        </w:tc>
        <w:tc>
          <w:tcPr>
            <w:tcW w:w="1243" w:type="pct"/>
            <w:gridSpan w:val="2"/>
            <w:vAlign w:val="center"/>
          </w:tcPr>
          <w:p>
            <w:pPr>
              <w:widowControl/>
              <w:spacing w:line="240" w:lineRule="auto"/>
              <w:rPr>
                <w:rFonts w:ascii="宋体" w:hAnsi="宋体" w:cs="宋体"/>
                <w:bCs/>
                <w:kern w:val="0"/>
                <w:sz w:val="24"/>
                <w:highlight w:val="none"/>
              </w:rPr>
            </w:pPr>
          </w:p>
          <w:p>
            <w:pPr>
              <w:pStyle w:val="696"/>
              <w:shd w:val="clear" w:color="auto" w:fill="FFFFFF"/>
              <w:ind w:left="107"/>
              <w:jc w:val="both"/>
              <w:rPr>
                <w:bCs/>
                <w:highlight w:val="none"/>
              </w:rPr>
            </w:pPr>
          </w:p>
        </w:tc>
        <w:tc>
          <w:tcPr>
            <w:tcW w:w="447" w:type="pct"/>
            <w:vAlign w:val="center"/>
          </w:tcPr>
          <w:p>
            <w:pPr>
              <w:pStyle w:val="696"/>
              <w:shd w:val="clear" w:color="auto" w:fill="FFFFFF"/>
              <w:ind w:left="107"/>
              <w:jc w:val="both"/>
              <w:rPr>
                <w:bCs/>
                <w:highlight w:val="none"/>
              </w:rPr>
            </w:pPr>
            <w:r>
              <w:rPr>
                <w:rFonts w:hint="eastAsia"/>
                <w:bCs/>
                <w:highlight w:val="none"/>
              </w:rPr>
              <w:t>公司成</w:t>
            </w:r>
            <w:r>
              <w:rPr>
                <w:rFonts w:hint="eastAsia"/>
                <w:bCs/>
                <w:spacing w:val="12"/>
                <w:highlight w:val="none"/>
              </w:rPr>
              <w:t>立时间</w:t>
            </w:r>
          </w:p>
        </w:tc>
        <w:tc>
          <w:tcPr>
            <w:tcW w:w="311" w:type="pct"/>
            <w:vAlign w:val="center"/>
          </w:tcPr>
          <w:p>
            <w:pPr>
              <w:pStyle w:val="696"/>
              <w:shd w:val="clear" w:color="auto" w:fill="FFFFFF"/>
              <w:ind w:left="107"/>
              <w:jc w:val="both"/>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77" w:type="pct"/>
            <w:vMerge w:val="continue"/>
            <w:vAlign w:val="center"/>
          </w:tcPr>
          <w:p>
            <w:pPr>
              <w:pStyle w:val="696"/>
              <w:shd w:val="clear" w:color="auto" w:fill="FFFFFF"/>
              <w:ind w:left="107"/>
              <w:jc w:val="both"/>
              <w:rPr>
                <w:bCs/>
                <w:highlight w:val="none"/>
              </w:rPr>
            </w:pPr>
          </w:p>
        </w:tc>
        <w:tc>
          <w:tcPr>
            <w:tcW w:w="1246" w:type="pct"/>
            <w:vAlign w:val="center"/>
          </w:tcPr>
          <w:p>
            <w:pPr>
              <w:pStyle w:val="696"/>
              <w:shd w:val="clear" w:color="auto" w:fill="FFFFFF"/>
              <w:ind w:left="2"/>
              <w:jc w:val="both"/>
              <w:rPr>
                <w:bCs/>
                <w:highlight w:val="none"/>
              </w:rPr>
            </w:pPr>
            <w:r>
              <w:rPr>
                <w:rFonts w:hint="eastAsia"/>
                <w:bCs/>
                <w:highlight w:val="none"/>
              </w:rPr>
              <w:t>核准经营范围</w:t>
            </w:r>
          </w:p>
        </w:tc>
        <w:tc>
          <w:tcPr>
            <w:tcW w:w="3175" w:type="pct"/>
            <w:gridSpan w:val="6"/>
            <w:vAlign w:val="center"/>
          </w:tcPr>
          <w:p>
            <w:pPr>
              <w:pStyle w:val="696"/>
              <w:shd w:val="clear" w:color="auto" w:fill="FFFFFF"/>
              <w:ind w:left="107"/>
              <w:jc w:val="both"/>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7" w:type="pct"/>
            <w:vMerge w:val="continue"/>
            <w:vAlign w:val="center"/>
          </w:tcPr>
          <w:p>
            <w:pPr>
              <w:pStyle w:val="696"/>
              <w:shd w:val="clear" w:color="auto" w:fill="FFFFFF"/>
              <w:ind w:left="107"/>
              <w:jc w:val="both"/>
              <w:rPr>
                <w:bCs/>
                <w:highlight w:val="none"/>
              </w:rPr>
            </w:pPr>
          </w:p>
        </w:tc>
        <w:tc>
          <w:tcPr>
            <w:tcW w:w="4422" w:type="pct"/>
            <w:gridSpan w:val="7"/>
            <w:vAlign w:val="center"/>
          </w:tcPr>
          <w:p>
            <w:pPr>
              <w:pStyle w:val="696"/>
              <w:shd w:val="clear" w:color="auto" w:fill="FFFFFF"/>
              <w:jc w:val="both"/>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7" w:type="pct"/>
            <w:vMerge w:val="restart"/>
            <w:vAlign w:val="center"/>
          </w:tcPr>
          <w:p>
            <w:pPr>
              <w:pStyle w:val="696"/>
              <w:shd w:val="clear" w:color="auto" w:fill="FFFFFF"/>
              <w:ind w:left="107"/>
              <w:jc w:val="both"/>
              <w:rPr>
                <w:bCs/>
                <w:highlight w:val="none"/>
              </w:rPr>
            </w:pPr>
            <w:r>
              <w:rPr>
                <w:rFonts w:hint="eastAsia"/>
                <w:bCs/>
                <w:highlight w:val="none"/>
              </w:rPr>
              <w:t>2．</w:t>
            </w:r>
          </w:p>
          <w:p>
            <w:pPr>
              <w:pStyle w:val="696"/>
              <w:shd w:val="clear" w:color="auto" w:fill="FFFFFF"/>
              <w:ind w:left="107"/>
              <w:jc w:val="both"/>
              <w:rPr>
                <w:bCs/>
                <w:spacing w:val="16"/>
                <w:highlight w:val="none"/>
              </w:rPr>
            </w:pPr>
            <w:r>
              <w:rPr>
                <w:rFonts w:hint="eastAsia"/>
                <w:bCs/>
                <w:highlight w:val="none"/>
              </w:rPr>
              <w:t>企</w:t>
            </w:r>
            <w:r>
              <w:rPr>
                <w:rFonts w:hint="eastAsia"/>
                <w:bCs/>
                <w:spacing w:val="12"/>
                <w:highlight w:val="none"/>
              </w:rPr>
              <w:t>业有关资质获证情况</w:t>
            </w:r>
          </w:p>
        </w:tc>
        <w:tc>
          <w:tcPr>
            <w:tcW w:w="1246" w:type="pct"/>
            <w:vMerge w:val="restart"/>
            <w:vAlign w:val="center"/>
          </w:tcPr>
          <w:p>
            <w:pPr>
              <w:pStyle w:val="696"/>
              <w:shd w:val="clear" w:color="auto" w:fill="FFFFFF"/>
              <w:spacing w:before="0" w:beforeAutospacing="0" w:after="0" w:afterAutospacing="0"/>
              <w:jc w:val="both"/>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173" w:type="pct"/>
            <w:gridSpan w:val="2"/>
            <w:vAlign w:val="center"/>
          </w:tcPr>
          <w:p>
            <w:pPr>
              <w:pStyle w:val="696"/>
              <w:shd w:val="clear" w:color="auto" w:fill="FFFFFF"/>
              <w:ind w:right="-78" w:rightChars="-37"/>
              <w:jc w:val="both"/>
              <w:rPr>
                <w:bCs/>
                <w:spacing w:val="16"/>
                <w:highlight w:val="none"/>
              </w:rPr>
            </w:pPr>
            <w:r>
              <w:rPr>
                <w:rFonts w:hint="eastAsia"/>
                <w:bCs/>
                <w:spacing w:val="16"/>
                <w:highlight w:val="none"/>
              </w:rPr>
              <w:t>产品名称</w:t>
            </w:r>
          </w:p>
        </w:tc>
        <w:tc>
          <w:tcPr>
            <w:tcW w:w="532" w:type="pct"/>
            <w:vAlign w:val="center"/>
          </w:tcPr>
          <w:p>
            <w:pPr>
              <w:pStyle w:val="696"/>
              <w:shd w:val="clear" w:color="auto" w:fill="FFFFFF"/>
              <w:spacing w:before="0" w:beforeAutospacing="0" w:after="0" w:afterAutospacing="0"/>
              <w:jc w:val="both"/>
              <w:rPr>
                <w:bCs/>
                <w:highlight w:val="none"/>
              </w:rPr>
            </w:pPr>
            <w:r>
              <w:rPr>
                <w:rFonts w:hint="eastAsia"/>
                <w:bCs/>
                <w:spacing w:val="16"/>
                <w:highlight w:val="none"/>
              </w:rPr>
              <w:t>发证机关</w:t>
            </w:r>
          </w:p>
        </w:tc>
        <w:tc>
          <w:tcPr>
            <w:tcW w:w="711" w:type="pct"/>
            <w:vAlign w:val="center"/>
          </w:tcPr>
          <w:p>
            <w:pPr>
              <w:pStyle w:val="696"/>
              <w:shd w:val="clear" w:color="auto" w:fill="FFFFFF"/>
              <w:jc w:val="both"/>
              <w:rPr>
                <w:bCs/>
                <w:highlight w:val="none"/>
              </w:rPr>
            </w:pPr>
            <w:r>
              <w:rPr>
                <w:rFonts w:hint="eastAsia"/>
                <w:bCs/>
                <w:spacing w:val="27"/>
                <w:highlight w:val="none"/>
              </w:rPr>
              <w:t>编号</w:t>
            </w:r>
          </w:p>
        </w:tc>
        <w:tc>
          <w:tcPr>
            <w:tcW w:w="447" w:type="pct"/>
            <w:vAlign w:val="center"/>
          </w:tcPr>
          <w:p>
            <w:pPr>
              <w:pStyle w:val="696"/>
              <w:shd w:val="clear" w:color="auto" w:fill="FFFFFF"/>
              <w:jc w:val="both"/>
              <w:rPr>
                <w:bCs/>
                <w:highlight w:val="none"/>
              </w:rPr>
            </w:pPr>
            <w:r>
              <w:rPr>
                <w:rFonts w:hint="eastAsia"/>
                <w:bCs/>
                <w:spacing w:val="16"/>
                <w:highlight w:val="none"/>
              </w:rPr>
              <w:t>发证时间</w:t>
            </w:r>
          </w:p>
        </w:tc>
        <w:tc>
          <w:tcPr>
            <w:tcW w:w="311" w:type="pct"/>
            <w:vAlign w:val="center"/>
          </w:tcPr>
          <w:p>
            <w:pPr>
              <w:pStyle w:val="696"/>
              <w:shd w:val="clear" w:color="auto" w:fill="FFFFFF"/>
              <w:spacing w:before="0" w:beforeAutospacing="0" w:after="0" w:afterAutospacing="0"/>
              <w:jc w:val="both"/>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7" w:type="pct"/>
            <w:vMerge w:val="continue"/>
            <w:vAlign w:val="center"/>
          </w:tcPr>
          <w:p>
            <w:pPr>
              <w:pStyle w:val="696"/>
              <w:shd w:val="clear" w:color="auto" w:fill="FFFFFF"/>
              <w:ind w:left="107"/>
              <w:jc w:val="both"/>
              <w:rPr>
                <w:bCs/>
                <w:highlight w:val="none"/>
              </w:rPr>
            </w:pPr>
          </w:p>
        </w:tc>
        <w:tc>
          <w:tcPr>
            <w:tcW w:w="1246" w:type="pct"/>
            <w:vMerge w:val="continue"/>
            <w:vAlign w:val="center"/>
          </w:tcPr>
          <w:p>
            <w:pPr>
              <w:pStyle w:val="696"/>
              <w:shd w:val="clear" w:color="auto" w:fill="FFFFFF"/>
              <w:jc w:val="both"/>
              <w:rPr>
                <w:bCs/>
                <w:highlight w:val="none"/>
              </w:rPr>
            </w:pPr>
          </w:p>
        </w:tc>
        <w:tc>
          <w:tcPr>
            <w:tcW w:w="595" w:type="pct"/>
            <w:vAlign w:val="center"/>
          </w:tcPr>
          <w:p>
            <w:pPr>
              <w:pStyle w:val="696"/>
              <w:shd w:val="clear" w:color="auto" w:fill="FFFFFF"/>
              <w:jc w:val="both"/>
              <w:rPr>
                <w:bCs/>
                <w:highlight w:val="none"/>
              </w:rPr>
            </w:pPr>
          </w:p>
        </w:tc>
        <w:tc>
          <w:tcPr>
            <w:tcW w:w="577" w:type="pct"/>
            <w:vAlign w:val="center"/>
          </w:tcPr>
          <w:p>
            <w:pPr>
              <w:pStyle w:val="696"/>
              <w:shd w:val="clear" w:color="auto" w:fill="FFFFFF"/>
              <w:jc w:val="both"/>
              <w:rPr>
                <w:bCs/>
                <w:highlight w:val="none"/>
              </w:rPr>
            </w:pPr>
          </w:p>
        </w:tc>
        <w:tc>
          <w:tcPr>
            <w:tcW w:w="1243" w:type="pct"/>
            <w:gridSpan w:val="2"/>
            <w:vAlign w:val="center"/>
          </w:tcPr>
          <w:p>
            <w:pPr>
              <w:pStyle w:val="696"/>
              <w:shd w:val="clear" w:color="auto" w:fill="FFFFFF"/>
              <w:jc w:val="both"/>
              <w:rPr>
                <w:bCs/>
                <w:highlight w:val="none"/>
              </w:rPr>
            </w:pPr>
          </w:p>
        </w:tc>
        <w:tc>
          <w:tcPr>
            <w:tcW w:w="758" w:type="pct"/>
            <w:gridSpan w:val="2"/>
            <w:vAlign w:val="center"/>
          </w:tcPr>
          <w:p>
            <w:pPr>
              <w:pStyle w:val="696"/>
              <w:shd w:val="clear" w:color="auto" w:fill="FFFFFF"/>
              <w:jc w:val="both"/>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77" w:type="pct"/>
            <w:vMerge w:val="continue"/>
            <w:vAlign w:val="center"/>
          </w:tcPr>
          <w:p>
            <w:pPr>
              <w:pStyle w:val="696"/>
              <w:shd w:val="clear" w:color="auto" w:fill="FFFFFF"/>
              <w:ind w:left="107"/>
              <w:jc w:val="both"/>
              <w:rPr>
                <w:bCs/>
                <w:spacing w:val="16"/>
                <w:highlight w:val="none"/>
              </w:rPr>
            </w:pPr>
          </w:p>
        </w:tc>
        <w:tc>
          <w:tcPr>
            <w:tcW w:w="1246" w:type="pct"/>
            <w:vAlign w:val="center"/>
          </w:tcPr>
          <w:p>
            <w:pPr>
              <w:pStyle w:val="696"/>
              <w:shd w:val="clear" w:color="auto" w:fill="FFFFFF"/>
              <w:spacing w:before="0" w:beforeAutospacing="0" w:after="0" w:afterAutospacing="0"/>
              <w:ind w:right="-107" w:rightChars="-51"/>
              <w:jc w:val="both"/>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3175" w:type="pct"/>
            <w:gridSpan w:val="6"/>
            <w:vAlign w:val="center"/>
          </w:tcPr>
          <w:p>
            <w:pPr>
              <w:pStyle w:val="696"/>
              <w:shd w:val="clear" w:color="auto" w:fill="FFFFFF"/>
              <w:jc w:val="both"/>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77" w:type="pct"/>
            <w:vMerge w:val="continue"/>
            <w:vAlign w:val="center"/>
          </w:tcPr>
          <w:p>
            <w:pPr>
              <w:pStyle w:val="696"/>
              <w:shd w:val="clear" w:color="auto" w:fill="FFFFFF"/>
              <w:ind w:left="107"/>
              <w:jc w:val="both"/>
              <w:rPr>
                <w:bCs/>
                <w:spacing w:val="27"/>
                <w:highlight w:val="none"/>
              </w:rPr>
            </w:pPr>
          </w:p>
        </w:tc>
        <w:tc>
          <w:tcPr>
            <w:tcW w:w="1246" w:type="pct"/>
            <w:vAlign w:val="center"/>
          </w:tcPr>
          <w:p>
            <w:pPr>
              <w:pStyle w:val="696"/>
              <w:shd w:val="clear" w:color="auto" w:fill="FFFFFF"/>
              <w:jc w:val="both"/>
              <w:rPr>
                <w:bCs/>
                <w:spacing w:val="16"/>
                <w:highlight w:val="none"/>
              </w:rPr>
            </w:pPr>
            <w:r>
              <w:rPr>
                <w:rFonts w:hint="eastAsia"/>
                <w:bCs/>
                <w:spacing w:val="10"/>
                <w:highlight w:val="none"/>
              </w:rPr>
              <w:t>企业获得专利情况</w:t>
            </w:r>
          </w:p>
        </w:tc>
        <w:tc>
          <w:tcPr>
            <w:tcW w:w="3175" w:type="pct"/>
            <w:gridSpan w:val="6"/>
            <w:vAlign w:val="center"/>
          </w:tcPr>
          <w:p>
            <w:pPr>
              <w:pStyle w:val="696"/>
              <w:shd w:val="clear" w:color="auto" w:fill="FFFFFF"/>
              <w:jc w:val="both"/>
              <w:rPr>
                <w:bCs/>
                <w:spacing w:val="16"/>
                <w:highlight w:val="none"/>
              </w:rPr>
            </w:pPr>
          </w:p>
        </w:tc>
      </w:tr>
    </w:tbl>
    <w:p>
      <w:pPr>
        <w:spacing w:line="240" w:lineRule="auto"/>
        <w:rPr>
          <w:rFonts w:ascii="宋体" w:hAnsi="宋体" w:cs="宋体"/>
          <w:sz w:val="24"/>
          <w:highlight w:val="none"/>
        </w:rPr>
      </w:pPr>
    </w:p>
    <w:p>
      <w:pPr>
        <w:spacing w:line="240" w:lineRule="auto"/>
        <w:rPr>
          <w:rFonts w:ascii="宋体" w:hAnsi="宋体" w:cs="宋体"/>
          <w:b/>
          <w:bCs/>
          <w:sz w:val="24"/>
          <w:highlight w:val="none"/>
        </w:rPr>
      </w:pPr>
      <w:r>
        <w:rPr>
          <w:rFonts w:hint="eastAsia" w:ascii="宋体" w:hAnsi="宋体" w:cs="宋体"/>
          <w:b/>
          <w:bCs/>
          <w:sz w:val="24"/>
          <w:highlight w:val="none"/>
        </w:rPr>
        <w:t>要求：</w:t>
      </w:r>
    </w:p>
    <w:p>
      <w:pPr>
        <w:spacing w:line="240" w:lineRule="auto"/>
        <w:rPr>
          <w:rFonts w:ascii="宋体" w:hAnsi="宋体" w:cs="宋体"/>
          <w:sz w:val="24"/>
          <w:highlight w:val="none"/>
        </w:rPr>
      </w:pPr>
      <w:r>
        <w:rPr>
          <w:rFonts w:hint="eastAsia" w:ascii="宋体" w:hAnsi="宋体" w:cs="宋体"/>
          <w:sz w:val="24"/>
          <w:highlight w:val="none"/>
        </w:rPr>
        <w:t>1.姓名栏必须将所有股东都统计在内，若非股份公司此行（第三行）无需填写；</w:t>
      </w:r>
    </w:p>
    <w:p>
      <w:pPr>
        <w:spacing w:line="240" w:lineRule="auto"/>
        <w:rPr>
          <w:rFonts w:ascii="宋体" w:hAnsi="宋体" w:cs="宋体"/>
          <w:sz w:val="24"/>
          <w:highlight w:val="none"/>
        </w:rPr>
      </w:pPr>
    </w:p>
    <w:p>
      <w:pPr>
        <w:spacing w:line="24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pPr>
        <w:spacing w:line="24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pPr>
        <w:spacing w:line="24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p>
    <w:p>
      <w:pPr>
        <w:spacing w:before="312" w:beforeLines="100" w:after="156" w:afterLines="50"/>
        <w:rPr>
          <w:highlight w:val="none"/>
        </w:rPr>
      </w:pPr>
      <w:r>
        <w:rPr>
          <w:rFonts w:hint="eastAsia" w:ascii="宋体" w:hAnsi="宋体" w:cs="宋体"/>
          <w:b/>
          <w:bCs/>
          <w:sz w:val="24"/>
          <w:highlight w:val="none"/>
          <w:lang w:val="zh-CN"/>
        </w:rPr>
        <w:br w:type="page"/>
      </w:r>
      <w:r>
        <w:rPr>
          <w:rFonts w:hint="eastAsia" w:ascii="宋体" w:hAnsi="宋体" w:cs="宋体"/>
          <w:bCs/>
          <w:sz w:val="28"/>
          <w:highlight w:val="none"/>
        </w:rPr>
        <w:t xml:space="preserve">附件  </w:t>
      </w:r>
      <w:r>
        <w:rPr>
          <w:rFonts w:hint="eastAsia"/>
          <w:highlight w:val="none"/>
        </w:rPr>
        <w:t xml:space="preserve">          </w:t>
      </w:r>
    </w:p>
    <w:p>
      <w:pPr>
        <w:spacing w:before="156" w:beforeLines="50" w:after="156" w:afterLines="50"/>
        <w:ind w:right="-10"/>
        <w:jc w:val="center"/>
        <w:rPr>
          <w:rFonts w:ascii="黑体" w:eastAsia="黑体"/>
          <w:b/>
          <w:bCs/>
          <w:sz w:val="36"/>
          <w:szCs w:val="36"/>
          <w:highlight w:val="none"/>
        </w:rPr>
      </w:pPr>
      <w:r>
        <w:rPr>
          <w:rFonts w:hint="eastAsia" w:ascii="黑体" w:eastAsia="黑体"/>
          <w:b/>
          <w:bCs/>
          <w:sz w:val="36"/>
          <w:szCs w:val="36"/>
          <w:highlight w:val="none"/>
        </w:rPr>
        <w:t>拟派本项目人员汇总表</w:t>
      </w:r>
    </w:p>
    <w:p>
      <w:pPr>
        <w:spacing w:before="156" w:beforeLines="50" w:after="156" w:afterLines="50"/>
        <w:ind w:right="-10"/>
        <w:jc w:val="center"/>
        <w:rPr>
          <w:rFonts w:ascii="黑体" w:eastAsia="黑体"/>
          <w:b/>
          <w:bCs/>
          <w:sz w:val="36"/>
          <w:szCs w:val="36"/>
          <w:highlight w:val="none"/>
        </w:rPr>
      </w:pPr>
      <w:r>
        <w:rPr>
          <w:rFonts w:hint="eastAsia" w:ascii="黑体" w:eastAsia="黑体"/>
          <w:b/>
          <w:bCs/>
          <w:sz w:val="36"/>
          <w:szCs w:val="36"/>
          <w:highlight w:val="none"/>
        </w:rPr>
        <w:t>（1）项目负责人情况表</w:t>
      </w:r>
    </w:p>
    <w:p>
      <w:pPr>
        <w:rPr>
          <w:b/>
          <w:bCs/>
          <w:sz w:val="32"/>
          <w:highlight w:val="none"/>
        </w:rPr>
      </w:pPr>
      <w:r>
        <w:rPr>
          <w:rFonts w:hint="eastAsia"/>
          <w:highlight w:val="none"/>
        </w:rPr>
        <w:t>项目编号：</w:t>
      </w:r>
    </w:p>
    <w:tbl>
      <w:tblPr>
        <w:tblStyle w:val="76"/>
        <w:tblW w:w="1006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206" w:type="dxa"/>
            <w:vAlign w:val="center"/>
          </w:tcPr>
          <w:p>
            <w:pPr>
              <w:pStyle w:val="687"/>
              <w:autoSpaceDE w:val="0"/>
              <w:autoSpaceDN w:val="0"/>
              <w:spacing w:line="240" w:lineRule="auto"/>
              <w:rPr>
                <w:rFonts w:ascii="Times New Roman"/>
                <w:highlight w:val="none"/>
                <w:lang w:val="zh-CN"/>
              </w:rPr>
            </w:pPr>
            <w:r>
              <w:rPr>
                <w:rFonts w:hint="eastAsia" w:ascii="Times New Roman" w:eastAsia="宋体"/>
                <w:b/>
                <w:bCs/>
                <w:sz w:val="21"/>
                <w:highlight w:val="none"/>
                <w:lang w:val="zh-CN"/>
              </w:rPr>
              <w:t>姓名</w:t>
            </w:r>
          </w:p>
        </w:tc>
        <w:tc>
          <w:tcPr>
            <w:tcW w:w="2740" w:type="dxa"/>
            <w:vAlign w:val="center"/>
          </w:tcPr>
          <w:p>
            <w:pPr>
              <w:autoSpaceDE w:val="0"/>
              <w:autoSpaceDN w:val="0"/>
              <w:adjustRightInd w:val="0"/>
              <w:jc w:val="center"/>
              <w:rPr>
                <w:highlight w:val="none"/>
                <w:lang w:val="zh-CN"/>
              </w:rPr>
            </w:pPr>
          </w:p>
        </w:tc>
        <w:tc>
          <w:tcPr>
            <w:tcW w:w="5114" w:type="dxa"/>
            <w:vAlign w:val="center"/>
          </w:tcPr>
          <w:p>
            <w:pPr>
              <w:pStyle w:val="687"/>
              <w:autoSpaceDE w:val="0"/>
              <w:autoSpaceDN w:val="0"/>
              <w:spacing w:line="240" w:lineRule="auto"/>
              <w:rPr>
                <w:rFonts w:ascii="Times New Roman"/>
                <w:highlight w:val="none"/>
                <w:lang w:val="zh-CN"/>
              </w:rPr>
            </w:pPr>
            <w:r>
              <w:rPr>
                <w:rFonts w:hint="eastAsia" w:ascii="Times New Roman" w:eastAsia="宋体"/>
                <w:b/>
                <w:bCs/>
                <w:sz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性别</w:t>
            </w:r>
          </w:p>
        </w:tc>
        <w:tc>
          <w:tcPr>
            <w:tcW w:w="2740" w:type="dxa"/>
            <w:vAlign w:val="center"/>
          </w:tcPr>
          <w:p>
            <w:pPr>
              <w:autoSpaceDE w:val="0"/>
              <w:autoSpaceDN w:val="0"/>
              <w:adjustRightInd w:val="0"/>
              <w:jc w:val="center"/>
              <w:rPr>
                <w:highlight w:val="none"/>
                <w:lang w:val="zh-CN"/>
              </w:rPr>
            </w:pPr>
          </w:p>
        </w:tc>
        <w:tc>
          <w:tcPr>
            <w:tcW w:w="5114" w:type="dxa"/>
            <w:vMerge w:val="restart"/>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年龄</w:t>
            </w:r>
          </w:p>
        </w:tc>
        <w:tc>
          <w:tcPr>
            <w:tcW w:w="2740" w:type="dxa"/>
            <w:vAlign w:val="center"/>
          </w:tcPr>
          <w:p>
            <w:pPr>
              <w:autoSpaceDE w:val="0"/>
              <w:autoSpaceDN w:val="0"/>
              <w:adjustRightInd w:val="0"/>
              <w:jc w:val="center"/>
              <w:rPr>
                <w:highlight w:val="none"/>
                <w:lang w:val="zh-CN"/>
              </w:rPr>
            </w:pPr>
          </w:p>
        </w:tc>
        <w:tc>
          <w:tcPr>
            <w:tcW w:w="5114" w:type="dxa"/>
            <w:vMerge w:val="continue"/>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职称</w:t>
            </w:r>
          </w:p>
        </w:tc>
        <w:tc>
          <w:tcPr>
            <w:tcW w:w="2740" w:type="dxa"/>
            <w:vAlign w:val="center"/>
          </w:tcPr>
          <w:p>
            <w:pPr>
              <w:autoSpaceDE w:val="0"/>
              <w:autoSpaceDN w:val="0"/>
              <w:adjustRightInd w:val="0"/>
              <w:jc w:val="center"/>
              <w:rPr>
                <w:highlight w:val="none"/>
                <w:lang w:val="zh-CN"/>
              </w:rPr>
            </w:pPr>
          </w:p>
        </w:tc>
        <w:tc>
          <w:tcPr>
            <w:tcW w:w="5114" w:type="dxa"/>
            <w:vMerge w:val="continue"/>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资格</w:t>
            </w:r>
          </w:p>
        </w:tc>
        <w:tc>
          <w:tcPr>
            <w:tcW w:w="2740" w:type="dxa"/>
            <w:vAlign w:val="center"/>
          </w:tcPr>
          <w:p>
            <w:pPr>
              <w:autoSpaceDE w:val="0"/>
              <w:autoSpaceDN w:val="0"/>
              <w:adjustRightInd w:val="0"/>
              <w:jc w:val="center"/>
              <w:rPr>
                <w:highlight w:val="none"/>
                <w:lang w:val="zh-CN"/>
              </w:rPr>
            </w:pPr>
          </w:p>
        </w:tc>
        <w:tc>
          <w:tcPr>
            <w:tcW w:w="5114" w:type="dxa"/>
            <w:vMerge w:val="continue"/>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专业</w:t>
            </w:r>
          </w:p>
        </w:tc>
        <w:tc>
          <w:tcPr>
            <w:tcW w:w="2740" w:type="dxa"/>
            <w:vAlign w:val="center"/>
          </w:tcPr>
          <w:p>
            <w:pPr>
              <w:autoSpaceDE w:val="0"/>
              <w:autoSpaceDN w:val="0"/>
              <w:adjustRightInd w:val="0"/>
              <w:jc w:val="center"/>
              <w:rPr>
                <w:highlight w:val="none"/>
                <w:lang w:val="zh-CN"/>
              </w:rPr>
            </w:pPr>
          </w:p>
        </w:tc>
        <w:tc>
          <w:tcPr>
            <w:tcW w:w="5114" w:type="dxa"/>
            <w:vMerge w:val="continue"/>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联系电话</w:t>
            </w:r>
          </w:p>
        </w:tc>
        <w:tc>
          <w:tcPr>
            <w:tcW w:w="2740" w:type="dxa"/>
            <w:vAlign w:val="center"/>
          </w:tcPr>
          <w:p>
            <w:pPr>
              <w:autoSpaceDE w:val="0"/>
              <w:autoSpaceDN w:val="0"/>
              <w:adjustRightInd w:val="0"/>
              <w:jc w:val="center"/>
              <w:rPr>
                <w:highlight w:val="none"/>
                <w:lang w:val="zh-CN"/>
              </w:rPr>
            </w:pPr>
          </w:p>
        </w:tc>
        <w:tc>
          <w:tcPr>
            <w:tcW w:w="5114" w:type="dxa"/>
            <w:vMerge w:val="continue"/>
            <w:vAlign w:val="center"/>
          </w:tcPr>
          <w:p>
            <w:pPr>
              <w:autoSpaceDE w:val="0"/>
              <w:autoSpaceDN w:val="0"/>
              <w:adjustRightInd w:val="0"/>
              <w:jc w:val="center"/>
              <w:rPr>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206" w:type="dxa"/>
            <w:vAlign w:val="center"/>
          </w:tcPr>
          <w:p>
            <w:pPr>
              <w:autoSpaceDE w:val="0"/>
              <w:autoSpaceDN w:val="0"/>
              <w:adjustRightInd w:val="0"/>
              <w:jc w:val="center"/>
              <w:rPr>
                <w:b/>
                <w:bCs/>
                <w:highlight w:val="none"/>
                <w:lang w:val="zh-CN"/>
              </w:rPr>
            </w:pPr>
            <w:r>
              <w:rPr>
                <w:rFonts w:hint="eastAsia"/>
                <w:b/>
                <w:bCs/>
                <w:highlight w:val="none"/>
                <w:lang w:val="zh-CN"/>
              </w:rPr>
              <w:t>拟在本项目中担任主要工作</w:t>
            </w:r>
          </w:p>
        </w:tc>
        <w:tc>
          <w:tcPr>
            <w:tcW w:w="7854" w:type="dxa"/>
            <w:gridSpan w:val="2"/>
            <w:vAlign w:val="center"/>
          </w:tcPr>
          <w:p>
            <w:pPr>
              <w:autoSpaceDE w:val="0"/>
              <w:autoSpaceDN w:val="0"/>
              <w:adjustRightInd w:val="0"/>
              <w:jc w:val="center"/>
              <w:rPr>
                <w:highlight w:val="none"/>
                <w:lang w:val="zh-CN"/>
              </w:rPr>
            </w:pPr>
          </w:p>
        </w:tc>
      </w:tr>
    </w:tbl>
    <w:p>
      <w:pPr>
        <w:spacing w:before="156" w:beforeLines="50" w:after="156" w:afterLines="50"/>
        <w:ind w:right="-21" w:rightChars="-10"/>
        <w:rPr>
          <w:rFonts w:ascii="宋体" w:hAnsi="宋体"/>
          <w:szCs w:val="21"/>
          <w:highlight w:val="none"/>
        </w:rPr>
      </w:pPr>
      <w:r>
        <w:rPr>
          <w:rFonts w:hint="eastAsia" w:ascii="宋体" w:hAnsi="宋体"/>
          <w:szCs w:val="21"/>
          <w:highlight w:val="none"/>
        </w:rPr>
        <w:t>投标人全称（公章）：</w:t>
      </w:r>
    </w:p>
    <w:p>
      <w:pPr>
        <w:spacing w:before="156" w:beforeLines="50" w:after="156" w:afterLines="50"/>
        <w:ind w:right="-10"/>
        <w:rPr>
          <w:rFonts w:ascii="宋体" w:hAnsi="宋体"/>
          <w:szCs w:val="21"/>
          <w:highlight w:val="none"/>
        </w:rPr>
      </w:pPr>
      <w:r>
        <w:rPr>
          <w:rFonts w:hint="eastAsia" w:ascii="宋体" w:hAnsi="宋体"/>
          <w:szCs w:val="21"/>
          <w:highlight w:val="none"/>
        </w:rPr>
        <w:t>法定代表人或授权委托代理人（签字或盖章）：</w:t>
      </w:r>
    </w:p>
    <w:p>
      <w:pPr>
        <w:spacing w:before="156" w:beforeLines="50" w:after="156" w:afterLines="50"/>
        <w:ind w:right="-10"/>
        <w:rPr>
          <w:rFonts w:ascii="宋体" w:hAnsi="宋体"/>
          <w:szCs w:val="21"/>
          <w:highlight w:val="none"/>
        </w:rPr>
      </w:pPr>
      <w:r>
        <w:rPr>
          <w:rFonts w:hint="eastAsia" w:ascii="宋体" w:hAnsi="宋体"/>
          <w:szCs w:val="21"/>
          <w:highlight w:val="none"/>
        </w:rPr>
        <w:t>日期：        年    月    日</w:t>
      </w:r>
    </w:p>
    <w:p>
      <w:pPr>
        <w:pStyle w:val="72"/>
        <w:rPr>
          <w:highlight w:val="none"/>
        </w:rPr>
      </w:pPr>
    </w:p>
    <w:p>
      <w:pPr>
        <w:spacing w:before="312" w:beforeLines="100" w:after="156" w:afterLines="50"/>
        <w:jc w:val="center"/>
        <w:rPr>
          <w:rFonts w:ascii="黑体" w:eastAsia="黑体"/>
          <w:b/>
          <w:bCs/>
          <w:sz w:val="36"/>
          <w:szCs w:val="36"/>
          <w:highlight w:val="none"/>
        </w:rPr>
      </w:pPr>
      <w:r>
        <w:rPr>
          <w:rFonts w:hint="eastAsia" w:ascii="黑体" w:eastAsia="黑体"/>
          <w:b/>
          <w:bCs/>
          <w:sz w:val="36"/>
          <w:szCs w:val="36"/>
          <w:highlight w:val="none"/>
        </w:rPr>
        <w:t>（2）项目服务人员汇总表</w:t>
      </w:r>
    </w:p>
    <w:p>
      <w:pPr>
        <w:rPr>
          <w:bCs/>
          <w:highlight w:val="none"/>
        </w:rPr>
      </w:pPr>
      <w:r>
        <w:rPr>
          <w:rFonts w:hint="eastAsia"/>
          <w:highlight w:val="none"/>
        </w:rPr>
        <w:t xml:space="preserve">招标编号：                                                                  </w:t>
      </w:r>
    </w:p>
    <w:tbl>
      <w:tblPr>
        <w:tblStyle w:val="76"/>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56"/>
        <w:gridCol w:w="759"/>
        <w:gridCol w:w="759"/>
        <w:gridCol w:w="759"/>
        <w:gridCol w:w="1138"/>
        <w:gridCol w:w="153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3" w:type="dxa"/>
            <w:vAlign w:val="center"/>
          </w:tcPr>
          <w:p>
            <w:pPr>
              <w:jc w:val="center"/>
              <w:rPr>
                <w:b/>
                <w:bCs/>
                <w:highlight w:val="none"/>
              </w:rPr>
            </w:pPr>
            <w:r>
              <w:rPr>
                <w:rFonts w:hint="eastAsia"/>
                <w:b/>
                <w:bCs/>
                <w:highlight w:val="none"/>
              </w:rPr>
              <w:t>姓名</w:t>
            </w:r>
          </w:p>
        </w:tc>
        <w:tc>
          <w:tcPr>
            <w:tcW w:w="2656" w:type="dxa"/>
            <w:vAlign w:val="center"/>
          </w:tcPr>
          <w:p>
            <w:pPr>
              <w:jc w:val="center"/>
              <w:rPr>
                <w:b/>
                <w:bCs/>
                <w:highlight w:val="none"/>
              </w:rPr>
            </w:pPr>
            <w:r>
              <w:rPr>
                <w:rFonts w:hint="eastAsia"/>
                <w:b/>
                <w:bCs/>
                <w:highlight w:val="none"/>
              </w:rPr>
              <w:t>本项目主要工作</w:t>
            </w:r>
          </w:p>
        </w:tc>
        <w:tc>
          <w:tcPr>
            <w:tcW w:w="759" w:type="dxa"/>
            <w:vAlign w:val="center"/>
          </w:tcPr>
          <w:p>
            <w:pPr>
              <w:jc w:val="center"/>
              <w:rPr>
                <w:b/>
                <w:bCs/>
                <w:highlight w:val="none"/>
              </w:rPr>
            </w:pPr>
            <w:r>
              <w:rPr>
                <w:rFonts w:hint="eastAsia"/>
                <w:b/>
                <w:bCs/>
                <w:highlight w:val="none"/>
              </w:rPr>
              <w:t>年龄</w:t>
            </w:r>
          </w:p>
        </w:tc>
        <w:tc>
          <w:tcPr>
            <w:tcW w:w="759" w:type="dxa"/>
            <w:vAlign w:val="center"/>
          </w:tcPr>
          <w:p>
            <w:pPr>
              <w:jc w:val="center"/>
              <w:rPr>
                <w:b/>
                <w:bCs/>
                <w:highlight w:val="none"/>
              </w:rPr>
            </w:pPr>
            <w:r>
              <w:rPr>
                <w:rFonts w:hint="eastAsia"/>
                <w:b/>
                <w:bCs/>
                <w:highlight w:val="none"/>
              </w:rPr>
              <w:t>性别</w:t>
            </w:r>
          </w:p>
        </w:tc>
        <w:tc>
          <w:tcPr>
            <w:tcW w:w="759" w:type="dxa"/>
            <w:vAlign w:val="center"/>
          </w:tcPr>
          <w:p>
            <w:pPr>
              <w:jc w:val="center"/>
              <w:rPr>
                <w:b/>
                <w:bCs/>
                <w:highlight w:val="none"/>
              </w:rPr>
            </w:pPr>
            <w:r>
              <w:rPr>
                <w:rFonts w:hint="eastAsia"/>
                <w:b/>
                <w:bCs/>
                <w:highlight w:val="none"/>
              </w:rPr>
              <w:t>专业</w:t>
            </w:r>
          </w:p>
        </w:tc>
        <w:tc>
          <w:tcPr>
            <w:tcW w:w="1138" w:type="dxa"/>
            <w:vAlign w:val="center"/>
          </w:tcPr>
          <w:p>
            <w:pPr>
              <w:jc w:val="center"/>
              <w:rPr>
                <w:b/>
                <w:bCs/>
                <w:highlight w:val="none"/>
              </w:rPr>
            </w:pPr>
            <w:r>
              <w:rPr>
                <w:rFonts w:hint="eastAsia"/>
                <w:b/>
                <w:bCs/>
                <w:highlight w:val="none"/>
              </w:rPr>
              <w:t>专业</w:t>
            </w:r>
          </w:p>
          <w:p>
            <w:pPr>
              <w:jc w:val="center"/>
              <w:rPr>
                <w:b/>
                <w:bCs/>
                <w:highlight w:val="none"/>
              </w:rPr>
            </w:pPr>
            <w:r>
              <w:rPr>
                <w:rFonts w:hint="eastAsia"/>
                <w:b/>
                <w:bCs/>
                <w:highlight w:val="none"/>
              </w:rPr>
              <w:t>年限</w:t>
            </w:r>
          </w:p>
        </w:tc>
        <w:tc>
          <w:tcPr>
            <w:tcW w:w="1537" w:type="dxa"/>
            <w:vAlign w:val="center"/>
          </w:tcPr>
          <w:p>
            <w:pPr>
              <w:jc w:val="center"/>
              <w:rPr>
                <w:b/>
                <w:bCs/>
                <w:highlight w:val="none"/>
              </w:rPr>
            </w:pPr>
            <w:r>
              <w:rPr>
                <w:rFonts w:hint="eastAsia"/>
                <w:b/>
                <w:bCs/>
                <w:highlight w:val="none"/>
              </w:rPr>
              <w:t>职务</w:t>
            </w:r>
          </w:p>
          <w:p>
            <w:pPr>
              <w:jc w:val="center"/>
              <w:rPr>
                <w:b/>
                <w:bCs/>
                <w:highlight w:val="none"/>
              </w:rPr>
            </w:pPr>
            <w:r>
              <w:rPr>
                <w:rFonts w:hint="eastAsia"/>
                <w:b/>
                <w:bCs/>
                <w:highlight w:val="none"/>
              </w:rPr>
              <w:t>和职称/认证</w:t>
            </w:r>
          </w:p>
        </w:tc>
        <w:tc>
          <w:tcPr>
            <w:tcW w:w="1499" w:type="dxa"/>
            <w:vAlign w:val="center"/>
          </w:tcPr>
          <w:p>
            <w:pPr>
              <w:jc w:val="center"/>
              <w:rPr>
                <w:b/>
                <w:bCs/>
                <w:highlight w:val="none"/>
              </w:rPr>
            </w:pPr>
            <w:r>
              <w:rPr>
                <w:rFonts w:hint="eastAsia"/>
                <w:b/>
                <w:bCs/>
                <w:highlight w:val="none"/>
              </w:rPr>
              <w:t>到现场服务</w:t>
            </w:r>
          </w:p>
          <w:p>
            <w:pPr>
              <w:jc w:val="center"/>
              <w:rPr>
                <w:b/>
                <w:bCs/>
                <w:highlight w:val="none"/>
              </w:rPr>
            </w:pPr>
            <w:r>
              <w:rPr>
                <w:rFonts w:hint="eastAsia"/>
                <w:b/>
                <w:bCs/>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ind w:left="5250"/>
              <w:rPr>
                <w:spacing w:val="12"/>
                <w:sz w:val="24"/>
                <w:szCs w:val="20"/>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ind w:left="5250"/>
              <w:rPr>
                <w:spacing w:val="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3" w:type="dxa"/>
            <w:vAlign w:val="center"/>
          </w:tcPr>
          <w:p>
            <w:pPr>
              <w:rPr>
                <w:sz w:val="24"/>
                <w:highlight w:val="none"/>
              </w:rPr>
            </w:pPr>
          </w:p>
        </w:tc>
        <w:tc>
          <w:tcPr>
            <w:tcW w:w="2656"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759" w:type="dxa"/>
            <w:vAlign w:val="center"/>
          </w:tcPr>
          <w:p>
            <w:pPr>
              <w:rPr>
                <w:sz w:val="24"/>
                <w:highlight w:val="none"/>
              </w:rPr>
            </w:pPr>
          </w:p>
        </w:tc>
        <w:tc>
          <w:tcPr>
            <w:tcW w:w="1138" w:type="dxa"/>
            <w:vAlign w:val="center"/>
          </w:tcPr>
          <w:p>
            <w:pPr>
              <w:rPr>
                <w:sz w:val="24"/>
                <w:highlight w:val="none"/>
              </w:rPr>
            </w:pPr>
          </w:p>
        </w:tc>
        <w:tc>
          <w:tcPr>
            <w:tcW w:w="1537" w:type="dxa"/>
            <w:vAlign w:val="center"/>
          </w:tcPr>
          <w:p>
            <w:pPr>
              <w:rPr>
                <w:sz w:val="24"/>
                <w:highlight w:val="none"/>
              </w:rPr>
            </w:pPr>
          </w:p>
        </w:tc>
        <w:tc>
          <w:tcPr>
            <w:tcW w:w="1499" w:type="dxa"/>
            <w:vAlign w:val="center"/>
          </w:tcPr>
          <w:p>
            <w:pPr>
              <w:rPr>
                <w:sz w:val="24"/>
                <w:highlight w:val="none"/>
              </w:rPr>
            </w:pPr>
          </w:p>
        </w:tc>
      </w:tr>
    </w:tbl>
    <w:p>
      <w:pPr>
        <w:spacing w:line="360" w:lineRule="exact"/>
        <w:rPr>
          <w:rFonts w:ascii="宋体" w:hAnsi="宋体" w:cs="宋体"/>
          <w:highlight w:val="none"/>
        </w:rPr>
      </w:pPr>
      <w:r>
        <w:rPr>
          <w:rFonts w:hint="eastAsia" w:ascii="宋体" w:hAnsi="宋体" w:cs="宋体"/>
          <w:highlight w:val="none"/>
        </w:rPr>
        <w:t>附注：1. 列入本表人员如要更换，需经采购人同意，擅自更换或不到位属违约行为。2.本表人员须提供社保证明和身份证复印件。</w:t>
      </w:r>
    </w:p>
    <w:p>
      <w:pPr>
        <w:spacing w:before="312" w:beforeLines="100"/>
        <w:ind w:right="-21" w:rightChars="-10"/>
        <w:rPr>
          <w:rFonts w:ascii="宋体" w:hAnsi="宋体"/>
          <w:sz w:val="24"/>
          <w:highlight w:val="none"/>
        </w:rPr>
      </w:pPr>
      <w:r>
        <w:rPr>
          <w:rFonts w:hint="eastAsia" w:ascii="宋体" w:hAnsi="宋体"/>
          <w:sz w:val="24"/>
          <w:highlight w:val="none"/>
        </w:rPr>
        <w:t>投标人全称（公章）：</w:t>
      </w:r>
    </w:p>
    <w:p>
      <w:pPr>
        <w:spacing w:before="156" w:beforeLines="50"/>
        <w:ind w:right="-10"/>
        <w:rPr>
          <w:rFonts w:ascii="宋体" w:hAnsi="宋体"/>
          <w:sz w:val="24"/>
          <w:highlight w:val="none"/>
        </w:rPr>
      </w:pPr>
      <w:r>
        <w:rPr>
          <w:rFonts w:hint="eastAsia" w:ascii="宋体" w:hAnsi="宋体"/>
          <w:sz w:val="24"/>
          <w:highlight w:val="none"/>
        </w:rPr>
        <w:t>法定代表人或授权委托代理人（签字或盖章）：</w:t>
      </w:r>
    </w:p>
    <w:p>
      <w:pPr>
        <w:jc w:val="left"/>
        <w:rPr>
          <w:rFonts w:ascii="宋体" w:hAnsi="宋体"/>
          <w:sz w:val="24"/>
          <w:highlight w:val="none"/>
        </w:rPr>
        <w:sectPr>
          <w:footerReference r:id="rId6" w:type="first"/>
          <w:footerReference r:id="rId5" w:type="default"/>
          <w:pgSz w:w="11906" w:h="16838"/>
          <w:pgMar w:top="1247" w:right="1417" w:bottom="1474" w:left="1417" w:header="851" w:footer="896" w:gutter="0"/>
          <w:cols w:space="0" w:num="1"/>
          <w:titlePg/>
          <w:docGrid w:type="lines" w:linePitch="312" w:charSpace="0"/>
        </w:sectPr>
      </w:pPr>
      <w:r>
        <w:rPr>
          <w:rFonts w:hint="eastAsia" w:ascii="宋体" w:hAnsi="宋体"/>
          <w:sz w:val="24"/>
          <w:highlight w:val="none"/>
        </w:rPr>
        <w:t>日期：           年    月    日</w:t>
      </w:r>
    </w:p>
    <w:p>
      <w:pPr>
        <w:widowControl/>
        <w:spacing w:line="240" w:lineRule="auto"/>
        <w:jc w:val="left"/>
        <w:rPr>
          <w:rFonts w:ascii="宋体" w:hAnsi="宋体" w:cs="宋体"/>
          <w:b/>
          <w:bCs/>
          <w:sz w:val="24"/>
          <w:highlight w:val="none"/>
          <w:lang w:val="zh-CN"/>
        </w:rPr>
      </w:pPr>
      <w:r>
        <w:rPr>
          <w:rFonts w:hint="eastAsia" w:ascii="宋体" w:hAnsi="宋体" w:cs="宋体"/>
          <w:b/>
          <w:bCs/>
          <w:sz w:val="24"/>
          <w:highlight w:val="none"/>
          <w:lang w:val="zh-CN"/>
        </w:rPr>
        <w:t>附件</w:t>
      </w:r>
      <w:r>
        <w:rPr>
          <w:rFonts w:hint="eastAsia" w:ascii="宋体" w:hAnsi="宋体" w:cs="宋体"/>
          <w:b/>
          <w:bCs/>
          <w:sz w:val="24"/>
          <w:highlight w:val="none"/>
        </w:rPr>
        <w:t xml:space="preserve"> </w:t>
      </w:r>
    </w:p>
    <w:p>
      <w:pPr>
        <w:spacing w:line="240" w:lineRule="auto"/>
        <w:jc w:val="center"/>
        <w:rPr>
          <w:rFonts w:ascii="宋体" w:hAnsi="宋体" w:cs="宋体"/>
          <w:b/>
          <w:bCs/>
          <w:sz w:val="24"/>
          <w:highlight w:val="none"/>
          <w:lang w:val="zh-CN"/>
        </w:rPr>
      </w:pPr>
      <w:r>
        <w:rPr>
          <w:rFonts w:hint="eastAsia" w:ascii="宋体" w:hAnsi="宋体" w:cs="宋体"/>
          <w:b/>
          <w:bCs/>
          <w:sz w:val="24"/>
          <w:highlight w:val="none"/>
          <w:lang w:val="zh-CN"/>
        </w:rPr>
        <w:t>投标人类似项目一览表</w:t>
      </w:r>
    </w:p>
    <w:p>
      <w:pPr>
        <w:spacing w:line="240" w:lineRule="auto"/>
        <w:rPr>
          <w:rFonts w:ascii="宋体" w:hAnsi="宋体" w:cs="宋体"/>
          <w:b/>
          <w:bCs/>
          <w:sz w:val="24"/>
          <w:highlight w:val="none"/>
        </w:rPr>
      </w:pPr>
    </w:p>
    <w:tbl>
      <w:tblPr>
        <w:tblStyle w:val="7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97"/>
              <w:jc w:val="center"/>
              <w:rPr>
                <w:rFonts w:ascii="宋体" w:hAnsi="宋体" w:cs="宋体"/>
                <w:b/>
                <w:bCs/>
                <w:sz w:val="24"/>
                <w:highlight w:val="none"/>
              </w:rPr>
            </w:pPr>
            <w:r>
              <w:rPr>
                <w:rFonts w:hint="eastAsia" w:ascii="宋体" w:hAnsi="宋体" w:cs="宋体"/>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jc w:val="center"/>
              <w:rPr>
                <w:rFonts w:ascii="宋体" w:hAnsi="宋体" w:cs="宋体"/>
                <w:sz w:val="24"/>
                <w:highlight w:val="none"/>
              </w:rPr>
            </w:pPr>
            <w:r>
              <w:rPr>
                <w:rFonts w:hint="eastAsia" w:ascii="宋体" w:hAnsi="宋体" w:cs="宋体"/>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jc w:val="center"/>
              <w:rPr>
                <w:rFonts w:ascii="宋体" w:hAnsi="宋体" w:cs="宋体"/>
                <w:sz w:val="24"/>
                <w:highlight w:val="none"/>
              </w:rPr>
            </w:pPr>
            <w:r>
              <w:rPr>
                <w:rFonts w:hint="eastAsia" w:ascii="宋体" w:hAnsi="宋体" w:cs="宋体"/>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jc w:val="center"/>
              <w:rPr>
                <w:rFonts w:ascii="宋体" w:hAnsi="宋体" w:cs="宋体"/>
                <w:sz w:val="24"/>
                <w:highlight w:val="none"/>
              </w:rPr>
            </w:pPr>
            <w:r>
              <w:rPr>
                <w:rFonts w:hint="eastAsia" w:ascii="宋体" w:hAnsi="宋体" w:cs="宋体"/>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r>
              <w:rPr>
                <w:rFonts w:hint="eastAsia" w:ascii="宋体" w:hAnsi="宋体" w:cs="宋体"/>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97"/>
              <w:rPr>
                <w:rFonts w:ascii="宋体" w:hAnsi="宋体" w:cs="宋体"/>
                <w:sz w:val="24"/>
                <w:highlight w:val="none"/>
              </w:rPr>
            </w:pPr>
          </w:p>
        </w:tc>
      </w:tr>
    </w:tbl>
    <w:p>
      <w:pPr>
        <w:spacing w:line="480" w:lineRule="auto"/>
        <w:rPr>
          <w:rFonts w:ascii="宋体" w:hAnsi="宋体" w:cs="宋体"/>
          <w:b/>
          <w:bCs/>
          <w:sz w:val="24"/>
          <w:highlight w:val="none"/>
        </w:rPr>
      </w:pPr>
      <w:r>
        <w:rPr>
          <w:rFonts w:hint="eastAsia" w:ascii="宋体" w:hAnsi="宋体" w:cs="宋体"/>
          <w:b/>
          <w:bCs/>
          <w:sz w:val="24"/>
          <w:highlight w:val="none"/>
        </w:rPr>
        <w:t>要求：</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1.业绩证明应提供证明材料（合同复印件可只提供首页、含金额页、盖章页并加盖投标人公章）；</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2.报价供应商可按此表格式复制。</w:t>
      </w:r>
    </w:p>
    <w:p>
      <w:pPr>
        <w:spacing w:line="480" w:lineRule="auto"/>
        <w:ind w:firstLine="480" w:firstLineChars="200"/>
        <w:rPr>
          <w:rFonts w:ascii="宋体" w:hAnsi="宋体" w:cs="宋体"/>
          <w:sz w:val="24"/>
          <w:highlight w:val="none"/>
        </w:rPr>
      </w:pPr>
    </w:p>
    <w:p>
      <w:pPr>
        <w:spacing w:line="480" w:lineRule="auto"/>
        <w:ind w:firstLine="480" w:firstLineChars="200"/>
        <w:rPr>
          <w:rFonts w:ascii="宋体" w:hAnsi="宋体" w:cs="宋体"/>
          <w:sz w:val="24"/>
          <w:highlight w:val="none"/>
        </w:rPr>
      </w:pPr>
    </w:p>
    <w:p>
      <w:pPr>
        <w:spacing w:line="48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pPr>
        <w:spacing w:line="48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pPr>
        <w:spacing w:line="480" w:lineRule="auto"/>
        <w:rPr>
          <w:rFonts w:ascii="宋体" w:hAnsi="宋体" w:cs="宋体"/>
          <w:b/>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p>
    <w:p>
      <w:pPr>
        <w:pStyle w:val="17"/>
        <w:overflowPunct w:val="0"/>
        <w:spacing w:line="324" w:lineRule="auto"/>
        <w:ind w:firstLine="0"/>
        <w:rPr>
          <w:highlight w:val="none"/>
        </w:rPr>
      </w:pPr>
      <w:r>
        <w:rPr>
          <w:rFonts w:hint="eastAsia" w:hAnsi="宋体" w:cs="宋体"/>
          <w:b/>
          <w:bCs/>
          <w:sz w:val="24"/>
          <w:szCs w:val="24"/>
          <w:highlight w:val="none"/>
        </w:rPr>
        <w:br w:type="page"/>
      </w:r>
    </w:p>
    <w:p>
      <w:pPr>
        <w:rPr>
          <w:rFonts w:ascii="宋体" w:hAnsi="宋体" w:cs="宋体"/>
          <w:b/>
          <w:bCs/>
          <w:sz w:val="24"/>
          <w:highlight w:val="none"/>
        </w:rPr>
      </w:pPr>
      <w:r>
        <w:rPr>
          <w:rFonts w:hint="eastAsia" w:ascii="宋体" w:hAnsi="宋体" w:cs="宋体"/>
          <w:b/>
          <w:bCs/>
          <w:sz w:val="24"/>
          <w:highlight w:val="none"/>
        </w:rPr>
        <w:t>附件 　</w:t>
      </w:r>
      <w:r>
        <w:rPr>
          <w:rFonts w:hint="eastAsia" w:ascii="宋体" w:hAnsi="宋体" w:cs="宋体"/>
          <w:sz w:val="24"/>
          <w:highlight w:val="none"/>
        </w:rPr>
        <w:t xml:space="preserve">　                                       </w:t>
      </w:r>
    </w:p>
    <w:p>
      <w:pPr>
        <w:pStyle w:val="2"/>
        <w:spacing w:line="480" w:lineRule="auto"/>
        <w:rPr>
          <w:rFonts w:hAnsi="宋体" w:cs="宋体"/>
          <w:szCs w:val="24"/>
          <w:highlight w:val="none"/>
        </w:rPr>
      </w:pPr>
    </w:p>
    <w:p>
      <w:pPr>
        <w:spacing w:line="480" w:lineRule="auto"/>
        <w:jc w:val="center"/>
        <w:rPr>
          <w:rFonts w:hint="eastAsia" w:ascii="宋体" w:hAnsi="宋体" w:eastAsia="宋体" w:cs="宋体"/>
          <w:spacing w:val="40"/>
          <w:sz w:val="24"/>
          <w:highlight w:val="none"/>
          <w:lang w:eastAsia="zh-CN"/>
        </w:rPr>
      </w:pPr>
      <w:r>
        <w:rPr>
          <w:rFonts w:hint="eastAsia" w:ascii="宋体" w:hAnsi="宋体" w:cs="宋体"/>
          <w:spacing w:val="40"/>
          <w:sz w:val="24"/>
          <w:highlight w:val="none"/>
          <w:lang w:eastAsia="zh-CN"/>
        </w:rPr>
        <w:t>龙头王、锦泰、飞龙湖未来社区实施方案编制</w:t>
      </w:r>
    </w:p>
    <w:p>
      <w:pPr>
        <w:autoSpaceDE w:val="0"/>
        <w:autoSpaceDN w:val="0"/>
        <w:adjustRightInd w:val="0"/>
        <w:spacing w:line="480" w:lineRule="auto"/>
        <w:jc w:val="center"/>
        <w:rPr>
          <w:rFonts w:ascii="宋体" w:hAnsi="宋体" w:cs="宋体"/>
          <w:sz w:val="24"/>
          <w:highlight w:val="none"/>
          <w:lang w:val="zh-CN"/>
        </w:rPr>
      </w:pPr>
    </w:p>
    <w:p>
      <w:pPr>
        <w:pStyle w:val="2"/>
        <w:spacing w:line="480" w:lineRule="auto"/>
        <w:rPr>
          <w:rFonts w:hAnsi="宋体" w:cs="宋体"/>
          <w:szCs w:val="24"/>
          <w:highlight w:val="none"/>
        </w:rPr>
      </w:pPr>
    </w:p>
    <w:p>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投</w:t>
      </w:r>
    </w:p>
    <w:p>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标</w:t>
      </w:r>
    </w:p>
    <w:p>
      <w:pPr>
        <w:autoSpaceDE w:val="0"/>
        <w:autoSpaceDN w:val="0"/>
        <w:adjustRightInd w:val="0"/>
        <w:spacing w:line="480" w:lineRule="auto"/>
        <w:jc w:val="center"/>
        <w:rPr>
          <w:rFonts w:ascii="宋体" w:hAnsi="宋体" w:cs="宋体"/>
          <w:sz w:val="24"/>
          <w:highlight w:val="none"/>
        </w:rPr>
      </w:pPr>
      <w:r>
        <w:rPr>
          <w:rFonts w:hint="eastAsia" w:ascii="宋体" w:hAnsi="宋体" w:cs="宋体"/>
          <w:sz w:val="24"/>
          <w:highlight w:val="none"/>
          <w:lang w:val="zh-CN"/>
        </w:rPr>
        <w:t>文</w:t>
      </w:r>
    </w:p>
    <w:p>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件</w:t>
      </w:r>
    </w:p>
    <w:p>
      <w:pPr>
        <w:autoSpaceDE w:val="0"/>
        <w:autoSpaceDN w:val="0"/>
        <w:adjustRightInd w:val="0"/>
        <w:spacing w:line="480" w:lineRule="auto"/>
        <w:jc w:val="center"/>
        <w:rPr>
          <w:rFonts w:ascii="宋体" w:hAnsi="宋体" w:cs="宋体"/>
          <w:b/>
          <w:spacing w:val="40"/>
          <w:sz w:val="24"/>
          <w:highlight w:val="none"/>
        </w:rPr>
      </w:pPr>
      <w:r>
        <w:rPr>
          <w:rFonts w:hint="eastAsia" w:ascii="宋体" w:hAnsi="宋体" w:cs="宋体"/>
          <w:b/>
          <w:spacing w:val="40"/>
          <w:sz w:val="24"/>
          <w:highlight w:val="none"/>
        </w:rPr>
        <w:t>（报价文件）</w:t>
      </w:r>
    </w:p>
    <w:p>
      <w:pPr>
        <w:spacing w:line="480" w:lineRule="auto"/>
        <w:jc w:val="center"/>
        <w:rPr>
          <w:rFonts w:ascii="宋体" w:hAnsi="宋体" w:cs="宋体"/>
          <w:sz w:val="24"/>
          <w:highlight w:val="none"/>
        </w:rPr>
      </w:pPr>
    </w:p>
    <w:p>
      <w:pPr>
        <w:spacing w:line="480" w:lineRule="auto"/>
        <w:jc w:val="center"/>
        <w:rPr>
          <w:rFonts w:ascii="宋体" w:hAnsi="宋体" w:cs="宋体"/>
          <w:sz w:val="24"/>
          <w:highlight w:val="none"/>
        </w:rPr>
      </w:pPr>
    </w:p>
    <w:p>
      <w:pPr>
        <w:spacing w:line="480" w:lineRule="auto"/>
        <w:ind w:right="532"/>
        <w:jc w:val="center"/>
        <w:rPr>
          <w:rFonts w:ascii="宋体" w:hAnsi="宋体" w:cs="宋体"/>
          <w:sz w:val="24"/>
          <w:highlight w:val="none"/>
        </w:rPr>
      </w:pPr>
    </w:p>
    <w:p>
      <w:pPr>
        <w:spacing w:line="480" w:lineRule="auto"/>
        <w:rPr>
          <w:rFonts w:ascii="宋体" w:hAnsi="宋体" w:cs="宋体"/>
          <w:sz w:val="24"/>
          <w:highlight w:val="none"/>
        </w:rPr>
      </w:pPr>
      <w:r>
        <w:rPr>
          <w:rFonts w:hint="eastAsia" w:ascii="宋体" w:hAnsi="宋体" w:cs="宋体"/>
          <w:sz w:val="24"/>
          <w:highlight w:val="none"/>
        </w:rPr>
        <w:t>供应商全称（公章）：</w:t>
      </w:r>
    </w:p>
    <w:p>
      <w:pPr>
        <w:spacing w:line="480" w:lineRule="auto"/>
        <w:rPr>
          <w:rFonts w:ascii="宋体" w:hAnsi="宋体" w:cs="宋体"/>
          <w:sz w:val="24"/>
          <w:highlight w:val="none"/>
        </w:rPr>
      </w:pPr>
      <w:r>
        <w:rPr>
          <w:rFonts w:hint="eastAsia" w:ascii="宋体" w:hAnsi="宋体" w:cs="宋体"/>
          <w:sz w:val="24"/>
          <w:highlight w:val="none"/>
        </w:rPr>
        <w:t>地址：</w:t>
      </w:r>
    </w:p>
    <w:p>
      <w:pPr>
        <w:spacing w:line="480" w:lineRule="auto"/>
        <w:rPr>
          <w:rFonts w:ascii="宋体" w:hAnsi="宋体" w:cs="宋体"/>
          <w:sz w:val="24"/>
          <w:highlight w:val="none"/>
        </w:rPr>
      </w:pPr>
      <w:r>
        <w:rPr>
          <w:rFonts w:hint="eastAsia" w:ascii="宋体" w:hAnsi="宋体" w:cs="宋体"/>
          <w:sz w:val="24"/>
          <w:highlight w:val="none"/>
        </w:rPr>
        <w:t>时间：</w:t>
      </w:r>
    </w:p>
    <w:p>
      <w:pPr>
        <w:pStyle w:val="2"/>
        <w:spacing w:line="240" w:lineRule="auto"/>
        <w:rPr>
          <w:rFonts w:hAnsi="宋体" w:cs="宋体"/>
          <w:szCs w:val="24"/>
          <w:highlight w:val="none"/>
        </w:rPr>
      </w:pPr>
      <w:r>
        <w:rPr>
          <w:rFonts w:hint="eastAsia" w:hAnsi="宋体" w:cs="宋体"/>
          <w:szCs w:val="24"/>
          <w:highlight w:val="none"/>
        </w:rPr>
        <w:br w:type="page"/>
      </w:r>
    </w:p>
    <w:p>
      <w:pPr>
        <w:spacing w:line="480" w:lineRule="auto"/>
        <w:jc w:val="center"/>
        <w:rPr>
          <w:rFonts w:ascii="宋体" w:hAnsi="宋体" w:cs="宋体"/>
          <w:b/>
          <w:bCs/>
          <w:sz w:val="24"/>
          <w:highlight w:val="none"/>
          <w:lang w:val="zh-CN"/>
        </w:rPr>
      </w:pPr>
      <w:r>
        <w:rPr>
          <w:rFonts w:hint="eastAsia" w:ascii="宋体" w:hAnsi="宋体" w:cs="宋体"/>
          <w:b/>
          <w:bCs/>
          <w:sz w:val="24"/>
          <w:highlight w:val="none"/>
          <w:lang w:val="zh-CN"/>
        </w:rPr>
        <w:t>报价文件目录</w:t>
      </w:r>
    </w:p>
    <w:p>
      <w:pPr>
        <w:spacing w:line="480" w:lineRule="auto"/>
        <w:rPr>
          <w:rFonts w:ascii="宋体" w:hAnsi="宋体" w:cs="宋体"/>
          <w:sz w:val="24"/>
          <w:highlight w:val="none"/>
        </w:rPr>
      </w:pPr>
    </w:p>
    <w:p>
      <w:pPr>
        <w:spacing w:line="480" w:lineRule="auto"/>
        <w:jc w:val="left"/>
        <w:rPr>
          <w:rFonts w:ascii="宋体" w:hAnsi="宋体" w:cs="宋体"/>
          <w:sz w:val="24"/>
          <w:highlight w:val="none"/>
        </w:rPr>
      </w:pPr>
      <w:r>
        <w:rPr>
          <w:rFonts w:hint="eastAsia" w:ascii="宋体" w:hAnsi="宋体" w:cs="宋体"/>
          <w:sz w:val="24"/>
          <w:highlight w:val="none"/>
        </w:rPr>
        <w:t>1、开标一览表（格式见附件）；</w:t>
      </w:r>
    </w:p>
    <w:p>
      <w:pPr>
        <w:spacing w:line="480" w:lineRule="auto"/>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eastAsia="zh-CN"/>
        </w:rPr>
        <w:t>报价明细</w:t>
      </w:r>
      <w:r>
        <w:rPr>
          <w:rFonts w:hint="eastAsia" w:ascii="宋体" w:hAnsi="宋体" w:cs="宋体"/>
          <w:sz w:val="24"/>
          <w:highlight w:val="none"/>
          <w:lang w:val="zh-CN"/>
        </w:rPr>
        <w:t>表</w:t>
      </w:r>
      <w:r>
        <w:rPr>
          <w:rFonts w:hint="eastAsia" w:ascii="宋体" w:hAnsi="宋体" w:cs="宋体"/>
          <w:sz w:val="24"/>
          <w:highlight w:val="none"/>
        </w:rPr>
        <w:t>（格式见附件）</w:t>
      </w:r>
    </w:p>
    <w:p>
      <w:pPr>
        <w:spacing w:line="480" w:lineRule="auto"/>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《中小企业声明函》（格式见附件）；</w:t>
      </w:r>
    </w:p>
    <w:p>
      <w:pPr>
        <w:spacing w:line="480" w:lineRule="auto"/>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、投标人认为需要的其他文件或说明（如有）。</w:t>
      </w: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rPr>
          <w:rFonts w:ascii="宋体" w:hAnsi="宋体" w:cs="宋体"/>
          <w:sz w:val="24"/>
          <w:highlight w:val="none"/>
        </w:rPr>
      </w:pPr>
    </w:p>
    <w:p>
      <w:pPr>
        <w:spacing w:line="240" w:lineRule="auto"/>
        <w:ind w:left="-2" w:hanging="2"/>
        <w:jc w:val="center"/>
        <w:rPr>
          <w:rFonts w:ascii="宋体" w:hAnsi="宋体" w:cs="宋体"/>
          <w:b/>
          <w:sz w:val="24"/>
          <w:highlight w:val="none"/>
        </w:rPr>
        <w:sectPr>
          <w:headerReference r:id="rId7" w:type="default"/>
          <w:pgSz w:w="11906" w:h="16838"/>
          <w:pgMar w:top="1247" w:right="1417" w:bottom="1474" w:left="1417" w:header="851" w:footer="896" w:gutter="0"/>
          <w:cols w:space="720" w:num="1"/>
          <w:titlePg/>
          <w:docGrid w:type="lines" w:linePitch="313" w:charSpace="0"/>
        </w:sectPr>
      </w:pPr>
    </w:p>
    <w:p>
      <w:pPr>
        <w:spacing w:line="480" w:lineRule="auto"/>
        <w:rPr>
          <w:rFonts w:ascii="宋体" w:hAnsi="宋体" w:cs="宋体"/>
          <w:b/>
          <w:sz w:val="24"/>
          <w:highlight w:val="none"/>
        </w:rPr>
      </w:pPr>
      <w:r>
        <w:rPr>
          <w:rFonts w:hint="eastAsia" w:ascii="宋体" w:hAnsi="宋体" w:cs="宋体"/>
          <w:b/>
          <w:sz w:val="24"/>
          <w:highlight w:val="none"/>
        </w:rPr>
        <w:t>附件11</w:t>
      </w:r>
    </w:p>
    <w:p>
      <w:pPr>
        <w:spacing w:line="480" w:lineRule="auto"/>
        <w:ind w:left="-2" w:hanging="2"/>
        <w:jc w:val="center"/>
        <w:rPr>
          <w:rFonts w:ascii="宋体" w:hAnsi="宋体" w:cs="宋体"/>
          <w:b/>
          <w:sz w:val="24"/>
          <w:highlight w:val="none"/>
        </w:rPr>
      </w:pPr>
      <w:r>
        <w:rPr>
          <w:rFonts w:hint="eastAsia" w:ascii="宋体" w:hAnsi="宋体" w:cs="宋体"/>
          <w:b/>
          <w:sz w:val="24"/>
          <w:highlight w:val="none"/>
        </w:rPr>
        <w:t>开标一览表</w:t>
      </w:r>
    </w:p>
    <w:p>
      <w:pPr>
        <w:spacing w:line="480" w:lineRule="auto"/>
        <w:jc w:val="left"/>
        <w:rPr>
          <w:rFonts w:hint="eastAsia" w:ascii="宋体" w:hAnsi="宋体" w:eastAsia="宋体" w:cs="宋体"/>
          <w:sz w:val="24"/>
          <w:highlight w:val="none"/>
          <w:lang w:eastAsia="zh-CN"/>
        </w:rPr>
      </w:pPr>
      <w:r>
        <w:rPr>
          <w:rFonts w:hint="eastAsia" w:ascii="宋体" w:hAnsi="宋体" w:cs="宋体"/>
          <w:sz w:val="24"/>
          <w:highlight w:val="none"/>
        </w:rPr>
        <w:t xml:space="preserve">项目名称： </w:t>
      </w:r>
      <w:r>
        <w:rPr>
          <w:rFonts w:hint="eastAsia" w:ascii="宋体" w:hAnsi="宋体" w:cs="宋体"/>
          <w:sz w:val="24"/>
          <w:highlight w:val="none"/>
          <w:lang w:eastAsia="zh-CN"/>
        </w:rPr>
        <w:t>龙头王、锦泰、飞龙湖未来社区实施方案编制</w:t>
      </w:r>
    </w:p>
    <w:p>
      <w:pPr>
        <w:spacing w:line="480" w:lineRule="auto"/>
        <w:jc w:val="left"/>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JJLQ2022-011</w:t>
      </w:r>
      <w:r>
        <w:rPr>
          <w:rFonts w:hint="eastAsia" w:ascii="宋体" w:hAnsi="宋体" w:cs="宋体"/>
          <w:sz w:val="24"/>
          <w:highlight w:val="none"/>
        </w:rPr>
        <w:t xml:space="preserve">                                 [单位：人民币/元]</w:t>
      </w:r>
    </w:p>
    <w:tbl>
      <w:tblPr>
        <w:tblStyle w:val="7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vAlign w:val="center"/>
          </w:tcPr>
          <w:p>
            <w:pPr>
              <w:spacing w:line="480" w:lineRule="auto"/>
              <w:jc w:val="center"/>
              <w:rPr>
                <w:rFonts w:ascii="宋体" w:hAnsi="宋体" w:cs="宋体"/>
                <w:b/>
                <w:bCs/>
                <w:sz w:val="24"/>
                <w:highlight w:val="none"/>
              </w:rPr>
            </w:pPr>
            <w:r>
              <w:rPr>
                <w:rFonts w:hint="eastAsia" w:ascii="宋体" w:hAnsi="宋体" w:cs="宋体"/>
                <w:b/>
                <w:bCs/>
                <w:sz w:val="24"/>
                <w:highlight w:val="none"/>
              </w:rPr>
              <w:t>名称</w:t>
            </w:r>
          </w:p>
        </w:tc>
        <w:tc>
          <w:tcPr>
            <w:tcW w:w="7616" w:type="dxa"/>
            <w:vAlign w:val="center"/>
          </w:tcPr>
          <w:p>
            <w:pPr>
              <w:spacing w:line="480" w:lineRule="auto"/>
              <w:jc w:val="center"/>
              <w:rPr>
                <w:rFonts w:ascii="宋体" w:hAnsi="宋体" w:cs="宋体"/>
                <w:b/>
                <w:bCs/>
                <w:sz w:val="24"/>
                <w:highlight w:val="none"/>
              </w:rPr>
            </w:pPr>
            <w:r>
              <w:rPr>
                <w:rFonts w:hint="eastAsia" w:ascii="宋体" w:hAnsi="宋体" w:cs="宋体"/>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vAlign w:val="center"/>
          </w:tcPr>
          <w:p>
            <w:pPr>
              <w:spacing w:line="480" w:lineRule="auto"/>
              <w:jc w:val="center"/>
              <w:rPr>
                <w:rFonts w:ascii="宋体" w:hAnsi="宋体" w:cs="宋体"/>
                <w:b/>
                <w:sz w:val="24"/>
                <w:highlight w:val="none"/>
              </w:rPr>
            </w:pPr>
            <w:r>
              <w:rPr>
                <w:rFonts w:hint="eastAsia" w:ascii="宋体" w:hAnsi="宋体" w:cs="宋体"/>
                <w:sz w:val="24"/>
                <w:highlight w:val="none"/>
              </w:rPr>
              <w:t>投标报价</w:t>
            </w:r>
          </w:p>
        </w:tc>
        <w:tc>
          <w:tcPr>
            <w:tcW w:w="7616" w:type="dxa"/>
            <w:vAlign w:val="center"/>
          </w:tcPr>
          <w:p>
            <w:pPr>
              <w:spacing w:line="480" w:lineRule="auto"/>
              <w:jc w:val="center"/>
              <w:rPr>
                <w:rFonts w:ascii="宋体" w:hAnsi="宋体" w:cs="宋体"/>
                <w:sz w:val="24"/>
                <w:highlight w:val="none"/>
              </w:rPr>
            </w:pPr>
          </w:p>
          <w:p>
            <w:pPr>
              <w:spacing w:line="480" w:lineRule="auto"/>
              <w:jc w:val="center"/>
              <w:rPr>
                <w:rFonts w:ascii="宋体" w:hAnsi="宋体" w:cs="宋体"/>
                <w:sz w:val="24"/>
                <w:highlight w:val="none"/>
              </w:rPr>
            </w:pPr>
            <w:r>
              <w:rPr>
                <w:rFonts w:hint="eastAsia" w:ascii="宋体" w:hAnsi="宋体" w:cs="宋体"/>
                <w:sz w:val="24"/>
                <w:highlight w:val="none"/>
              </w:rPr>
              <w:t>大写：_____________________________元</w:t>
            </w:r>
          </w:p>
          <w:p>
            <w:pPr>
              <w:spacing w:line="480" w:lineRule="auto"/>
              <w:jc w:val="center"/>
              <w:rPr>
                <w:rFonts w:ascii="宋体" w:hAnsi="宋体" w:cs="宋体"/>
                <w:sz w:val="24"/>
                <w:highlight w:val="none"/>
              </w:rPr>
            </w:pPr>
          </w:p>
          <w:p>
            <w:pPr>
              <w:spacing w:line="480" w:lineRule="auto"/>
              <w:jc w:val="center"/>
              <w:rPr>
                <w:rFonts w:ascii="宋体" w:hAnsi="宋体" w:cs="宋体"/>
                <w:sz w:val="24"/>
                <w:highlight w:val="none"/>
              </w:rPr>
            </w:pPr>
            <w:r>
              <w:rPr>
                <w:rFonts w:hint="eastAsia" w:ascii="宋体" w:hAnsi="宋体" w:cs="宋体"/>
                <w:sz w:val="24"/>
                <w:highlight w:val="none"/>
              </w:rPr>
              <w:t>小写：_____________________________元</w:t>
            </w:r>
          </w:p>
          <w:p>
            <w:pPr>
              <w:spacing w:line="480" w:lineRule="auto"/>
              <w:jc w:val="center"/>
              <w:rPr>
                <w:rFonts w:ascii="宋体" w:hAnsi="宋体" w:cs="宋体"/>
                <w:b/>
                <w:sz w:val="24"/>
                <w:highlight w:val="none"/>
              </w:rPr>
            </w:pPr>
          </w:p>
        </w:tc>
      </w:tr>
    </w:tbl>
    <w:p>
      <w:pPr>
        <w:pStyle w:val="2"/>
        <w:spacing w:line="480" w:lineRule="auto"/>
        <w:rPr>
          <w:rFonts w:hAnsi="宋体" w:cs="宋体"/>
          <w:szCs w:val="24"/>
          <w:highlight w:val="none"/>
        </w:rPr>
      </w:pPr>
    </w:p>
    <w:p>
      <w:pPr>
        <w:spacing w:line="480" w:lineRule="auto"/>
        <w:jc w:val="left"/>
        <w:rPr>
          <w:rFonts w:ascii="宋体" w:hAnsi="宋体" w:cs="宋体"/>
          <w:b/>
          <w:bCs/>
          <w:sz w:val="24"/>
          <w:highlight w:val="none"/>
        </w:rPr>
      </w:pPr>
      <w:r>
        <w:rPr>
          <w:rFonts w:hint="eastAsia" w:ascii="宋体" w:hAnsi="宋体" w:cs="宋体"/>
          <w:b/>
          <w:bCs/>
          <w:sz w:val="24"/>
          <w:highlight w:val="none"/>
        </w:rPr>
        <w:t>填报要求：</w:t>
      </w:r>
    </w:p>
    <w:p>
      <w:pPr>
        <w:spacing w:line="480" w:lineRule="auto"/>
        <w:rPr>
          <w:rFonts w:ascii="宋体" w:hAnsi="宋体" w:cs="宋体"/>
          <w:sz w:val="24"/>
          <w:highlight w:val="none"/>
        </w:rPr>
      </w:pPr>
      <w:r>
        <w:rPr>
          <w:rFonts w:hint="eastAsia" w:ascii="宋体" w:hAnsi="宋体" w:cs="宋体"/>
          <w:sz w:val="24"/>
          <w:highlight w:val="none"/>
        </w:rPr>
        <w:t>1、投标总报价：</w:t>
      </w:r>
      <w:r>
        <w:rPr>
          <w:rFonts w:hint="eastAsia" w:ascii="宋体" w:hAnsi="宋体" w:cs="宋体"/>
          <w:sz w:val="24"/>
          <w:highlight w:val="none"/>
          <w:lang w:val="zh-CN"/>
        </w:rPr>
        <w:t>包括但不限于</w:t>
      </w:r>
      <w:r>
        <w:rPr>
          <w:rFonts w:hint="eastAsia" w:ascii="宋体" w:hAnsi="宋体" w:cs="宋体"/>
          <w:sz w:val="24"/>
          <w:highlight w:val="none"/>
        </w:rPr>
        <w:t>所有人员的人工费、交通费、住宿费、伙食费、办公设施费、</w:t>
      </w:r>
      <w:r>
        <w:rPr>
          <w:rFonts w:hint="eastAsia" w:ascii="宋体" w:hAnsi="宋体" w:cs="宋体"/>
          <w:sz w:val="24"/>
          <w:highlight w:val="none"/>
          <w:lang w:val="zh-CN"/>
        </w:rPr>
        <w:t>调研及前期资料收集整理、相关</w:t>
      </w:r>
      <w:r>
        <w:rPr>
          <w:rFonts w:hint="eastAsia" w:ascii="宋体" w:hAnsi="宋体" w:cs="宋体"/>
          <w:sz w:val="24"/>
          <w:highlight w:val="none"/>
        </w:rPr>
        <w:t>方案</w:t>
      </w:r>
      <w:r>
        <w:rPr>
          <w:rFonts w:hint="eastAsia" w:ascii="宋体" w:hAnsi="宋体" w:cs="宋体"/>
          <w:sz w:val="24"/>
          <w:highlight w:val="none"/>
          <w:lang w:val="zh-CN"/>
        </w:rPr>
        <w:t>的编制、咨询费、评审专家费、会务费、</w:t>
      </w:r>
      <w:r>
        <w:rPr>
          <w:rFonts w:hint="eastAsia" w:ascii="宋体" w:hAnsi="宋体" w:cs="宋体"/>
          <w:sz w:val="24"/>
          <w:highlight w:val="none"/>
        </w:rPr>
        <w:t>采购代理费、管理费</w:t>
      </w:r>
      <w:r>
        <w:rPr>
          <w:rFonts w:hint="eastAsia" w:ascii="宋体" w:hAnsi="宋体" w:cs="宋体"/>
          <w:sz w:val="24"/>
          <w:highlight w:val="none"/>
          <w:lang w:val="zh-CN"/>
        </w:rPr>
        <w:t>、风险费、保险、利润、规费、税金、政策性文件规定及合同包含的所有风险、责任等所有费用</w:t>
      </w:r>
      <w:r>
        <w:rPr>
          <w:rFonts w:hint="eastAsia" w:ascii="宋体" w:hAnsi="宋体" w:cs="宋体"/>
          <w:sz w:val="24"/>
          <w:highlight w:val="none"/>
        </w:rPr>
        <w:t>。合同履行期间，不因政策性调整、物价涨跌等任何因素调整合同价格。</w:t>
      </w:r>
    </w:p>
    <w:p>
      <w:pPr>
        <w:spacing w:line="480" w:lineRule="auto"/>
        <w:rPr>
          <w:rFonts w:ascii="宋体" w:hAnsi="宋体" w:cs="宋体"/>
          <w:sz w:val="24"/>
          <w:highlight w:val="none"/>
        </w:rPr>
      </w:pPr>
      <w:r>
        <w:rPr>
          <w:rFonts w:hint="eastAsia" w:ascii="宋体" w:hAnsi="宋体" w:cs="宋体"/>
          <w:sz w:val="24"/>
          <w:highlight w:val="none"/>
        </w:rPr>
        <w:t>2.报价一经涂改，应在涂改处加盖单位公章，或者由法定代表人或授权委托代理人签字或盖章，否则其投标作无效标处理。</w:t>
      </w:r>
    </w:p>
    <w:p>
      <w:pPr>
        <w:spacing w:line="48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pPr>
        <w:spacing w:line="48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pPr>
        <w:spacing w:line="480" w:lineRule="auto"/>
        <w:rPr>
          <w:rFonts w:ascii="宋体" w:hAnsi="宋体" w:cs="宋体"/>
          <w:b/>
          <w:sz w:val="24"/>
          <w:highlight w:val="none"/>
        </w:rPr>
        <w:sectPr>
          <w:pgSz w:w="11906" w:h="16838"/>
          <w:pgMar w:top="1247" w:right="1417" w:bottom="1474" w:left="1417" w:header="851" w:footer="896" w:gutter="0"/>
          <w:cols w:space="720" w:num="1"/>
          <w:titlePg/>
          <w:docGrid w:type="lines" w:linePitch="313" w:charSpace="0"/>
        </w:sectPr>
      </w:pPr>
      <w:r>
        <w:rPr>
          <w:rFonts w:hint="eastAsia" w:ascii="宋体" w:hAnsi="宋体" w:cs="宋体"/>
          <w:sz w:val="24"/>
          <w:highlight w:val="none"/>
        </w:rPr>
        <w:t>日期：</w:t>
      </w:r>
    </w:p>
    <w:p>
      <w:pPr>
        <w:spacing w:line="480" w:lineRule="auto"/>
        <w:rPr>
          <w:rFonts w:hint="eastAsia" w:ascii="宋体" w:hAnsi="宋体" w:eastAsia="宋体" w:cs="宋体"/>
          <w:b/>
          <w:sz w:val="24"/>
          <w:highlight w:val="none"/>
          <w:lang w:eastAsia="zh-CN"/>
        </w:rPr>
      </w:pPr>
      <w:r>
        <w:rPr>
          <w:rFonts w:hint="eastAsia" w:ascii="宋体" w:hAnsi="宋体" w:cs="宋体"/>
          <w:b/>
          <w:sz w:val="24"/>
          <w:highlight w:val="none"/>
        </w:rPr>
        <w:t>附件1</w:t>
      </w:r>
      <w:r>
        <w:rPr>
          <w:rFonts w:hint="eastAsia" w:ascii="宋体" w:hAnsi="宋体" w:cs="宋体"/>
          <w:b/>
          <w:sz w:val="24"/>
          <w:highlight w:val="none"/>
          <w:lang w:val="en-US" w:eastAsia="zh-CN"/>
        </w:rPr>
        <w:t>2</w:t>
      </w:r>
    </w:p>
    <w:p>
      <w:pPr>
        <w:spacing w:line="480" w:lineRule="auto"/>
        <w:ind w:left="-2" w:hanging="2"/>
        <w:jc w:val="center"/>
        <w:rPr>
          <w:rFonts w:ascii="宋体" w:hAnsi="宋体" w:cs="宋体"/>
          <w:b/>
          <w:sz w:val="24"/>
          <w:highlight w:val="none"/>
        </w:rPr>
      </w:pPr>
      <w:r>
        <w:rPr>
          <w:rFonts w:hint="eastAsia" w:ascii="宋体" w:hAnsi="宋体" w:cs="宋体"/>
          <w:b/>
          <w:sz w:val="24"/>
          <w:highlight w:val="none"/>
          <w:lang w:val="en-US" w:eastAsia="zh-CN"/>
        </w:rPr>
        <w:t>报价明细</w:t>
      </w:r>
      <w:r>
        <w:rPr>
          <w:rFonts w:hint="eastAsia" w:ascii="宋体" w:hAnsi="宋体" w:cs="宋体"/>
          <w:b/>
          <w:sz w:val="24"/>
          <w:highlight w:val="none"/>
        </w:rPr>
        <w:t>表</w:t>
      </w:r>
    </w:p>
    <w:p>
      <w:pPr>
        <w:spacing w:line="480" w:lineRule="auto"/>
        <w:jc w:val="left"/>
        <w:rPr>
          <w:rFonts w:hint="eastAsia" w:ascii="宋体" w:hAnsi="宋体" w:eastAsia="宋体" w:cs="宋体"/>
          <w:sz w:val="24"/>
          <w:highlight w:val="none"/>
          <w:lang w:eastAsia="zh-CN"/>
        </w:rPr>
      </w:pPr>
      <w:r>
        <w:rPr>
          <w:rFonts w:hint="eastAsia" w:ascii="宋体" w:hAnsi="宋体" w:cs="宋体"/>
          <w:sz w:val="24"/>
          <w:highlight w:val="none"/>
        </w:rPr>
        <w:t xml:space="preserve">项目名称： </w:t>
      </w:r>
      <w:r>
        <w:rPr>
          <w:rFonts w:hint="eastAsia" w:ascii="宋体" w:hAnsi="宋体" w:cs="宋体"/>
          <w:sz w:val="24"/>
          <w:highlight w:val="none"/>
          <w:lang w:eastAsia="zh-CN"/>
        </w:rPr>
        <w:t>龙头王、锦泰、飞龙湖未来社区实施方案编制</w:t>
      </w:r>
    </w:p>
    <w:p>
      <w:pPr>
        <w:spacing w:line="480" w:lineRule="auto"/>
        <w:jc w:val="left"/>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JJLQ2022-011</w:t>
      </w:r>
      <w:r>
        <w:rPr>
          <w:rFonts w:hint="eastAsia" w:ascii="宋体" w:hAnsi="宋体" w:cs="宋体"/>
          <w:sz w:val="24"/>
          <w:highlight w:val="none"/>
        </w:rPr>
        <w:t xml:space="preserve">                                 [单位：人民币/元]</w:t>
      </w:r>
    </w:p>
    <w:tbl>
      <w:tblPr>
        <w:tblStyle w:val="76"/>
        <w:tblpPr w:leftFromText="180" w:rightFromText="180" w:vertAnchor="text" w:horzAnchor="page" w:tblpX="1317" w:tblpY="467"/>
        <w:tblOverlap w:val="never"/>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2656"/>
        <w:gridCol w:w="329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4" w:type="pct"/>
            <w:vAlign w:val="center"/>
          </w:tcPr>
          <w:p>
            <w:pPr>
              <w:spacing w:line="480" w:lineRule="auto"/>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序号</w:t>
            </w:r>
          </w:p>
        </w:tc>
        <w:tc>
          <w:tcPr>
            <w:tcW w:w="1346" w:type="pct"/>
            <w:vAlign w:val="center"/>
          </w:tcPr>
          <w:p>
            <w:pPr>
              <w:spacing w:line="48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名称</w:t>
            </w:r>
          </w:p>
        </w:tc>
        <w:tc>
          <w:tcPr>
            <w:tcW w:w="1671" w:type="pct"/>
            <w:vAlign w:val="center"/>
          </w:tcPr>
          <w:p>
            <w:pPr>
              <w:spacing w:line="480" w:lineRule="auto"/>
              <w:jc w:val="center"/>
              <w:rPr>
                <w:rFonts w:hint="default" w:ascii="宋体" w:hAnsi="宋体" w:eastAsia="宋体" w:cs="宋体"/>
                <w:b/>
                <w:bCs/>
                <w:kern w:val="2"/>
                <w:sz w:val="24"/>
                <w:szCs w:val="24"/>
                <w:highlight w:val="none"/>
                <w:lang w:val="en-US" w:eastAsia="zh-CN" w:bidi="ar-SA"/>
              </w:rPr>
            </w:pPr>
            <w:r>
              <w:rPr>
                <w:rFonts w:hint="eastAsia" w:ascii="宋体" w:hAnsi="宋体" w:cs="宋体"/>
                <w:b/>
                <w:bCs/>
                <w:sz w:val="24"/>
                <w:highlight w:val="none"/>
                <w:lang w:val="en-US" w:eastAsia="zh-CN"/>
              </w:rPr>
              <w:t>投标报价（元）</w:t>
            </w:r>
          </w:p>
        </w:tc>
        <w:tc>
          <w:tcPr>
            <w:tcW w:w="1097" w:type="pct"/>
            <w:vAlign w:val="center"/>
          </w:tcPr>
          <w:p>
            <w:pPr>
              <w:spacing w:line="480" w:lineRule="auto"/>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84" w:type="pct"/>
            <w:vAlign w:val="center"/>
          </w:tcPr>
          <w:p>
            <w:pPr>
              <w:spacing w:line="48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346" w:type="pct"/>
            <w:vAlign w:val="center"/>
          </w:tcPr>
          <w:p>
            <w:pPr>
              <w:spacing w:line="480" w:lineRule="auto"/>
              <w:jc w:val="center"/>
              <w:rPr>
                <w:rFonts w:hint="default" w:ascii="宋体" w:hAnsi="宋体" w:cs="宋体"/>
                <w:b/>
                <w:sz w:val="24"/>
                <w:highlight w:val="none"/>
                <w:lang w:val="en-US"/>
              </w:rPr>
            </w:pPr>
            <w:r>
              <w:rPr>
                <w:rFonts w:hint="eastAsia" w:ascii="宋体" w:hAnsi="宋体" w:cs="宋体"/>
                <w:sz w:val="24"/>
                <w:highlight w:val="none"/>
                <w:lang w:eastAsia="zh-CN"/>
              </w:rPr>
              <w:t>龙头王未来</w:t>
            </w:r>
            <w:r>
              <w:rPr>
                <w:rFonts w:hint="eastAsia" w:ascii="宋体" w:hAnsi="宋体" w:cs="宋体"/>
                <w:sz w:val="24"/>
                <w:highlight w:val="none"/>
                <w:lang w:val="en-US" w:eastAsia="zh-CN"/>
              </w:rPr>
              <w:t>社区</w:t>
            </w:r>
          </w:p>
        </w:tc>
        <w:tc>
          <w:tcPr>
            <w:tcW w:w="1671" w:type="pct"/>
            <w:vAlign w:val="center"/>
          </w:tcPr>
          <w:p>
            <w:pPr>
              <w:spacing w:line="480" w:lineRule="auto"/>
              <w:jc w:val="center"/>
              <w:rPr>
                <w:rFonts w:ascii="宋体" w:hAnsi="宋体" w:cs="宋体"/>
                <w:b/>
                <w:sz w:val="24"/>
                <w:highlight w:val="none"/>
              </w:rPr>
            </w:pPr>
          </w:p>
        </w:tc>
        <w:tc>
          <w:tcPr>
            <w:tcW w:w="1097" w:type="pct"/>
            <w:vAlign w:val="center"/>
          </w:tcPr>
          <w:p>
            <w:pPr>
              <w:spacing w:line="480" w:lineRule="auto"/>
              <w:jc w:val="center"/>
              <w:rPr>
                <w:rFonts w:ascii="宋体" w:hAnsi="宋体" w:cs="宋体"/>
                <w:b/>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2100000</w:t>
            </w:r>
            <w:r>
              <w:rPr>
                <w:rFonts w:hint="eastAsia" w:ascii="宋体" w:hAnsi="宋体" w:cs="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84" w:type="pct"/>
            <w:vAlign w:val="center"/>
          </w:tcPr>
          <w:p>
            <w:pPr>
              <w:spacing w:line="48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346" w:type="pct"/>
            <w:vAlign w:val="center"/>
          </w:tcPr>
          <w:p>
            <w:pPr>
              <w:spacing w:line="480" w:lineRule="auto"/>
              <w:jc w:val="center"/>
              <w:rPr>
                <w:rFonts w:ascii="宋体" w:hAnsi="宋体" w:cs="宋体"/>
                <w:b/>
                <w:sz w:val="24"/>
                <w:highlight w:val="none"/>
              </w:rPr>
            </w:pPr>
            <w:r>
              <w:rPr>
                <w:rFonts w:hint="eastAsia" w:ascii="宋体" w:hAnsi="宋体" w:cs="宋体"/>
                <w:sz w:val="24"/>
                <w:highlight w:val="none"/>
                <w:lang w:eastAsia="zh-CN"/>
              </w:rPr>
              <w:t>锦泰未来</w:t>
            </w:r>
            <w:r>
              <w:rPr>
                <w:rFonts w:hint="eastAsia" w:ascii="宋体" w:hAnsi="宋体" w:cs="宋体"/>
                <w:sz w:val="24"/>
                <w:highlight w:val="none"/>
                <w:lang w:val="en-US" w:eastAsia="zh-CN"/>
              </w:rPr>
              <w:t>社区</w:t>
            </w:r>
          </w:p>
        </w:tc>
        <w:tc>
          <w:tcPr>
            <w:tcW w:w="1671" w:type="pct"/>
            <w:vAlign w:val="center"/>
          </w:tcPr>
          <w:p>
            <w:pPr>
              <w:spacing w:line="480" w:lineRule="auto"/>
              <w:jc w:val="center"/>
              <w:rPr>
                <w:rFonts w:ascii="宋体" w:hAnsi="宋体" w:cs="宋体"/>
                <w:b/>
                <w:sz w:val="24"/>
                <w:highlight w:val="none"/>
              </w:rPr>
            </w:pPr>
          </w:p>
        </w:tc>
        <w:tc>
          <w:tcPr>
            <w:tcW w:w="1097" w:type="pct"/>
            <w:vAlign w:val="center"/>
          </w:tcPr>
          <w:p>
            <w:pPr>
              <w:spacing w:line="480" w:lineRule="auto"/>
              <w:jc w:val="center"/>
              <w:rPr>
                <w:rFonts w:ascii="宋体" w:hAnsi="宋体" w:cs="宋体"/>
                <w:b/>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1930000</w:t>
            </w:r>
            <w:r>
              <w:rPr>
                <w:rFonts w:hint="eastAsia" w:ascii="宋体" w:hAnsi="宋体" w:cs="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84" w:type="pct"/>
            <w:vAlign w:val="center"/>
          </w:tcPr>
          <w:p>
            <w:pPr>
              <w:spacing w:line="48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1346" w:type="pct"/>
            <w:vAlign w:val="center"/>
          </w:tcPr>
          <w:p>
            <w:pPr>
              <w:spacing w:line="480" w:lineRule="auto"/>
              <w:jc w:val="center"/>
              <w:rPr>
                <w:rFonts w:ascii="宋体" w:hAnsi="宋体" w:cs="宋体"/>
                <w:b/>
                <w:sz w:val="24"/>
                <w:highlight w:val="none"/>
              </w:rPr>
            </w:pPr>
            <w:r>
              <w:rPr>
                <w:rFonts w:hint="eastAsia" w:ascii="宋体" w:hAnsi="宋体" w:cs="宋体"/>
                <w:sz w:val="24"/>
                <w:highlight w:val="none"/>
                <w:lang w:eastAsia="zh-CN"/>
              </w:rPr>
              <w:t>飞龙湖未来社区</w:t>
            </w:r>
          </w:p>
        </w:tc>
        <w:tc>
          <w:tcPr>
            <w:tcW w:w="1671" w:type="pct"/>
            <w:vAlign w:val="center"/>
          </w:tcPr>
          <w:p>
            <w:pPr>
              <w:spacing w:line="480" w:lineRule="auto"/>
              <w:jc w:val="center"/>
              <w:rPr>
                <w:rFonts w:ascii="宋体" w:hAnsi="宋体" w:cs="宋体"/>
                <w:b/>
                <w:sz w:val="24"/>
                <w:highlight w:val="none"/>
              </w:rPr>
            </w:pPr>
          </w:p>
        </w:tc>
        <w:tc>
          <w:tcPr>
            <w:tcW w:w="1097" w:type="pct"/>
            <w:vAlign w:val="center"/>
          </w:tcPr>
          <w:p>
            <w:pPr>
              <w:spacing w:line="480" w:lineRule="auto"/>
              <w:jc w:val="center"/>
              <w:rPr>
                <w:rFonts w:ascii="宋体" w:hAnsi="宋体" w:cs="宋体"/>
                <w:b/>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2270000</w:t>
            </w:r>
            <w:r>
              <w:rPr>
                <w:rFonts w:hint="eastAsia" w:ascii="宋体" w:hAnsi="宋体" w:cs="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000" w:type="pct"/>
            <w:gridSpan w:val="4"/>
            <w:vAlign w:val="center"/>
          </w:tcPr>
          <w:p>
            <w:pPr>
              <w:spacing w:line="480" w:lineRule="auto"/>
              <w:jc w:val="left"/>
              <w:rPr>
                <w:rFonts w:hint="eastAsia" w:ascii="宋体" w:hAnsi="宋体" w:cs="宋体"/>
                <w:b/>
                <w:sz w:val="24"/>
                <w:highlight w:val="none"/>
                <w:lang w:val="en-US" w:eastAsia="zh-CN"/>
              </w:rPr>
            </w:pPr>
            <w:r>
              <w:rPr>
                <w:rFonts w:hint="eastAsia" w:ascii="宋体" w:hAnsi="宋体" w:cs="宋体"/>
                <w:b/>
                <w:sz w:val="24"/>
                <w:highlight w:val="none"/>
                <w:lang w:val="en-US" w:eastAsia="zh-CN"/>
              </w:rPr>
              <w:t>合计（1+2+3）大写：</w:t>
            </w:r>
          </w:p>
        </w:tc>
      </w:tr>
    </w:tbl>
    <w:p>
      <w:pPr>
        <w:pStyle w:val="2"/>
        <w:spacing w:line="480" w:lineRule="auto"/>
        <w:rPr>
          <w:rFonts w:hAnsi="宋体" w:cs="宋体"/>
          <w:szCs w:val="24"/>
          <w:highlight w:val="none"/>
        </w:rPr>
      </w:pPr>
    </w:p>
    <w:p>
      <w:pPr>
        <w:spacing w:line="480" w:lineRule="auto"/>
        <w:jc w:val="left"/>
        <w:rPr>
          <w:rFonts w:ascii="宋体" w:hAnsi="宋体" w:cs="宋体"/>
          <w:b/>
          <w:bCs/>
          <w:sz w:val="24"/>
          <w:highlight w:val="none"/>
        </w:rPr>
      </w:pPr>
      <w:r>
        <w:rPr>
          <w:rFonts w:hint="eastAsia" w:ascii="宋体" w:hAnsi="宋体" w:cs="宋体"/>
          <w:b/>
          <w:bCs/>
          <w:sz w:val="24"/>
          <w:highlight w:val="none"/>
        </w:rPr>
        <w:t>填报要求：</w:t>
      </w:r>
    </w:p>
    <w:p>
      <w:pPr>
        <w:spacing w:line="48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cs="宋体"/>
          <w:sz w:val="24"/>
          <w:highlight w:val="none"/>
        </w:rPr>
        <w:t>合计金额</w:t>
      </w:r>
      <w:r>
        <w:rPr>
          <w:rFonts w:hint="eastAsia" w:ascii="宋体" w:hAnsi="宋体" w:cs="宋体"/>
          <w:sz w:val="24"/>
          <w:highlight w:val="none"/>
          <w:lang w:val="en-US" w:eastAsia="zh-CN"/>
        </w:rPr>
        <w:t>应与“开标</w:t>
      </w:r>
      <w:r>
        <w:rPr>
          <w:rFonts w:hint="eastAsia" w:ascii="宋体" w:hAnsi="宋体" w:cs="宋体"/>
          <w:sz w:val="24"/>
          <w:highlight w:val="none"/>
        </w:rPr>
        <w:t>一览表</w:t>
      </w:r>
      <w:r>
        <w:rPr>
          <w:rFonts w:hint="eastAsia" w:ascii="宋体" w:hAnsi="宋体" w:cs="宋体"/>
          <w:sz w:val="24"/>
          <w:highlight w:val="none"/>
          <w:lang w:val="en-US" w:eastAsia="zh-CN"/>
        </w:rPr>
        <w:t>”中的价格一致。</w:t>
      </w:r>
    </w:p>
    <w:p>
      <w:pPr>
        <w:spacing w:line="48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pPr>
        <w:spacing w:line="48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pPr>
        <w:spacing w:line="480" w:lineRule="auto"/>
        <w:rPr>
          <w:rFonts w:ascii="宋体" w:hAnsi="宋体" w:cs="宋体"/>
          <w:b/>
          <w:sz w:val="24"/>
          <w:highlight w:val="none"/>
        </w:rPr>
        <w:sectPr>
          <w:pgSz w:w="11906" w:h="16838"/>
          <w:pgMar w:top="1247" w:right="1417" w:bottom="1474" w:left="1417" w:header="851" w:footer="896" w:gutter="0"/>
          <w:cols w:space="720" w:num="1"/>
          <w:titlePg/>
          <w:docGrid w:type="lines" w:linePitch="313" w:charSpace="0"/>
        </w:sectPr>
      </w:pPr>
      <w:r>
        <w:rPr>
          <w:rFonts w:hint="eastAsia" w:ascii="宋体" w:hAnsi="宋体" w:cs="宋体"/>
          <w:sz w:val="24"/>
          <w:highlight w:val="none"/>
        </w:rPr>
        <w:t>日期：</w:t>
      </w:r>
    </w:p>
    <w:p>
      <w:pPr>
        <w:snapToGrid w:val="0"/>
        <w:rPr>
          <w:rFonts w:ascii="宋体" w:hAnsi="宋体" w:cs="宋体"/>
          <w:bCs/>
          <w:sz w:val="24"/>
          <w:highlight w:val="none"/>
        </w:rPr>
      </w:pPr>
      <w:r>
        <w:rPr>
          <w:rFonts w:hint="eastAsia" w:ascii="宋体" w:hAnsi="宋体" w:cs="宋体"/>
          <w:b/>
          <w:sz w:val="24"/>
          <w:highlight w:val="none"/>
        </w:rPr>
        <w:t>附件1</w:t>
      </w:r>
      <w:r>
        <w:rPr>
          <w:rFonts w:hint="eastAsia" w:ascii="宋体" w:hAnsi="宋体" w:cs="宋体"/>
          <w:b/>
          <w:sz w:val="24"/>
          <w:highlight w:val="none"/>
          <w:lang w:val="en-US" w:eastAsia="zh-CN"/>
        </w:rPr>
        <w:t>3</w:t>
      </w:r>
      <w:r>
        <w:rPr>
          <w:rFonts w:hint="eastAsia" w:ascii="宋体" w:hAnsi="宋体" w:cs="宋体"/>
          <w:b/>
          <w:sz w:val="24"/>
          <w:highlight w:val="none"/>
        </w:rPr>
        <w:t>：</w:t>
      </w:r>
    </w:p>
    <w:p>
      <w:pPr>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ind w:firstLine="480" w:firstLineChars="200"/>
        <w:jc w:val="left"/>
        <w:rPr>
          <w:rFonts w:ascii="宋体" w:hAnsi="宋体" w:cs="宋体"/>
          <w:bCs/>
          <w:sz w:val="24"/>
          <w:highlight w:val="none"/>
        </w:rPr>
      </w:pPr>
      <w:r>
        <w:rPr>
          <w:rFonts w:hint="eastAsia" w:ascii="宋体" w:hAnsi="宋体" w:cs="宋体"/>
          <w:bCs/>
          <w:sz w:val="24"/>
          <w:highlight w:val="none"/>
        </w:rPr>
        <w:t>本公司郑重声明，根据《政府采购促进中小企业发展管理办法》（财库﹝2020﹞46 号）的规定，本公司参加</w:t>
      </w:r>
      <w:r>
        <w:rPr>
          <w:rFonts w:hint="eastAsia" w:ascii="宋体" w:hAnsi="宋体" w:cs="宋体"/>
          <w:bCs/>
          <w:sz w:val="24"/>
          <w:highlight w:val="none"/>
          <w:u w:val="single"/>
        </w:rPr>
        <w:t>（单位名称）</w:t>
      </w:r>
      <w:r>
        <w:rPr>
          <w:rFonts w:hint="eastAsia" w:ascii="宋体" w:hAnsi="宋体" w:cs="宋体"/>
          <w:bCs/>
          <w:sz w:val="24"/>
          <w:highlight w:val="none"/>
        </w:rPr>
        <w:t>的</w:t>
      </w:r>
      <w:r>
        <w:rPr>
          <w:rFonts w:hint="eastAsia" w:ascii="宋体" w:hAnsi="宋体" w:cs="宋体"/>
          <w:bCs/>
          <w:sz w:val="24"/>
          <w:highlight w:val="none"/>
          <w:u w:val="single"/>
        </w:rPr>
        <w:t>（项目名称）</w:t>
      </w:r>
      <w:r>
        <w:rPr>
          <w:rFonts w:hint="eastAsia" w:ascii="宋体" w:hAnsi="宋体" w:cs="宋体"/>
          <w:bCs/>
          <w:sz w:val="24"/>
          <w:highlight w:val="none"/>
        </w:rPr>
        <w:t xml:space="preserve">采购活动，提供的货物全部由符合政策要求的中小企业制造。相关企业的具体情况如下： </w:t>
      </w:r>
    </w:p>
    <w:p>
      <w:pPr>
        <w:ind w:firstLine="480" w:firstLineChars="200"/>
        <w:jc w:val="left"/>
        <w:rPr>
          <w:rFonts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（标的名称）</w:t>
      </w:r>
      <w:r>
        <w:rPr>
          <w:rFonts w:hint="eastAsia" w:ascii="宋体" w:hAnsi="宋体" w:cs="宋体"/>
          <w:bCs/>
          <w:sz w:val="24"/>
          <w:highlight w:val="none"/>
        </w:rPr>
        <w:t>，属于</w:t>
      </w:r>
      <w:r>
        <w:rPr>
          <w:rFonts w:hint="eastAsia" w:ascii="宋体" w:hAnsi="宋体" w:cs="宋体"/>
          <w:bCs/>
          <w:sz w:val="24"/>
          <w:highlight w:val="none"/>
          <w:u w:val="single"/>
        </w:rPr>
        <w:t>（采购文件中明确的所属行业）</w:t>
      </w:r>
      <w:r>
        <w:rPr>
          <w:rFonts w:hint="eastAsia" w:ascii="宋体" w:hAnsi="宋体" w:cs="宋体"/>
          <w:bCs/>
          <w:sz w:val="24"/>
          <w:highlight w:val="none"/>
        </w:rPr>
        <w:t>行业；制造商为</w:t>
      </w:r>
      <w:r>
        <w:rPr>
          <w:rFonts w:hint="eastAsia" w:ascii="宋体" w:hAnsi="宋体" w:cs="宋体"/>
          <w:bCs/>
          <w:sz w:val="24"/>
          <w:highlight w:val="none"/>
          <w:u w:val="single"/>
        </w:rPr>
        <w:t>（企业名称）</w:t>
      </w:r>
      <w:r>
        <w:rPr>
          <w:rFonts w:hint="eastAsia" w:ascii="宋体" w:hAnsi="宋体" w:cs="宋体"/>
          <w:bCs/>
          <w:sz w:val="24"/>
          <w:highlight w:val="none"/>
        </w:rPr>
        <w:t>，从业人员人，营业收入为万元，资产总额为万元</w:t>
      </w:r>
      <w:r>
        <w:rPr>
          <w:rStyle w:val="91"/>
          <w:rFonts w:hint="eastAsia" w:ascii="宋体" w:hAnsi="宋体" w:cs="宋体"/>
          <w:bCs/>
          <w:sz w:val="24"/>
          <w:highlight w:val="none"/>
        </w:rPr>
        <w:footnoteReference w:id="0"/>
      </w:r>
      <w:r>
        <w:rPr>
          <w:rFonts w:hint="eastAsia" w:ascii="宋体" w:hAnsi="宋体" w:cs="宋体"/>
          <w:bCs/>
          <w:sz w:val="24"/>
          <w:highlight w:val="none"/>
        </w:rPr>
        <w:t>，属于</w:t>
      </w:r>
      <w:r>
        <w:rPr>
          <w:rFonts w:hint="eastAsia" w:ascii="宋体" w:hAnsi="宋体" w:cs="宋体"/>
          <w:bCs/>
          <w:sz w:val="24"/>
          <w:highlight w:val="none"/>
          <w:u w:val="single"/>
        </w:rPr>
        <w:t>（中型企业、小型企业、微型企业）</w:t>
      </w:r>
      <w:r>
        <w:rPr>
          <w:rFonts w:hint="eastAsia" w:ascii="宋体" w:hAnsi="宋体" w:cs="宋体"/>
          <w:bCs/>
          <w:sz w:val="24"/>
          <w:highlight w:val="none"/>
        </w:rPr>
        <w:t>；</w:t>
      </w:r>
    </w:p>
    <w:p>
      <w:pPr>
        <w:ind w:firstLine="480" w:firstLineChars="200"/>
        <w:jc w:val="left"/>
        <w:rPr>
          <w:rFonts w:ascii="宋体" w:hAnsi="宋体" w:cs="宋体"/>
          <w:bCs/>
          <w:sz w:val="24"/>
          <w:highlight w:val="none"/>
        </w:rPr>
      </w:pPr>
      <w:r>
        <w:rPr>
          <w:rFonts w:hint="eastAsia" w:ascii="宋体" w:hAnsi="宋体" w:cs="宋体"/>
          <w:bCs/>
          <w:sz w:val="24"/>
          <w:highlight w:val="none"/>
        </w:rPr>
        <w:t>……</w:t>
      </w:r>
    </w:p>
    <w:p>
      <w:pPr>
        <w:ind w:firstLine="480" w:firstLineChars="200"/>
        <w:jc w:val="left"/>
        <w:rPr>
          <w:rFonts w:ascii="宋体" w:hAnsi="宋体" w:cs="宋体"/>
          <w:bCs/>
          <w:sz w:val="24"/>
          <w:highlight w:val="none"/>
        </w:rPr>
      </w:pPr>
      <w:r>
        <w:rPr>
          <w:rFonts w:hint="eastAsia" w:ascii="宋体" w:hAnsi="宋体" w:cs="宋体"/>
          <w:bCs/>
          <w:sz w:val="24"/>
          <w:highlight w:val="none"/>
        </w:rPr>
        <w:t>以上企业，不属于大企业的分支机构，不存在控股股东为大企业的情形，也不存在与大企业的负责人为同一人的情形。</w:t>
      </w:r>
    </w:p>
    <w:p>
      <w:pPr>
        <w:ind w:firstLine="480" w:firstLineChars="200"/>
        <w:jc w:val="left"/>
        <w:rPr>
          <w:rFonts w:ascii="宋体" w:hAnsi="宋体" w:cs="宋体"/>
          <w:bCs/>
          <w:sz w:val="24"/>
          <w:highlight w:val="none"/>
        </w:rPr>
      </w:pPr>
      <w:r>
        <w:rPr>
          <w:rFonts w:hint="eastAsia" w:ascii="宋体" w:hAnsi="宋体" w:cs="宋体"/>
          <w:bCs/>
          <w:sz w:val="24"/>
          <w:highlight w:val="none"/>
        </w:rPr>
        <w:t xml:space="preserve">本企业对上述声明内容的真实性负责。如有虚假，将依法承担相应责任。 </w:t>
      </w:r>
    </w:p>
    <w:p>
      <w:pPr>
        <w:jc w:val="left"/>
        <w:rPr>
          <w:rFonts w:ascii="宋体" w:hAnsi="宋体" w:cs="宋体"/>
          <w:bCs/>
          <w:sz w:val="24"/>
          <w:highlight w:val="none"/>
        </w:rPr>
      </w:pPr>
    </w:p>
    <w:p>
      <w:pPr>
        <w:ind w:firstLine="4800" w:firstLineChars="2000"/>
        <w:jc w:val="left"/>
        <w:rPr>
          <w:rFonts w:ascii="宋体" w:hAnsi="宋体" w:cs="宋体"/>
          <w:bCs/>
          <w:sz w:val="24"/>
          <w:highlight w:val="none"/>
        </w:rPr>
      </w:pPr>
      <w:r>
        <w:rPr>
          <w:rFonts w:hint="eastAsia" w:ascii="宋体" w:hAnsi="宋体" w:cs="宋体"/>
          <w:bCs/>
          <w:sz w:val="24"/>
          <w:highlight w:val="none"/>
        </w:rPr>
        <w:t>企业名称（盖章）：</w:t>
      </w:r>
    </w:p>
    <w:p>
      <w:pPr>
        <w:ind w:firstLine="4800" w:firstLineChars="2000"/>
        <w:jc w:val="left"/>
        <w:rPr>
          <w:rFonts w:ascii="宋体" w:hAnsi="宋体" w:cs="宋体"/>
          <w:sz w:val="24"/>
          <w:highlight w:val="none"/>
        </w:rPr>
      </w:pPr>
      <w:r>
        <w:rPr>
          <w:rFonts w:hint="eastAsia" w:ascii="宋体" w:hAnsi="宋体" w:cs="宋体"/>
          <w:bCs/>
          <w:sz w:val="24"/>
          <w:highlight w:val="none"/>
        </w:rPr>
        <w:t>日    期：</w:t>
      </w:r>
    </w:p>
    <w:p>
      <w:pPr>
        <w:pStyle w:val="37"/>
        <w:snapToGrid w:val="0"/>
        <w:rPr>
          <w:rFonts w:hAnsi="宋体" w:cs="宋体"/>
          <w:highlight w:val="none"/>
          <w:u w:val="single"/>
        </w:rPr>
      </w:pPr>
      <w:bookmarkStart w:id="18" w:name="_Hlk77602961"/>
      <w:r>
        <w:rPr>
          <w:rFonts w:hint="eastAsia" w:hAnsi="宋体" w:cs="宋体"/>
          <w:highlight w:val="none"/>
          <w:u w:val="single"/>
        </w:rPr>
        <w:t>填表说明：</w:t>
      </w:r>
    </w:p>
    <w:p>
      <w:pPr>
        <w:pStyle w:val="37"/>
        <w:snapToGrid w:val="0"/>
        <w:rPr>
          <w:rFonts w:hAnsi="宋体" w:cs="宋体"/>
          <w:highlight w:val="none"/>
          <w:u w:val="single"/>
        </w:rPr>
      </w:pPr>
      <w:r>
        <w:rPr>
          <w:rFonts w:hint="eastAsia" w:hAnsi="宋体" w:cs="宋体"/>
          <w:highlight w:val="none"/>
          <w:u w:val="single"/>
        </w:rPr>
        <w:t>1、标的设备分别由不同制造商制造的，请按序号填写齐全所有标的设备制造商的信息。</w:t>
      </w:r>
    </w:p>
    <w:p>
      <w:pPr>
        <w:pStyle w:val="37"/>
        <w:snapToGrid w:val="0"/>
        <w:rPr>
          <w:rFonts w:hAnsi="宋体" w:cs="宋体"/>
          <w:highlight w:val="none"/>
          <w:u w:val="single"/>
        </w:rPr>
      </w:pPr>
      <w:r>
        <w:rPr>
          <w:rFonts w:hint="eastAsia" w:hAnsi="宋体" w:cs="宋体"/>
          <w:highlight w:val="none"/>
          <w:u w:val="single"/>
        </w:rPr>
        <w:t>2、从业人员、营业收入、资产总额填报上一年度数据，无上一年度数据的新成立企业可不填报。</w:t>
      </w:r>
    </w:p>
    <w:p>
      <w:pPr>
        <w:pStyle w:val="37"/>
        <w:snapToGrid w:val="0"/>
        <w:rPr>
          <w:rFonts w:hAnsi="宋体" w:cs="宋体"/>
          <w:highlight w:val="none"/>
          <w:u w:val="single"/>
        </w:rPr>
      </w:pPr>
      <w:r>
        <w:rPr>
          <w:rFonts w:hint="eastAsia" w:hAnsi="宋体" w:cs="宋体"/>
          <w:highlight w:val="none"/>
          <w:u w:val="single"/>
        </w:rPr>
        <w:t>3、为了更加准确判定制造商是否为小微企业，请供应商根据工业和信息化部官方网站---中小企业规模类型自测小程序来辨别制造商企业规模类型，中小企业规模类型自测小程序链接网址为</w:t>
      </w:r>
    </w:p>
    <w:p>
      <w:pPr>
        <w:pStyle w:val="37"/>
        <w:snapToGrid w:val="0"/>
        <w:rPr>
          <w:rFonts w:hAnsi="宋体" w:cs="宋体"/>
          <w:highlight w:val="none"/>
          <w:u w:val="single"/>
        </w:rPr>
      </w:pPr>
      <w:r>
        <w:rPr>
          <w:rFonts w:hint="eastAsia" w:hAnsi="宋体" w:cs="宋体"/>
          <w:highlight w:val="none"/>
          <w:u w:val="single"/>
        </w:rPr>
        <w:t>http://202.106.1</w:t>
      </w:r>
      <w:r>
        <w:rPr>
          <w:rFonts w:hint="eastAsia" w:hAnsi="宋体" w:cs="宋体"/>
          <w:highlight w:val="none"/>
          <w:u w:val="single"/>
          <w:lang w:val="en-US" w:eastAsia="zh-CN"/>
        </w:rPr>
        <w:t>2</w:t>
      </w:r>
      <w:r>
        <w:rPr>
          <w:rFonts w:hint="eastAsia" w:hAnsi="宋体" w:cs="宋体"/>
          <w:highlight w:val="none"/>
          <w:u w:val="single"/>
        </w:rPr>
        <w:t>0.146/baosong/appweb/orgScale.html</w:t>
      </w:r>
    </w:p>
    <w:p>
      <w:pPr>
        <w:pStyle w:val="37"/>
        <w:snapToGrid w:val="0"/>
        <w:rPr>
          <w:rFonts w:hAnsi="宋体" w:cs="宋体"/>
          <w:highlight w:val="none"/>
          <w:u w:val="single"/>
        </w:rPr>
      </w:pPr>
      <w:r>
        <w:rPr>
          <w:rFonts w:hint="eastAsia" w:hAnsi="宋体" w:cs="宋体"/>
          <w:highlight w:val="none"/>
          <w:u w:val="single"/>
        </w:rPr>
        <w:t>4、供应商未提供《中小企业声明函》的、《中小企业声明函》中内容应填写而未进行填写或未如实填写的，将不给予供应商小微企业报价优惠扣除。</w:t>
      </w:r>
    </w:p>
    <w:p>
      <w:pPr>
        <w:pStyle w:val="37"/>
        <w:snapToGrid w:val="0"/>
        <w:rPr>
          <w:rFonts w:hAnsi="宋体" w:cs="宋体"/>
          <w:highlight w:val="none"/>
          <w:u w:val="single"/>
        </w:rPr>
      </w:pPr>
      <w:r>
        <w:rPr>
          <w:rFonts w:hint="eastAsia" w:hAnsi="宋体" w:cs="宋体"/>
          <w:highlight w:val="none"/>
          <w:u w:val="single"/>
        </w:rPr>
        <w:t>5、如国家对中小企业划型标准有新的规定的，从其规定。</w:t>
      </w:r>
    </w:p>
    <w:bookmarkEnd w:id="18"/>
    <w:p>
      <w:pPr>
        <w:pStyle w:val="37"/>
        <w:outlineLvl w:val="1"/>
        <w:rPr>
          <w:rFonts w:hAnsi="宋体" w:cs="宋体"/>
          <w:highlight w:val="none"/>
          <w:lang w:val="en-GB"/>
        </w:rPr>
      </w:pPr>
      <w:r>
        <w:rPr>
          <w:rFonts w:hint="eastAsia"/>
          <w:highlight w:val="none"/>
        </w:rPr>
        <w:br w:type="page"/>
      </w:r>
      <w:r>
        <w:rPr>
          <w:rFonts w:hint="eastAsia"/>
          <w:highlight w:val="none"/>
        </w:rPr>
        <w:t xml:space="preserve">                          </w:t>
      </w:r>
      <w:r>
        <w:rPr>
          <w:rFonts w:hint="eastAsia"/>
          <w:sz w:val="32"/>
          <w:szCs w:val="32"/>
          <w:highlight w:val="none"/>
        </w:rPr>
        <w:t xml:space="preserve"> </w:t>
      </w:r>
      <w:r>
        <w:rPr>
          <w:rFonts w:hint="eastAsia"/>
          <w:b/>
          <w:bCs/>
          <w:sz w:val="32"/>
          <w:szCs w:val="32"/>
          <w:highlight w:val="none"/>
          <w:lang w:val="en-GB"/>
        </w:rPr>
        <w:t>残疾人福利性单位声明函</w:t>
      </w:r>
    </w:p>
    <w:p>
      <w:pPr>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tabs>
          <w:tab w:val="left" w:pos="4860"/>
        </w:tabs>
        <w:ind w:right="1560" w:firstLine="504" w:firstLineChars="200"/>
        <w:jc w:val="center"/>
        <w:rPr>
          <w:rFonts w:ascii="宋体" w:hAnsi="宋体" w:cs="宋体"/>
          <w:spacing w:val="6"/>
          <w:sz w:val="24"/>
          <w:highlight w:val="none"/>
        </w:rPr>
      </w:pPr>
    </w:p>
    <w:p>
      <w:pPr>
        <w:tabs>
          <w:tab w:val="left" w:pos="4860"/>
        </w:tabs>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单位名称（盖章）：</w:t>
      </w:r>
    </w:p>
    <w:p>
      <w:pPr>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693"/>
        <w:spacing w:line="360" w:lineRule="auto"/>
        <w:rPr>
          <w:rFonts w:ascii="宋体"/>
          <w:b/>
          <w:sz w:val="28"/>
          <w:szCs w:val="28"/>
          <w:highlight w:val="none"/>
        </w:rPr>
      </w:pPr>
    </w:p>
    <w:p>
      <w:pPr>
        <w:rPr>
          <w:rFonts w:ascii="宋体" w:hAnsi="宋体"/>
          <w:b/>
          <w:highlight w:val="none"/>
        </w:rPr>
      </w:pPr>
    </w:p>
    <w:p>
      <w:pPr>
        <w:pStyle w:val="2"/>
        <w:rPr>
          <w:rFonts w:hAnsi="宋体"/>
          <w:b/>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56"/>
        <w:rPr>
          <w:highlight w:val="none"/>
        </w:rPr>
      </w:pPr>
    </w:p>
    <w:p>
      <w:pPr>
        <w:pStyle w:val="74"/>
        <w:tabs>
          <w:tab w:val="left" w:pos="574"/>
        </w:tabs>
        <w:ind w:firstLine="281"/>
        <w:rPr>
          <w:rFonts w:hAnsi="宋体"/>
          <w:b/>
          <w:sz w:val="28"/>
          <w:highlight w:val="none"/>
        </w:rPr>
      </w:pPr>
    </w:p>
    <w:p>
      <w:pPr>
        <w:pStyle w:val="74"/>
        <w:tabs>
          <w:tab w:val="left" w:pos="574"/>
        </w:tabs>
        <w:ind w:firstLine="281"/>
        <w:rPr>
          <w:rFonts w:hAnsi="宋体"/>
          <w:b/>
          <w:sz w:val="28"/>
          <w:highlight w:val="none"/>
        </w:rPr>
      </w:pPr>
    </w:p>
    <w:p>
      <w:pPr>
        <w:pStyle w:val="56"/>
        <w:ind w:left="0" w:leftChars="0"/>
        <w:rPr>
          <w:highlight w:val="none"/>
        </w:rPr>
      </w:pPr>
    </w:p>
    <w:p>
      <w:pPr>
        <w:rPr>
          <w:highlight w:val="none"/>
        </w:rPr>
      </w:pPr>
    </w:p>
    <w:p>
      <w:pPr>
        <w:pStyle w:val="693"/>
        <w:snapToGrid w:val="0"/>
        <w:spacing w:line="360" w:lineRule="auto"/>
        <w:rPr>
          <w:rFonts w:ascii="宋体" w:hAnsi="宋体"/>
          <w:b/>
          <w:sz w:val="28"/>
          <w:szCs w:val="28"/>
          <w:highlight w:val="none"/>
        </w:rPr>
      </w:pPr>
      <w:r>
        <w:rPr>
          <w:rFonts w:hint="eastAsia" w:ascii="宋体" w:hAnsi="宋体"/>
          <w:b/>
          <w:sz w:val="28"/>
          <w:szCs w:val="28"/>
          <w:highlight w:val="none"/>
        </w:rPr>
        <w:t xml:space="preserve">附件 </w:t>
      </w:r>
    </w:p>
    <w:p>
      <w:pPr>
        <w:pStyle w:val="289"/>
        <w:snapToGrid w:val="0"/>
        <w:spacing w:after="156" w:line="480" w:lineRule="exact"/>
        <w:ind w:firstLine="482" w:firstLineChars="200"/>
        <w:rPr>
          <w:rFonts w:hAnsi="宋体" w:cs="宋体"/>
          <w:b/>
          <w:sz w:val="24"/>
          <w:szCs w:val="24"/>
          <w:highlight w:val="none"/>
          <w:lang w:val="en-GB"/>
        </w:rPr>
      </w:pPr>
      <w:r>
        <w:rPr>
          <w:rFonts w:hint="eastAsia" w:hAnsi="宋体" w:cs="宋体"/>
          <w:b/>
          <w:sz w:val="24"/>
          <w:szCs w:val="24"/>
          <w:highlight w:val="none"/>
        </w:rPr>
        <w:t>(参加本项目采购活动的供应商须填写“政府采购活动现场确认声明书”，并在开标后30分钟内将扫描件发送至代理机构邮箱464178749@qq.com)</w:t>
      </w:r>
    </w:p>
    <w:p>
      <w:pPr>
        <w:snapToGrid w:val="0"/>
        <w:spacing w:before="156" w:beforeLines="50" w:after="50"/>
        <w:jc w:val="center"/>
        <w:rPr>
          <w:rFonts w:ascii="宋体" w:hAnsi="宋体"/>
          <w:b/>
          <w:sz w:val="24"/>
          <w:highlight w:val="none"/>
        </w:rPr>
      </w:pPr>
      <w:r>
        <w:rPr>
          <w:rFonts w:ascii="宋体" w:hAnsi="宋体"/>
          <w:b/>
          <w:sz w:val="24"/>
          <w:highlight w:val="none"/>
        </w:rPr>
        <w:t>政府采购活动现场确认声明书</w:t>
      </w:r>
    </w:p>
    <w:p>
      <w:pPr>
        <w:pStyle w:val="289"/>
        <w:tabs>
          <w:tab w:val="left" w:pos="8231"/>
        </w:tabs>
        <w:snapToGrid w:val="0"/>
        <w:rPr>
          <w:rFonts w:hAnsi="宋体" w:cs="宋体"/>
          <w:b/>
          <w:sz w:val="24"/>
          <w:szCs w:val="24"/>
          <w:highlight w:val="none"/>
        </w:rPr>
      </w:pPr>
      <w:r>
        <w:rPr>
          <w:rFonts w:hint="eastAsia" w:hAnsi="宋体" w:cs="宋体"/>
          <w:sz w:val="24"/>
          <w:szCs w:val="24"/>
          <w:highlight w:val="none"/>
          <w:u w:val="single"/>
        </w:rPr>
        <w:t xml:space="preserve"> 建经投资咨询有限公司 </w:t>
      </w:r>
      <w:r>
        <w:rPr>
          <w:rFonts w:hint="eastAsia" w:hAnsi="宋体" w:cs="宋体"/>
          <w:sz w:val="24"/>
          <w:szCs w:val="24"/>
          <w:highlight w:val="none"/>
        </w:rPr>
        <w:t>（采购组织机构名称）：</w:t>
      </w:r>
      <w:r>
        <w:rPr>
          <w:rFonts w:hint="eastAsia" w:hAnsi="宋体" w:cs="宋体"/>
          <w:sz w:val="24"/>
          <w:szCs w:val="24"/>
          <w:highlight w:val="none"/>
        </w:rPr>
        <w:tab/>
      </w:r>
    </w:p>
    <w:p>
      <w:pPr>
        <w:pStyle w:val="289"/>
        <w:snapToGrid w:val="0"/>
        <w:ind w:firstLine="504" w:firstLineChars="200"/>
        <w:rPr>
          <w:rFonts w:hAnsi="宋体" w:cs="宋体"/>
          <w:spacing w:val="6"/>
          <w:sz w:val="24"/>
          <w:szCs w:val="24"/>
          <w:highlight w:val="none"/>
        </w:rPr>
      </w:pPr>
      <w:r>
        <w:rPr>
          <w:rFonts w:hint="eastAsia" w:hAnsi="宋体" w:cs="宋体"/>
          <w:spacing w:val="6"/>
          <w:sz w:val="24"/>
          <w:szCs w:val="24"/>
          <w:highlight w:val="none"/>
        </w:rPr>
        <w:t>本人经由</w:t>
      </w:r>
      <w:r>
        <w:rPr>
          <w:rFonts w:hint="eastAsia" w:hAnsi="宋体" w:cs="宋体"/>
          <w:spacing w:val="6"/>
          <w:sz w:val="24"/>
          <w:szCs w:val="24"/>
          <w:highlight w:val="none"/>
          <w:u w:val="single"/>
        </w:rPr>
        <w:t xml:space="preserve">                  （单位）</w:t>
      </w:r>
      <w:r>
        <w:rPr>
          <w:rFonts w:hint="eastAsia" w:hAnsi="宋体" w:cs="宋体"/>
          <w:spacing w:val="6"/>
          <w:sz w:val="24"/>
          <w:szCs w:val="24"/>
          <w:highlight w:val="none"/>
        </w:rPr>
        <w:t>负责人</w:t>
      </w:r>
      <w:r>
        <w:rPr>
          <w:rFonts w:hint="eastAsia" w:hAnsi="宋体" w:cs="宋体"/>
          <w:spacing w:val="6"/>
          <w:sz w:val="24"/>
          <w:szCs w:val="24"/>
          <w:highlight w:val="none"/>
          <w:u w:val="single"/>
        </w:rPr>
        <w:t xml:space="preserve">        （姓名）</w:t>
      </w:r>
      <w:r>
        <w:rPr>
          <w:rFonts w:hint="eastAsia" w:hAnsi="宋体" w:cs="宋体"/>
          <w:spacing w:val="6"/>
          <w:sz w:val="24"/>
          <w:szCs w:val="24"/>
          <w:highlight w:val="none"/>
        </w:rPr>
        <w:t>合法授权参加</w:t>
      </w:r>
      <w:r>
        <w:rPr>
          <w:rFonts w:hint="eastAsia" w:hAnsi="宋体" w:cs="宋体"/>
          <w:bCs/>
          <w:spacing w:val="6"/>
          <w:sz w:val="24"/>
          <w:szCs w:val="24"/>
          <w:highlight w:val="none"/>
          <w:u w:val="single"/>
        </w:rPr>
        <w:t xml:space="preserve">           </w:t>
      </w:r>
      <w:r>
        <w:rPr>
          <w:rFonts w:hint="eastAsia" w:hAnsi="宋体" w:cs="宋体"/>
          <w:spacing w:val="6"/>
          <w:sz w:val="24"/>
          <w:szCs w:val="24"/>
          <w:highlight w:val="none"/>
        </w:rPr>
        <w:t>（编号：</w:t>
      </w:r>
      <w:r>
        <w:rPr>
          <w:rFonts w:hint="eastAsia" w:hAnsi="宋体" w:cs="宋体"/>
          <w:sz w:val="24"/>
          <w:szCs w:val="24"/>
          <w:highlight w:val="none"/>
          <w:u w:val="single"/>
        </w:rPr>
        <w:t xml:space="preserve">            </w:t>
      </w:r>
      <w:r>
        <w:rPr>
          <w:rFonts w:hint="eastAsia" w:hAnsi="宋体" w:cs="宋体"/>
          <w:spacing w:val="6"/>
          <w:sz w:val="24"/>
          <w:szCs w:val="24"/>
          <w:highlight w:val="none"/>
        </w:rPr>
        <w:t xml:space="preserve">）政府采购活动，经与本单位法人代表（负责人）联系确认，现就有关公平竞争事项郑重声明如下： </w:t>
      </w:r>
    </w:p>
    <w:p>
      <w:pPr>
        <w:pStyle w:val="232"/>
        <w:numPr>
          <w:ilvl w:val="0"/>
          <w:numId w:val="34"/>
        </w:numPr>
        <w:snapToGrid w:val="0"/>
        <w:ind w:firstLine="453" w:firstLineChars="189"/>
        <w:rPr>
          <w:rFonts w:cs="宋体"/>
          <w:sz w:val="24"/>
          <w:szCs w:val="24"/>
          <w:highlight w:val="none"/>
        </w:rPr>
      </w:pPr>
      <w:r>
        <w:rPr>
          <w:rFonts w:cs="宋体"/>
          <w:sz w:val="24"/>
          <w:szCs w:val="24"/>
          <w:highlight w:val="none"/>
        </w:rPr>
        <w:t>本单位与采购人之间 □不存在利害关系 □存在下列利害关系</w:t>
      </w:r>
      <w:r>
        <w:rPr>
          <w:rFonts w:cs="宋体"/>
          <w:sz w:val="24"/>
          <w:szCs w:val="24"/>
          <w:highlight w:val="none"/>
          <w:u w:val="single"/>
        </w:rPr>
        <w:t xml:space="preserve">           </w:t>
      </w:r>
      <w:r>
        <w:rPr>
          <w:rFonts w:cs="宋体"/>
          <w:sz w:val="24"/>
          <w:szCs w:val="24"/>
          <w:highlight w:val="none"/>
        </w:rPr>
        <w:t>：</w:t>
      </w:r>
    </w:p>
    <w:p>
      <w:pPr>
        <w:pStyle w:val="232"/>
        <w:snapToGrid w:val="0"/>
        <w:rPr>
          <w:rFonts w:cs="宋体"/>
          <w:sz w:val="24"/>
          <w:szCs w:val="24"/>
          <w:highlight w:val="none"/>
        </w:rPr>
      </w:pPr>
      <w:r>
        <w:rPr>
          <w:rFonts w:cs="宋体"/>
          <w:sz w:val="24"/>
          <w:szCs w:val="24"/>
          <w:highlight w:val="none"/>
        </w:rPr>
        <w:t xml:space="preserve">  A.投资关系    B.行政隶属关系    C.业务指导关系</w:t>
      </w:r>
    </w:p>
    <w:p>
      <w:pPr>
        <w:pStyle w:val="232"/>
        <w:snapToGrid w:val="0"/>
        <w:rPr>
          <w:rFonts w:cs="宋体"/>
          <w:sz w:val="24"/>
          <w:szCs w:val="24"/>
          <w:highlight w:val="none"/>
        </w:rPr>
      </w:pPr>
      <w:r>
        <w:rPr>
          <w:rFonts w:cs="宋体"/>
          <w:sz w:val="24"/>
          <w:szCs w:val="24"/>
          <w:highlight w:val="none"/>
        </w:rPr>
        <w:t xml:space="preserve">  D.其他可能影响采购公正的利害关系</w:t>
      </w:r>
      <w:r>
        <w:rPr>
          <w:rFonts w:cs="宋体"/>
          <w:sz w:val="24"/>
          <w:szCs w:val="24"/>
          <w:highlight w:val="none"/>
          <w:u w:val="single"/>
        </w:rPr>
        <w:t xml:space="preserve">（如有，请如实说明）                 </w:t>
      </w:r>
      <w:r>
        <w:rPr>
          <w:rFonts w:cs="宋体"/>
          <w:sz w:val="24"/>
          <w:szCs w:val="24"/>
          <w:highlight w:val="none"/>
        </w:rPr>
        <w:t>。</w:t>
      </w:r>
    </w:p>
    <w:p>
      <w:pPr>
        <w:pStyle w:val="232"/>
        <w:snapToGrid w:val="0"/>
        <w:rPr>
          <w:rFonts w:cs="宋体"/>
          <w:sz w:val="24"/>
          <w:szCs w:val="24"/>
          <w:highlight w:val="none"/>
        </w:rPr>
      </w:pPr>
      <w:r>
        <w:rPr>
          <w:rFonts w:cs="宋体"/>
          <w:spacing w:val="6"/>
          <w:sz w:val="24"/>
          <w:szCs w:val="24"/>
          <w:highlight w:val="none"/>
        </w:rPr>
        <w:t xml:space="preserve">  二、</w:t>
      </w:r>
      <w:r>
        <w:rPr>
          <w:rFonts w:cs="宋体"/>
          <w:sz w:val="24"/>
          <w:szCs w:val="24"/>
          <w:highlight w:val="none"/>
        </w:rPr>
        <w:t>现已清楚知道参加本项目采购活动的其他所有供应商名称，本单位 □与其他所有供应商之间均不存在利害关系 □与</w:t>
      </w:r>
      <w:r>
        <w:rPr>
          <w:rFonts w:cs="宋体"/>
          <w:sz w:val="24"/>
          <w:szCs w:val="24"/>
          <w:highlight w:val="none"/>
          <w:u w:val="single"/>
        </w:rPr>
        <w:t xml:space="preserve">           （供应商名称）</w:t>
      </w:r>
      <w:r>
        <w:rPr>
          <w:rFonts w:cs="宋体"/>
          <w:sz w:val="24"/>
          <w:szCs w:val="24"/>
          <w:highlight w:val="none"/>
        </w:rPr>
        <w:t>之间存在下列利害关系</w:t>
      </w:r>
      <w:r>
        <w:rPr>
          <w:rFonts w:cs="宋体"/>
          <w:sz w:val="24"/>
          <w:szCs w:val="24"/>
          <w:highlight w:val="none"/>
          <w:u w:val="single"/>
        </w:rPr>
        <w:t xml:space="preserve">          </w:t>
      </w:r>
      <w:r>
        <w:rPr>
          <w:rFonts w:cs="宋体"/>
          <w:sz w:val="24"/>
          <w:szCs w:val="24"/>
          <w:highlight w:val="none"/>
        </w:rPr>
        <w:t>：</w:t>
      </w:r>
    </w:p>
    <w:p>
      <w:pPr>
        <w:pStyle w:val="289"/>
        <w:snapToGrid w:val="0"/>
        <w:rPr>
          <w:rFonts w:hAnsi="宋体" w:cs="宋体"/>
          <w:sz w:val="24"/>
          <w:szCs w:val="24"/>
          <w:highlight w:val="none"/>
        </w:rPr>
      </w:pPr>
      <w:r>
        <w:rPr>
          <w:rFonts w:hint="eastAsia" w:hAnsi="宋体" w:cs="宋体"/>
          <w:sz w:val="24"/>
          <w:szCs w:val="24"/>
          <w:highlight w:val="none"/>
        </w:rPr>
        <w:t xml:space="preserve">  A.法定代表人或负责人或实际控制人是同一人</w:t>
      </w:r>
    </w:p>
    <w:p>
      <w:pPr>
        <w:pStyle w:val="289"/>
        <w:snapToGrid w:val="0"/>
        <w:rPr>
          <w:rFonts w:hAnsi="宋体" w:cs="宋体"/>
          <w:spacing w:val="6"/>
          <w:sz w:val="24"/>
          <w:szCs w:val="24"/>
          <w:highlight w:val="none"/>
        </w:rPr>
      </w:pPr>
      <w:r>
        <w:rPr>
          <w:rFonts w:hint="eastAsia" w:hAnsi="宋体" w:cs="宋体"/>
          <w:sz w:val="24"/>
          <w:szCs w:val="24"/>
          <w:highlight w:val="none"/>
        </w:rPr>
        <w:t xml:space="preserve">  B.法定代表人或负责人或实际控制人是夫妻关系</w:t>
      </w:r>
    </w:p>
    <w:p>
      <w:pPr>
        <w:pStyle w:val="289"/>
        <w:snapToGrid w:val="0"/>
        <w:rPr>
          <w:rFonts w:hAnsi="宋体" w:cs="宋体"/>
          <w:spacing w:val="6"/>
          <w:sz w:val="24"/>
          <w:szCs w:val="24"/>
          <w:highlight w:val="none"/>
        </w:rPr>
      </w:pPr>
      <w:r>
        <w:rPr>
          <w:rFonts w:hint="eastAsia" w:hAnsi="宋体" w:cs="宋体"/>
          <w:sz w:val="24"/>
          <w:szCs w:val="24"/>
          <w:highlight w:val="none"/>
        </w:rPr>
        <w:t xml:space="preserve">  C.法定代表人或负责人或实际控制人是直系血亲关系</w:t>
      </w:r>
    </w:p>
    <w:p>
      <w:pPr>
        <w:pStyle w:val="289"/>
        <w:snapToGrid w:val="0"/>
        <w:rPr>
          <w:rFonts w:hAnsi="宋体" w:cs="宋体"/>
          <w:spacing w:val="6"/>
          <w:sz w:val="24"/>
          <w:szCs w:val="24"/>
          <w:highlight w:val="none"/>
        </w:rPr>
      </w:pPr>
      <w:r>
        <w:rPr>
          <w:rFonts w:hint="eastAsia" w:hAnsi="宋体" w:cs="宋体"/>
          <w:sz w:val="24"/>
          <w:szCs w:val="24"/>
          <w:highlight w:val="none"/>
        </w:rPr>
        <w:t xml:space="preserve">  D.法定代表人或负责人或实际控制人存在三代以内旁系血亲关系</w:t>
      </w:r>
    </w:p>
    <w:p>
      <w:pPr>
        <w:pStyle w:val="289"/>
        <w:snapToGrid w:val="0"/>
        <w:rPr>
          <w:rFonts w:hAnsi="宋体" w:cs="宋体"/>
          <w:sz w:val="24"/>
          <w:szCs w:val="24"/>
          <w:highlight w:val="none"/>
        </w:rPr>
      </w:pPr>
      <w:r>
        <w:rPr>
          <w:rFonts w:hint="eastAsia" w:hAnsi="宋体" w:cs="宋体"/>
          <w:sz w:val="24"/>
          <w:szCs w:val="24"/>
          <w:highlight w:val="none"/>
        </w:rPr>
        <w:t xml:space="preserve">  E.法定代表人或负责人或实际控制人存在近姻亲关系</w:t>
      </w:r>
    </w:p>
    <w:p>
      <w:pPr>
        <w:pStyle w:val="289"/>
        <w:snapToGrid w:val="0"/>
        <w:rPr>
          <w:rFonts w:hAnsi="宋体" w:cs="宋体"/>
          <w:sz w:val="24"/>
          <w:szCs w:val="24"/>
          <w:highlight w:val="none"/>
        </w:rPr>
      </w:pPr>
      <w:r>
        <w:rPr>
          <w:rFonts w:hint="eastAsia" w:hAnsi="宋体" w:cs="宋体"/>
          <w:sz w:val="24"/>
          <w:szCs w:val="24"/>
          <w:highlight w:val="none"/>
        </w:rPr>
        <w:t xml:space="preserve">  F.法定代表人或负责人或实际控制人存在股份控制或实际控制关系</w:t>
      </w:r>
    </w:p>
    <w:p>
      <w:pPr>
        <w:pStyle w:val="289"/>
        <w:snapToGrid w:val="0"/>
        <w:rPr>
          <w:rFonts w:hAnsi="宋体" w:cs="宋体"/>
          <w:sz w:val="24"/>
          <w:szCs w:val="24"/>
          <w:highlight w:val="none"/>
        </w:rPr>
      </w:pPr>
      <w:r>
        <w:rPr>
          <w:rFonts w:hint="eastAsia" w:hAnsi="宋体" w:cs="宋体"/>
          <w:sz w:val="24"/>
          <w:szCs w:val="24"/>
          <w:highlight w:val="none"/>
        </w:rPr>
        <w:t xml:space="preserve">  </w:t>
      </w:r>
      <w:bookmarkStart w:id="19" w:name="_Toc20814"/>
      <w:r>
        <w:rPr>
          <w:rFonts w:hint="eastAsia" w:hAnsi="宋体" w:cs="宋体"/>
          <w:sz w:val="24"/>
          <w:szCs w:val="24"/>
          <w:highlight w:val="none"/>
        </w:rPr>
        <w:t>G.存在共同直接或间接投资设立子公司、联营企业和合营企业情况</w:t>
      </w:r>
      <w:bookmarkEnd w:id="19"/>
    </w:p>
    <w:p>
      <w:pPr>
        <w:pStyle w:val="289"/>
        <w:snapToGrid w:val="0"/>
        <w:rPr>
          <w:rFonts w:hAnsi="宋体" w:cs="宋体"/>
          <w:sz w:val="24"/>
          <w:szCs w:val="24"/>
          <w:highlight w:val="none"/>
        </w:rPr>
      </w:pPr>
      <w:r>
        <w:rPr>
          <w:rFonts w:hint="eastAsia" w:hAnsi="宋体" w:cs="宋体"/>
          <w:sz w:val="24"/>
          <w:szCs w:val="24"/>
          <w:highlight w:val="none"/>
        </w:rPr>
        <w:t xml:space="preserve">  H.存在分级代理或代销关系、同一生产制造商关系、管理关系、重要业务（占主营业务收入50%以上）或重要财务往来关系（如融资）等其他实质性控制关系</w:t>
      </w:r>
    </w:p>
    <w:p>
      <w:pPr>
        <w:pStyle w:val="289"/>
        <w:snapToGrid w:val="0"/>
        <w:rPr>
          <w:rFonts w:hAnsi="宋体" w:cs="宋体"/>
          <w:spacing w:val="6"/>
          <w:sz w:val="24"/>
          <w:szCs w:val="24"/>
          <w:highlight w:val="none"/>
        </w:rPr>
      </w:pPr>
      <w:r>
        <w:rPr>
          <w:rFonts w:hint="eastAsia" w:hAnsi="宋体" w:cs="宋体"/>
          <w:sz w:val="24"/>
          <w:szCs w:val="24"/>
          <w:highlight w:val="none"/>
        </w:rPr>
        <w:t xml:space="preserve">    I.其他利害关系情况</w:t>
      </w:r>
      <w:r>
        <w:rPr>
          <w:rFonts w:hint="eastAsia" w:hAnsi="宋体" w:cs="宋体"/>
          <w:sz w:val="24"/>
          <w:szCs w:val="24"/>
          <w:highlight w:val="none"/>
          <w:u w:val="single"/>
        </w:rPr>
        <w:t xml:space="preserve">                              </w:t>
      </w:r>
      <w:r>
        <w:rPr>
          <w:rFonts w:hint="eastAsia" w:hAnsi="宋体" w:cs="宋体"/>
          <w:sz w:val="24"/>
          <w:szCs w:val="24"/>
          <w:highlight w:val="none"/>
        </w:rPr>
        <w:t>。</w:t>
      </w:r>
    </w:p>
    <w:p>
      <w:pPr>
        <w:pStyle w:val="232"/>
        <w:numPr>
          <w:ilvl w:val="0"/>
          <w:numId w:val="35"/>
        </w:numPr>
        <w:snapToGrid w:val="0"/>
        <w:ind w:firstLine="453" w:firstLineChars="189"/>
        <w:rPr>
          <w:rFonts w:cs="宋体"/>
          <w:sz w:val="24"/>
          <w:szCs w:val="24"/>
          <w:highlight w:val="none"/>
        </w:rPr>
      </w:pPr>
      <w:r>
        <w:rPr>
          <w:rFonts w:cs="宋体"/>
          <w:sz w:val="24"/>
          <w:szCs w:val="24"/>
          <w:highlight w:val="none"/>
        </w:rPr>
        <w:t>现已清楚知道并严格遵守政府采购法律法规和现场纪律。</w:t>
      </w:r>
    </w:p>
    <w:p>
      <w:pPr>
        <w:pStyle w:val="232"/>
        <w:numPr>
          <w:ilvl w:val="0"/>
          <w:numId w:val="35"/>
        </w:numPr>
        <w:snapToGrid w:val="0"/>
        <w:ind w:firstLine="453" w:firstLineChars="189"/>
        <w:rPr>
          <w:rFonts w:cs="宋体"/>
          <w:sz w:val="24"/>
          <w:szCs w:val="24"/>
          <w:highlight w:val="none"/>
        </w:rPr>
      </w:pPr>
      <w:r>
        <w:rPr>
          <w:rFonts w:cs="宋体"/>
          <w:sz w:val="24"/>
          <w:szCs w:val="24"/>
          <w:highlight w:val="none"/>
        </w:rPr>
        <w:t>我发现</w:t>
      </w:r>
      <w:r>
        <w:rPr>
          <w:rFonts w:cs="宋体"/>
          <w:sz w:val="24"/>
          <w:szCs w:val="24"/>
          <w:highlight w:val="none"/>
          <w:u w:val="single"/>
        </w:rPr>
        <w:t xml:space="preserve">                    </w:t>
      </w:r>
      <w:r>
        <w:rPr>
          <w:rFonts w:cs="宋体"/>
          <w:sz w:val="24"/>
          <w:szCs w:val="24"/>
          <w:highlight w:val="none"/>
        </w:rPr>
        <w:t>供应商之间存在或可能存在上述第二条第</w:t>
      </w:r>
      <w:r>
        <w:rPr>
          <w:rFonts w:cs="宋体"/>
          <w:sz w:val="24"/>
          <w:szCs w:val="24"/>
          <w:highlight w:val="none"/>
          <w:u w:val="single"/>
        </w:rPr>
        <w:t xml:space="preserve">        </w:t>
      </w:r>
      <w:r>
        <w:rPr>
          <w:rFonts w:cs="宋体"/>
          <w:sz w:val="24"/>
          <w:szCs w:val="24"/>
          <w:highlight w:val="none"/>
        </w:rPr>
        <w:t>项利害关系</w:t>
      </w:r>
      <w:r>
        <w:rPr>
          <w:rFonts w:hint="eastAsia" w:cs="宋体"/>
          <w:sz w:val="24"/>
          <w:szCs w:val="24"/>
          <w:highlight w:val="none"/>
        </w:rPr>
        <w:t xml:space="preserve">             （供应商代表签名）                         </w:t>
      </w:r>
    </w:p>
    <w:p>
      <w:pPr>
        <w:pStyle w:val="289"/>
        <w:snapToGrid w:val="0"/>
        <w:ind w:firstLine="480" w:firstLineChars="200"/>
        <w:jc w:val="right"/>
        <w:rPr>
          <w:rFonts w:hAnsi="宋体" w:cs="宋体"/>
          <w:sz w:val="24"/>
          <w:szCs w:val="24"/>
          <w:highlight w:val="none"/>
        </w:rPr>
      </w:pPr>
      <w:r>
        <w:rPr>
          <w:rFonts w:hint="eastAsia" w:hAnsi="宋体" w:cs="宋体"/>
          <w:sz w:val="24"/>
          <w:szCs w:val="24"/>
          <w:highlight w:val="none"/>
        </w:rPr>
        <w:t xml:space="preserve">      年   月   日</w:t>
      </w:r>
    </w:p>
    <w:p>
      <w:pPr>
        <w:jc w:val="center"/>
        <w:rPr>
          <w:rFonts w:ascii="宋体"/>
          <w:sz w:val="30"/>
          <w:szCs w:val="30"/>
          <w:highlight w:val="none"/>
          <w:lang w:val="zh-CN"/>
        </w:rPr>
      </w:pPr>
      <w:r>
        <w:rPr>
          <w:rFonts w:hint="eastAsia" w:ascii="宋体" w:hAnsi="宋体"/>
          <w:sz w:val="36"/>
          <w:szCs w:val="36"/>
          <w:highlight w:val="none"/>
        </w:rPr>
        <w:t>第五部分</w:t>
      </w:r>
      <w:r>
        <w:rPr>
          <w:rFonts w:ascii="宋体" w:hAnsi="宋体"/>
          <w:sz w:val="36"/>
          <w:szCs w:val="36"/>
          <w:highlight w:val="none"/>
        </w:rPr>
        <w:t xml:space="preserve">  </w:t>
      </w:r>
      <w:r>
        <w:rPr>
          <w:rFonts w:hint="eastAsia" w:ascii="宋体" w:hAnsi="宋体"/>
          <w:sz w:val="36"/>
          <w:szCs w:val="36"/>
          <w:highlight w:val="none"/>
        </w:rPr>
        <w:t>采购合同</w:t>
      </w:r>
    </w:p>
    <w:p>
      <w:pPr>
        <w:pStyle w:val="37"/>
        <w:snapToGrid w:val="0"/>
        <w:jc w:val="center"/>
        <w:rPr>
          <w:rFonts w:hAnsi="宋体"/>
          <w:bCs/>
          <w:szCs w:val="21"/>
          <w:highlight w:val="none"/>
        </w:rPr>
      </w:pPr>
      <w:r>
        <w:rPr>
          <w:rFonts w:hint="eastAsia" w:hAnsi="宋体"/>
          <w:bCs/>
          <w:szCs w:val="21"/>
          <w:highlight w:val="none"/>
        </w:rPr>
        <w:t>（此稿为合同样本，最终定稿待双方协商后定）</w:t>
      </w:r>
    </w:p>
    <w:p>
      <w:pPr>
        <w:widowControl/>
        <w:shd w:val="clear" w:color="auto" w:fill="FFFFFF"/>
        <w:spacing w:after="150"/>
        <w:ind w:firstLine="480"/>
        <w:jc w:val="left"/>
        <w:rPr>
          <w:rFonts w:ascii="宋体"/>
          <w:sz w:val="24"/>
          <w:highlight w:val="none"/>
        </w:rPr>
      </w:pPr>
      <w:r>
        <w:rPr>
          <w:rFonts w:hint="eastAsia" w:ascii="宋体" w:hAnsi="宋体"/>
          <w:sz w:val="24"/>
          <w:highlight w:val="none"/>
        </w:rPr>
        <w:t>以下为成交后签定本项目合同的通用条款，成交供应商不得提出实质性的修改，关于专用条款将由采购人与成交供应商结合本项目具体情况协商后签订。</w:t>
      </w:r>
    </w:p>
    <w:p>
      <w:pPr>
        <w:pStyle w:val="37"/>
        <w:snapToGrid w:val="0"/>
        <w:spacing w:before="120" w:after="120"/>
        <w:rPr>
          <w:rFonts w:hAnsi="宋体"/>
          <w:kern w:val="2"/>
          <w:sz w:val="24"/>
          <w:szCs w:val="24"/>
          <w:highlight w:val="none"/>
        </w:rPr>
      </w:pPr>
      <w:r>
        <w:rPr>
          <w:rFonts w:hint="eastAsia" w:hAnsi="宋体"/>
          <w:kern w:val="2"/>
          <w:sz w:val="24"/>
          <w:szCs w:val="24"/>
          <w:highlight w:val="none"/>
        </w:rPr>
        <w:t>项目名称：                              项目编号：</w:t>
      </w:r>
    </w:p>
    <w:p>
      <w:pPr>
        <w:pStyle w:val="37"/>
        <w:snapToGrid w:val="0"/>
        <w:spacing w:before="120" w:after="120"/>
        <w:rPr>
          <w:rFonts w:hAnsi="宋体"/>
          <w:kern w:val="2"/>
          <w:sz w:val="24"/>
          <w:szCs w:val="24"/>
          <w:highlight w:val="none"/>
        </w:rPr>
      </w:pPr>
      <w:r>
        <w:rPr>
          <w:rFonts w:hint="eastAsia" w:hAnsi="宋体"/>
          <w:kern w:val="2"/>
          <w:sz w:val="24"/>
          <w:szCs w:val="24"/>
          <w:highlight w:val="none"/>
        </w:rPr>
        <w:t>甲方：（采购单位）                      所在地：</w:t>
      </w:r>
    </w:p>
    <w:p>
      <w:pPr>
        <w:pStyle w:val="37"/>
        <w:snapToGrid w:val="0"/>
        <w:spacing w:before="120" w:after="120"/>
        <w:rPr>
          <w:rFonts w:hAnsi="宋体"/>
          <w:kern w:val="2"/>
          <w:sz w:val="24"/>
          <w:szCs w:val="24"/>
          <w:highlight w:val="none"/>
        </w:rPr>
      </w:pPr>
      <w:r>
        <w:rPr>
          <w:rFonts w:hint="eastAsia" w:hAnsi="宋体"/>
          <w:kern w:val="2"/>
          <w:sz w:val="24"/>
          <w:szCs w:val="24"/>
          <w:highlight w:val="none"/>
        </w:rPr>
        <w:t>乙方：（中标供应商）                    所在地：</w:t>
      </w:r>
    </w:p>
    <w:p>
      <w:pPr>
        <w:ind w:firstLine="480"/>
        <w:rPr>
          <w:rFonts w:hAnsi="宋体"/>
          <w:sz w:val="24"/>
          <w:szCs w:val="28"/>
          <w:highlight w:val="none"/>
        </w:rPr>
      </w:pPr>
      <w:r>
        <w:rPr>
          <w:rFonts w:hint="eastAsia" w:hAnsi="宋体"/>
          <w:sz w:val="24"/>
          <w:szCs w:val="28"/>
          <w:highlight w:val="none"/>
        </w:rPr>
        <w:t>为了明确甲、乙双方的权利和义务，履行各自的职责，高效优质地完成本项目。按照《中华人民共和国民法典》的有关规定，经甲乙双方在平等、自愿的基础上共同协商一致，现签订合同如下。</w:t>
      </w:r>
    </w:p>
    <w:p>
      <w:pPr>
        <w:adjustRightInd w:val="0"/>
        <w:rPr>
          <w:rFonts w:ascii="宋体" w:hAnsi="宋体"/>
          <w:b/>
          <w:sz w:val="24"/>
          <w:highlight w:val="none"/>
        </w:rPr>
      </w:pPr>
      <w:r>
        <w:rPr>
          <w:rFonts w:hint="eastAsia" w:ascii="宋体" w:hAnsi="宋体" w:cs="宋体"/>
          <w:b/>
          <w:bCs/>
          <w:kern w:val="0"/>
          <w:sz w:val="24"/>
          <w:highlight w:val="none"/>
        </w:rPr>
        <w:t>一、</w:t>
      </w:r>
      <w:r>
        <w:rPr>
          <w:rFonts w:hint="eastAsia" w:ascii="宋体" w:hAnsi="宋体"/>
          <w:b/>
          <w:sz w:val="24"/>
          <w:highlight w:val="none"/>
        </w:rPr>
        <w:t>工作内容、成果要求</w:t>
      </w:r>
    </w:p>
    <w:p>
      <w:pPr>
        <w:adjustRightInd w:val="0"/>
        <w:ind w:firstLine="482" w:firstLineChars="200"/>
        <w:rPr>
          <w:rFonts w:hAnsi="宋体"/>
          <w:snapToGrid w:val="0"/>
          <w:sz w:val="24"/>
          <w:highlight w:val="none"/>
        </w:rPr>
      </w:pPr>
      <w:r>
        <w:rPr>
          <w:rFonts w:hint="eastAsia" w:ascii="宋体" w:hAnsi="宋体"/>
          <w:b/>
          <w:sz w:val="24"/>
          <w:highlight w:val="none"/>
        </w:rPr>
        <w:t>（一）工作内容</w:t>
      </w:r>
    </w:p>
    <w:p>
      <w:pPr>
        <w:adjustRightInd w:val="0"/>
        <w:ind w:firstLine="480" w:firstLineChars="200"/>
        <w:rPr>
          <w:rFonts w:hint="eastAsia" w:ascii="宋体" w:hAnsi="宋体" w:eastAsia="宋体"/>
          <w:sz w:val="24"/>
          <w:lang w:eastAsia="zh-CN"/>
        </w:rPr>
      </w:pPr>
      <w:r>
        <w:rPr>
          <w:rFonts w:hint="eastAsia" w:ascii="宋体" w:hAnsi="宋体"/>
          <w:sz w:val="24"/>
        </w:rPr>
        <w:t>本项目为</w:t>
      </w:r>
      <w:r>
        <w:rPr>
          <w:rFonts w:hint="eastAsia" w:ascii="宋体" w:hAnsi="宋体"/>
          <w:sz w:val="24"/>
          <w:lang w:eastAsia="zh-CN"/>
        </w:rPr>
        <w:t>龙头王、锦泰、飞龙湖未来社区实施方案编制</w:t>
      </w:r>
      <w:r>
        <w:rPr>
          <w:rFonts w:ascii="宋体" w:hAnsi="宋体"/>
          <w:sz w:val="24"/>
        </w:rPr>
        <w:t>服务采购</w:t>
      </w:r>
      <w:r>
        <w:rPr>
          <w:rFonts w:hint="eastAsia" w:ascii="宋体" w:hAnsi="宋体"/>
          <w:sz w:val="24"/>
        </w:rPr>
        <w:t>，全面梳理社区内的现状建设条件，理清创建思路，确立目标定位和创建特色要点，以空间总体设计、场景系统设计及运营策划、数字化系统设计、建设运营组织、资金测算与筹措及保障措施等为主要内容，编制完整的实施方案成果，达到上级部门备案要求</w:t>
      </w:r>
      <w:r>
        <w:rPr>
          <w:rFonts w:hint="eastAsia" w:ascii="宋体" w:hAnsi="宋体"/>
          <w:sz w:val="24"/>
          <w:lang w:eastAsia="zh-CN"/>
        </w:rPr>
        <w:t>。</w:t>
      </w:r>
    </w:p>
    <w:p>
      <w:pPr>
        <w:adjustRightInd w:val="0"/>
        <w:ind w:firstLine="482" w:firstLineChars="200"/>
        <w:rPr>
          <w:rFonts w:ascii="宋体" w:hAnsi="宋体"/>
          <w:b/>
          <w:sz w:val="24"/>
          <w:highlight w:val="none"/>
        </w:rPr>
      </w:pPr>
      <w:r>
        <w:rPr>
          <w:rFonts w:hint="eastAsia" w:ascii="宋体" w:hAnsi="宋体"/>
          <w:b/>
          <w:sz w:val="24"/>
          <w:highlight w:val="none"/>
        </w:rPr>
        <w:t>（二）成果要求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一）深度要求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本项目方案按《省风貌办关于开展第六批城镇未来社区创建的通知》要求编制。根据“浙江省未来社区实施方案编制要求”，方案主要包括以下内容：</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（1）基本情况</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（2）创建目标</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（3）空间总体设计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（4）场景设计及技术要求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（5）数字化系统设计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（6）运营组织</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（7）实施推进计划</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（8）概算与资金平衡</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（9）政策与机制保障</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（10）专业技术图纸</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（11）附件要求</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sz w:val="24"/>
        </w:rPr>
        <w:t>二）提交成果要求</w:t>
      </w:r>
    </w:p>
    <w:p>
      <w:pPr>
        <w:rPr>
          <w:rFonts w:ascii="宋体" w:hAnsi="宋体"/>
          <w:sz w:val="24"/>
        </w:rPr>
      </w:pPr>
      <w:r>
        <w:rPr>
          <w:rFonts w:hint="eastAsia" w:ascii="宋体" w:hAnsi="宋体"/>
          <w:sz w:val="24"/>
          <w:lang w:val="en-US" w:eastAsia="zh-CN"/>
        </w:rPr>
        <w:t xml:space="preserve"> </w:t>
      </w:r>
      <w:r>
        <w:rPr>
          <w:rFonts w:hint="eastAsia" w:ascii="宋体" w:hAnsi="宋体"/>
          <w:sz w:val="24"/>
        </w:rPr>
        <w:t>本项目</w:t>
      </w:r>
      <w:r>
        <w:rPr>
          <w:rFonts w:ascii="宋体" w:hAnsi="宋体"/>
          <w:sz w:val="24"/>
        </w:rPr>
        <w:t>成果包括电子稿</w:t>
      </w:r>
      <w:r>
        <w:rPr>
          <w:rFonts w:hint="eastAsia" w:ascii="宋体" w:hAnsi="宋体"/>
          <w:sz w:val="24"/>
        </w:rPr>
        <w:t>和纸质</w:t>
      </w:r>
      <w:r>
        <w:rPr>
          <w:rFonts w:ascii="宋体" w:hAnsi="宋体"/>
          <w:sz w:val="24"/>
        </w:rPr>
        <w:t>文本</w:t>
      </w:r>
      <w:r>
        <w:rPr>
          <w:rFonts w:hint="eastAsia" w:ascii="宋体" w:hAnsi="宋体"/>
          <w:sz w:val="24"/>
        </w:rPr>
        <w:t>。</w:t>
      </w:r>
    </w:p>
    <w:p>
      <w:pPr>
        <w:widowControl/>
        <w:jc w:val="left"/>
        <w:rPr>
          <w:rFonts w:ascii="宋体" w:hAnsi="宋体" w:cs="宋体"/>
          <w:b/>
          <w:bCs/>
          <w:sz w:val="24"/>
          <w:highlight w:val="none"/>
        </w:rPr>
      </w:pPr>
      <w:r>
        <w:rPr>
          <w:rFonts w:hint="eastAsia" w:ascii="宋体" w:hAnsi="宋体" w:cs="宋体"/>
          <w:b/>
          <w:bCs/>
          <w:sz w:val="24"/>
          <w:highlight w:val="none"/>
        </w:rPr>
        <w:t>二、</w:t>
      </w:r>
      <w:r>
        <w:rPr>
          <w:rFonts w:hint="eastAsia" w:hAnsi="宋体"/>
          <w:b/>
          <w:bCs/>
          <w:sz w:val="24"/>
          <w:highlight w:val="none"/>
        </w:rPr>
        <w:t>规划范围</w:t>
      </w:r>
      <w:r>
        <w:rPr>
          <w:rFonts w:hint="eastAsia" w:ascii="宋体" w:hAnsi="宋体" w:cs="宋体"/>
          <w:b/>
          <w:bCs/>
          <w:sz w:val="24"/>
          <w:highlight w:val="none"/>
        </w:rPr>
        <w:t>：</w:t>
      </w:r>
    </w:p>
    <w:p>
      <w:pPr>
        <w:spacing w:line="360" w:lineRule="auto"/>
        <w:ind w:firstLine="480" w:firstLineChars="200"/>
        <w:rPr>
          <w:rFonts w:ascii="宋体" w:hAnsi="宋体"/>
          <w:sz w:val="24"/>
        </w:rPr>
      </w:pPr>
      <w:r>
        <w:rPr>
          <w:rFonts w:hint="eastAsia" w:ascii="宋体" w:hAnsi="宋体"/>
          <w:sz w:val="24"/>
        </w:rPr>
        <w:t>路桥第六批未来社区包括路桥街道龙头王未来社区、路北街道锦泰未来社区和桐屿街道飞龙湖未来社区。</w:t>
      </w:r>
    </w:p>
    <w:p>
      <w:pPr>
        <w:spacing w:line="360" w:lineRule="auto"/>
        <w:ind w:firstLine="480" w:firstLineChars="200"/>
        <w:rPr>
          <w:rFonts w:ascii="宋体" w:hAnsi="宋体"/>
          <w:sz w:val="24"/>
        </w:rPr>
      </w:pPr>
      <w:r>
        <w:rPr>
          <w:rFonts w:hint="eastAsia" w:ascii="宋体" w:hAnsi="宋体"/>
          <w:sz w:val="24"/>
        </w:rPr>
        <w:t>龙头王未来社区范围</w:t>
      </w:r>
      <w:r>
        <w:rPr>
          <w:rFonts w:ascii="宋体" w:hAnsi="宋体"/>
          <w:sz w:val="24"/>
        </w:rPr>
        <w:t>北至墨池路，东临吉利大道，南接卖芝桥东路，西靠泰隆街，面积约</w:t>
      </w:r>
      <w:r>
        <w:rPr>
          <w:kern w:val="0"/>
          <w:sz w:val="24"/>
        </w:rPr>
        <w:t>28.89公</w:t>
      </w:r>
      <w:r>
        <w:rPr>
          <w:rFonts w:ascii="宋体" w:hAnsi="宋体"/>
          <w:sz w:val="24"/>
        </w:rPr>
        <w:t>顷。</w:t>
      </w:r>
    </w:p>
    <w:p>
      <w:pPr>
        <w:spacing w:line="360" w:lineRule="auto"/>
        <w:ind w:firstLine="480" w:firstLineChars="200"/>
        <w:rPr>
          <w:rFonts w:ascii="宋体" w:hAnsi="宋体"/>
          <w:sz w:val="24"/>
        </w:rPr>
      </w:pPr>
      <w:r>
        <w:rPr>
          <w:rFonts w:hint="eastAsia" w:ascii="宋体" w:hAnsi="宋体"/>
          <w:sz w:val="24"/>
        </w:rPr>
        <w:t>锦泰未来社区</w:t>
      </w:r>
      <w:r>
        <w:rPr>
          <w:rFonts w:hint="eastAsia"/>
          <w:kern w:val="0"/>
          <w:sz w:val="24"/>
        </w:rPr>
        <w:t>范围南至海城路，西至内环路，北至规划支路，东至商海北街，面积约28.51公顷。</w:t>
      </w:r>
    </w:p>
    <w:p>
      <w:pPr>
        <w:spacing w:line="360" w:lineRule="auto"/>
        <w:ind w:firstLine="480" w:firstLineChars="200"/>
        <w:rPr>
          <w:rFonts w:ascii="宋体" w:hAnsi="宋体"/>
          <w:sz w:val="24"/>
        </w:rPr>
      </w:pPr>
      <w:r>
        <w:rPr>
          <w:rFonts w:hint="eastAsia"/>
          <w:kern w:val="0"/>
          <w:sz w:val="24"/>
        </w:rPr>
        <w:t>飞龙湖未来社区范围东起下分水河，南至腾达路，西至规划道路，北至内环路，面积约58.91公顷</w:t>
      </w:r>
      <w:r>
        <w:rPr>
          <w:kern w:val="0"/>
          <w:sz w:val="24"/>
        </w:rPr>
        <w:t>。</w:t>
      </w:r>
    </w:p>
    <w:p>
      <w:pPr>
        <w:widowControl/>
        <w:jc w:val="left"/>
        <w:rPr>
          <w:rFonts w:ascii="宋体" w:hAnsi="宋体" w:cs="宋体"/>
          <w:b/>
          <w:bCs/>
          <w:kern w:val="0"/>
          <w:sz w:val="24"/>
          <w:highlight w:val="none"/>
        </w:rPr>
      </w:pPr>
      <w:r>
        <w:rPr>
          <w:rFonts w:hint="eastAsia" w:ascii="宋体" w:hAnsi="宋体" w:cs="宋体"/>
          <w:b/>
          <w:bCs/>
          <w:kern w:val="0"/>
          <w:sz w:val="24"/>
          <w:highlight w:val="none"/>
        </w:rPr>
        <w:t>三、</w:t>
      </w:r>
      <w:r>
        <w:rPr>
          <w:rFonts w:hint="eastAsia" w:hAnsi="宋体"/>
          <w:b/>
          <w:bCs/>
          <w:sz w:val="24"/>
          <w:highlight w:val="none"/>
        </w:rPr>
        <w:t>规划主要内容</w:t>
      </w:r>
      <w:r>
        <w:rPr>
          <w:rFonts w:hint="eastAsia" w:ascii="宋体" w:hAnsi="宋体" w:cs="宋体"/>
          <w:b/>
          <w:bCs/>
          <w:kern w:val="0"/>
          <w:sz w:val="24"/>
          <w:highlight w:val="none"/>
        </w:rPr>
        <w:t>：</w:t>
      </w:r>
    </w:p>
    <w:p>
      <w:pPr>
        <w:spacing w:line="360" w:lineRule="auto"/>
        <w:ind w:firstLine="480" w:firstLineChars="200"/>
        <w:rPr>
          <w:rFonts w:ascii="宋体" w:hAnsi="宋体" w:cs="宋体"/>
          <w:sz w:val="24"/>
        </w:rPr>
      </w:pPr>
      <w:r>
        <w:rPr>
          <w:rFonts w:hint="eastAsia" w:ascii="宋体" w:hAnsi="宋体" w:cs="宋体"/>
          <w:sz w:val="24"/>
        </w:rPr>
        <w:t>第六批未来社区实施方案，根据</w:t>
      </w:r>
      <w:r>
        <w:rPr>
          <w:rFonts w:ascii="宋体" w:hAnsi="宋体" w:cs="宋体"/>
          <w:sz w:val="24"/>
        </w:rPr>
        <w:t>《</w:t>
      </w:r>
      <w:r>
        <w:rPr>
          <w:rFonts w:hint="eastAsia" w:ascii="宋体" w:hAnsi="宋体" w:cs="宋体"/>
          <w:sz w:val="24"/>
        </w:rPr>
        <w:t>省风貌办关于开展第六批城镇未来社区创建的通知</w:t>
      </w:r>
      <w:r>
        <w:rPr>
          <w:rFonts w:ascii="宋体" w:hAnsi="宋体" w:cs="宋体"/>
          <w:sz w:val="24"/>
        </w:rPr>
        <w:t>》</w:t>
      </w:r>
      <w:r>
        <w:rPr>
          <w:rFonts w:hint="eastAsia" w:ascii="宋体" w:hAnsi="宋体" w:cs="宋体"/>
          <w:sz w:val="24"/>
        </w:rPr>
        <w:t>的相关</w:t>
      </w:r>
      <w:r>
        <w:rPr>
          <w:rFonts w:ascii="宋体" w:hAnsi="宋体" w:cs="宋体"/>
          <w:sz w:val="24"/>
        </w:rPr>
        <w:t>技术要求进行编制。</w:t>
      </w:r>
      <w:r>
        <w:rPr>
          <w:rFonts w:hint="eastAsia" w:ascii="宋体" w:hAnsi="宋体" w:cs="宋体"/>
          <w:sz w:val="24"/>
        </w:rPr>
        <w:t>本项目作为新建</w:t>
      </w:r>
      <w:r>
        <w:rPr>
          <w:rFonts w:ascii="宋体" w:hAnsi="宋体" w:cs="宋体"/>
          <w:sz w:val="24"/>
        </w:rPr>
        <w:t>类</w:t>
      </w:r>
      <w:r>
        <w:rPr>
          <w:rFonts w:hint="eastAsia" w:ascii="宋体" w:hAnsi="宋体" w:cs="宋体"/>
          <w:sz w:val="24"/>
        </w:rPr>
        <w:t>未来</w:t>
      </w:r>
      <w:r>
        <w:rPr>
          <w:rFonts w:ascii="宋体" w:hAnsi="宋体" w:cs="宋体"/>
          <w:sz w:val="24"/>
        </w:rPr>
        <w:t>社区，</w:t>
      </w:r>
      <w:r>
        <w:rPr>
          <w:rFonts w:hint="eastAsia" w:ascii="宋体" w:hAnsi="宋体" w:cs="宋体"/>
          <w:sz w:val="24"/>
        </w:rPr>
        <w:t>应重点落实社区服务配套，系统性打造标配场景，探索新文化、新技术、新业态、新模式的应用，打造未来生活方式变革的美好家园标杆</w:t>
      </w:r>
      <w:r>
        <w:rPr>
          <w:rFonts w:ascii="宋体" w:hAnsi="宋体" w:cs="宋体"/>
          <w:sz w:val="24"/>
        </w:rPr>
        <w:t>。</w:t>
      </w:r>
      <w:r>
        <w:rPr>
          <w:rFonts w:hint="eastAsia" w:ascii="宋体" w:hAnsi="宋体" w:cs="宋体"/>
          <w:sz w:val="24"/>
        </w:rPr>
        <w:t>方案具体</w:t>
      </w:r>
      <w:r>
        <w:rPr>
          <w:rFonts w:ascii="宋体" w:hAnsi="宋体" w:cs="宋体"/>
          <w:sz w:val="24"/>
        </w:rPr>
        <w:t>可以从以下几方面进行编制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1、摸家底</w:t>
      </w:r>
    </w:p>
    <w:p>
      <w:pPr>
        <w:spacing w:line="360" w:lineRule="auto"/>
        <w:ind w:firstLine="480" w:firstLineChars="200"/>
        <w:rPr>
          <w:rFonts w:ascii="宋体" w:hAnsi="宋体" w:cs="宋体"/>
          <w:sz w:val="24"/>
        </w:rPr>
      </w:pPr>
      <w:r>
        <w:rPr>
          <w:rFonts w:hint="eastAsia" w:ascii="宋体" w:hAnsi="宋体" w:cs="宋体"/>
          <w:sz w:val="24"/>
        </w:rPr>
        <w:t>通过</w:t>
      </w:r>
      <w:r>
        <w:rPr>
          <w:rFonts w:ascii="宋体" w:hAnsi="宋体" w:cs="宋体"/>
          <w:sz w:val="24"/>
        </w:rPr>
        <w:t>调研访谈等方式，进行现状摸排，</w:t>
      </w:r>
      <w:r>
        <w:rPr>
          <w:rFonts w:hint="eastAsia" w:ascii="宋体" w:hAnsi="宋体" w:cs="宋体"/>
          <w:sz w:val="24"/>
        </w:rPr>
        <w:t>梳理</w:t>
      </w:r>
      <w:r>
        <w:rPr>
          <w:rFonts w:ascii="宋体" w:hAnsi="宋体" w:cs="宋体"/>
          <w:sz w:val="24"/>
        </w:rPr>
        <w:t>本项目的现状建设条件，</w:t>
      </w:r>
      <w:r>
        <w:rPr>
          <w:rFonts w:hint="eastAsia" w:ascii="宋体" w:hAnsi="宋体" w:cs="宋体"/>
          <w:sz w:val="24"/>
        </w:rPr>
        <w:t>分析</w:t>
      </w:r>
      <w:r>
        <w:rPr>
          <w:rFonts w:ascii="宋体" w:hAnsi="宋体" w:cs="宋体"/>
          <w:sz w:val="24"/>
        </w:rPr>
        <w:t>社区创建的优劣势</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定目标</w:t>
      </w:r>
    </w:p>
    <w:p>
      <w:pPr>
        <w:spacing w:line="360" w:lineRule="auto"/>
        <w:ind w:firstLine="480" w:firstLineChars="200"/>
        <w:rPr>
          <w:rFonts w:ascii="宋体" w:hAnsi="宋体" w:cs="宋体"/>
          <w:sz w:val="24"/>
        </w:rPr>
      </w:pPr>
      <w:r>
        <w:rPr>
          <w:rFonts w:hint="eastAsia" w:ascii="宋体" w:hAnsi="宋体" w:cs="宋体"/>
          <w:sz w:val="24"/>
        </w:rPr>
        <w:t>围绕</w:t>
      </w:r>
      <w:r>
        <w:rPr>
          <w:rFonts w:ascii="宋体" w:hAnsi="宋体" w:cs="宋体"/>
          <w:sz w:val="24"/>
        </w:rPr>
        <w:t>创建痛点，提出创建思路，</w:t>
      </w:r>
      <w:r>
        <w:rPr>
          <w:rFonts w:hint="eastAsia" w:ascii="宋体" w:hAnsi="宋体" w:cs="宋体"/>
          <w:sz w:val="24"/>
        </w:rPr>
        <w:t>结合</w:t>
      </w:r>
      <w:r>
        <w:rPr>
          <w:rFonts w:ascii="宋体" w:hAnsi="宋体" w:cs="宋体"/>
          <w:sz w:val="24"/>
        </w:rPr>
        <w:t>社区文化，</w:t>
      </w:r>
      <w:r>
        <w:rPr>
          <w:rFonts w:hint="eastAsia" w:ascii="宋体" w:hAnsi="宋体" w:cs="宋体"/>
          <w:sz w:val="24"/>
        </w:rPr>
        <w:t>确立目标定位和创建特色要点。</w:t>
      </w:r>
    </w:p>
    <w:p>
      <w:pPr>
        <w:spacing w:line="360" w:lineRule="auto"/>
        <w:ind w:firstLine="480" w:firstLineChars="200"/>
        <w:rPr>
          <w:rFonts w:ascii="宋体" w:hAnsi="宋体" w:cs="宋体"/>
          <w:sz w:val="24"/>
        </w:rPr>
      </w:pPr>
      <w:r>
        <w:rPr>
          <w:rFonts w:hint="eastAsia" w:ascii="宋体" w:hAnsi="宋体" w:cs="宋体"/>
          <w:sz w:val="24"/>
        </w:rPr>
        <w:t>3、空间</w:t>
      </w:r>
      <w:r>
        <w:rPr>
          <w:rFonts w:ascii="宋体" w:hAnsi="宋体" w:cs="宋体"/>
          <w:sz w:val="24"/>
        </w:rPr>
        <w:t>总体设计</w:t>
      </w:r>
    </w:p>
    <w:p>
      <w:pPr>
        <w:spacing w:line="360" w:lineRule="auto"/>
        <w:ind w:firstLine="480" w:firstLineChars="200"/>
        <w:rPr>
          <w:rFonts w:hint="eastAsia" w:ascii="宋体" w:hAnsi="宋体" w:cs="宋体"/>
          <w:sz w:val="24"/>
        </w:rPr>
      </w:pPr>
      <w:r>
        <w:rPr>
          <w:rFonts w:hint="eastAsia" w:ascii="宋体" w:hAnsi="宋体" w:cs="宋体"/>
          <w:sz w:val="24"/>
        </w:rPr>
        <w:t>按照未来社区场景配置要求，提出未来社区空间规划布局方案，对建筑群体、环境景观以及土地使用、交通组织等内容进行研究，明确各项经济技术指标，统筹设计社区整体空间环境，提升社区整体空间形象。</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场景系统设计</w:t>
      </w:r>
    </w:p>
    <w:p>
      <w:pPr>
        <w:spacing w:line="360" w:lineRule="auto"/>
        <w:ind w:firstLine="480" w:firstLineChars="200"/>
        <w:rPr>
          <w:rFonts w:ascii="宋体" w:hAnsi="宋体" w:cs="宋体"/>
          <w:sz w:val="24"/>
        </w:rPr>
      </w:pPr>
      <w:r>
        <w:rPr>
          <w:rFonts w:hint="eastAsia" w:ascii="宋体" w:hAnsi="宋体" w:cs="宋体"/>
          <w:sz w:val="24"/>
        </w:rPr>
        <w:t>明确社区的核心场景和打造思路，按照“标配+选配”的要求，结合业态+功能提出各项场景的功能配置与空间需求，明确</w:t>
      </w:r>
      <w:r>
        <w:rPr>
          <w:rFonts w:ascii="宋体" w:hAnsi="宋体" w:cs="宋体"/>
          <w:sz w:val="24"/>
        </w:rPr>
        <w:t>场景</w:t>
      </w:r>
      <w:r>
        <w:rPr>
          <w:rFonts w:hint="eastAsia" w:ascii="宋体" w:hAnsi="宋体" w:cs="宋体"/>
          <w:sz w:val="24"/>
        </w:rPr>
        <w:t>落位。</w:t>
      </w:r>
    </w:p>
    <w:p>
      <w:pPr>
        <w:spacing w:line="360" w:lineRule="auto"/>
        <w:ind w:firstLine="480" w:firstLineChars="200"/>
        <w:rPr>
          <w:rFonts w:hint="eastAsia" w:ascii="宋体" w:hAnsi="宋体" w:cs="宋体"/>
          <w:sz w:val="24"/>
        </w:rPr>
      </w:pPr>
      <w:r>
        <w:rPr>
          <w:rFonts w:hint="eastAsia" w:ascii="宋体" w:hAnsi="宋体" w:cs="宋体"/>
          <w:sz w:val="24"/>
        </w:rPr>
        <w:t>结合本项目特点突出重点场景打造，充分关注和凸显“一老一小”服务场景的建设，并分别深化、细化相应场景实施方案，明确场景设计效果。</w:t>
      </w:r>
    </w:p>
    <w:p>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、数字化系统</w:t>
      </w:r>
      <w:r>
        <w:rPr>
          <w:rFonts w:ascii="宋体" w:hAnsi="宋体" w:cs="宋体"/>
          <w:sz w:val="24"/>
        </w:rPr>
        <w:t>设计</w:t>
      </w:r>
    </w:p>
    <w:p>
      <w:pPr>
        <w:spacing w:line="360" w:lineRule="auto"/>
        <w:ind w:firstLine="480" w:firstLineChars="200"/>
        <w:rPr>
          <w:rFonts w:ascii="宋体" w:hAnsi="宋体" w:cs="宋体"/>
          <w:sz w:val="24"/>
        </w:rPr>
      </w:pPr>
      <w:r>
        <w:rPr>
          <w:rFonts w:hint="eastAsia" w:ascii="宋体" w:hAnsi="宋体" w:cs="宋体"/>
          <w:sz w:val="24"/>
        </w:rPr>
        <w:t>按照未来社区创建要求，科学确定本项目数字化建设的需求、目标和思路，结合空间功能、运营需求以及硬件实现能力合理规划智慧化场景，形成本项目数字化系统设计方案。</w:t>
      </w:r>
    </w:p>
    <w:p>
      <w:pPr>
        <w:tabs>
          <w:tab w:val="left" w:pos="8280"/>
        </w:tabs>
        <w:autoSpaceDE w:val="0"/>
        <w:autoSpaceDN w:val="0"/>
        <w:adjustRightInd w:val="0"/>
        <w:spacing w:line="360" w:lineRule="auto"/>
        <w:ind w:right="25" w:firstLine="480" w:firstLineChars="200"/>
        <w:jc w:val="left"/>
        <w:rPr>
          <w:rFonts w:ascii="宋体" w:hAnsi="宋体"/>
          <w:sz w:val="24"/>
        </w:rPr>
      </w:pPr>
      <w:r>
        <w:rPr>
          <w:rFonts w:hint="eastAsia" w:ascii="宋体" w:hAnsi="宋体" w:cs="宋体"/>
          <w:sz w:val="24"/>
        </w:rPr>
        <w:t>6、运营</w:t>
      </w:r>
      <w:r>
        <w:rPr>
          <w:rFonts w:ascii="宋体" w:hAnsi="宋体" w:cs="宋体"/>
          <w:sz w:val="24"/>
        </w:rPr>
        <w:t>组织及资金平衡</w:t>
      </w:r>
    </w:p>
    <w:p>
      <w:pPr>
        <w:spacing w:line="360" w:lineRule="auto"/>
        <w:ind w:firstLine="480" w:firstLineChars="200"/>
        <w:rPr>
          <w:rFonts w:ascii="宋体" w:hAnsi="宋体"/>
          <w:sz w:val="24"/>
          <w:highlight w:val="none"/>
        </w:rPr>
      </w:pPr>
      <w:r>
        <w:rPr>
          <w:rFonts w:hint="eastAsia" w:ascii="宋体" w:hAnsi="宋体"/>
          <w:sz w:val="24"/>
        </w:rPr>
        <w:t>明确本项目运营模式，理清相应的责任主体及各阶段工作内容，理清建设周期和重要的时间节点计划，合理进行建设期和运营期的资金平衡测算。</w:t>
      </w:r>
    </w:p>
    <w:p>
      <w:pPr>
        <w:widowControl/>
        <w:snapToGrid w:val="0"/>
        <w:rPr>
          <w:rFonts w:hAnsi="宋体"/>
          <w:b/>
          <w:bCs/>
          <w:sz w:val="24"/>
          <w:szCs w:val="28"/>
          <w:highlight w:val="none"/>
        </w:rPr>
      </w:pPr>
      <w:r>
        <w:rPr>
          <w:rFonts w:hint="eastAsia" w:hAnsi="宋体"/>
          <w:b/>
          <w:bCs/>
          <w:sz w:val="24"/>
          <w:szCs w:val="28"/>
          <w:highlight w:val="none"/>
        </w:rPr>
        <w:t>四、</w:t>
      </w:r>
      <w:r>
        <w:rPr>
          <w:rFonts w:hint="eastAsia" w:ascii="宋体" w:hAnsi="宋体"/>
          <w:b/>
          <w:bCs/>
          <w:sz w:val="24"/>
          <w:highlight w:val="none"/>
        </w:rPr>
        <w:t>规划编制计划时间</w:t>
      </w:r>
      <w:r>
        <w:rPr>
          <w:rFonts w:hint="eastAsia" w:hAnsi="宋体"/>
          <w:b/>
          <w:bCs/>
          <w:sz w:val="24"/>
          <w:szCs w:val="28"/>
          <w:highlight w:val="none"/>
        </w:rPr>
        <w:t>：</w:t>
      </w:r>
    </w:p>
    <w:p>
      <w:pPr>
        <w:widowControl/>
        <w:snapToGrid w:val="0"/>
        <w:ind w:firstLine="241" w:firstLineChars="100"/>
        <w:rPr>
          <w:rFonts w:hint="eastAsia" w:hAnsi="宋体"/>
          <w:b/>
          <w:bCs/>
          <w:sz w:val="24"/>
          <w:szCs w:val="28"/>
          <w:highlight w:val="none"/>
        </w:rPr>
      </w:pPr>
      <w:r>
        <w:rPr>
          <w:rFonts w:hint="eastAsia" w:hAnsi="宋体"/>
          <w:b/>
          <w:bCs/>
          <w:sz w:val="24"/>
          <w:szCs w:val="28"/>
          <w:highlight w:val="none"/>
        </w:rPr>
        <w:t>合同签订后1个月内完成方案的编制并通过评审</w:t>
      </w:r>
    </w:p>
    <w:p>
      <w:pPr>
        <w:widowControl/>
        <w:snapToGrid w:val="0"/>
        <w:rPr>
          <w:rFonts w:hAnsi="宋体"/>
          <w:sz w:val="24"/>
          <w:highlight w:val="none"/>
        </w:rPr>
      </w:pPr>
      <w:r>
        <w:rPr>
          <w:rFonts w:hint="eastAsia" w:hAnsi="宋体"/>
          <w:b/>
          <w:bCs/>
          <w:sz w:val="24"/>
          <w:szCs w:val="28"/>
          <w:highlight w:val="none"/>
        </w:rPr>
        <w:t>五、合同价款：</w:t>
      </w:r>
    </w:p>
    <w:p>
      <w:pPr>
        <w:ind w:firstLine="480" w:firstLineChars="200"/>
        <w:rPr>
          <w:rFonts w:hAnsi="宋体"/>
          <w:sz w:val="24"/>
          <w:szCs w:val="28"/>
          <w:highlight w:val="none"/>
        </w:rPr>
      </w:pPr>
      <w:r>
        <w:rPr>
          <w:rFonts w:hint="eastAsia" w:hAnsi="宋体"/>
          <w:sz w:val="24"/>
          <w:szCs w:val="28"/>
          <w:highlight w:val="none"/>
        </w:rPr>
        <w:t>合同金额为</w:t>
      </w:r>
      <w:r>
        <w:rPr>
          <w:rFonts w:hint="eastAsia" w:hAnsi="宋体"/>
          <w:sz w:val="24"/>
          <w:szCs w:val="28"/>
          <w:highlight w:val="none"/>
          <w:u w:val="single"/>
        </w:rPr>
        <w:t xml:space="preserve">                  </w:t>
      </w:r>
      <w:r>
        <w:rPr>
          <w:rFonts w:hint="eastAsia" w:hAnsi="宋体"/>
          <w:sz w:val="24"/>
          <w:szCs w:val="28"/>
          <w:highlight w:val="none"/>
        </w:rPr>
        <w:t xml:space="preserve"> 人民币元整（¥：</w:t>
      </w:r>
      <w:r>
        <w:rPr>
          <w:rFonts w:hint="eastAsia" w:hAnsi="宋体"/>
          <w:sz w:val="24"/>
          <w:szCs w:val="28"/>
          <w:highlight w:val="none"/>
          <w:u w:val="single"/>
        </w:rPr>
        <w:t xml:space="preserve">          </w:t>
      </w:r>
      <w:r>
        <w:rPr>
          <w:rFonts w:hint="eastAsia" w:hAnsi="宋体"/>
          <w:sz w:val="24"/>
          <w:szCs w:val="28"/>
          <w:highlight w:val="none"/>
        </w:rPr>
        <w:t>元）</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包括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含调研报告，方案、中间、最终成果阶段评审所需的评审专家费用，审查、汇报、备案材料的制作、印刷、邮寄等所有费用）。样板区规划范围根据样板区建设需要如产生调整，甲方不再支付任何其他费用。</w:t>
      </w:r>
    </w:p>
    <w:p>
      <w:pPr>
        <w:rPr>
          <w:b/>
          <w:bCs/>
          <w:kern w:val="21"/>
          <w:sz w:val="24"/>
          <w:szCs w:val="22"/>
          <w:highlight w:val="none"/>
        </w:rPr>
      </w:pPr>
      <w:r>
        <w:rPr>
          <w:rFonts w:hint="eastAsia"/>
          <w:b/>
          <w:bCs/>
          <w:kern w:val="21"/>
          <w:sz w:val="24"/>
          <w:szCs w:val="22"/>
          <w:highlight w:val="none"/>
        </w:rPr>
        <w:t>六、付款方式：</w:t>
      </w:r>
    </w:p>
    <w:p>
      <w:pPr>
        <w:adjustRightInd w:val="0"/>
        <w:ind w:firstLine="480" w:firstLineChars="200"/>
        <w:rPr>
          <w:rFonts w:ascii="宋体" w:hAnsi="宋体"/>
          <w:bCs/>
          <w:sz w:val="24"/>
          <w:highlight w:val="none"/>
        </w:rPr>
      </w:pPr>
      <w:r>
        <w:rPr>
          <w:rFonts w:hint="eastAsia" w:ascii="宋体" w:hAnsi="宋体"/>
          <w:bCs/>
          <w:sz w:val="24"/>
          <w:highlight w:val="none"/>
        </w:rPr>
        <w:t>（1）</w:t>
      </w:r>
      <w:r>
        <w:rPr>
          <w:rFonts w:hint="eastAsia" w:ascii="宋体" w:hAnsi="宋体" w:eastAsia="宋体" w:cs="宋体"/>
          <w:color w:val="auto"/>
          <w:sz w:val="24"/>
          <w:szCs w:val="32"/>
          <w:highlight w:val="none"/>
        </w:rPr>
        <w:t>签订合同后</w:t>
      </w:r>
      <w:r>
        <w:rPr>
          <w:rFonts w:hint="eastAsia" w:ascii="宋体" w:hAnsi="宋体" w:eastAsia="宋体" w:cs="宋体"/>
          <w:color w:val="auto"/>
          <w:sz w:val="24"/>
          <w:szCs w:val="32"/>
          <w:highlight w:val="none"/>
          <w:lang w:val="en-US" w:eastAsia="zh-CN"/>
        </w:rPr>
        <w:t>支付40%预付款</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合同生效以及具备实施条件后7个工作日内支付</w:t>
      </w:r>
      <w:r>
        <w:rPr>
          <w:rFonts w:hint="eastAsia" w:ascii="宋体" w:hAnsi="宋体" w:eastAsia="宋体" w:cs="宋体"/>
          <w:color w:val="auto"/>
          <w:sz w:val="24"/>
          <w:szCs w:val="32"/>
          <w:highlight w:val="none"/>
          <w:lang w:eastAsia="zh-CN"/>
        </w:rPr>
        <w:t>）</w:t>
      </w:r>
      <w:r>
        <w:rPr>
          <w:rFonts w:hint="eastAsia" w:ascii="宋体" w:hAnsi="宋体"/>
          <w:bCs/>
          <w:sz w:val="24"/>
          <w:highlight w:val="none"/>
        </w:rPr>
        <w:t>。</w:t>
      </w:r>
    </w:p>
    <w:p>
      <w:pPr>
        <w:adjustRightInd w:val="0"/>
        <w:ind w:firstLine="480" w:firstLineChars="200"/>
        <w:rPr>
          <w:rFonts w:ascii="宋体" w:hAnsi="宋体"/>
          <w:bCs/>
          <w:sz w:val="24"/>
          <w:highlight w:val="none"/>
        </w:rPr>
      </w:pPr>
      <w:r>
        <w:rPr>
          <w:rFonts w:hint="eastAsia" w:ascii="宋体" w:hAnsi="宋体"/>
          <w:bCs/>
          <w:sz w:val="24"/>
          <w:highlight w:val="none"/>
        </w:rPr>
        <w:t xml:space="preserve">（2）乙方完成方案编制并通过区级评审，支付合同款的40%。 </w:t>
      </w:r>
    </w:p>
    <w:p>
      <w:pPr>
        <w:adjustRightInd w:val="0"/>
        <w:ind w:firstLine="480" w:firstLineChars="200"/>
        <w:rPr>
          <w:highlight w:val="none"/>
        </w:rPr>
      </w:pPr>
      <w:r>
        <w:rPr>
          <w:rFonts w:hint="eastAsia" w:ascii="宋体" w:hAnsi="宋体"/>
          <w:bCs/>
          <w:sz w:val="24"/>
          <w:highlight w:val="none"/>
        </w:rPr>
        <w:t xml:space="preserve">（3）方案通过市级评审后支付合同款的20%。  </w:t>
      </w:r>
    </w:p>
    <w:p>
      <w:pPr>
        <w:adjustRightInd w:val="0"/>
        <w:ind w:firstLine="480" w:firstLineChars="200"/>
        <w:rPr>
          <w:highlight w:val="none"/>
        </w:rPr>
      </w:pPr>
      <w:r>
        <w:rPr>
          <w:rFonts w:hint="eastAsia" w:ascii="宋体" w:hAnsi="宋体"/>
          <w:bCs/>
          <w:sz w:val="24"/>
          <w:highlight w:val="none"/>
        </w:rPr>
        <w:t>各期付款均在付款条件满足并在收到乙方开具的正式税务发票之日起三十天内支付，若乙方未提供正式税务发票的，甲方有权顺延付款且不视为违约。</w:t>
      </w:r>
    </w:p>
    <w:p>
      <w:pPr>
        <w:tabs>
          <w:tab w:val="left" w:pos="567"/>
        </w:tabs>
        <w:rPr>
          <w:rFonts w:ascii="宋体" w:hAnsi="宋体" w:cs="宋体"/>
          <w:b/>
          <w:sz w:val="24"/>
          <w:highlight w:val="none"/>
        </w:rPr>
      </w:pPr>
      <w:r>
        <w:rPr>
          <w:rFonts w:hint="eastAsia" w:ascii="宋体" w:hAnsi="宋体" w:cs="宋体"/>
          <w:b/>
          <w:sz w:val="24"/>
          <w:highlight w:val="none"/>
        </w:rPr>
        <w:t>七、履约保证金：</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7.1金额：签约合同价的</w:t>
      </w:r>
      <w:r>
        <w:rPr>
          <w:rFonts w:hint="eastAsia" w:ascii="宋体" w:hAnsi="宋体" w:cs="宋体"/>
          <w:sz w:val="24"/>
          <w:highlight w:val="none"/>
          <w:lang w:val="en-US" w:eastAsia="zh-CN"/>
        </w:rPr>
        <w:t>1</w:t>
      </w:r>
      <w:r>
        <w:rPr>
          <w:rFonts w:hint="eastAsia" w:ascii="宋体" w:hAnsi="宋体" w:cs="宋体"/>
          <w:sz w:val="24"/>
          <w:highlight w:val="none"/>
        </w:rPr>
        <w:t>%。</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7.2收取方式：网银、汇票、电汇、</w:t>
      </w:r>
      <w:r>
        <w:rPr>
          <w:rFonts w:hint="eastAsia"/>
          <w:sz w:val="24"/>
          <w:szCs w:val="21"/>
          <w:highlight w:val="none"/>
        </w:rPr>
        <w:t>转账支付等非现金方式或银行、保险公司出</w:t>
      </w:r>
      <w:r>
        <w:rPr>
          <w:rFonts w:hint="eastAsia" w:ascii="宋体" w:hAnsi="宋体" w:cs="宋体"/>
          <w:sz w:val="24"/>
          <w:highlight w:val="none"/>
        </w:rPr>
        <w:t>具的保函形式；</w:t>
      </w:r>
    </w:p>
    <w:p>
      <w:pPr>
        <w:tabs>
          <w:tab w:val="left" w:pos="426"/>
        </w:tabs>
        <w:ind w:firstLine="480" w:firstLineChars="200"/>
        <w:rPr>
          <w:rFonts w:ascii="宋体" w:hAnsi="宋体" w:cs="宋体"/>
          <w:color w:val="0D0D0D"/>
          <w:sz w:val="24"/>
          <w:highlight w:val="none"/>
        </w:rPr>
      </w:pPr>
      <w:r>
        <w:rPr>
          <w:rFonts w:hint="eastAsia" w:ascii="宋体" w:hAnsi="宋体" w:cs="宋体"/>
          <w:sz w:val="24"/>
          <w:highlight w:val="none"/>
        </w:rPr>
        <w:t>7.3履约保证金的退还</w:t>
      </w:r>
      <w:r>
        <w:rPr>
          <w:rFonts w:hint="eastAsia" w:ascii="宋体" w:hAnsi="宋体" w:cs="宋体"/>
          <w:color w:val="0D0D0D"/>
          <w:sz w:val="24"/>
          <w:highlight w:val="none"/>
        </w:rPr>
        <w:t>：在合同履约到期且无异议情况下30日内无息退还。</w:t>
      </w:r>
    </w:p>
    <w:p>
      <w:pPr>
        <w:rPr>
          <w:rFonts w:ascii="宋体" w:hAnsi="宋体" w:cs="宋体"/>
          <w:b/>
          <w:sz w:val="24"/>
          <w:highlight w:val="none"/>
        </w:rPr>
      </w:pPr>
      <w:r>
        <w:rPr>
          <w:rFonts w:hint="eastAsia" w:ascii="宋体" w:hAnsi="宋体" w:cs="宋体"/>
          <w:b/>
          <w:sz w:val="24"/>
          <w:highlight w:val="none"/>
        </w:rPr>
        <w:t>八、技术资料：</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8.1乙方应按招标文件规定的时间向甲方提供有关技术资料。</w:t>
      </w:r>
    </w:p>
    <w:p>
      <w:pPr>
        <w:tabs>
          <w:tab w:val="left" w:pos="426"/>
        </w:tabs>
        <w:ind w:firstLine="480" w:firstLineChars="200"/>
        <w:rPr>
          <w:rFonts w:ascii="宋体" w:hAnsi="宋体" w:cs="宋体"/>
          <w:b/>
          <w:sz w:val="24"/>
          <w:highlight w:val="none"/>
        </w:rPr>
      </w:pPr>
      <w:r>
        <w:rPr>
          <w:rFonts w:hint="eastAsia" w:ascii="宋体" w:hAnsi="宋体" w:cs="宋体"/>
          <w:sz w:val="24"/>
          <w:highlight w:val="none"/>
        </w:rPr>
        <w:t>8.2没有甲方事先书面同意，乙方不得将由甲方提供的有关合同或任何合同条文、规格、计划或资料提供给与履行本合同无关的任何其他人。即使向履行本合同有关的人员提供，也应注意保密并限</w:t>
      </w:r>
      <w:r>
        <w:rPr>
          <w:rFonts w:hint="eastAsia"/>
          <w:sz w:val="24"/>
          <w:szCs w:val="21"/>
          <w:highlight w:val="none"/>
        </w:rPr>
        <w:t>于履行合同的必需范围。</w:t>
      </w:r>
    </w:p>
    <w:p>
      <w:pPr>
        <w:tabs>
          <w:tab w:val="left" w:pos="567"/>
        </w:tabs>
        <w:rPr>
          <w:rFonts w:ascii="宋体" w:hAnsi="宋体" w:cs="宋体"/>
          <w:b/>
          <w:sz w:val="24"/>
          <w:highlight w:val="none"/>
        </w:rPr>
      </w:pPr>
      <w:r>
        <w:rPr>
          <w:rFonts w:hint="eastAsia" w:ascii="宋体" w:hAnsi="宋体" w:cs="宋体"/>
          <w:b/>
          <w:sz w:val="24"/>
          <w:highlight w:val="none"/>
        </w:rPr>
        <w:t>九、知识产权：</w:t>
      </w:r>
      <w:r>
        <w:rPr>
          <w:rFonts w:hint="eastAsia" w:ascii="宋体" w:hAnsi="宋体" w:cs="宋体"/>
          <w:bCs/>
          <w:sz w:val="24"/>
          <w:highlight w:val="none"/>
        </w:rPr>
        <w:t>乙方应保证提供服务过程中不会侵犯任何第三方的知识产权。</w:t>
      </w:r>
    </w:p>
    <w:p>
      <w:pPr>
        <w:tabs>
          <w:tab w:val="left" w:pos="567"/>
        </w:tabs>
        <w:rPr>
          <w:rFonts w:ascii="宋体" w:hAnsi="宋体" w:cs="宋体"/>
          <w:b/>
          <w:sz w:val="24"/>
          <w:highlight w:val="none"/>
        </w:rPr>
      </w:pPr>
      <w:r>
        <w:rPr>
          <w:rFonts w:hint="eastAsia" w:ascii="宋体" w:hAnsi="宋体" w:cs="宋体"/>
          <w:b/>
          <w:sz w:val="24"/>
          <w:highlight w:val="none"/>
        </w:rPr>
        <w:t>十、权利与义务：</w:t>
      </w:r>
    </w:p>
    <w:p>
      <w:pPr>
        <w:pStyle w:val="223"/>
        <w:ind w:firstLine="0" w:firstLineChars="0"/>
        <w:rPr>
          <w:szCs w:val="24"/>
          <w:highlight w:val="none"/>
        </w:rPr>
      </w:pPr>
      <w:r>
        <w:rPr>
          <w:rFonts w:hint="eastAsia"/>
          <w:szCs w:val="24"/>
          <w:highlight w:val="none"/>
        </w:rPr>
        <w:t xml:space="preserve">    </w:t>
      </w:r>
      <w:r>
        <w:rPr>
          <w:rFonts w:hint="eastAsia" w:hAnsi="宋体" w:cs="宋体"/>
          <w:b/>
          <w:szCs w:val="24"/>
          <w:highlight w:val="none"/>
        </w:rPr>
        <w:t>甲方的权利与义务：</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10.1为乙方工作提供良好的外部条件，并按照合同约定支付款项。</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10.2在规定的时间内向乙方提交基础资料及文件，并对其完整性、正确性及时效性负责。甲方不得要求乙方违反国家有关标准进行设计。</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10.3甲方对乙方提供的项目工作方案具有审定权、修改权，并有权要求乙方按甲方的要求修改方案,乙方不得以此为由要求增加任何费用。</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10.4根据实际情况，甲方有权要求乙方对已经确认的方案进行修改、变通，乙方应当配合执行，以保证项目顺利进行。</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10.5甲方变更委托项目、规模、条件或因提交的资料错误，或所提交资料作较大修改，以致造成乙方返工时，双方除另行协商签订补充协议（或另订合同）、重新明确有关条款外，甲方应按乙方所耗工作量向乙方支付工费。</w:t>
      </w:r>
    </w:p>
    <w:p>
      <w:pPr>
        <w:tabs>
          <w:tab w:val="left" w:pos="567"/>
        </w:tabs>
        <w:ind w:firstLine="482" w:firstLineChars="200"/>
        <w:rPr>
          <w:rFonts w:ascii="宋体" w:hAnsi="宋体" w:cs="宋体"/>
          <w:b/>
          <w:sz w:val="24"/>
          <w:highlight w:val="none"/>
        </w:rPr>
      </w:pPr>
      <w:r>
        <w:rPr>
          <w:rFonts w:hint="eastAsia" w:ascii="宋体" w:hAnsi="宋体" w:cs="宋体"/>
          <w:b/>
          <w:sz w:val="24"/>
          <w:highlight w:val="none"/>
        </w:rPr>
        <w:t>乙方的权利与义务：</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10.6乙方应按国家规定和合同约定的技术规范、标准进行编制，按规定的内容、时间及份数向甲方交付设计文件。并对提交的设计文件的质量负责。</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10.7在履行本合同义务的期间，应运用合理的技能，认真、勤奋的工作。</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10.8乙方针对该项目出具的工作方案，均须事先经甲方书面确认后方可实施。乙方应当负责本项目的所有外部关系联系与协调。</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10.9设计方对设计文件出现的遗漏或错误负责修改或补充。</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10.10乙方交付设计文件后，按规定参加有关上级的设计审查，并根据审查结论负责不超出原定范围的内容做必要调整补充。</w:t>
      </w:r>
    </w:p>
    <w:p>
      <w:pPr>
        <w:tabs>
          <w:tab w:val="left" w:pos="426"/>
        </w:tabs>
        <w:ind w:firstLine="480" w:firstLineChars="200"/>
        <w:rPr>
          <w:sz w:val="24"/>
          <w:szCs w:val="21"/>
          <w:highlight w:val="none"/>
        </w:rPr>
      </w:pPr>
      <w:r>
        <w:rPr>
          <w:rFonts w:hint="eastAsia" w:ascii="宋体" w:hAnsi="宋体" w:cs="宋体"/>
          <w:sz w:val="24"/>
          <w:highlight w:val="none"/>
        </w:rPr>
        <w:t>10.11乙方须简明扼要的列出实施方案与质量保证梗概，并在要求递交的</w:t>
      </w:r>
      <w:r>
        <w:rPr>
          <w:rFonts w:hint="eastAsia"/>
          <w:sz w:val="24"/>
          <w:szCs w:val="21"/>
          <w:highlight w:val="none"/>
        </w:rPr>
        <w:t>文件中进行详细论述；乙方未递交招标文件要求的文件与内容，由乙方承担其投标风险。</w:t>
      </w:r>
    </w:p>
    <w:p>
      <w:pPr>
        <w:rPr>
          <w:rFonts w:ascii="宋体" w:hAnsi="宋体" w:cs="宋体"/>
          <w:color w:val="0D0D0D"/>
          <w:sz w:val="24"/>
          <w:highlight w:val="none"/>
          <w:lang w:val="zh-CN"/>
        </w:rPr>
      </w:pPr>
      <w:r>
        <w:rPr>
          <w:rFonts w:hint="eastAsia" w:hAnsi="宋体"/>
          <w:b/>
          <w:bCs/>
          <w:sz w:val="24"/>
          <w:szCs w:val="28"/>
          <w:highlight w:val="none"/>
        </w:rPr>
        <w:t>十一、违约责任：</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11.1本合同范围的服务，应由乙方直接供应，不得转让他人供应，否则，甲方有权解除合同，并追究乙方的违约责任。</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11.2乙方提供的服务成果质量没有达到甲方要求的，乙方应负责免费提供后续服务。对达不到要求者，根据实际情况，经双方协商，可按以下办法处理：</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[1]重做：由乙方承担所发生的全部费用；</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[2]解除合同；</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[3]协商解决。</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11.3乙方连续三次没有达到服务质量要求，甲方有权终止服务合同。</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11.4合同生效后，乙方要求终止或解除合同，乙方应双倍返还甲方已支付的定金。</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11.5乙方未能如期提供相关数据资料的，每日扣除伍仟元作为违约金（从当期合同款中扣除）。乙方超过约定日期10个工作日仍不能提供的，甲方有权单方解除本合同。乙方因未能如期提供或因其他违约行为导致甲方解除合同的，扣除叁万元作为违约金（从当期合同款中扣除），如造成甲方损失超过违约金的，超出部分由乙方继续承担赔偿责任。</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11.6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伍仟元作为违约金（从当期合同款中扣除）；擅自更换二人次以上，甲方有权单方解除合同，履约担保金不予退还。</w:t>
      </w:r>
    </w:p>
    <w:p>
      <w:pPr>
        <w:tabs>
          <w:tab w:val="left" w:pos="2279"/>
        </w:tabs>
        <w:rPr>
          <w:rFonts w:ascii="宋体" w:hAnsi="宋体" w:cs="宋体"/>
          <w:b/>
          <w:sz w:val="24"/>
          <w:highlight w:val="none"/>
        </w:rPr>
      </w:pPr>
      <w:r>
        <w:rPr>
          <w:rFonts w:hint="eastAsia" w:ascii="宋体" w:hAnsi="宋体" w:cs="宋体"/>
          <w:b/>
          <w:sz w:val="24"/>
          <w:highlight w:val="none"/>
        </w:rPr>
        <w:t>十二、保密义务：</w:t>
      </w:r>
      <w:r>
        <w:rPr>
          <w:rFonts w:ascii="宋体" w:hAnsi="宋体" w:cs="宋体"/>
          <w:b/>
          <w:sz w:val="24"/>
          <w:highlight w:val="none"/>
        </w:rPr>
        <w:tab/>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12.1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12.2乙方可仅为本合同目的向其确有知悉必要的员工披露甲方提供的保密资料，但同时须指示其员工遵守本条规定的保密及不披露义务。乙方应仅为本合同目的而复制和使用保密资料。</w:t>
      </w:r>
    </w:p>
    <w:p>
      <w:pPr>
        <w:rPr>
          <w:rFonts w:hAnsi="宋体"/>
          <w:b/>
          <w:bCs/>
          <w:sz w:val="24"/>
          <w:szCs w:val="28"/>
          <w:highlight w:val="none"/>
        </w:rPr>
      </w:pPr>
      <w:r>
        <w:rPr>
          <w:rFonts w:hint="eastAsia" w:hAnsi="宋体"/>
          <w:b/>
          <w:bCs/>
          <w:sz w:val="24"/>
          <w:szCs w:val="28"/>
          <w:highlight w:val="none"/>
        </w:rPr>
        <w:t>十三、转让和分包：</w:t>
      </w:r>
    </w:p>
    <w:p>
      <w:pPr>
        <w:ind w:firstLine="480" w:firstLineChars="200"/>
        <w:rPr>
          <w:rFonts w:hAnsi="宋体"/>
          <w:sz w:val="24"/>
          <w:szCs w:val="28"/>
          <w:highlight w:val="none"/>
        </w:rPr>
      </w:pPr>
      <w:r>
        <w:rPr>
          <w:rFonts w:hint="eastAsia" w:hAnsi="宋体"/>
          <w:sz w:val="24"/>
          <w:szCs w:val="28"/>
          <w:highlight w:val="none"/>
        </w:rPr>
        <w:t>未经甲方事先书面同意，乙方不得部分转让或全部转让其应履行的合同义务。</w:t>
      </w:r>
    </w:p>
    <w:p>
      <w:pPr>
        <w:rPr>
          <w:rFonts w:hAnsi="宋体"/>
          <w:b/>
          <w:bCs/>
          <w:sz w:val="24"/>
          <w:szCs w:val="28"/>
          <w:highlight w:val="none"/>
        </w:rPr>
      </w:pPr>
      <w:r>
        <w:rPr>
          <w:rFonts w:hint="eastAsia" w:hAnsi="宋体"/>
          <w:b/>
          <w:bCs/>
          <w:sz w:val="24"/>
          <w:szCs w:val="28"/>
          <w:highlight w:val="none"/>
        </w:rPr>
        <w:t>十四、不可抗力事件处理：</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14.1在合同有效期内，任何一方因不可抗力事件导致不能履行合同，则合同履行期可延长，其延长期与不可抗力影响期相同。</w:t>
      </w:r>
    </w:p>
    <w:p>
      <w:pPr>
        <w:tabs>
          <w:tab w:val="left" w:pos="426"/>
        </w:tabs>
        <w:ind w:firstLine="480" w:firstLineChars="200"/>
        <w:rPr>
          <w:rFonts w:ascii="宋体" w:hAnsi="宋体" w:cs="宋体"/>
          <w:bCs/>
          <w:sz w:val="24"/>
          <w:highlight w:val="none"/>
        </w:rPr>
      </w:pPr>
      <w:r>
        <w:rPr>
          <w:rFonts w:hint="eastAsia" w:ascii="宋体" w:hAnsi="宋体" w:cs="宋体"/>
          <w:sz w:val="24"/>
          <w:highlight w:val="none"/>
        </w:rPr>
        <w:t>14.2不可抗力事件发生后，</w:t>
      </w:r>
      <w:r>
        <w:rPr>
          <w:rFonts w:hint="eastAsia"/>
          <w:sz w:val="24"/>
          <w:szCs w:val="21"/>
          <w:highlight w:val="none"/>
        </w:rPr>
        <w:t>应立即通知对方</w:t>
      </w:r>
      <w:r>
        <w:rPr>
          <w:rFonts w:hint="eastAsia" w:ascii="宋体" w:hAnsi="宋体" w:cs="宋体"/>
          <w:bCs/>
          <w:sz w:val="24"/>
          <w:highlight w:val="none"/>
        </w:rPr>
        <w:t>，并寄送有关权威机构出具的证明。</w:t>
      </w:r>
    </w:p>
    <w:p>
      <w:pPr>
        <w:rPr>
          <w:rFonts w:hAnsi="宋体"/>
          <w:b/>
          <w:bCs/>
          <w:sz w:val="24"/>
          <w:szCs w:val="28"/>
          <w:highlight w:val="none"/>
        </w:rPr>
      </w:pPr>
      <w:r>
        <w:rPr>
          <w:rFonts w:hint="eastAsia" w:hAnsi="宋体"/>
          <w:b/>
          <w:bCs/>
          <w:sz w:val="24"/>
          <w:szCs w:val="28"/>
          <w:highlight w:val="none"/>
        </w:rPr>
        <w:t>十五、争议解决：</w:t>
      </w:r>
    </w:p>
    <w:p>
      <w:pPr>
        <w:tabs>
          <w:tab w:val="left" w:pos="426"/>
        </w:tabs>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双方因履行本合同而发生的争议，应协商、调解解决。协商、调解不成的，提交台州仲裁委员会仲裁。</w:t>
      </w:r>
    </w:p>
    <w:p>
      <w:pPr>
        <w:rPr>
          <w:rFonts w:hAnsi="宋体"/>
          <w:b/>
          <w:bCs/>
          <w:sz w:val="24"/>
          <w:szCs w:val="28"/>
          <w:highlight w:val="none"/>
        </w:rPr>
      </w:pPr>
      <w:r>
        <w:rPr>
          <w:rFonts w:hint="eastAsia" w:hAnsi="宋体"/>
          <w:b/>
          <w:bCs/>
          <w:sz w:val="24"/>
          <w:szCs w:val="28"/>
          <w:highlight w:val="none"/>
        </w:rPr>
        <w:t>十六、合同的签订和生效：</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16.1合同经甲、乙双方法定代表人或委托代理人签字并加盖单位公章后生效。</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16.2本合同未尽事宜，遵照《民法典》有关条文执行。</w:t>
      </w:r>
    </w:p>
    <w:p>
      <w:pPr>
        <w:tabs>
          <w:tab w:val="left" w:pos="426"/>
        </w:tabs>
        <w:ind w:firstLine="480" w:firstLineChars="200"/>
        <w:rPr>
          <w:rFonts w:ascii="宋体" w:hAnsi="宋体" w:cs="宋体"/>
          <w:sz w:val="24"/>
          <w:highlight w:val="none"/>
        </w:rPr>
      </w:pPr>
      <w:r>
        <w:rPr>
          <w:rFonts w:hint="eastAsia" w:ascii="宋体" w:hAnsi="宋体" w:cs="宋体"/>
          <w:sz w:val="24"/>
          <w:highlight w:val="none"/>
        </w:rPr>
        <w:t>16.3本合同一式捌份，甲、乙双方各执叁份，代理公司贰份。本项目未尽事宜以投标文件、招标文件及澄清文件等为准。</w:t>
      </w:r>
    </w:p>
    <w:p>
      <w:pPr>
        <w:spacing w:line="312" w:lineRule="auto"/>
        <w:rPr>
          <w:rFonts w:hAnsi="宋体"/>
          <w:sz w:val="22"/>
          <w:highlight w:val="none"/>
        </w:rPr>
      </w:pPr>
      <w:r>
        <w:rPr>
          <w:rFonts w:hint="eastAsia" w:hAnsi="宋体"/>
          <w:sz w:val="22"/>
          <w:highlight w:val="none"/>
        </w:rPr>
        <w:t xml:space="preserve">    </w:t>
      </w:r>
    </w:p>
    <w:p>
      <w:pPr>
        <w:spacing w:line="440" w:lineRule="exact"/>
        <w:ind w:right="-42" w:rightChars="-20"/>
        <w:rPr>
          <w:color w:val="000000"/>
          <w:sz w:val="24"/>
          <w:highlight w:val="none"/>
        </w:rPr>
      </w:pPr>
      <w:r>
        <w:rPr>
          <w:rFonts w:hint="eastAsia"/>
          <w:color w:val="000000"/>
          <w:sz w:val="24"/>
          <w:highlight w:val="none"/>
          <w:lang w:val="zh-CN"/>
        </w:rPr>
        <w:t>甲方</w:t>
      </w:r>
      <w:r>
        <w:rPr>
          <w:rFonts w:hint="eastAsia"/>
          <w:color w:val="000000"/>
          <w:sz w:val="24"/>
          <w:highlight w:val="none"/>
        </w:rPr>
        <w:t>（</w:t>
      </w:r>
      <w:r>
        <w:rPr>
          <w:rFonts w:hint="eastAsia"/>
          <w:color w:val="000000"/>
          <w:sz w:val="24"/>
          <w:highlight w:val="none"/>
          <w:lang w:val="zh-CN"/>
        </w:rPr>
        <w:t>公章</w:t>
      </w:r>
      <w:r>
        <w:rPr>
          <w:rFonts w:hint="eastAsia"/>
          <w:color w:val="000000"/>
          <w:sz w:val="24"/>
          <w:highlight w:val="none"/>
        </w:rPr>
        <w:t>）</w:t>
      </w:r>
      <w:r>
        <w:rPr>
          <w:rFonts w:hint="eastAsia"/>
          <w:color w:val="000000"/>
          <w:sz w:val="24"/>
          <w:highlight w:val="none"/>
          <w:lang w:val="zh-CN"/>
        </w:rPr>
        <w:t>　　　　　　　　　　　　乙方</w:t>
      </w:r>
      <w:r>
        <w:rPr>
          <w:rFonts w:hint="eastAsia"/>
          <w:color w:val="000000"/>
          <w:sz w:val="24"/>
          <w:highlight w:val="none"/>
        </w:rPr>
        <w:t>（</w:t>
      </w:r>
      <w:r>
        <w:rPr>
          <w:rFonts w:hint="eastAsia"/>
          <w:color w:val="000000"/>
          <w:sz w:val="24"/>
          <w:highlight w:val="none"/>
          <w:lang w:val="zh-CN"/>
        </w:rPr>
        <w:t>公章</w:t>
      </w:r>
      <w:r>
        <w:rPr>
          <w:rFonts w:hint="eastAsia"/>
          <w:color w:val="000000"/>
          <w:sz w:val="24"/>
          <w:highlight w:val="none"/>
        </w:rPr>
        <w:t>）</w:t>
      </w:r>
    </w:p>
    <w:p>
      <w:pPr>
        <w:spacing w:line="440" w:lineRule="exact"/>
        <w:ind w:right="-42" w:rightChars="-20"/>
        <w:rPr>
          <w:color w:val="000000"/>
          <w:sz w:val="24"/>
          <w:highlight w:val="none"/>
          <w:lang w:val="zh-CN"/>
        </w:rPr>
      </w:pPr>
      <w:r>
        <w:rPr>
          <w:rFonts w:hint="eastAsia"/>
          <w:color w:val="000000"/>
          <w:sz w:val="24"/>
          <w:highlight w:val="none"/>
          <w:lang w:val="zh-CN"/>
        </w:rPr>
        <w:t>法人或</w:t>
      </w:r>
      <w:r>
        <w:rPr>
          <w:rFonts w:hint="eastAsia"/>
          <w:color w:val="000000"/>
          <w:sz w:val="24"/>
          <w:highlight w:val="none"/>
          <w:lang w:val="zh-CN" w:eastAsia="zh-CN"/>
        </w:rPr>
        <w:t>委托代理人</w:t>
      </w:r>
      <w:r>
        <w:rPr>
          <w:rFonts w:hint="eastAsia"/>
          <w:color w:val="000000"/>
          <w:sz w:val="24"/>
          <w:highlight w:val="none"/>
          <w:lang w:val="zh-CN"/>
        </w:rPr>
        <w:t>签名：　　　　　　　法人或</w:t>
      </w:r>
      <w:r>
        <w:rPr>
          <w:rFonts w:hint="eastAsia"/>
          <w:color w:val="000000"/>
          <w:sz w:val="24"/>
          <w:highlight w:val="none"/>
          <w:lang w:val="zh-CN" w:eastAsia="zh-CN"/>
        </w:rPr>
        <w:t>委托代理人</w:t>
      </w:r>
      <w:r>
        <w:rPr>
          <w:rFonts w:hint="eastAsia"/>
          <w:color w:val="000000"/>
          <w:sz w:val="24"/>
          <w:highlight w:val="none"/>
          <w:lang w:val="zh-CN"/>
        </w:rPr>
        <w:t>签名：</w:t>
      </w:r>
    </w:p>
    <w:p>
      <w:pPr>
        <w:spacing w:line="440" w:lineRule="exact"/>
        <w:ind w:right="-42" w:rightChars="-20"/>
        <w:rPr>
          <w:color w:val="000000"/>
          <w:sz w:val="24"/>
          <w:highlight w:val="none"/>
          <w:lang w:val="zh-CN"/>
        </w:rPr>
      </w:pPr>
      <w:r>
        <w:rPr>
          <w:rFonts w:hint="eastAsia"/>
          <w:color w:val="000000"/>
          <w:sz w:val="24"/>
          <w:highlight w:val="none"/>
          <w:lang w:val="zh-CN"/>
        </w:rPr>
        <w:t>联系人：　　　　　　　　　　　　　　联系人：</w:t>
      </w:r>
    </w:p>
    <w:p>
      <w:pPr>
        <w:spacing w:line="440" w:lineRule="exact"/>
        <w:ind w:right="-42" w:rightChars="-20"/>
        <w:rPr>
          <w:color w:val="000000"/>
          <w:sz w:val="24"/>
          <w:highlight w:val="none"/>
          <w:lang w:val="zh-CN"/>
        </w:rPr>
      </w:pPr>
      <w:r>
        <w:rPr>
          <w:rFonts w:hint="eastAsia"/>
          <w:color w:val="000000"/>
          <w:sz w:val="24"/>
          <w:highlight w:val="none"/>
          <w:lang w:val="zh-CN"/>
        </w:rPr>
        <w:t>联系电话：　　　　　　　　　　　　　联系电话：</w:t>
      </w:r>
    </w:p>
    <w:p>
      <w:pPr>
        <w:spacing w:line="440" w:lineRule="exact"/>
        <w:ind w:right="-42" w:rightChars="-20"/>
        <w:rPr>
          <w:color w:val="000000"/>
          <w:sz w:val="24"/>
          <w:highlight w:val="none"/>
          <w:lang w:val="zh-CN"/>
        </w:rPr>
      </w:pPr>
      <w:r>
        <w:rPr>
          <w:rFonts w:hint="eastAsia"/>
          <w:color w:val="000000"/>
          <w:sz w:val="24"/>
          <w:highlight w:val="none"/>
          <w:lang w:val="zh-CN"/>
        </w:rPr>
        <w:t>开户账号：　　　　　　　　　　　　　开户账号：</w:t>
      </w:r>
    </w:p>
    <w:p>
      <w:pPr>
        <w:spacing w:line="440" w:lineRule="exact"/>
        <w:ind w:right="-42" w:rightChars="-20"/>
        <w:rPr>
          <w:color w:val="000000"/>
          <w:sz w:val="24"/>
          <w:highlight w:val="none"/>
          <w:lang w:val="zh-CN"/>
        </w:rPr>
      </w:pPr>
      <w:r>
        <w:rPr>
          <w:rFonts w:hint="eastAsia"/>
          <w:color w:val="000000"/>
          <w:sz w:val="24"/>
          <w:highlight w:val="none"/>
          <w:lang w:val="zh-CN"/>
        </w:rPr>
        <w:t>签订时间：     年    月    日</w:t>
      </w:r>
    </w:p>
    <w:p>
      <w:pPr>
        <w:adjustRightInd w:val="0"/>
        <w:rPr>
          <w:rFonts w:ascii="宋体" w:hAnsi="宋体"/>
          <w:bCs/>
          <w:sz w:val="24"/>
          <w:highlight w:val="none"/>
        </w:rPr>
      </w:pPr>
    </w:p>
    <w:p>
      <w:pPr>
        <w:adjustRightInd w:val="0"/>
        <w:rPr>
          <w:rFonts w:ascii="宋体" w:hAnsi="宋体"/>
          <w:bCs/>
          <w:sz w:val="24"/>
          <w:highlight w:val="none"/>
        </w:rPr>
      </w:pPr>
      <w:r>
        <w:rPr>
          <w:rFonts w:hint="eastAsia" w:ascii="宋体" w:hAnsi="宋体"/>
          <w:bCs/>
          <w:sz w:val="24"/>
          <w:highlight w:val="none"/>
        </w:rPr>
        <w:t>见证方：</w:t>
      </w:r>
    </w:p>
    <w:p>
      <w:pPr>
        <w:adjustRightInd w:val="0"/>
        <w:rPr>
          <w:rFonts w:ascii="宋体" w:hAnsi="宋体"/>
          <w:bCs/>
          <w:sz w:val="24"/>
          <w:highlight w:val="none"/>
        </w:rPr>
      </w:pPr>
      <w:r>
        <w:rPr>
          <w:rFonts w:hint="eastAsia" w:ascii="宋体" w:hAnsi="宋体"/>
          <w:bCs/>
          <w:sz w:val="24"/>
          <w:highlight w:val="none"/>
        </w:rPr>
        <w:t>见证日期：</w:t>
      </w:r>
    </w:p>
    <w:p>
      <w:pPr>
        <w:adjustRightInd w:val="0"/>
        <w:rPr>
          <w:rFonts w:ascii="宋体" w:hAnsi="宋体"/>
          <w:bCs/>
          <w:sz w:val="24"/>
          <w:highlight w:val="none"/>
        </w:rPr>
      </w:pPr>
    </w:p>
    <w:p>
      <w:pPr>
        <w:pStyle w:val="37"/>
        <w:snapToGrid w:val="0"/>
        <w:ind w:firstLine="240" w:firstLineChars="100"/>
        <w:jc w:val="right"/>
        <w:rPr>
          <w:rFonts w:hAnsi="宋体"/>
          <w:spacing w:val="20"/>
          <w:highlight w:val="none"/>
        </w:rPr>
      </w:pPr>
    </w:p>
    <w:p>
      <w:pPr>
        <w:rPr>
          <w:rFonts w:hint="eastAsia" w:ascii="宋体" w:hAnsi="宋体"/>
          <w:sz w:val="32"/>
          <w:highlight w:val="none"/>
        </w:rPr>
      </w:pPr>
      <w:r>
        <w:rPr>
          <w:rFonts w:hint="eastAsia" w:ascii="宋体" w:hAnsi="宋体"/>
          <w:sz w:val="32"/>
          <w:highlight w:val="none"/>
        </w:rPr>
        <w:br w:type="page"/>
      </w:r>
    </w:p>
    <w:p>
      <w:pPr>
        <w:pStyle w:val="3"/>
        <w:numPr>
          <w:ilvl w:val="0"/>
          <w:numId w:val="0"/>
        </w:numPr>
        <w:spacing w:after="120"/>
        <w:jc w:val="center"/>
        <w:rPr>
          <w:rFonts w:ascii="宋体"/>
          <w:b w:val="0"/>
          <w:sz w:val="32"/>
          <w:highlight w:val="none"/>
        </w:rPr>
      </w:pPr>
      <w:r>
        <w:rPr>
          <w:rFonts w:hint="eastAsia" w:ascii="宋体" w:hAnsi="宋体"/>
          <w:sz w:val="32"/>
          <w:highlight w:val="none"/>
        </w:rPr>
        <w:t>第六部分、评标办法</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一、总</w:t>
      </w:r>
      <w:r>
        <w:rPr>
          <w:rFonts w:ascii="新宋体" w:hAnsi="新宋体" w:eastAsia="新宋体"/>
          <w:b/>
          <w:sz w:val="22"/>
          <w:highlight w:val="none"/>
        </w:rPr>
        <w:t xml:space="preserve">  </w:t>
      </w:r>
      <w:r>
        <w:rPr>
          <w:rFonts w:hint="eastAsia" w:ascii="新宋体" w:hAnsi="新宋体" w:eastAsia="新宋体"/>
          <w:b/>
          <w:sz w:val="22"/>
          <w:highlight w:val="none"/>
        </w:rPr>
        <w:t>则</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w:t>
      </w:r>
      <w:r>
        <w:rPr>
          <w:rFonts w:hint="eastAsia" w:ascii="新宋体" w:hAnsi="新宋体" w:eastAsia="新宋体"/>
          <w:sz w:val="22"/>
          <w:highlight w:val="none"/>
          <w:lang w:val="en-US" w:eastAsia="zh-CN"/>
        </w:rPr>
        <w:t>商务技术</w:t>
      </w:r>
      <w:r>
        <w:rPr>
          <w:rFonts w:hint="eastAsia" w:ascii="新宋体" w:hAnsi="新宋体" w:eastAsia="新宋体"/>
          <w:sz w:val="22"/>
          <w:highlight w:val="none"/>
        </w:rPr>
        <w:t>要求，对投标文件进行综合评定，提出优选方案，编写评标报告。对落标单位，评委会不作任何落标解释。投标人不得以任何方式干扰招投标工作的进行，一经发现其投标文件将被否决。</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二、评标组织</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评标工作由评标委员会负责，评标全过程由有关部门指导监督。</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三、评标程序</w:t>
      </w:r>
    </w:p>
    <w:p>
      <w:pPr>
        <w:spacing w:line="440" w:lineRule="exact"/>
        <w:ind w:firstLine="539" w:firstLineChars="245"/>
        <w:rPr>
          <w:rFonts w:ascii="新宋体" w:hAnsi="新宋体" w:eastAsia="新宋体"/>
          <w:sz w:val="22"/>
          <w:highlight w:val="none"/>
        </w:rPr>
      </w:pPr>
      <w:r>
        <w:rPr>
          <w:rFonts w:hint="eastAsia" w:ascii="新宋体" w:hAnsi="新宋体" w:eastAsia="新宋体"/>
          <w:sz w:val="22"/>
          <w:highlight w:val="none"/>
        </w:rPr>
        <w:t>评标委员会对合格投标人的商务与技术文件进行评审；商务与技术文件评审结束后即公布投标人技术资信得分情况，之后评审报价文件；对报价文件评审后，根据综合评审结果，提交评审报告。</w:t>
      </w:r>
    </w:p>
    <w:p>
      <w:pPr>
        <w:spacing w:line="440" w:lineRule="exact"/>
        <w:ind w:firstLine="541" w:firstLineChars="245"/>
        <w:rPr>
          <w:rFonts w:ascii="新宋体" w:hAnsi="新宋体" w:eastAsia="新宋体"/>
          <w:b/>
          <w:sz w:val="22"/>
          <w:highlight w:val="none"/>
        </w:rPr>
      </w:pPr>
      <w:r>
        <w:rPr>
          <w:rFonts w:hint="eastAsia" w:ascii="新宋体" w:hAnsi="新宋体" w:eastAsia="新宋体"/>
          <w:b/>
          <w:sz w:val="22"/>
          <w:highlight w:val="none"/>
        </w:rPr>
        <w:t>四、评标办法</w:t>
      </w:r>
    </w:p>
    <w:p>
      <w:pPr>
        <w:spacing w:line="460" w:lineRule="exact"/>
        <w:ind w:firstLine="539" w:firstLineChars="245"/>
        <w:rPr>
          <w:rFonts w:ascii="新宋体" w:hAnsi="新宋体" w:eastAsia="新宋体"/>
          <w:b/>
          <w:sz w:val="22"/>
          <w:highlight w:val="none"/>
        </w:rPr>
      </w:pPr>
      <w:r>
        <w:rPr>
          <w:rFonts w:ascii="新宋体" w:hAnsi="新宋体" w:eastAsia="新宋体"/>
          <w:sz w:val="22"/>
          <w:highlight w:val="none"/>
        </w:rPr>
        <w:t>1</w:t>
      </w:r>
      <w:r>
        <w:rPr>
          <w:rFonts w:hint="eastAsia" w:ascii="新宋体" w:hAnsi="新宋体" w:eastAsia="新宋体"/>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sz w:val="22"/>
          <w:highlight w:val="none"/>
        </w:rPr>
        <w:t>总分设定为</w:t>
      </w:r>
      <w:r>
        <w:rPr>
          <w:rFonts w:hint="eastAsia" w:ascii="新宋体" w:hAnsi="新宋体" w:eastAsia="新宋体"/>
          <w:b/>
          <w:sz w:val="22"/>
          <w:highlight w:val="none"/>
          <w:lang w:eastAsia="zh-CN"/>
        </w:rPr>
        <w:t>1</w:t>
      </w:r>
      <w:r>
        <w:rPr>
          <w:rFonts w:hint="eastAsia" w:ascii="新宋体" w:hAnsi="新宋体" w:eastAsia="新宋体"/>
          <w:b/>
          <w:sz w:val="22"/>
          <w:highlight w:val="none"/>
          <w:lang w:val="en-US" w:eastAsia="zh-CN"/>
        </w:rPr>
        <w:t>0</w:t>
      </w:r>
      <w:r>
        <w:rPr>
          <w:rFonts w:hint="eastAsia" w:ascii="新宋体" w:hAnsi="新宋体" w:eastAsia="新宋体"/>
          <w:b/>
          <w:sz w:val="22"/>
          <w:highlight w:val="none"/>
          <w:lang w:eastAsia="zh-CN"/>
        </w:rPr>
        <w:t>0</w:t>
      </w:r>
      <w:r>
        <w:rPr>
          <w:rFonts w:hint="eastAsia" w:ascii="新宋体" w:hAnsi="新宋体" w:eastAsia="新宋体"/>
          <w:b/>
          <w:sz w:val="22"/>
          <w:highlight w:val="none"/>
        </w:rPr>
        <w:t>分：其中商务与技术文件90分</w:t>
      </w:r>
      <w:r>
        <w:rPr>
          <w:rFonts w:hint="eastAsia" w:ascii="新宋体" w:hAnsi="新宋体" w:eastAsia="新宋体"/>
          <w:b/>
          <w:sz w:val="22"/>
          <w:szCs w:val="22"/>
          <w:highlight w:val="none"/>
        </w:rPr>
        <w:t>（权值90</w:t>
      </w:r>
      <w:r>
        <w:rPr>
          <w:rFonts w:ascii="新宋体" w:hAnsi="新宋体" w:eastAsia="新宋体"/>
          <w:b/>
          <w:sz w:val="22"/>
          <w:szCs w:val="22"/>
          <w:highlight w:val="none"/>
        </w:rPr>
        <w:t>%</w:t>
      </w:r>
      <w:r>
        <w:rPr>
          <w:rFonts w:hint="eastAsia" w:ascii="新宋体" w:hAnsi="新宋体" w:eastAsia="新宋体"/>
          <w:b/>
          <w:sz w:val="22"/>
          <w:szCs w:val="22"/>
          <w:highlight w:val="none"/>
        </w:rPr>
        <w:t>）</w:t>
      </w:r>
      <w:r>
        <w:rPr>
          <w:rFonts w:hint="eastAsia" w:ascii="新宋体" w:hAnsi="新宋体" w:eastAsia="新宋体"/>
          <w:b/>
          <w:sz w:val="22"/>
          <w:highlight w:val="none"/>
        </w:rPr>
        <w:t>，报价评分10分</w:t>
      </w:r>
      <w:r>
        <w:rPr>
          <w:rFonts w:hint="eastAsia" w:ascii="新宋体" w:hAnsi="新宋体" w:eastAsia="新宋体"/>
          <w:b/>
          <w:sz w:val="22"/>
          <w:szCs w:val="22"/>
          <w:highlight w:val="none"/>
        </w:rPr>
        <w:t>（权值10</w:t>
      </w:r>
      <w:r>
        <w:rPr>
          <w:rFonts w:ascii="新宋体" w:hAnsi="新宋体" w:eastAsia="新宋体"/>
          <w:b/>
          <w:sz w:val="22"/>
          <w:szCs w:val="22"/>
          <w:highlight w:val="none"/>
        </w:rPr>
        <w:t>%</w:t>
      </w:r>
      <w:r>
        <w:rPr>
          <w:rFonts w:hint="eastAsia" w:ascii="新宋体" w:hAnsi="新宋体" w:eastAsia="新宋体"/>
          <w:b/>
          <w:sz w:val="22"/>
          <w:szCs w:val="22"/>
          <w:highlight w:val="none"/>
        </w:rPr>
        <w:t>）</w:t>
      </w:r>
      <w:r>
        <w:rPr>
          <w:rFonts w:hint="eastAsia" w:ascii="新宋体" w:hAnsi="新宋体" w:eastAsia="新宋体"/>
          <w:b/>
          <w:sz w:val="22"/>
          <w:highlight w:val="none"/>
        </w:rPr>
        <w:t>。</w:t>
      </w:r>
    </w:p>
    <w:p>
      <w:pPr>
        <w:spacing w:line="460" w:lineRule="exact"/>
        <w:ind w:firstLine="541" w:firstLineChars="245"/>
        <w:rPr>
          <w:rFonts w:ascii="新宋体" w:hAnsi="新宋体" w:eastAsia="新宋体"/>
          <w:b/>
          <w:sz w:val="22"/>
          <w:highlight w:val="none"/>
        </w:rPr>
      </w:pPr>
      <w:r>
        <w:rPr>
          <w:rFonts w:ascii="新宋体" w:hAnsi="新宋体" w:eastAsia="新宋体"/>
          <w:b/>
          <w:sz w:val="22"/>
          <w:highlight w:val="none"/>
        </w:rPr>
        <w:t>2</w:t>
      </w:r>
      <w:r>
        <w:rPr>
          <w:rFonts w:hint="eastAsia" w:ascii="新宋体" w:hAnsi="新宋体" w:eastAsia="新宋体"/>
          <w:b/>
          <w:sz w:val="22"/>
          <w:highlight w:val="none"/>
        </w:rPr>
        <w:t>、投标文件递交截止时间止及评审期间，出现有效供应商不足</w:t>
      </w:r>
      <w:r>
        <w:rPr>
          <w:rFonts w:ascii="新宋体" w:hAnsi="新宋体" w:eastAsia="新宋体"/>
          <w:b/>
          <w:sz w:val="22"/>
          <w:highlight w:val="none"/>
        </w:rPr>
        <w:t>3</w:t>
      </w:r>
      <w:r>
        <w:rPr>
          <w:rFonts w:hint="eastAsia" w:ascii="新宋体" w:hAnsi="新宋体" w:eastAsia="新宋体"/>
          <w:b/>
          <w:sz w:val="22"/>
          <w:highlight w:val="none"/>
        </w:rPr>
        <w:t>家情况的，此项目流标，重新组织招标。</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五、评分细则</w:t>
      </w:r>
    </w:p>
    <w:p>
      <w:pPr>
        <w:spacing w:line="460" w:lineRule="exact"/>
        <w:ind w:firstLine="539" w:firstLineChars="245"/>
        <w:rPr>
          <w:rFonts w:ascii="新宋体" w:hAnsi="新宋体" w:eastAsia="新宋体"/>
          <w:sz w:val="22"/>
          <w:highlight w:val="none"/>
        </w:rPr>
      </w:pPr>
      <w:r>
        <w:rPr>
          <w:rFonts w:hint="eastAsia" w:ascii="新宋体" w:hAnsi="新宋体" w:eastAsia="新宋体"/>
          <w:sz w:val="22"/>
          <w:highlight w:val="none"/>
        </w:rPr>
        <w:t>各评委成员按下列评分项目进行评判。投标文件各项评分内容由评标委员会成员各自评分（小数点后保留一位小数）。各评标委员会成员对各投标人的各项评分内容评分的算术平均值为各投标人商务与技术文件得分（小数点后保留</w:t>
      </w:r>
      <w:r>
        <w:rPr>
          <w:rFonts w:ascii="新宋体" w:hAnsi="新宋体" w:eastAsia="新宋体"/>
          <w:sz w:val="22"/>
          <w:highlight w:val="none"/>
        </w:rPr>
        <w:t>2</w:t>
      </w:r>
      <w:r>
        <w:rPr>
          <w:rFonts w:hint="eastAsia" w:ascii="新宋体" w:hAnsi="新宋体" w:eastAsia="新宋体"/>
          <w:sz w:val="22"/>
          <w:highlight w:val="none"/>
        </w:rPr>
        <w:t>位，第三位四舍五入）。</w:t>
      </w:r>
    </w:p>
    <w:p>
      <w:pPr>
        <w:rPr>
          <w:rFonts w:ascii="新宋体" w:hAnsi="新宋体" w:eastAsia="新宋体"/>
          <w:sz w:val="22"/>
          <w:highlight w:val="none"/>
        </w:rPr>
      </w:pPr>
      <w:r>
        <w:rPr>
          <w:rFonts w:hint="eastAsia" w:ascii="新宋体" w:hAnsi="新宋体" w:eastAsia="新宋体"/>
          <w:sz w:val="22"/>
          <w:highlight w:val="none"/>
        </w:rPr>
        <w:br w:type="page"/>
      </w:r>
    </w:p>
    <w:p>
      <w:pPr>
        <w:pStyle w:val="72"/>
        <w:jc w:val="both"/>
        <w:rPr>
          <w:rFonts w:eastAsia="新宋体"/>
          <w:highlight w:val="none"/>
        </w:rPr>
      </w:pPr>
      <w:r>
        <w:rPr>
          <w:rFonts w:hint="eastAsia" w:ascii="新宋体" w:hAnsi="新宋体" w:eastAsia="新宋体"/>
          <w:sz w:val="22"/>
          <w:highlight w:val="none"/>
        </w:rPr>
        <w:t>1、商务与技术文件评分（90分）</w:t>
      </w:r>
    </w:p>
    <w:tbl>
      <w:tblPr>
        <w:tblStyle w:val="76"/>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9"/>
        <w:gridCol w:w="682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760"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序号</w:t>
            </w:r>
          </w:p>
        </w:tc>
        <w:tc>
          <w:tcPr>
            <w:tcW w:w="1569"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评审内容</w:t>
            </w:r>
          </w:p>
        </w:tc>
        <w:tc>
          <w:tcPr>
            <w:tcW w:w="682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评分细则</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60" w:type="dxa"/>
            <w:noWrap/>
            <w:vAlign w:val="center"/>
          </w:tcPr>
          <w:p>
            <w:pPr>
              <w:widowControl/>
              <w:spacing w:line="240" w:lineRule="auto"/>
              <w:jc w:val="center"/>
              <w:textAlignment w:val="center"/>
              <w:rPr>
                <w:rFonts w:ascii="宋体" w:hAnsi="宋体" w:cs="宋体"/>
                <w:bCs/>
                <w:kern w:val="0"/>
                <w:sz w:val="21"/>
                <w:szCs w:val="21"/>
                <w:highlight w:val="none"/>
              </w:rPr>
            </w:pPr>
            <w:r>
              <w:rPr>
                <w:rFonts w:hint="eastAsia" w:ascii="宋体" w:hAnsi="宋体" w:cs="宋体"/>
                <w:color w:val="000000"/>
                <w:kern w:val="0"/>
                <w:sz w:val="21"/>
                <w:szCs w:val="21"/>
                <w:highlight w:val="none"/>
              </w:rPr>
              <w:t>1</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类似项目业绩</w:t>
            </w:r>
          </w:p>
        </w:tc>
        <w:tc>
          <w:tcPr>
            <w:tcW w:w="6825" w:type="dxa"/>
            <w:noWrap/>
            <w:vAlign w:val="center"/>
          </w:tcPr>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投标人自2018年1月1日（以合同签订时间为准）以来有未来社区相关业绩的，每1个得</w:t>
            </w:r>
            <w:r>
              <w:rPr>
                <w:rFonts w:hint="eastAsia" w:ascii="宋体" w:hAnsi="宋体" w:cs="宋体"/>
                <w:bCs/>
                <w:kern w:val="0"/>
                <w:sz w:val="21"/>
                <w:szCs w:val="21"/>
                <w:highlight w:val="none"/>
              </w:rPr>
              <w:t>0.5</w:t>
            </w:r>
            <w:r>
              <w:rPr>
                <w:rFonts w:hint="eastAsia" w:ascii="宋体" w:hAnsi="宋体" w:cs="宋体"/>
                <w:bCs/>
                <w:kern w:val="0"/>
                <w:sz w:val="21"/>
                <w:szCs w:val="21"/>
                <w:highlight w:val="none"/>
                <w:lang w:val="zh-CN"/>
              </w:rPr>
              <w:t>分，最高得</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注：提供合同扫描件，如提供的材料不能反映合同签订时间和项目类型的，该业绩不予得分。</w:t>
            </w:r>
          </w:p>
        </w:tc>
        <w:tc>
          <w:tcPr>
            <w:tcW w:w="815" w:type="dxa"/>
            <w:noWrap/>
            <w:vAlign w:val="center"/>
          </w:tcPr>
          <w:p>
            <w:pPr>
              <w:widowControl/>
              <w:spacing w:line="240" w:lineRule="auto"/>
              <w:jc w:val="center"/>
              <w:rPr>
                <w:rFonts w:hint="eastAsia" w:ascii="宋体" w:hAnsi="宋体" w:eastAsia="宋体" w:cs="宋体"/>
                <w:bCs/>
                <w:kern w:val="0"/>
                <w:sz w:val="21"/>
                <w:szCs w:val="21"/>
                <w:highlight w:val="none"/>
                <w:lang w:eastAsia="zh-CN"/>
              </w:rPr>
            </w:pPr>
            <w:r>
              <w:rPr>
                <w:rFonts w:hint="eastAsia" w:ascii="宋体" w:hAnsi="宋体" w:cs="宋体"/>
                <w:bCs/>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60" w:type="dxa"/>
            <w:noWrap/>
            <w:vAlign w:val="center"/>
          </w:tcPr>
          <w:p>
            <w:pPr>
              <w:widowControl/>
              <w:spacing w:line="240" w:lineRule="auto"/>
              <w:jc w:val="center"/>
              <w:textAlignment w:val="center"/>
              <w:rPr>
                <w:rFonts w:ascii="宋体" w:hAnsi="宋体" w:cs="宋体"/>
                <w:bCs/>
                <w:kern w:val="0"/>
                <w:sz w:val="21"/>
                <w:szCs w:val="21"/>
                <w:highlight w:val="none"/>
              </w:rPr>
            </w:pPr>
            <w:r>
              <w:rPr>
                <w:rFonts w:hint="eastAsia" w:ascii="宋体" w:hAnsi="宋体" w:cs="宋体"/>
                <w:color w:val="000000"/>
                <w:kern w:val="0"/>
                <w:sz w:val="21"/>
                <w:szCs w:val="21"/>
                <w:highlight w:val="none"/>
              </w:rPr>
              <w:t>2</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单位资质</w:t>
            </w:r>
          </w:p>
        </w:tc>
        <w:tc>
          <w:tcPr>
            <w:tcW w:w="6825" w:type="dxa"/>
            <w:noWrap/>
            <w:vAlign w:val="center"/>
          </w:tcPr>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投标人具有城乡规划甲级资质的，得</w:t>
            </w:r>
            <w:r>
              <w:rPr>
                <w:rFonts w:hint="eastAsia" w:ascii="宋体" w:hAnsi="宋体" w:cs="宋体"/>
                <w:bCs/>
                <w:kern w:val="0"/>
                <w:sz w:val="21"/>
                <w:szCs w:val="21"/>
                <w:highlight w:val="none"/>
              </w:rPr>
              <w:t>3</w:t>
            </w:r>
            <w:r>
              <w:rPr>
                <w:rFonts w:hint="eastAsia" w:ascii="宋体" w:hAnsi="宋体" w:cs="宋体"/>
                <w:bCs/>
                <w:kern w:val="0"/>
                <w:sz w:val="21"/>
                <w:szCs w:val="21"/>
                <w:highlight w:val="none"/>
                <w:lang w:val="zh-CN"/>
              </w:rPr>
              <w:t>分，其余不得分。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投标人具有建筑工程甲级资质的，得</w:t>
            </w:r>
            <w:r>
              <w:rPr>
                <w:rFonts w:hint="eastAsia" w:ascii="宋体" w:hAnsi="宋体" w:cs="宋体"/>
                <w:bCs/>
                <w:kern w:val="0"/>
                <w:sz w:val="21"/>
                <w:szCs w:val="21"/>
                <w:highlight w:val="none"/>
              </w:rPr>
              <w:t>3</w:t>
            </w:r>
            <w:r>
              <w:rPr>
                <w:rFonts w:hint="eastAsia" w:ascii="宋体" w:hAnsi="宋体" w:cs="宋体"/>
                <w:bCs/>
                <w:kern w:val="0"/>
                <w:sz w:val="21"/>
                <w:szCs w:val="21"/>
                <w:highlight w:val="none"/>
                <w:lang w:val="zh-CN"/>
              </w:rPr>
              <w:t>分，其余不得分。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投标人具有风景园林专项设计乙级及以上资质的得</w:t>
            </w:r>
            <w:r>
              <w:rPr>
                <w:rFonts w:hint="eastAsia" w:ascii="宋体" w:hAnsi="宋体" w:cs="宋体"/>
                <w:bCs/>
                <w:kern w:val="0"/>
                <w:sz w:val="21"/>
                <w:szCs w:val="21"/>
                <w:highlight w:val="none"/>
              </w:rPr>
              <w:t>3</w:t>
            </w:r>
            <w:r>
              <w:rPr>
                <w:rFonts w:hint="eastAsia" w:ascii="宋体" w:hAnsi="宋体" w:cs="宋体"/>
                <w:bCs/>
                <w:kern w:val="0"/>
                <w:sz w:val="21"/>
                <w:szCs w:val="21"/>
                <w:highlight w:val="none"/>
                <w:lang w:val="zh-CN"/>
              </w:rPr>
              <w:t>分，其余不得分。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sz w:val="21"/>
                <w:szCs w:val="21"/>
                <w:highlight w:val="none"/>
                <w:lang w:val="zh-CN"/>
              </w:rPr>
              <w:t>注：</w:t>
            </w:r>
            <w:r>
              <w:rPr>
                <w:rFonts w:hint="eastAsia" w:ascii="宋体" w:hAnsi="宋体" w:cs="宋体"/>
                <w:sz w:val="21"/>
                <w:szCs w:val="21"/>
                <w:highlight w:val="none"/>
              </w:rPr>
              <w:t>须</w:t>
            </w:r>
            <w:r>
              <w:rPr>
                <w:rFonts w:hint="eastAsia" w:ascii="宋体" w:hAnsi="宋体" w:cs="宋体"/>
                <w:bCs/>
                <w:sz w:val="21"/>
                <w:szCs w:val="21"/>
                <w:highlight w:val="none"/>
                <w:lang w:val="zh-CN"/>
              </w:rPr>
              <w:t>提供相关证书原件扫描件，否则不得分。</w:t>
            </w:r>
          </w:p>
        </w:tc>
        <w:tc>
          <w:tcPr>
            <w:tcW w:w="815" w:type="dxa"/>
            <w:noWrap/>
            <w:vAlign w:val="center"/>
          </w:tcPr>
          <w:p>
            <w:pPr>
              <w:widowControl/>
              <w:spacing w:line="240" w:lineRule="auto"/>
              <w:jc w:val="center"/>
              <w:rPr>
                <w:rFonts w:hint="eastAsia" w:ascii="宋体" w:hAnsi="宋体" w:eastAsia="宋体" w:cs="宋体"/>
                <w:bCs/>
                <w:kern w:val="0"/>
                <w:sz w:val="21"/>
                <w:szCs w:val="21"/>
                <w:highlight w:val="none"/>
                <w:lang w:eastAsia="zh-CN"/>
              </w:rPr>
            </w:pPr>
            <w:r>
              <w:rPr>
                <w:rFonts w:hint="eastAsia" w:ascii="宋体" w:hAnsi="宋体" w:cs="宋体"/>
                <w:bCs/>
                <w:kern w:val="0"/>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60" w:type="dxa"/>
            <w:noWrap/>
            <w:vAlign w:val="center"/>
          </w:tcPr>
          <w:p>
            <w:pPr>
              <w:widowControl/>
              <w:spacing w:line="240" w:lineRule="auto"/>
              <w:jc w:val="center"/>
              <w:textAlignment w:val="center"/>
              <w:rPr>
                <w:rFonts w:ascii="宋体" w:hAnsi="宋体" w:cs="宋体"/>
                <w:bCs/>
                <w:kern w:val="0"/>
                <w:sz w:val="21"/>
                <w:szCs w:val="21"/>
                <w:highlight w:val="none"/>
              </w:rPr>
            </w:pPr>
            <w:r>
              <w:rPr>
                <w:rFonts w:hint="eastAsia" w:ascii="宋体" w:hAnsi="宋体" w:cs="宋体"/>
                <w:color w:val="000000"/>
                <w:kern w:val="0"/>
                <w:sz w:val="21"/>
                <w:szCs w:val="21"/>
                <w:highlight w:val="none"/>
              </w:rPr>
              <w:t>3</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项目负责人</w:t>
            </w:r>
          </w:p>
        </w:tc>
        <w:tc>
          <w:tcPr>
            <w:tcW w:w="6825" w:type="dxa"/>
            <w:noWrap/>
            <w:vAlign w:val="center"/>
          </w:tcPr>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项目负责人同时具备教授级高级工程师职称（城乡规划类专业）和一级注册建筑师执业资格证书，得</w:t>
            </w:r>
            <w:r>
              <w:rPr>
                <w:rFonts w:hint="eastAsia" w:ascii="宋体" w:hAnsi="宋体" w:cs="宋体"/>
                <w:bCs/>
                <w:kern w:val="0"/>
                <w:sz w:val="21"/>
                <w:szCs w:val="21"/>
                <w:highlight w:val="none"/>
              </w:rPr>
              <w:t>5</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项目负责人同时具备高级工程师职称（城乡规划类专业）和注册城市规划师（注册城乡规划师）执业资格证书的，或者同时具备高级工程师职称（城乡规划类专业）和一级注册建筑师执业资格证书的,得</w:t>
            </w:r>
            <w:r>
              <w:rPr>
                <w:rFonts w:hint="eastAsia" w:ascii="宋体" w:hAnsi="宋体" w:cs="宋体"/>
                <w:bCs/>
                <w:kern w:val="0"/>
                <w:sz w:val="21"/>
                <w:szCs w:val="21"/>
                <w:highlight w:val="none"/>
              </w:rPr>
              <w:t>2</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注：须提供以下资料，否则不予得分：①人员职称证证书，②执业资格证书，③提供2022年1月-5月社保缴纳证明。</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760" w:type="dxa"/>
            <w:noWrap/>
            <w:vAlign w:val="center"/>
          </w:tcPr>
          <w:p>
            <w:pPr>
              <w:widowControl/>
              <w:spacing w:line="240" w:lineRule="auto"/>
              <w:jc w:val="center"/>
              <w:textAlignment w:val="center"/>
              <w:rPr>
                <w:rFonts w:ascii="宋体" w:hAnsi="宋体" w:cs="宋体"/>
                <w:sz w:val="21"/>
                <w:szCs w:val="21"/>
                <w:highlight w:val="none"/>
              </w:rPr>
            </w:pPr>
            <w:r>
              <w:rPr>
                <w:rFonts w:hint="eastAsia" w:ascii="宋体" w:hAnsi="宋体" w:cs="宋体"/>
                <w:color w:val="000000"/>
                <w:kern w:val="0"/>
                <w:sz w:val="21"/>
                <w:szCs w:val="21"/>
                <w:highlight w:val="none"/>
              </w:rPr>
              <w:t>4</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项目团队人员</w:t>
            </w:r>
          </w:p>
        </w:tc>
        <w:tc>
          <w:tcPr>
            <w:tcW w:w="6825" w:type="dxa"/>
            <w:noWrap/>
            <w:vAlign w:val="center"/>
          </w:tcPr>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项目团队人员（项目负责人除外）：</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1、同时具备高级及以上职称（城乡规划类专业）和注册城市规划师（注册城乡规划师）执业资格证书, 每1人得</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分，最高</w:t>
            </w:r>
            <w:r>
              <w:rPr>
                <w:rFonts w:hint="eastAsia" w:ascii="宋体" w:hAnsi="宋体" w:cs="宋体"/>
                <w:bCs/>
                <w:kern w:val="0"/>
                <w:sz w:val="21"/>
                <w:szCs w:val="21"/>
                <w:highlight w:val="none"/>
              </w:rPr>
              <w:t>3</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2、同时具备高级及以上职称（建筑设计类专业）和一级注册建筑师执业资格证书, 每1人得</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分，最高</w:t>
            </w:r>
            <w:r>
              <w:rPr>
                <w:rFonts w:hint="eastAsia" w:ascii="宋体" w:hAnsi="宋体" w:cs="宋体"/>
                <w:bCs/>
                <w:kern w:val="0"/>
                <w:sz w:val="21"/>
                <w:szCs w:val="21"/>
                <w:highlight w:val="none"/>
              </w:rPr>
              <w:t>3</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3、项目人员具备园林绿化类专业高级及以上职称的，每1人得</w:t>
            </w:r>
            <w:r>
              <w:rPr>
                <w:rFonts w:hint="eastAsia" w:ascii="宋体" w:hAnsi="宋体" w:cs="宋体"/>
                <w:bCs/>
                <w:kern w:val="0"/>
                <w:sz w:val="21"/>
                <w:szCs w:val="21"/>
                <w:highlight w:val="none"/>
              </w:rPr>
              <w:t>1</w:t>
            </w:r>
            <w:r>
              <w:rPr>
                <w:rFonts w:hint="eastAsia" w:ascii="宋体" w:hAnsi="宋体" w:cs="宋体"/>
                <w:bCs/>
                <w:kern w:val="0"/>
                <w:sz w:val="21"/>
                <w:szCs w:val="21"/>
                <w:highlight w:val="none"/>
                <w:lang w:val="zh-CN"/>
              </w:rPr>
              <w:t>分，最高</w:t>
            </w:r>
            <w:r>
              <w:rPr>
                <w:rFonts w:hint="eastAsia" w:ascii="宋体" w:hAnsi="宋体" w:cs="宋体"/>
                <w:bCs/>
                <w:kern w:val="0"/>
                <w:sz w:val="21"/>
                <w:szCs w:val="21"/>
                <w:highlight w:val="none"/>
              </w:rPr>
              <w:t>2</w:t>
            </w:r>
            <w:r>
              <w:rPr>
                <w:rFonts w:hint="eastAsia" w:ascii="宋体" w:hAnsi="宋体" w:cs="宋体"/>
                <w:bCs/>
                <w:kern w:val="0"/>
                <w:sz w:val="21"/>
                <w:szCs w:val="21"/>
                <w:highlight w:val="none"/>
                <w:lang w:val="zh-CN"/>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注：（1）以上人员不可重复得分，1人只计算1次。</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（2）须提供以下资料，否则不予得分：①人员职称证证书，②执业资格证书，③提供2022年1月-5月社保缴纳证明。</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760" w:type="dxa"/>
            <w:noWrap/>
            <w:vAlign w:val="center"/>
          </w:tcPr>
          <w:p>
            <w:pPr>
              <w:widowControl/>
              <w:spacing w:line="240" w:lineRule="auto"/>
              <w:jc w:val="center"/>
              <w:textAlignment w:val="center"/>
              <w:rPr>
                <w:rFonts w:ascii="宋体" w:hAnsi="宋体" w:cs="宋体"/>
                <w:bCs/>
                <w:kern w:val="0"/>
                <w:sz w:val="21"/>
                <w:szCs w:val="21"/>
                <w:highlight w:val="none"/>
              </w:rPr>
            </w:pPr>
            <w:r>
              <w:rPr>
                <w:rFonts w:hint="eastAsia" w:ascii="宋体" w:hAnsi="宋体" w:cs="宋体"/>
                <w:color w:val="000000"/>
                <w:kern w:val="0"/>
                <w:sz w:val="21"/>
                <w:szCs w:val="21"/>
                <w:highlight w:val="none"/>
              </w:rPr>
              <w:t>5</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投标人综合实力</w:t>
            </w:r>
          </w:p>
        </w:tc>
        <w:tc>
          <w:tcPr>
            <w:tcW w:w="6825" w:type="dxa"/>
            <w:noWrap/>
            <w:vAlign w:val="center"/>
          </w:tcPr>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投标人具有质量管理体系认证的得2分，没有不得分；</w:t>
            </w:r>
          </w:p>
          <w:p>
            <w:pPr>
              <w:widowControl/>
              <w:spacing w:line="240" w:lineRule="auto"/>
              <w:ind w:firstLine="420" w:firstLineChars="200"/>
              <w:jc w:val="left"/>
              <w:rPr>
                <w:color w:val="000000"/>
                <w:sz w:val="21"/>
                <w:szCs w:val="21"/>
                <w:highlight w:val="none"/>
              </w:rPr>
            </w:pPr>
            <w:r>
              <w:rPr>
                <w:rFonts w:hint="eastAsia"/>
                <w:color w:val="000000"/>
                <w:sz w:val="21"/>
                <w:szCs w:val="21"/>
                <w:highlight w:val="none"/>
              </w:rPr>
              <w:t>投标人奖项业绩：</w:t>
            </w:r>
          </w:p>
          <w:p>
            <w:pPr>
              <w:widowControl/>
              <w:spacing w:line="240" w:lineRule="auto"/>
              <w:ind w:firstLine="420" w:firstLineChars="200"/>
              <w:jc w:val="left"/>
              <w:rPr>
                <w:color w:val="000000"/>
                <w:sz w:val="21"/>
                <w:szCs w:val="21"/>
                <w:highlight w:val="none"/>
              </w:rPr>
            </w:pPr>
            <w:r>
              <w:rPr>
                <w:rFonts w:hint="eastAsia" w:ascii="宋体" w:hAnsi="宋体" w:cs="宋体"/>
                <w:bCs/>
                <w:kern w:val="0"/>
                <w:sz w:val="21"/>
                <w:szCs w:val="21"/>
                <w:highlight w:val="none"/>
                <w:lang w:val="zh-CN"/>
              </w:rPr>
              <w:t>1、</w:t>
            </w:r>
            <w:r>
              <w:rPr>
                <w:color w:val="000000"/>
                <w:sz w:val="21"/>
                <w:szCs w:val="21"/>
                <w:highlight w:val="none"/>
              </w:rPr>
              <w:t>2018</w:t>
            </w:r>
            <w:r>
              <w:rPr>
                <w:rFonts w:hint="eastAsia"/>
                <w:color w:val="000000"/>
                <w:sz w:val="21"/>
                <w:szCs w:val="21"/>
                <w:highlight w:val="none"/>
              </w:rPr>
              <w:t>年</w:t>
            </w:r>
            <w:r>
              <w:rPr>
                <w:color w:val="000000"/>
                <w:sz w:val="21"/>
                <w:szCs w:val="21"/>
                <w:highlight w:val="none"/>
              </w:rPr>
              <w:t>1</w:t>
            </w:r>
            <w:r>
              <w:rPr>
                <w:rFonts w:hint="eastAsia"/>
                <w:color w:val="000000"/>
                <w:sz w:val="21"/>
                <w:szCs w:val="21"/>
                <w:highlight w:val="none"/>
              </w:rPr>
              <w:t>月</w:t>
            </w:r>
            <w:r>
              <w:rPr>
                <w:color w:val="000000"/>
                <w:sz w:val="21"/>
                <w:szCs w:val="21"/>
                <w:highlight w:val="none"/>
              </w:rPr>
              <w:t>1</w:t>
            </w:r>
            <w:r>
              <w:rPr>
                <w:rFonts w:hint="eastAsia"/>
                <w:color w:val="000000"/>
                <w:sz w:val="21"/>
                <w:szCs w:val="21"/>
                <w:highlight w:val="none"/>
              </w:rPr>
              <w:t>日（以项目获奖年度为准）以来，承担过的规划编制工作，获国家级奖项，每个得</w:t>
            </w:r>
            <w:r>
              <w:rPr>
                <w:rFonts w:hint="eastAsia"/>
                <w:color w:val="000000"/>
                <w:sz w:val="21"/>
                <w:szCs w:val="21"/>
                <w:highlight w:val="none"/>
                <w:lang w:val="en-US" w:eastAsia="zh-CN"/>
              </w:rPr>
              <w:t>1</w:t>
            </w:r>
            <w:r>
              <w:rPr>
                <w:rFonts w:hint="eastAsia"/>
                <w:color w:val="000000"/>
                <w:sz w:val="21"/>
                <w:szCs w:val="21"/>
                <w:highlight w:val="none"/>
              </w:rPr>
              <w:t>分，最高计</w:t>
            </w:r>
            <w:r>
              <w:rPr>
                <w:rFonts w:hint="eastAsia"/>
                <w:color w:val="000000"/>
                <w:sz w:val="21"/>
                <w:szCs w:val="21"/>
                <w:highlight w:val="none"/>
                <w:lang w:val="en-US" w:eastAsia="zh-CN"/>
              </w:rPr>
              <w:t>1</w:t>
            </w:r>
            <w:r>
              <w:rPr>
                <w:rFonts w:hint="eastAsia"/>
                <w:color w:val="000000"/>
                <w:sz w:val="21"/>
                <w:szCs w:val="21"/>
                <w:highlight w:val="none"/>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2、</w:t>
            </w:r>
            <w:r>
              <w:rPr>
                <w:color w:val="000000"/>
                <w:sz w:val="21"/>
                <w:szCs w:val="21"/>
                <w:highlight w:val="none"/>
              </w:rPr>
              <w:t>2018</w:t>
            </w:r>
            <w:r>
              <w:rPr>
                <w:rFonts w:hint="eastAsia"/>
                <w:color w:val="000000"/>
                <w:sz w:val="21"/>
                <w:szCs w:val="21"/>
                <w:highlight w:val="none"/>
              </w:rPr>
              <w:t>年</w:t>
            </w:r>
            <w:r>
              <w:rPr>
                <w:color w:val="000000"/>
                <w:sz w:val="21"/>
                <w:szCs w:val="21"/>
                <w:highlight w:val="none"/>
              </w:rPr>
              <w:t>1</w:t>
            </w:r>
            <w:r>
              <w:rPr>
                <w:rFonts w:hint="eastAsia"/>
                <w:color w:val="000000"/>
                <w:sz w:val="21"/>
                <w:szCs w:val="21"/>
                <w:highlight w:val="none"/>
              </w:rPr>
              <w:t>月</w:t>
            </w:r>
            <w:r>
              <w:rPr>
                <w:color w:val="000000"/>
                <w:sz w:val="21"/>
                <w:szCs w:val="21"/>
                <w:highlight w:val="none"/>
              </w:rPr>
              <w:t>1</w:t>
            </w:r>
            <w:r>
              <w:rPr>
                <w:rFonts w:hint="eastAsia"/>
                <w:color w:val="000000"/>
                <w:sz w:val="21"/>
                <w:szCs w:val="21"/>
                <w:highlight w:val="none"/>
              </w:rPr>
              <w:t>日（以项目获奖年度为准）以来，承担过的规划编制工作，获省级奖项，每个得</w:t>
            </w:r>
            <w:r>
              <w:rPr>
                <w:rFonts w:hint="eastAsia"/>
                <w:color w:val="000000"/>
                <w:sz w:val="21"/>
                <w:szCs w:val="21"/>
                <w:highlight w:val="none"/>
                <w:lang w:val="en-US" w:eastAsia="zh-CN"/>
              </w:rPr>
              <w:t>1</w:t>
            </w:r>
            <w:r>
              <w:rPr>
                <w:rFonts w:hint="eastAsia"/>
                <w:color w:val="000000"/>
                <w:sz w:val="21"/>
                <w:szCs w:val="21"/>
                <w:highlight w:val="none"/>
              </w:rPr>
              <w:t>分，最高计</w:t>
            </w:r>
            <w:r>
              <w:rPr>
                <w:rFonts w:hint="eastAsia"/>
                <w:color w:val="000000"/>
                <w:sz w:val="21"/>
                <w:szCs w:val="21"/>
                <w:highlight w:val="none"/>
                <w:lang w:val="en-US" w:eastAsia="zh-CN"/>
              </w:rPr>
              <w:t>2</w:t>
            </w:r>
            <w:r>
              <w:rPr>
                <w:rFonts w:hint="eastAsia"/>
                <w:color w:val="000000"/>
                <w:sz w:val="21"/>
                <w:szCs w:val="21"/>
                <w:highlight w:val="none"/>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注：须提供相应证书扫描件，否则不予得分。奖项业绩部分最高合计得</w:t>
            </w:r>
            <w:r>
              <w:rPr>
                <w:rFonts w:hint="eastAsia" w:ascii="宋体" w:hAnsi="宋体" w:cs="宋体"/>
                <w:bCs/>
                <w:kern w:val="0"/>
                <w:sz w:val="21"/>
                <w:szCs w:val="21"/>
                <w:highlight w:val="none"/>
                <w:lang w:val="en-US" w:eastAsia="zh-CN"/>
              </w:rPr>
              <w:t>3</w:t>
            </w:r>
            <w:r>
              <w:rPr>
                <w:rFonts w:hint="eastAsia" w:ascii="宋体" w:hAnsi="宋体" w:cs="宋体"/>
                <w:bCs/>
                <w:kern w:val="0"/>
                <w:sz w:val="21"/>
                <w:szCs w:val="21"/>
                <w:highlight w:val="none"/>
                <w:lang w:val="zh-CN"/>
              </w:rPr>
              <w:t>分。</w:t>
            </w:r>
          </w:p>
        </w:tc>
        <w:tc>
          <w:tcPr>
            <w:tcW w:w="815" w:type="dxa"/>
            <w:noWrap/>
            <w:vAlign w:val="center"/>
          </w:tcPr>
          <w:p>
            <w:pPr>
              <w:widowControl/>
              <w:spacing w:line="240" w:lineRule="auto"/>
              <w:jc w:val="center"/>
              <w:rPr>
                <w:rFonts w:hint="eastAsia" w:ascii="宋体" w:hAnsi="宋体" w:eastAsia="宋体" w:cs="宋体"/>
                <w:bCs/>
                <w:kern w:val="0"/>
                <w:sz w:val="21"/>
                <w:szCs w:val="21"/>
                <w:highlight w:val="none"/>
                <w:lang w:eastAsia="zh-CN"/>
              </w:rPr>
            </w:pPr>
            <w:r>
              <w:rPr>
                <w:rFonts w:hint="eastAsia" w:ascii="宋体" w:hAnsi="宋体" w:cs="宋体"/>
                <w:bCs/>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sz w:val="21"/>
                <w:szCs w:val="21"/>
                <w:highlight w:val="none"/>
              </w:rPr>
              <w:t>项目背景和现状分析</w:t>
            </w:r>
          </w:p>
        </w:tc>
        <w:tc>
          <w:tcPr>
            <w:tcW w:w="6825" w:type="dxa"/>
            <w:noWrap/>
            <w:vAlign w:val="center"/>
          </w:tcPr>
          <w:p>
            <w:pPr>
              <w:tabs>
                <w:tab w:val="left" w:pos="1620"/>
              </w:tabs>
              <w:spacing w:line="240" w:lineRule="auto"/>
              <w:ind w:firstLine="287" w:firstLineChars="137"/>
              <w:rPr>
                <w:rFonts w:ascii="宋体" w:hAnsi="宋体"/>
                <w:sz w:val="21"/>
                <w:szCs w:val="21"/>
                <w:highlight w:val="none"/>
              </w:rPr>
            </w:pPr>
            <w:r>
              <w:rPr>
                <w:rFonts w:hint="eastAsia" w:ascii="宋体" w:hAnsi="宋体" w:cs="宋体"/>
                <w:sz w:val="21"/>
                <w:szCs w:val="21"/>
                <w:highlight w:val="none"/>
              </w:rPr>
              <w:t>投标人应当充分理解本项目背景和采购需求，对现状基础资料进行收集与掌握，对资源现状及存在问题进行科学、专业、客观的分析。</w:t>
            </w:r>
            <w:r>
              <w:rPr>
                <w:rFonts w:hint="eastAsia" w:ascii="宋体" w:hAnsi="宋体"/>
                <w:sz w:val="21"/>
                <w:szCs w:val="21"/>
                <w:highlight w:val="none"/>
              </w:rPr>
              <w:t>调研分析社区基本情况，了解居民需求，分析社区的优劣势。</w:t>
            </w:r>
          </w:p>
          <w:p>
            <w:pPr>
              <w:widowControl/>
              <w:spacing w:line="240" w:lineRule="auto"/>
              <w:ind w:firstLine="420" w:firstLineChars="200"/>
              <w:jc w:val="left"/>
              <w:rPr>
                <w:rFonts w:ascii="宋体" w:hAnsi="宋体"/>
                <w:sz w:val="21"/>
                <w:szCs w:val="21"/>
                <w:highlight w:val="none"/>
              </w:rPr>
            </w:pPr>
            <w:r>
              <w:rPr>
                <w:rFonts w:hint="eastAsia" w:ascii="宋体" w:hAnsi="宋体"/>
                <w:sz w:val="21"/>
                <w:szCs w:val="21"/>
                <w:highlight w:val="none"/>
              </w:rPr>
              <w:t>投标人</w:t>
            </w:r>
            <w:r>
              <w:rPr>
                <w:rFonts w:hint="eastAsia" w:ascii="宋体" w:hAnsi="宋体" w:cs="宋体"/>
                <w:sz w:val="21"/>
                <w:szCs w:val="21"/>
                <w:highlight w:val="none"/>
              </w:rPr>
              <w:t>对项目资源现状及存在问题、</w:t>
            </w:r>
            <w:r>
              <w:rPr>
                <w:rFonts w:hint="eastAsia" w:ascii="宋体" w:hAnsi="宋体"/>
                <w:sz w:val="21"/>
                <w:szCs w:val="21"/>
                <w:highlight w:val="none"/>
              </w:rPr>
              <w:t>社区基本情况，居民需求，社区的优劣势分析合理得</w:t>
            </w:r>
            <w:r>
              <w:rPr>
                <w:rFonts w:hint="eastAsia" w:ascii="宋体" w:hAnsi="宋体" w:cs="宋体"/>
                <w:bCs/>
                <w:kern w:val="0"/>
                <w:sz w:val="21"/>
                <w:szCs w:val="21"/>
                <w:highlight w:val="none"/>
                <w:lang w:val="zh-CN"/>
              </w:rPr>
              <w:t>7.0-10.0</w:t>
            </w:r>
            <w:r>
              <w:rPr>
                <w:rFonts w:hint="eastAsia" w:ascii="宋体" w:hAnsi="宋体"/>
                <w:sz w:val="21"/>
                <w:szCs w:val="21"/>
                <w:highlight w:val="none"/>
              </w:rPr>
              <w:t>分；</w:t>
            </w:r>
          </w:p>
          <w:p>
            <w:pPr>
              <w:widowControl/>
              <w:spacing w:line="240" w:lineRule="auto"/>
              <w:ind w:firstLine="420" w:firstLineChars="200"/>
              <w:jc w:val="left"/>
              <w:rPr>
                <w:rFonts w:ascii="宋体" w:hAnsi="宋体"/>
                <w:sz w:val="21"/>
                <w:szCs w:val="21"/>
                <w:highlight w:val="none"/>
              </w:rPr>
            </w:pPr>
            <w:r>
              <w:rPr>
                <w:rFonts w:hint="eastAsia" w:ascii="宋体" w:hAnsi="宋体"/>
                <w:sz w:val="21"/>
                <w:szCs w:val="21"/>
                <w:highlight w:val="none"/>
              </w:rPr>
              <w:t>投标人</w:t>
            </w:r>
            <w:r>
              <w:rPr>
                <w:rFonts w:hint="eastAsia" w:ascii="宋体" w:hAnsi="宋体" w:cs="宋体"/>
                <w:sz w:val="21"/>
                <w:szCs w:val="21"/>
                <w:highlight w:val="none"/>
              </w:rPr>
              <w:t>对项目资源现状及存在问题、</w:t>
            </w:r>
            <w:r>
              <w:rPr>
                <w:rFonts w:hint="eastAsia" w:ascii="宋体" w:hAnsi="宋体"/>
                <w:sz w:val="21"/>
                <w:szCs w:val="21"/>
                <w:highlight w:val="none"/>
              </w:rPr>
              <w:t>社区基本情况，居民需求，社区的优劣势分析较合理得</w:t>
            </w:r>
            <w:r>
              <w:rPr>
                <w:rFonts w:ascii="宋体" w:hAnsi="宋体" w:cs="宋体"/>
                <w:bCs/>
                <w:kern w:val="0"/>
                <w:sz w:val="21"/>
                <w:szCs w:val="21"/>
                <w:highlight w:val="none"/>
                <w:lang w:val="zh-CN"/>
              </w:rPr>
              <w:t>4</w:t>
            </w:r>
            <w:r>
              <w:rPr>
                <w:rFonts w:hint="eastAsia" w:ascii="宋体" w:hAnsi="宋体" w:cs="宋体"/>
                <w:bCs/>
                <w:kern w:val="0"/>
                <w:sz w:val="21"/>
                <w:szCs w:val="21"/>
                <w:highlight w:val="none"/>
                <w:lang w:val="zh-CN"/>
              </w:rPr>
              <w:t>.0-6.9</w:t>
            </w:r>
            <w:r>
              <w:rPr>
                <w:rFonts w:hint="eastAsia" w:ascii="宋体" w:hAnsi="宋体"/>
                <w:sz w:val="21"/>
                <w:szCs w:val="21"/>
                <w:highlight w:val="none"/>
              </w:rPr>
              <w:t>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sz w:val="21"/>
                <w:szCs w:val="21"/>
                <w:highlight w:val="none"/>
              </w:rPr>
              <w:t>投标人</w:t>
            </w:r>
            <w:r>
              <w:rPr>
                <w:rFonts w:hint="eastAsia" w:ascii="宋体" w:hAnsi="宋体" w:cs="宋体"/>
                <w:sz w:val="21"/>
                <w:szCs w:val="21"/>
                <w:highlight w:val="none"/>
              </w:rPr>
              <w:t>对项目资源现状及存在问题、</w:t>
            </w:r>
            <w:r>
              <w:rPr>
                <w:rFonts w:hint="eastAsia" w:ascii="宋体" w:hAnsi="宋体"/>
                <w:sz w:val="21"/>
                <w:szCs w:val="21"/>
                <w:highlight w:val="none"/>
              </w:rPr>
              <w:t>社区基本情况，居民需求，社区的优劣势分析不合理得</w:t>
            </w:r>
            <w:r>
              <w:rPr>
                <w:rFonts w:hint="eastAsia" w:ascii="宋体" w:hAnsi="宋体" w:cs="宋体"/>
                <w:bCs/>
                <w:kern w:val="0"/>
                <w:sz w:val="21"/>
                <w:szCs w:val="21"/>
                <w:highlight w:val="none"/>
                <w:lang w:val="zh-CN"/>
              </w:rPr>
              <w:t>0-</w:t>
            </w:r>
            <w:r>
              <w:rPr>
                <w:rFonts w:ascii="宋体" w:hAnsi="宋体" w:cs="宋体"/>
                <w:bCs/>
                <w:kern w:val="0"/>
                <w:sz w:val="21"/>
                <w:szCs w:val="21"/>
                <w:highlight w:val="none"/>
                <w:lang w:val="zh-CN"/>
              </w:rPr>
              <w:t>3</w:t>
            </w:r>
            <w:r>
              <w:rPr>
                <w:rFonts w:hint="eastAsia" w:ascii="宋体" w:hAnsi="宋体" w:cs="宋体"/>
                <w:bCs/>
                <w:kern w:val="0"/>
                <w:sz w:val="21"/>
                <w:szCs w:val="21"/>
                <w:highlight w:val="none"/>
                <w:lang w:val="zh-CN"/>
              </w:rPr>
              <w:t>.9</w:t>
            </w:r>
            <w:r>
              <w:rPr>
                <w:rFonts w:hint="eastAsia" w:ascii="宋体" w:hAnsi="宋体"/>
                <w:sz w:val="21"/>
                <w:szCs w:val="21"/>
                <w:highlight w:val="none"/>
              </w:rPr>
              <w:t>分；</w:t>
            </w:r>
          </w:p>
        </w:tc>
        <w:tc>
          <w:tcPr>
            <w:tcW w:w="815" w:type="dxa"/>
            <w:noWrap/>
            <w:vAlign w:val="center"/>
          </w:tcPr>
          <w:p>
            <w:pPr>
              <w:widowControl/>
              <w:spacing w:line="240" w:lineRule="auto"/>
              <w:jc w:val="center"/>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w:t>
            </w:r>
          </w:p>
        </w:tc>
        <w:tc>
          <w:tcPr>
            <w:tcW w:w="1569" w:type="dxa"/>
            <w:noWrap/>
            <w:vAlign w:val="center"/>
          </w:tcPr>
          <w:p>
            <w:pPr>
              <w:widowControl/>
              <w:spacing w:line="240" w:lineRule="auto"/>
              <w:jc w:val="left"/>
              <w:rPr>
                <w:rFonts w:ascii="宋体" w:hAnsi="宋体" w:cs="宋体"/>
                <w:bCs/>
                <w:kern w:val="0"/>
                <w:sz w:val="21"/>
                <w:szCs w:val="21"/>
                <w:highlight w:val="none"/>
                <w:lang w:val="zh-CN"/>
              </w:rPr>
            </w:pPr>
            <w:r>
              <w:rPr>
                <w:rFonts w:hint="eastAsia" w:ascii="宋体" w:hAnsi="宋体" w:cs="宋体"/>
                <w:bCs/>
                <w:sz w:val="21"/>
                <w:szCs w:val="21"/>
                <w:highlight w:val="none"/>
              </w:rPr>
              <w:t>总体目标定位</w:t>
            </w:r>
          </w:p>
        </w:tc>
        <w:tc>
          <w:tcPr>
            <w:tcW w:w="6825" w:type="dxa"/>
            <w:noWrap/>
            <w:vAlign w:val="center"/>
          </w:tcPr>
          <w:p>
            <w:pPr>
              <w:tabs>
                <w:tab w:val="left" w:pos="1620"/>
              </w:tabs>
              <w:spacing w:line="240" w:lineRule="auto"/>
              <w:ind w:firstLine="287" w:firstLineChars="137"/>
              <w:rPr>
                <w:rFonts w:ascii="宋体" w:hAnsi="宋体"/>
                <w:sz w:val="21"/>
                <w:szCs w:val="21"/>
                <w:highlight w:val="none"/>
              </w:rPr>
            </w:pPr>
            <w:r>
              <w:rPr>
                <w:rFonts w:hint="eastAsia" w:ascii="宋体" w:hAnsi="宋体"/>
                <w:sz w:val="21"/>
                <w:szCs w:val="21"/>
                <w:highlight w:val="none"/>
              </w:rPr>
              <w:t>提出未来社区的创建思路、目标定位和特色主题：创建思路明确，社区定位准确，主题亮点突出。</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投标人对项目创建思路、社区定位、主题亮点分析合理得7.0-10.0分；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投标人对项目创建思路、社区定位、主题亮点分析较合理得</w:t>
            </w:r>
            <w:r>
              <w:rPr>
                <w:rFonts w:ascii="宋体" w:hAnsi="宋体" w:cs="宋体"/>
                <w:bCs/>
                <w:kern w:val="0"/>
                <w:sz w:val="21"/>
                <w:szCs w:val="21"/>
                <w:highlight w:val="none"/>
                <w:lang w:val="zh-CN"/>
              </w:rPr>
              <w:t>4</w:t>
            </w:r>
            <w:r>
              <w:rPr>
                <w:rFonts w:hint="eastAsia" w:ascii="宋体" w:hAnsi="宋体" w:cs="宋体"/>
                <w:bCs/>
                <w:kern w:val="0"/>
                <w:sz w:val="21"/>
                <w:szCs w:val="21"/>
                <w:highlight w:val="none"/>
                <w:lang w:val="zh-CN"/>
              </w:rPr>
              <w:t>.0-6.9分；</w:t>
            </w:r>
          </w:p>
          <w:p>
            <w:pPr>
              <w:widowControl/>
              <w:spacing w:line="240" w:lineRule="auto"/>
              <w:ind w:firstLine="420" w:firstLineChars="200"/>
              <w:jc w:val="left"/>
              <w:rPr>
                <w:rFonts w:ascii="宋体" w:hAnsi="宋体" w:cs="宋体"/>
                <w:bCs/>
                <w:kern w:val="0"/>
                <w:sz w:val="21"/>
                <w:szCs w:val="21"/>
                <w:highlight w:val="none"/>
                <w:lang w:val="zh-CN"/>
              </w:rPr>
            </w:pPr>
            <w:r>
              <w:rPr>
                <w:rFonts w:hint="eastAsia" w:ascii="宋体" w:hAnsi="宋体" w:cs="宋体"/>
                <w:bCs/>
                <w:kern w:val="0"/>
                <w:sz w:val="21"/>
                <w:szCs w:val="21"/>
                <w:highlight w:val="none"/>
                <w:lang w:val="zh-CN"/>
              </w:rPr>
              <w:t>投标人对项目创建思路、社区定位、主题亮点分析不合理的得0-</w:t>
            </w:r>
            <w:r>
              <w:rPr>
                <w:rFonts w:ascii="宋体" w:hAnsi="宋体" w:cs="宋体"/>
                <w:bCs/>
                <w:kern w:val="0"/>
                <w:sz w:val="21"/>
                <w:szCs w:val="21"/>
                <w:highlight w:val="none"/>
                <w:lang w:val="zh-CN"/>
              </w:rPr>
              <w:t>3</w:t>
            </w:r>
            <w:r>
              <w:rPr>
                <w:rFonts w:hint="eastAsia" w:ascii="宋体" w:hAnsi="宋体" w:cs="宋体"/>
                <w:bCs/>
                <w:kern w:val="0"/>
                <w:sz w:val="21"/>
                <w:szCs w:val="21"/>
                <w:highlight w:val="none"/>
                <w:lang w:val="zh-CN"/>
              </w:rPr>
              <w:t>.9分。</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w:t>
            </w:r>
          </w:p>
        </w:tc>
        <w:tc>
          <w:tcPr>
            <w:tcW w:w="1569" w:type="dxa"/>
            <w:noWrap/>
            <w:vAlign w:val="center"/>
          </w:tcPr>
          <w:p>
            <w:pPr>
              <w:widowControl/>
              <w:spacing w:line="240" w:lineRule="auto"/>
              <w:jc w:val="left"/>
              <w:rPr>
                <w:rFonts w:ascii="宋体" w:hAnsi="宋体" w:cs="宋体"/>
                <w:bCs/>
                <w:sz w:val="21"/>
                <w:szCs w:val="21"/>
                <w:highlight w:val="none"/>
              </w:rPr>
            </w:pPr>
            <w:r>
              <w:rPr>
                <w:rFonts w:hint="eastAsia" w:ascii="宋体" w:hAnsi="宋体" w:cs="宋体"/>
                <w:bCs/>
                <w:sz w:val="21"/>
                <w:szCs w:val="21"/>
                <w:highlight w:val="none"/>
              </w:rPr>
              <w:t>空间总体设计</w:t>
            </w:r>
          </w:p>
        </w:tc>
        <w:tc>
          <w:tcPr>
            <w:tcW w:w="6825" w:type="dxa"/>
            <w:noWrap/>
            <w:vAlign w:val="center"/>
          </w:tcPr>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围绕社区创建目标，对相应的空间设计和功能配置进行研究。结合上位规划中的总体定位，以及未来社区的建设类型、特色亮点，充分思考未来社区的总体空间布局内容。</w:t>
            </w:r>
          </w:p>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投标人提出总体空间布局的思路并能制定相应设计方案，合理得7.0-10.0分；</w:t>
            </w:r>
          </w:p>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投标人提出的总体空间布局思路及设计方案意向，较合理得</w:t>
            </w:r>
            <w:r>
              <w:rPr>
                <w:rFonts w:ascii="宋体" w:hAnsi="宋体"/>
                <w:szCs w:val="21"/>
                <w:highlight w:val="none"/>
              </w:rPr>
              <w:t>4</w:t>
            </w:r>
            <w:r>
              <w:rPr>
                <w:rFonts w:hint="eastAsia" w:ascii="宋体" w:hAnsi="宋体"/>
                <w:szCs w:val="21"/>
                <w:highlight w:val="none"/>
              </w:rPr>
              <w:t>.0-6.9分；</w:t>
            </w:r>
          </w:p>
          <w:p>
            <w:pPr>
              <w:tabs>
                <w:tab w:val="left" w:pos="1620"/>
              </w:tabs>
              <w:spacing w:line="240" w:lineRule="auto"/>
              <w:ind w:firstLine="287" w:firstLineChars="137"/>
              <w:rPr>
                <w:rFonts w:ascii="宋体" w:hAnsi="宋体"/>
                <w:sz w:val="21"/>
                <w:szCs w:val="21"/>
                <w:highlight w:val="none"/>
              </w:rPr>
            </w:pPr>
            <w:r>
              <w:rPr>
                <w:rFonts w:hint="eastAsia" w:ascii="宋体" w:hAnsi="宋体"/>
                <w:szCs w:val="21"/>
                <w:highlight w:val="none"/>
              </w:rPr>
              <w:t>投标人提出的总体空间布局思路，不合理得0-</w:t>
            </w:r>
            <w:r>
              <w:rPr>
                <w:rFonts w:ascii="宋体" w:hAnsi="宋体"/>
                <w:szCs w:val="21"/>
                <w:highlight w:val="none"/>
              </w:rPr>
              <w:t>3</w:t>
            </w:r>
            <w:r>
              <w:rPr>
                <w:rFonts w:hint="eastAsia" w:ascii="宋体" w:hAnsi="宋体"/>
                <w:szCs w:val="21"/>
                <w:highlight w:val="none"/>
              </w:rPr>
              <w:t>.9分。</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w:t>
            </w:r>
          </w:p>
        </w:tc>
        <w:tc>
          <w:tcPr>
            <w:tcW w:w="1569" w:type="dxa"/>
            <w:noWrap/>
            <w:vAlign w:val="center"/>
          </w:tcPr>
          <w:p>
            <w:pPr>
              <w:widowControl/>
              <w:spacing w:line="240" w:lineRule="auto"/>
              <w:jc w:val="left"/>
              <w:rPr>
                <w:rFonts w:ascii="宋体" w:hAnsi="宋体" w:cs="宋体"/>
                <w:bCs/>
                <w:sz w:val="21"/>
                <w:szCs w:val="21"/>
                <w:highlight w:val="none"/>
              </w:rPr>
            </w:pPr>
            <w:r>
              <w:rPr>
                <w:rFonts w:hint="eastAsia" w:ascii="宋体" w:hAnsi="宋体"/>
                <w:sz w:val="21"/>
                <w:szCs w:val="21"/>
                <w:highlight w:val="none"/>
              </w:rPr>
              <w:t>场景设计</w:t>
            </w:r>
          </w:p>
        </w:tc>
        <w:tc>
          <w:tcPr>
            <w:tcW w:w="6825" w:type="dxa"/>
            <w:noWrap/>
            <w:vAlign w:val="center"/>
          </w:tcPr>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明确社区的核心场景和打造思路，对相应的场景内容进行研究。</w:t>
            </w:r>
          </w:p>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投标人提出场景设计思路并能制定相应设计方案，合理得7.0-10.0分；</w:t>
            </w:r>
          </w:p>
          <w:p>
            <w:pPr>
              <w:tabs>
                <w:tab w:val="left" w:pos="1620"/>
              </w:tabs>
              <w:spacing w:line="240" w:lineRule="auto"/>
              <w:ind w:firstLine="287" w:firstLineChars="137"/>
              <w:rPr>
                <w:rFonts w:ascii="宋体" w:hAnsi="宋体"/>
                <w:szCs w:val="21"/>
                <w:highlight w:val="none"/>
              </w:rPr>
            </w:pPr>
            <w:r>
              <w:rPr>
                <w:rFonts w:hint="eastAsia" w:ascii="宋体" w:hAnsi="宋体"/>
                <w:szCs w:val="21"/>
                <w:highlight w:val="none"/>
              </w:rPr>
              <w:t>投标人提出的场景设计思路及设计方案意向，较合理得4.0-6.9分；</w:t>
            </w:r>
          </w:p>
          <w:p>
            <w:pPr>
              <w:tabs>
                <w:tab w:val="left" w:pos="1620"/>
              </w:tabs>
              <w:spacing w:line="240" w:lineRule="auto"/>
              <w:ind w:firstLine="287" w:firstLineChars="137"/>
              <w:rPr>
                <w:rFonts w:ascii="宋体" w:hAnsi="宋体"/>
                <w:sz w:val="21"/>
                <w:szCs w:val="21"/>
                <w:highlight w:val="none"/>
              </w:rPr>
            </w:pPr>
            <w:r>
              <w:rPr>
                <w:rFonts w:hint="eastAsia" w:ascii="宋体" w:hAnsi="宋体"/>
                <w:szCs w:val="21"/>
                <w:highlight w:val="none"/>
              </w:rPr>
              <w:t>投标人提出的场景设计思路，不合理得0-3.9分。</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10</w:t>
            </w:r>
          </w:p>
        </w:tc>
        <w:tc>
          <w:tcPr>
            <w:tcW w:w="1569" w:type="dxa"/>
            <w:noWrap/>
            <w:vAlign w:val="center"/>
          </w:tcPr>
          <w:p>
            <w:pPr>
              <w:widowControl/>
              <w:spacing w:line="240" w:lineRule="auto"/>
              <w:jc w:val="left"/>
              <w:rPr>
                <w:rFonts w:ascii="宋体" w:hAnsi="宋体"/>
                <w:sz w:val="21"/>
                <w:szCs w:val="21"/>
                <w:highlight w:val="none"/>
              </w:rPr>
            </w:pPr>
            <w:r>
              <w:rPr>
                <w:rFonts w:hint="eastAsia" w:ascii="宋体" w:hAnsi="宋体"/>
                <w:sz w:val="21"/>
                <w:szCs w:val="21"/>
                <w:highlight w:val="none"/>
              </w:rPr>
              <w:t>数字化系统设计</w:t>
            </w:r>
          </w:p>
        </w:tc>
        <w:tc>
          <w:tcPr>
            <w:tcW w:w="6825" w:type="dxa"/>
            <w:noWrap/>
            <w:vAlign w:val="center"/>
          </w:tcPr>
          <w:p>
            <w:pPr>
              <w:spacing w:line="240" w:lineRule="auto"/>
              <w:ind w:firstLine="315" w:firstLineChars="150"/>
              <w:rPr>
                <w:rFonts w:ascii="宋体" w:hAnsi="宋体"/>
                <w:szCs w:val="21"/>
                <w:highlight w:val="none"/>
              </w:rPr>
            </w:pPr>
            <w:r>
              <w:rPr>
                <w:rFonts w:hint="eastAsia" w:ascii="宋体" w:hAnsi="宋体"/>
                <w:szCs w:val="21"/>
                <w:highlight w:val="none"/>
              </w:rPr>
              <w:t>研究并制定数字化系统建设的初步方案，对方案内容是否满足先进性、合理性、全面性要求进行相应评判。</w:t>
            </w:r>
          </w:p>
          <w:p>
            <w:pPr>
              <w:spacing w:line="240" w:lineRule="auto"/>
              <w:ind w:firstLine="315" w:firstLineChars="150"/>
              <w:rPr>
                <w:rFonts w:ascii="宋体" w:hAnsi="宋体"/>
                <w:szCs w:val="21"/>
                <w:highlight w:val="none"/>
              </w:rPr>
            </w:pPr>
            <w:r>
              <w:rPr>
                <w:rFonts w:hint="eastAsia" w:ascii="宋体" w:hAnsi="宋体"/>
                <w:szCs w:val="21"/>
                <w:highlight w:val="none"/>
              </w:rPr>
              <w:t>投标人的数字化系统设计内容完整，方案合理科学的得7.0-10</w:t>
            </w:r>
            <w:r>
              <w:rPr>
                <w:rFonts w:hint="eastAsia" w:ascii="宋体" w:hAnsi="宋体"/>
                <w:szCs w:val="21"/>
                <w:highlight w:val="none"/>
                <w:lang w:val="en-US" w:eastAsia="zh-CN"/>
              </w:rPr>
              <w:t>.0</w:t>
            </w:r>
            <w:r>
              <w:rPr>
                <w:rFonts w:hint="eastAsia" w:ascii="宋体" w:hAnsi="宋体"/>
                <w:szCs w:val="21"/>
                <w:highlight w:val="none"/>
              </w:rPr>
              <w:t>分；</w:t>
            </w:r>
          </w:p>
          <w:p>
            <w:pPr>
              <w:spacing w:line="240" w:lineRule="auto"/>
              <w:ind w:firstLine="315" w:firstLineChars="150"/>
              <w:rPr>
                <w:rFonts w:ascii="宋体" w:hAnsi="宋体"/>
                <w:szCs w:val="21"/>
                <w:highlight w:val="none"/>
              </w:rPr>
            </w:pPr>
            <w:r>
              <w:rPr>
                <w:rFonts w:hint="eastAsia" w:ascii="宋体" w:hAnsi="宋体"/>
                <w:szCs w:val="21"/>
                <w:highlight w:val="none"/>
              </w:rPr>
              <w:t>投标人的数字化系统设计内容较完整，方案较合理的得4.0-6.9分；</w:t>
            </w:r>
          </w:p>
          <w:p>
            <w:pPr>
              <w:spacing w:line="240" w:lineRule="auto"/>
              <w:ind w:firstLine="315" w:firstLineChars="150"/>
              <w:rPr>
                <w:rFonts w:ascii="宋体" w:hAnsi="宋体"/>
                <w:sz w:val="21"/>
                <w:szCs w:val="21"/>
                <w:highlight w:val="none"/>
              </w:rPr>
            </w:pPr>
            <w:r>
              <w:rPr>
                <w:rFonts w:hint="eastAsia" w:ascii="宋体" w:hAnsi="宋体"/>
                <w:szCs w:val="21"/>
                <w:highlight w:val="none"/>
              </w:rPr>
              <w:t>投标人的数字化系统设计内容不够贴合采购需求，不合理的得0-3.9分。</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11</w:t>
            </w:r>
          </w:p>
        </w:tc>
        <w:tc>
          <w:tcPr>
            <w:tcW w:w="1569" w:type="dxa"/>
            <w:noWrap/>
            <w:vAlign w:val="center"/>
          </w:tcPr>
          <w:p>
            <w:pPr>
              <w:widowControl/>
              <w:spacing w:line="240" w:lineRule="auto"/>
              <w:jc w:val="left"/>
              <w:rPr>
                <w:rFonts w:ascii="宋体" w:hAnsi="宋体"/>
                <w:sz w:val="21"/>
                <w:szCs w:val="21"/>
                <w:highlight w:val="none"/>
              </w:rPr>
            </w:pPr>
            <w:r>
              <w:rPr>
                <w:rFonts w:hint="eastAsia" w:ascii="宋体" w:hAnsi="宋体"/>
                <w:sz w:val="21"/>
                <w:szCs w:val="21"/>
                <w:highlight w:val="none"/>
              </w:rPr>
              <w:t>可实施操作性</w:t>
            </w:r>
          </w:p>
        </w:tc>
        <w:tc>
          <w:tcPr>
            <w:tcW w:w="6825" w:type="dxa"/>
            <w:noWrap/>
            <w:vAlign w:val="center"/>
          </w:tcPr>
          <w:p>
            <w:pPr>
              <w:autoSpaceDE w:val="0"/>
              <w:autoSpaceDN w:val="0"/>
              <w:adjustRightInd w:val="0"/>
              <w:spacing w:line="240" w:lineRule="auto"/>
              <w:ind w:firstLine="346" w:firstLineChars="165"/>
              <w:jc w:val="left"/>
              <w:rPr>
                <w:rFonts w:ascii="宋体" w:hAnsi="宋体" w:cs="宋体"/>
                <w:szCs w:val="21"/>
                <w:highlight w:val="none"/>
              </w:rPr>
            </w:pPr>
            <w:r>
              <w:rPr>
                <w:rFonts w:hint="eastAsia" w:ascii="宋体" w:hAnsi="宋体" w:cs="宋体"/>
                <w:szCs w:val="21"/>
                <w:highlight w:val="none"/>
              </w:rPr>
              <w:t>根据投标人提供的</w:t>
            </w:r>
            <w:r>
              <w:rPr>
                <w:rFonts w:hint="eastAsia" w:ascii="宋体" w:hAnsi="宋体"/>
                <w:szCs w:val="21"/>
                <w:highlight w:val="none"/>
              </w:rPr>
              <w:t>可实施操作性内容</w:t>
            </w:r>
            <w:r>
              <w:rPr>
                <w:rFonts w:hint="eastAsia" w:ascii="宋体" w:hAnsi="宋体" w:cs="宋体"/>
                <w:szCs w:val="21"/>
                <w:highlight w:val="none"/>
              </w:rPr>
              <w:t>进行相应比较、综合评议。</w:t>
            </w:r>
          </w:p>
          <w:p>
            <w:pPr>
              <w:autoSpaceDE w:val="0"/>
              <w:autoSpaceDN w:val="0"/>
              <w:adjustRightInd w:val="0"/>
              <w:spacing w:line="240" w:lineRule="auto"/>
              <w:ind w:firstLine="346" w:firstLineChars="165"/>
              <w:jc w:val="left"/>
              <w:rPr>
                <w:rFonts w:ascii="宋体" w:hAnsi="宋体"/>
                <w:szCs w:val="21"/>
                <w:highlight w:val="none"/>
              </w:rPr>
            </w:pPr>
            <w:r>
              <w:rPr>
                <w:rFonts w:hint="eastAsia" w:ascii="宋体" w:hAnsi="宋体"/>
                <w:szCs w:val="21"/>
                <w:highlight w:val="none"/>
              </w:rPr>
              <w:t>投标人提出的</w:t>
            </w:r>
            <w:r>
              <w:rPr>
                <w:rFonts w:hint="eastAsia" w:ascii="宋体" w:hAnsi="宋体" w:cs="宋体"/>
                <w:szCs w:val="21"/>
                <w:highlight w:val="none"/>
              </w:rPr>
              <w:t>项目实施推进计划、资金概算和保障措施情况，</w:t>
            </w:r>
            <w:r>
              <w:rPr>
                <w:rFonts w:hint="eastAsia" w:ascii="宋体" w:hAnsi="宋体"/>
                <w:szCs w:val="21"/>
                <w:highlight w:val="none"/>
              </w:rPr>
              <w:t>可实施操作性合理的得4.0-6.0分；</w:t>
            </w:r>
          </w:p>
          <w:p>
            <w:pPr>
              <w:autoSpaceDE w:val="0"/>
              <w:autoSpaceDN w:val="0"/>
              <w:adjustRightInd w:val="0"/>
              <w:spacing w:line="240" w:lineRule="auto"/>
              <w:ind w:firstLine="346" w:firstLineChars="165"/>
              <w:jc w:val="left"/>
              <w:rPr>
                <w:rFonts w:ascii="宋体" w:hAnsi="宋体"/>
                <w:szCs w:val="21"/>
                <w:highlight w:val="none"/>
              </w:rPr>
            </w:pPr>
            <w:r>
              <w:rPr>
                <w:rFonts w:hint="eastAsia" w:ascii="宋体" w:hAnsi="宋体"/>
                <w:szCs w:val="21"/>
                <w:highlight w:val="none"/>
              </w:rPr>
              <w:t>投标人提出的</w:t>
            </w:r>
            <w:r>
              <w:rPr>
                <w:rFonts w:hint="eastAsia" w:ascii="宋体" w:hAnsi="宋体" w:cs="宋体"/>
                <w:szCs w:val="21"/>
                <w:highlight w:val="none"/>
              </w:rPr>
              <w:t>项目实施推进计划和保障措施情况，</w:t>
            </w:r>
            <w:r>
              <w:rPr>
                <w:rFonts w:hint="eastAsia" w:ascii="宋体" w:hAnsi="宋体"/>
                <w:szCs w:val="21"/>
                <w:highlight w:val="none"/>
              </w:rPr>
              <w:t>实施操作性较合理的得2.0-3.9分；</w:t>
            </w:r>
          </w:p>
          <w:p>
            <w:pPr>
              <w:autoSpaceDE w:val="0"/>
              <w:autoSpaceDN w:val="0"/>
              <w:adjustRightInd w:val="0"/>
              <w:spacing w:line="240" w:lineRule="auto"/>
              <w:ind w:firstLine="346" w:firstLineChars="165"/>
              <w:jc w:val="left"/>
              <w:rPr>
                <w:rFonts w:ascii="宋体" w:hAnsi="宋体" w:cs="宋体"/>
                <w:sz w:val="21"/>
                <w:szCs w:val="21"/>
                <w:highlight w:val="none"/>
              </w:rPr>
            </w:pPr>
            <w:r>
              <w:rPr>
                <w:rFonts w:hint="eastAsia" w:ascii="宋体" w:hAnsi="宋体"/>
                <w:szCs w:val="21"/>
                <w:highlight w:val="none"/>
              </w:rPr>
              <w:t>投标人提出的</w:t>
            </w:r>
            <w:r>
              <w:rPr>
                <w:rFonts w:hint="eastAsia" w:ascii="宋体" w:hAnsi="宋体" w:cs="宋体"/>
                <w:szCs w:val="21"/>
                <w:highlight w:val="none"/>
              </w:rPr>
              <w:t>项目实施推进计划和保障措施情况，</w:t>
            </w:r>
            <w:r>
              <w:rPr>
                <w:rFonts w:hint="eastAsia" w:ascii="宋体" w:hAnsi="宋体"/>
                <w:szCs w:val="21"/>
                <w:highlight w:val="none"/>
              </w:rPr>
              <w:t>可实施操作性不太合理的，得0-1.9分。</w:t>
            </w:r>
          </w:p>
        </w:tc>
        <w:tc>
          <w:tcPr>
            <w:tcW w:w="815" w:type="dxa"/>
            <w:noWrap/>
            <w:vAlign w:val="center"/>
          </w:tcPr>
          <w:p>
            <w:pPr>
              <w:widowControl/>
              <w:spacing w:line="240" w:lineRule="auto"/>
              <w:jc w:val="center"/>
              <w:rPr>
                <w:rFonts w:ascii="宋体" w:hAnsi="宋体" w:cs="宋体"/>
                <w:bCs/>
                <w:kern w:val="0"/>
                <w:sz w:val="21"/>
                <w:szCs w:val="21"/>
                <w:highlight w:val="none"/>
              </w:rPr>
            </w:pPr>
            <w:r>
              <w:rPr>
                <w:rFonts w:hint="eastAsia" w:ascii="宋体" w:hAnsi="宋体" w:cs="宋体"/>
                <w:bCs/>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0" w:type="dxa"/>
            <w:noWrap/>
            <w:vAlign w:val="center"/>
          </w:tcPr>
          <w:p>
            <w:pPr>
              <w:widowControl/>
              <w:spacing w:line="240" w:lineRule="auto"/>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12</w:t>
            </w:r>
          </w:p>
        </w:tc>
        <w:tc>
          <w:tcPr>
            <w:tcW w:w="1569" w:type="dxa"/>
            <w:noWrap/>
            <w:vAlign w:val="center"/>
          </w:tcPr>
          <w:p>
            <w:pPr>
              <w:widowControl/>
              <w:spacing w:line="240" w:lineRule="auto"/>
              <w:jc w:val="left"/>
              <w:rPr>
                <w:rFonts w:ascii="宋体" w:hAnsi="宋体"/>
                <w:sz w:val="21"/>
                <w:szCs w:val="21"/>
                <w:highlight w:val="none"/>
              </w:rPr>
            </w:pPr>
            <w:r>
              <w:rPr>
                <w:rFonts w:hint="eastAsia" w:ascii="宋体" w:hAnsi="宋体" w:cs="宋体"/>
                <w:bCs/>
                <w:sz w:val="21"/>
                <w:szCs w:val="21"/>
                <w:highlight w:val="none"/>
              </w:rPr>
              <w:t>后续</w:t>
            </w:r>
            <w:r>
              <w:rPr>
                <w:rFonts w:ascii="宋体" w:hAnsi="宋体" w:cs="宋体"/>
                <w:bCs/>
                <w:sz w:val="21"/>
                <w:szCs w:val="21"/>
                <w:highlight w:val="none"/>
              </w:rPr>
              <w:t>保障</w:t>
            </w:r>
            <w:r>
              <w:rPr>
                <w:rFonts w:hint="eastAsia" w:ascii="宋体" w:hAnsi="宋体" w:cs="宋体"/>
                <w:bCs/>
                <w:sz w:val="21"/>
                <w:szCs w:val="21"/>
                <w:highlight w:val="none"/>
              </w:rPr>
              <w:t>服务</w:t>
            </w:r>
          </w:p>
        </w:tc>
        <w:tc>
          <w:tcPr>
            <w:tcW w:w="6825" w:type="dxa"/>
            <w:noWrap/>
            <w:vAlign w:val="center"/>
          </w:tcPr>
          <w:p>
            <w:pPr>
              <w:autoSpaceDE w:val="0"/>
              <w:autoSpaceDN w:val="0"/>
              <w:adjustRightInd w:val="0"/>
              <w:spacing w:line="240" w:lineRule="auto"/>
              <w:ind w:firstLine="346" w:firstLineChars="165"/>
              <w:jc w:val="left"/>
              <w:rPr>
                <w:rFonts w:ascii="宋体" w:hAnsi="宋体" w:cs="宋体"/>
                <w:sz w:val="21"/>
                <w:szCs w:val="21"/>
                <w:highlight w:val="none"/>
              </w:rPr>
            </w:pPr>
            <w:r>
              <w:rPr>
                <w:rFonts w:hint="eastAsia" w:ascii="宋体" w:hAnsi="宋体" w:cs="宋体"/>
                <w:sz w:val="21"/>
                <w:szCs w:val="21"/>
                <w:highlight w:val="none"/>
              </w:rPr>
              <w:t>根据投标人提供的工作进度安排、后续保障服务情况进行综合评议。</w:t>
            </w:r>
          </w:p>
          <w:p>
            <w:pPr>
              <w:autoSpaceDE w:val="0"/>
              <w:autoSpaceDN w:val="0"/>
              <w:adjustRightInd w:val="0"/>
              <w:spacing w:line="240" w:lineRule="auto"/>
              <w:ind w:firstLine="346" w:firstLineChars="165"/>
              <w:jc w:val="left"/>
              <w:rPr>
                <w:rFonts w:ascii="宋体" w:hAnsi="宋体"/>
                <w:sz w:val="21"/>
                <w:szCs w:val="21"/>
                <w:highlight w:val="none"/>
              </w:rPr>
            </w:pPr>
            <w:r>
              <w:rPr>
                <w:rFonts w:hint="eastAsia" w:ascii="宋体" w:hAnsi="宋体"/>
                <w:sz w:val="21"/>
                <w:szCs w:val="21"/>
                <w:highlight w:val="none"/>
              </w:rPr>
              <w:t>投标人对</w:t>
            </w:r>
            <w:r>
              <w:rPr>
                <w:rFonts w:hint="eastAsia" w:ascii="宋体" w:hAnsi="宋体" w:cs="宋体"/>
                <w:sz w:val="21"/>
                <w:szCs w:val="21"/>
                <w:highlight w:val="none"/>
              </w:rPr>
              <w:t>项目工作进度安排、后续保障服务</w:t>
            </w:r>
            <w:r>
              <w:rPr>
                <w:rFonts w:hint="eastAsia" w:ascii="宋体" w:hAnsi="宋体" w:cs="宋体"/>
                <w:bCs/>
                <w:sz w:val="21"/>
                <w:szCs w:val="21"/>
                <w:highlight w:val="none"/>
              </w:rPr>
              <w:t>相关服务安排合理</w:t>
            </w:r>
            <w:r>
              <w:rPr>
                <w:rFonts w:hint="eastAsia" w:ascii="宋体" w:hAnsi="宋体"/>
                <w:sz w:val="21"/>
                <w:szCs w:val="21"/>
                <w:highlight w:val="none"/>
              </w:rPr>
              <w:t>的</w:t>
            </w:r>
            <w:r>
              <w:rPr>
                <w:rFonts w:hint="eastAsia" w:ascii="宋体" w:hAnsi="宋体"/>
                <w:szCs w:val="21"/>
                <w:highlight w:val="none"/>
              </w:rPr>
              <w:t>4.0-6.0</w:t>
            </w:r>
            <w:r>
              <w:rPr>
                <w:rFonts w:hint="eastAsia" w:ascii="宋体" w:hAnsi="宋体"/>
                <w:sz w:val="21"/>
                <w:szCs w:val="21"/>
                <w:highlight w:val="none"/>
              </w:rPr>
              <w:t>分；</w:t>
            </w:r>
          </w:p>
          <w:p>
            <w:pPr>
              <w:autoSpaceDE w:val="0"/>
              <w:autoSpaceDN w:val="0"/>
              <w:adjustRightInd w:val="0"/>
              <w:spacing w:line="240" w:lineRule="auto"/>
              <w:ind w:firstLine="346" w:firstLineChars="165"/>
              <w:jc w:val="left"/>
              <w:rPr>
                <w:rFonts w:ascii="宋体" w:hAnsi="宋体"/>
                <w:sz w:val="21"/>
                <w:szCs w:val="21"/>
                <w:highlight w:val="none"/>
              </w:rPr>
            </w:pPr>
            <w:r>
              <w:rPr>
                <w:rFonts w:hint="eastAsia" w:ascii="宋体" w:hAnsi="宋体"/>
                <w:sz w:val="21"/>
                <w:szCs w:val="21"/>
                <w:highlight w:val="none"/>
              </w:rPr>
              <w:t>投标人对</w:t>
            </w:r>
            <w:r>
              <w:rPr>
                <w:rFonts w:hint="eastAsia" w:ascii="宋体" w:hAnsi="宋体" w:cs="宋体"/>
                <w:sz w:val="21"/>
                <w:szCs w:val="21"/>
                <w:highlight w:val="none"/>
              </w:rPr>
              <w:t>项目工作进度安排、后续保障服务</w:t>
            </w:r>
            <w:r>
              <w:rPr>
                <w:rFonts w:hint="eastAsia" w:ascii="宋体" w:hAnsi="宋体" w:cs="宋体"/>
                <w:bCs/>
                <w:sz w:val="21"/>
                <w:szCs w:val="21"/>
                <w:highlight w:val="none"/>
              </w:rPr>
              <w:t>相关服务</w:t>
            </w:r>
            <w:r>
              <w:rPr>
                <w:rFonts w:hint="eastAsia" w:ascii="宋体" w:hAnsi="宋体"/>
                <w:sz w:val="21"/>
                <w:szCs w:val="21"/>
                <w:highlight w:val="none"/>
              </w:rPr>
              <w:t>较合理的得</w:t>
            </w:r>
            <w:r>
              <w:rPr>
                <w:rFonts w:hint="eastAsia" w:ascii="宋体" w:hAnsi="宋体"/>
                <w:szCs w:val="21"/>
                <w:highlight w:val="none"/>
              </w:rPr>
              <w:t>2.0-3.9</w:t>
            </w:r>
            <w:r>
              <w:rPr>
                <w:rFonts w:hint="eastAsia" w:ascii="宋体" w:hAnsi="宋体"/>
                <w:sz w:val="21"/>
                <w:szCs w:val="21"/>
                <w:highlight w:val="none"/>
              </w:rPr>
              <w:t>分；</w:t>
            </w:r>
          </w:p>
          <w:p>
            <w:pPr>
              <w:autoSpaceDE w:val="0"/>
              <w:autoSpaceDN w:val="0"/>
              <w:adjustRightInd w:val="0"/>
              <w:spacing w:line="240" w:lineRule="auto"/>
              <w:ind w:firstLine="346" w:firstLineChars="165"/>
              <w:jc w:val="left"/>
              <w:rPr>
                <w:rFonts w:ascii="宋体" w:hAnsi="宋体" w:cs="宋体"/>
                <w:sz w:val="21"/>
                <w:szCs w:val="21"/>
                <w:highlight w:val="none"/>
              </w:rPr>
            </w:pPr>
            <w:r>
              <w:rPr>
                <w:rFonts w:hint="eastAsia" w:ascii="宋体" w:hAnsi="宋体"/>
                <w:sz w:val="21"/>
                <w:szCs w:val="21"/>
                <w:highlight w:val="none"/>
              </w:rPr>
              <w:t>投标人对</w:t>
            </w:r>
            <w:r>
              <w:rPr>
                <w:rFonts w:hint="eastAsia" w:ascii="宋体" w:hAnsi="宋体" w:cs="宋体"/>
                <w:sz w:val="21"/>
                <w:szCs w:val="21"/>
                <w:highlight w:val="none"/>
              </w:rPr>
              <w:t>项目工作进度安排、后续保障服务</w:t>
            </w:r>
            <w:r>
              <w:rPr>
                <w:rFonts w:hint="eastAsia" w:ascii="宋体" w:hAnsi="宋体" w:cs="宋体"/>
                <w:bCs/>
                <w:sz w:val="21"/>
                <w:szCs w:val="21"/>
                <w:highlight w:val="none"/>
              </w:rPr>
              <w:t>相关服务</w:t>
            </w:r>
            <w:r>
              <w:rPr>
                <w:rFonts w:hint="eastAsia" w:ascii="宋体" w:hAnsi="宋体"/>
                <w:sz w:val="21"/>
                <w:szCs w:val="21"/>
                <w:highlight w:val="none"/>
              </w:rPr>
              <w:t>不合理的得</w:t>
            </w:r>
            <w:r>
              <w:rPr>
                <w:rFonts w:hint="eastAsia" w:ascii="宋体" w:hAnsi="宋体"/>
                <w:szCs w:val="21"/>
                <w:highlight w:val="none"/>
              </w:rPr>
              <w:t>0-1.9</w:t>
            </w:r>
            <w:r>
              <w:rPr>
                <w:rFonts w:hint="eastAsia" w:ascii="宋体" w:hAnsi="宋体"/>
                <w:sz w:val="21"/>
                <w:szCs w:val="21"/>
                <w:highlight w:val="none"/>
              </w:rPr>
              <w:t>分。</w:t>
            </w:r>
          </w:p>
        </w:tc>
        <w:tc>
          <w:tcPr>
            <w:tcW w:w="815" w:type="dxa"/>
            <w:noWrap/>
            <w:vAlign w:val="center"/>
          </w:tcPr>
          <w:p>
            <w:pPr>
              <w:widowControl/>
              <w:spacing w:line="240" w:lineRule="auto"/>
              <w:jc w:val="center"/>
              <w:rPr>
                <w:rFonts w:hint="eastAsia" w:ascii="宋体" w:hAnsi="宋体" w:eastAsia="宋体" w:cs="宋体"/>
                <w:bCs/>
                <w:kern w:val="0"/>
                <w:sz w:val="21"/>
                <w:szCs w:val="21"/>
                <w:highlight w:val="none"/>
                <w:lang w:eastAsia="zh-CN"/>
              </w:rPr>
            </w:pPr>
            <w:r>
              <w:rPr>
                <w:rFonts w:hint="eastAsia" w:ascii="宋体" w:hAnsi="宋体" w:cs="宋体"/>
                <w:bCs/>
                <w:kern w:val="0"/>
                <w:sz w:val="21"/>
                <w:szCs w:val="21"/>
                <w:highlight w:val="none"/>
                <w:lang w:val="en-US" w:eastAsia="zh-CN"/>
              </w:rPr>
              <w:t>6</w:t>
            </w:r>
          </w:p>
        </w:tc>
      </w:tr>
    </w:tbl>
    <w:p>
      <w:pPr>
        <w:rPr>
          <w:rFonts w:ascii="宋体" w:hAnsi="宋体" w:cs="宋体"/>
          <w:sz w:val="24"/>
          <w:highlight w:val="none"/>
        </w:rPr>
      </w:pPr>
      <w:r>
        <w:rPr>
          <w:rFonts w:hint="eastAsia" w:ascii="宋体" w:hAnsi="宋体" w:cs="宋体"/>
          <w:sz w:val="24"/>
          <w:highlight w:val="none"/>
        </w:rPr>
        <w:t>2、报价文件评分（</w:t>
      </w:r>
      <w:r>
        <w:rPr>
          <w:rFonts w:hint="eastAsia" w:hAnsi="宋体" w:cs="宋体"/>
          <w:sz w:val="24"/>
          <w:highlight w:val="none"/>
        </w:rPr>
        <w:t>1</w:t>
      </w:r>
      <w:r>
        <w:rPr>
          <w:rFonts w:hint="eastAsia" w:ascii="宋体" w:hAnsi="宋体" w:cs="宋体"/>
          <w:sz w:val="24"/>
          <w:highlight w:val="none"/>
        </w:rPr>
        <w:t>0分）</w:t>
      </w:r>
    </w:p>
    <w:tbl>
      <w:tblPr>
        <w:tblStyle w:val="76"/>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462" w:type="dxa"/>
            <w:vAlign w:val="center"/>
          </w:tcPr>
          <w:p>
            <w:pPr>
              <w:widowControl/>
              <w:spacing w:line="240" w:lineRule="auto"/>
              <w:rPr>
                <w:rFonts w:ascii="宋体" w:hAnsi="宋体" w:cs="宋体"/>
                <w:sz w:val="24"/>
                <w:highlight w:val="none"/>
              </w:rPr>
            </w:pPr>
            <w:r>
              <w:rPr>
                <w:rFonts w:hint="eastAsia" w:ascii="宋体" w:hAnsi="宋体" w:cs="宋体"/>
                <w:sz w:val="24"/>
                <w:highlight w:val="none"/>
              </w:rPr>
              <w:t>报价文件分（10分）</w:t>
            </w:r>
          </w:p>
        </w:tc>
        <w:tc>
          <w:tcPr>
            <w:tcW w:w="8320" w:type="dxa"/>
            <w:tcBorders>
              <w:top w:val="single" w:color="auto" w:sz="6" w:space="0"/>
              <w:left w:val="single" w:color="auto" w:sz="6" w:space="0"/>
              <w:bottom w:val="single" w:color="auto" w:sz="6" w:space="0"/>
              <w:right w:val="single" w:color="auto" w:sz="6" w:space="0"/>
            </w:tcBorders>
            <w:vAlign w:val="center"/>
          </w:tcPr>
          <w:p>
            <w:pPr>
              <w:spacing w:line="240" w:lineRule="auto"/>
              <w:rPr>
                <w:rFonts w:ascii="宋体" w:hAnsi="宋体" w:cs="宋体"/>
                <w:sz w:val="24"/>
                <w:highlight w:val="none"/>
              </w:rPr>
            </w:pPr>
            <w:r>
              <w:rPr>
                <w:rFonts w:hint="eastAsia" w:ascii="宋体" w:hAnsi="宋体" w:cs="宋体"/>
                <w:sz w:val="24"/>
                <w:highlight w:val="none"/>
              </w:rPr>
              <w:t>1、评标基准价的确定</w:t>
            </w:r>
          </w:p>
          <w:p>
            <w:pPr>
              <w:spacing w:line="240" w:lineRule="auto"/>
              <w:rPr>
                <w:rFonts w:ascii="宋体" w:hAnsi="宋体" w:cs="宋体"/>
                <w:sz w:val="24"/>
                <w:highlight w:val="none"/>
              </w:rPr>
            </w:pPr>
            <w:r>
              <w:rPr>
                <w:rFonts w:hint="eastAsia" w:ascii="宋体" w:hAnsi="宋体" w:cs="宋体"/>
                <w:sz w:val="24"/>
                <w:highlight w:val="none"/>
              </w:rPr>
              <w:t xml:space="preserve">资格证明文件和商务技术文件评审完后计算评标基准价。 </w:t>
            </w:r>
          </w:p>
          <w:p>
            <w:pPr>
              <w:spacing w:line="240" w:lineRule="auto"/>
              <w:rPr>
                <w:rFonts w:ascii="宋体" w:hAnsi="宋体" w:cs="宋体"/>
                <w:sz w:val="24"/>
                <w:highlight w:val="none"/>
              </w:rPr>
            </w:pPr>
            <w:r>
              <w:rPr>
                <w:rFonts w:hint="eastAsia" w:ascii="宋体" w:hAnsi="宋体" w:cs="宋体"/>
                <w:sz w:val="24"/>
                <w:highlight w:val="none"/>
              </w:rPr>
              <w:t>报价文件价格为废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spacing w:line="240" w:lineRule="auto"/>
              <w:rPr>
                <w:rFonts w:ascii="宋体" w:hAnsi="宋体" w:cs="宋体"/>
                <w:sz w:val="24"/>
                <w:highlight w:val="none"/>
              </w:rPr>
            </w:pPr>
            <w:r>
              <w:rPr>
                <w:rFonts w:hint="eastAsia" w:ascii="宋体" w:hAnsi="宋体" w:cs="宋体"/>
                <w:sz w:val="24"/>
                <w:highlight w:val="none"/>
              </w:rPr>
              <w:t>2、出现以下情况时，则该投标报价不再进入评标基准价的计算：</w:t>
            </w:r>
          </w:p>
          <w:p>
            <w:pPr>
              <w:spacing w:line="240" w:lineRule="auto"/>
              <w:rPr>
                <w:rFonts w:ascii="宋体" w:hAnsi="宋体" w:cs="宋体"/>
                <w:sz w:val="24"/>
                <w:highlight w:val="none"/>
              </w:rPr>
            </w:pPr>
            <w:r>
              <w:rPr>
                <w:rFonts w:hint="eastAsia" w:ascii="宋体" w:hAnsi="宋体" w:cs="宋体"/>
                <w:sz w:val="24"/>
                <w:highlight w:val="none"/>
              </w:rPr>
              <w:t>（1）资格证明文件及商务技术文件评审过程中已做废标、无效标处理的；</w:t>
            </w:r>
          </w:p>
          <w:p>
            <w:pPr>
              <w:spacing w:line="240" w:lineRule="auto"/>
              <w:rPr>
                <w:rFonts w:ascii="宋体" w:hAnsi="宋体" w:cs="宋体"/>
                <w:sz w:val="24"/>
                <w:highlight w:val="none"/>
              </w:rPr>
            </w:pPr>
            <w:r>
              <w:rPr>
                <w:rFonts w:hint="eastAsia" w:ascii="宋体" w:hAnsi="宋体" w:cs="宋体"/>
                <w:sz w:val="24"/>
                <w:highlight w:val="none"/>
              </w:rPr>
              <w:t>3、评标基准价的确定：满足招标文件要求且投标总报价最低的投标报价为评标基准价。</w:t>
            </w:r>
          </w:p>
          <w:p>
            <w:pPr>
              <w:spacing w:line="240" w:lineRule="auto"/>
              <w:rPr>
                <w:rFonts w:ascii="宋体" w:hAnsi="宋体" w:cs="宋体"/>
                <w:sz w:val="24"/>
                <w:highlight w:val="none"/>
              </w:rPr>
            </w:pPr>
            <w:r>
              <w:rPr>
                <w:rFonts w:hint="eastAsia" w:ascii="宋体" w:hAnsi="宋体" w:cs="宋体"/>
                <w:sz w:val="24"/>
                <w:highlight w:val="none"/>
              </w:rPr>
              <w:t>评标基准值按上述方法确定后，不再受其他任何因素的影响而改变。</w:t>
            </w:r>
          </w:p>
          <w:p>
            <w:pPr>
              <w:spacing w:line="240" w:lineRule="auto"/>
              <w:rPr>
                <w:rFonts w:ascii="宋体" w:hAnsi="宋体" w:cs="宋体"/>
                <w:sz w:val="24"/>
                <w:highlight w:val="none"/>
              </w:rPr>
            </w:pPr>
            <w:r>
              <w:rPr>
                <w:rFonts w:hint="eastAsia" w:ascii="宋体" w:hAnsi="宋体" w:cs="宋体"/>
                <w:sz w:val="24"/>
                <w:highlight w:val="none"/>
              </w:rPr>
              <w:t>4、投标报价得分计算方法</w:t>
            </w:r>
          </w:p>
          <w:p>
            <w:pPr>
              <w:spacing w:line="240" w:lineRule="auto"/>
              <w:rPr>
                <w:rFonts w:hint="eastAsia" w:ascii="宋体" w:hAnsi="宋体" w:eastAsia="宋体" w:cs="宋体"/>
                <w:b/>
                <w:sz w:val="24"/>
                <w:highlight w:val="none"/>
                <w:lang w:eastAsia="zh-CN"/>
              </w:rPr>
            </w:pPr>
            <w:r>
              <w:rPr>
                <w:rFonts w:hint="eastAsia" w:ascii="宋体" w:hAnsi="宋体" w:cs="宋体"/>
                <w:sz w:val="24"/>
                <w:highlight w:val="none"/>
              </w:rPr>
              <w:t>计算价格评分：价格分采用低价优先法计算，各有效投标人的评标价中，取有效报价中的最低价为评标基准价，其价格分为满分。其他投标人的价格分统一按照下列公式计算：价格评分=（评标基准价／投标报价）×10分（小数点后保留2位，第三位四舍五入）。</w:t>
            </w:r>
          </w:p>
        </w:tc>
      </w:tr>
    </w:tbl>
    <w:p>
      <w:pPr>
        <w:spacing w:line="420" w:lineRule="exact"/>
        <w:ind w:firstLine="440" w:firstLineChars="200"/>
        <w:rPr>
          <w:rFonts w:ascii="新宋体" w:hAnsi="新宋体" w:eastAsia="新宋体"/>
          <w:sz w:val="22"/>
          <w:szCs w:val="22"/>
          <w:highlight w:val="none"/>
        </w:rPr>
      </w:pPr>
      <w:r>
        <w:rPr>
          <w:rFonts w:hint="eastAsia" w:ascii="新宋体" w:hAnsi="新宋体" w:eastAsia="新宋体"/>
          <w:sz w:val="22"/>
          <w:szCs w:val="22"/>
          <w:highlight w:val="none"/>
        </w:rPr>
        <w:t>3、有效投标人的综合得分</w:t>
      </w:r>
      <w:r>
        <w:rPr>
          <w:rFonts w:ascii="新宋体" w:hAnsi="新宋体" w:eastAsia="新宋体"/>
          <w:sz w:val="22"/>
          <w:szCs w:val="22"/>
          <w:highlight w:val="none"/>
        </w:rPr>
        <w:t>=</w:t>
      </w:r>
      <w:r>
        <w:rPr>
          <w:rFonts w:hint="eastAsia" w:ascii="新宋体" w:hAnsi="新宋体" w:eastAsia="新宋体"/>
          <w:sz w:val="22"/>
          <w:szCs w:val="22"/>
          <w:highlight w:val="none"/>
        </w:rPr>
        <w:t>商务与技术文件得分</w:t>
      </w:r>
      <w:r>
        <w:rPr>
          <w:rFonts w:ascii="新宋体" w:hAnsi="新宋体" w:eastAsia="新宋体"/>
          <w:sz w:val="22"/>
          <w:szCs w:val="22"/>
          <w:highlight w:val="none"/>
        </w:rPr>
        <w:t>+</w:t>
      </w:r>
      <w:r>
        <w:rPr>
          <w:rFonts w:hint="eastAsia" w:ascii="新宋体" w:hAnsi="新宋体" w:eastAsia="新宋体"/>
          <w:sz w:val="22"/>
          <w:szCs w:val="22"/>
          <w:highlight w:val="none"/>
        </w:rPr>
        <w:t>报价文件得分。</w:t>
      </w:r>
    </w:p>
    <w:p>
      <w:pPr>
        <w:spacing w:line="420" w:lineRule="exact"/>
        <w:ind w:firstLine="440" w:firstLineChars="200"/>
        <w:rPr>
          <w:rFonts w:ascii="新宋体" w:hAnsi="新宋体" w:eastAsia="新宋体"/>
          <w:sz w:val="22"/>
          <w:szCs w:val="22"/>
          <w:highlight w:val="none"/>
        </w:rPr>
      </w:pPr>
      <w:r>
        <w:rPr>
          <w:rFonts w:hint="eastAsia" w:ascii="新宋体" w:hAnsi="新宋体" w:eastAsia="新宋体"/>
          <w:sz w:val="22"/>
          <w:szCs w:val="22"/>
          <w:highlight w:val="none"/>
        </w:rPr>
        <w:t>4、评标委员会按综合得分从高到低顺序排列，综合得分高的前两名投标人依次作为第一中标候选人（最高得分投标人）和第二中标候选人（次高得分投标人）向采购人推荐，并提交评标报告。综合得分相同投标报价低的排序第一。均一致的，抽签确定。</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六、定标办法</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本次招标由评标委员会推荐中标候选人，招标人根据评标委员会推荐的结果进行最终确认。无特殊原因，招标人将确定排名第一的候选人为中标人。如中标人放弃中标；或未能在规定时间内与招标人签订合同的；或者经质疑，招标人审查后，确因排名第一的候选人在本次采购活动中存在违法违规行为或其他原因使质疑成立的，招标人可以直接确定排名第二的候选人为中标人。如第二中标候选人因前款规定的同样原因不能签订合同的，本次招标失败，重新组织招标。</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七、确定中标人</w:t>
      </w:r>
    </w:p>
    <w:p>
      <w:pPr>
        <w:spacing w:line="460" w:lineRule="exact"/>
        <w:ind w:firstLine="539" w:firstLineChars="245"/>
        <w:rPr>
          <w:rFonts w:ascii="新宋体" w:hAnsi="新宋体" w:eastAsia="新宋体"/>
          <w:sz w:val="22"/>
          <w:szCs w:val="22"/>
          <w:highlight w:val="none"/>
        </w:rPr>
      </w:pPr>
      <w:r>
        <w:rPr>
          <w:rFonts w:hint="eastAsia" w:ascii="新宋体" w:hAnsi="新宋体" w:eastAsia="新宋体"/>
          <w:sz w:val="22"/>
          <w:szCs w:val="22"/>
          <w:highlight w:val="none"/>
        </w:rPr>
        <w:t>评标结束后，招标人将在发布招标公告媒体发布中标结果，招标人向中标人发出中标通知书。</w:t>
      </w:r>
    </w:p>
    <w:p>
      <w:pPr>
        <w:spacing w:line="460" w:lineRule="exact"/>
        <w:ind w:firstLine="541" w:firstLineChars="245"/>
        <w:rPr>
          <w:rFonts w:ascii="新宋体" w:hAnsi="新宋体" w:eastAsia="新宋体"/>
          <w:b/>
          <w:sz w:val="22"/>
          <w:szCs w:val="22"/>
          <w:highlight w:val="none"/>
        </w:rPr>
      </w:pPr>
      <w:r>
        <w:rPr>
          <w:rFonts w:hint="eastAsia" w:ascii="新宋体" w:hAnsi="新宋体" w:eastAsia="新宋体"/>
          <w:b/>
          <w:sz w:val="22"/>
          <w:szCs w:val="22"/>
          <w:highlight w:val="none"/>
        </w:rPr>
        <w:t>八、投标人义务</w:t>
      </w:r>
    </w:p>
    <w:p>
      <w:pPr>
        <w:spacing w:line="460" w:lineRule="exact"/>
        <w:ind w:firstLine="539" w:firstLineChars="245"/>
        <w:rPr>
          <w:rFonts w:ascii="宋体" w:hAnsi="宋体" w:cs="宋体"/>
          <w:sz w:val="24"/>
          <w:highlight w:val="none"/>
        </w:rPr>
      </w:pPr>
      <w:r>
        <w:rPr>
          <w:rFonts w:hint="eastAsia" w:ascii="新宋体" w:hAnsi="新宋体" w:eastAsia="新宋体"/>
          <w:sz w:val="22"/>
          <w:szCs w:val="22"/>
          <w:highlight w:val="none"/>
        </w:rPr>
        <w:t>投标人应随时接受评标委员会的询标，解答包括有关的报价文件、技术资信问题等。评标结束，所有评标资料存招标机构备查。</w:t>
      </w:r>
    </w:p>
    <w:sectPr>
      <w:headerReference r:id="rId9" w:type="first"/>
      <w:footerReference r:id="rId11" w:type="first"/>
      <w:headerReference r:id="rId8" w:type="default"/>
      <w:footerReference r:id="rId10" w:type="default"/>
      <w:pgSz w:w="11906" w:h="16838"/>
      <w:pgMar w:top="1247" w:right="1417" w:bottom="1474" w:left="1417" w:header="851" w:footer="896"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KaiTi_GB2312">
    <w:altName w:val="楷体"/>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8</w:t>
    </w:r>
    <w:r>
      <w:rPr>
        <w:lang w:val="zh-CN"/>
      </w:rPr>
      <w:fldChar w:fldCharType="end"/>
    </w:r>
  </w:p>
  <w:p>
    <w:pPr>
      <w:pStyle w:val="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47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59</w:t>
    </w:r>
    <w:r>
      <w:rPr>
        <w:lang w:val="zh-CN"/>
      </w:rPr>
      <w:fldChar w:fldCharType="end"/>
    </w:r>
  </w:p>
  <w:p>
    <w:pPr>
      <w:pStyle w:val="4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480"/>
      <w:jc w:val="center"/>
    </w:pPr>
    <w:r>
      <w:fldChar w:fldCharType="begin"/>
    </w:r>
    <w:r>
      <w:instrText xml:space="preserve">PAGE   \* MERGEFORMAT</w:instrText>
    </w:r>
    <w:r>
      <w:fldChar w:fldCharType="separate"/>
    </w:r>
    <w:r>
      <w:rPr>
        <w:lang w:val="zh-CN"/>
      </w:rPr>
      <w:t>48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pStyle w:val="55"/>
        <w:rPr>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AB368"/>
    <w:multiLevelType w:val="singleLevel"/>
    <w:tmpl w:val="FA2AB368"/>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7"/>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
    <w:nsid w:val="00000003"/>
    <w:multiLevelType w:val="multilevel"/>
    <w:tmpl w:val="00000003"/>
    <w:lvl w:ilvl="0" w:tentative="0">
      <w:start w:val="1"/>
      <w:numFmt w:val="decimal"/>
      <w:pStyle w:val="205"/>
      <w:lvlText w:val="%1"/>
      <w:lvlJc w:val="left"/>
      <w:pPr>
        <w:tabs>
          <w:tab w:val="left" w:pos="480"/>
        </w:tabs>
        <w:ind w:left="480" w:hanging="480"/>
      </w:pPr>
      <w:rPr>
        <w:rFonts w:hint="eastAsia" w:cs="Times New Roman"/>
        <w:sz w:val="44"/>
        <w:szCs w:val="44"/>
      </w:rPr>
    </w:lvl>
    <w:lvl w:ilvl="1" w:tentative="0">
      <w:start w:val="1"/>
      <w:numFmt w:val="decimal"/>
      <w:pStyle w:val="201"/>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53"/>
      <w:lvlText w:val="%1."/>
      <w:lvlJc w:val="left"/>
      <w:pPr>
        <w:tabs>
          <w:tab w:val="left" w:pos="1620"/>
        </w:tabs>
        <w:ind w:left="1620" w:hanging="360"/>
      </w:pPr>
      <w:rPr>
        <w:rFonts w:cs="Times New Roman"/>
      </w:rPr>
    </w:lvl>
  </w:abstractNum>
  <w:abstractNum w:abstractNumId="4">
    <w:nsid w:val="00000008"/>
    <w:multiLevelType w:val="multilevel"/>
    <w:tmpl w:val="00000008"/>
    <w:lvl w:ilvl="0" w:tentative="0">
      <w:start w:val="1"/>
      <w:numFmt w:val="decimal"/>
      <w:pStyle w:val="490"/>
      <w:lvlText w:val="%1."/>
      <w:lvlJc w:val="left"/>
      <w:pPr>
        <w:tabs>
          <w:tab w:val="left" w:pos="720"/>
        </w:tabs>
        <w:ind w:left="720" w:hanging="720"/>
      </w:pPr>
      <w:rPr>
        <w:rFonts w:hint="default" w:cs="Times New Roman"/>
      </w:rPr>
    </w:lvl>
    <w:lvl w:ilvl="1" w:tentative="0">
      <w:start w:val="1"/>
      <w:numFmt w:val="decimal"/>
      <w:pStyle w:val="491"/>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6"/>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
    <w:nsid w:val="0000000B"/>
    <w:multiLevelType w:val="singleLevel"/>
    <w:tmpl w:val="0000000B"/>
    <w:lvl w:ilvl="0" w:tentative="0">
      <w:start w:val="1"/>
      <w:numFmt w:val="decimal"/>
      <w:pStyle w:val="528"/>
      <w:lvlText w:val="%1．"/>
      <w:lvlJc w:val="left"/>
      <w:pPr>
        <w:tabs>
          <w:tab w:val="left" w:pos="360"/>
        </w:tabs>
        <w:ind w:left="245" w:hanging="245"/>
      </w:pPr>
      <w:rPr>
        <w:rFonts w:ascii="Times New Roman" w:hAnsi="Times New Roman" w:eastAsia="Times New Roman" w:cs="Times New Roman"/>
      </w:rPr>
    </w:lvl>
  </w:abstractNum>
  <w:abstractNum w:abstractNumId="7">
    <w:nsid w:val="0000000C"/>
    <w:multiLevelType w:val="multilevel"/>
    <w:tmpl w:val="0000000C"/>
    <w:lvl w:ilvl="0" w:tentative="0">
      <w:start w:val="1"/>
      <w:numFmt w:val="bullet"/>
      <w:pStyle w:val="3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7"/>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9">
    <w:nsid w:val="0000000E"/>
    <w:multiLevelType w:val="multilevel"/>
    <w:tmpl w:val="0000000E"/>
    <w:lvl w:ilvl="0" w:tentative="0">
      <w:start w:val="0"/>
      <w:numFmt w:val="bullet"/>
      <w:pStyle w:val="605"/>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F"/>
    <w:multiLevelType w:val="multilevel"/>
    <w:tmpl w:val="0000000F"/>
    <w:lvl w:ilvl="0" w:tentative="0">
      <w:start w:val="1"/>
      <w:numFmt w:val="decimal"/>
      <w:pStyle w:val="249"/>
      <w:suff w:val="space"/>
      <w:lvlText w:val="%1"/>
      <w:lvlJc w:val="left"/>
      <w:rPr>
        <w:rFonts w:hint="eastAsia" w:cs="Times New Roman"/>
      </w:rPr>
    </w:lvl>
    <w:lvl w:ilvl="1" w:tentative="0">
      <w:start w:val="1"/>
      <w:numFmt w:val="decimal"/>
      <w:pStyle w:val="246"/>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00000010"/>
    <w:multiLevelType w:val="multilevel"/>
    <w:tmpl w:val="00000010"/>
    <w:lvl w:ilvl="0" w:tentative="0">
      <w:start w:val="1"/>
      <w:numFmt w:val="bullet"/>
      <w:pStyle w:val="5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9"/>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5"/>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3">
    <w:nsid w:val="00000013"/>
    <w:multiLevelType w:val="multilevel"/>
    <w:tmpl w:val="00000013"/>
    <w:lvl w:ilvl="0" w:tentative="0">
      <w:start w:val="1"/>
      <w:numFmt w:val="decimal"/>
      <w:pStyle w:val="238"/>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4">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5">
    <w:nsid w:val="00000015"/>
    <w:multiLevelType w:val="multilevel"/>
    <w:tmpl w:val="00000015"/>
    <w:lvl w:ilvl="0" w:tentative="0">
      <w:start w:val="1"/>
      <w:numFmt w:val="decimal"/>
      <w:pStyle w:val="177"/>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17"/>
    <w:multiLevelType w:val="multilevel"/>
    <w:tmpl w:val="00000017"/>
    <w:lvl w:ilvl="0" w:tentative="0">
      <w:start w:val="1"/>
      <w:numFmt w:val="decimal"/>
      <w:pStyle w:val="534"/>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7">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7"/>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0000001A"/>
    <w:multiLevelType w:val="multilevel"/>
    <w:tmpl w:val="0000001A"/>
    <w:lvl w:ilvl="0" w:tentative="0">
      <w:start w:val="1"/>
      <w:numFmt w:val="lowerLetter"/>
      <w:pStyle w:val="516"/>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0000001C"/>
    <w:multiLevelType w:val="multilevel"/>
    <w:tmpl w:val="0000001C"/>
    <w:lvl w:ilvl="0" w:tentative="0">
      <w:start w:val="1"/>
      <w:numFmt w:val="lowerLetter"/>
      <w:pStyle w:val="502"/>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D"/>
    <w:multiLevelType w:val="multilevel"/>
    <w:tmpl w:val="0000001D"/>
    <w:lvl w:ilvl="0" w:tentative="0">
      <w:start w:val="1"/>
      <w:numFmt w:val="none"/>
      <w:pStyle w:val="185"/>
      <w:suff w:val="nothing"/>
      <w:lvlText w:val="%1"/>
      <w:lvlJc w:val="left"/>
      <w:rPr>
        <w:rFonts w:hint="default" w:ascii="Times New Roman" w:hAnsi="Times New Roman" w:cs="Times New Roman"/>
        <w:b/>
        <w:i w:val="0"/>
        <w:sz w:val="21"/>
      </w:rPr>
    </w:lvl>
    <w:lvl w:ilvl="1" w:tentative="0">
      <w:start w:val="1"/>
      <w:numFmt w:val="decimal"/>
      <w:pStyle w:val="187"/>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2">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3">
    <w:nsid w:val="00000021"/>
    <w:multiLevelType w:val="multilevel"/>
    <w:tmpl w:val="00000021"/>
    <w:lvl w:ilvl="0" w:tentative="0">
      <w:start w:val="1"/>
      <w:numFmt w:val="none"/>
      <w:pStyle w:val="512"/>
      <w:suff w:val="nothing"/>
      <w:lvlText w:val="%1"/>
      <w:lvlJc w:val="left"/>
      <w:rPr>
        <w:rFonts w:cs="Times New Roman"/>
      </w:rPr>
    </w:lvl>
    <w:lvl w:ilvl="1" w:tentative="0">
      <w:start w:val="1"/>
      <w:numFmt w:val="decimal"/>
      <w:pStyle w:val="504"/>
      <w:lvlText w:val="%1%2.0"/>
      <w:lvlJc w:val="left"/>
      <w:pPr>
        <w:tabs>
          <w:tab w:val="left" w:pos="576"/>
        </w:tabs>
        <w:ind w:left="576" w:hanging="576"/>
      </w:pPr>
      <w:rPr>
        <w:rFonts w:cs="Times New Roman"/>
      </w:rPr>
    </w:lvl>
    <w:lvl w:ilvl="2" w:tentative="0">
      <w:start w:val="1"/>
      <w:numFmt w:val="decimal"/>
      <w:pStyle w:val="505"/>
      <w:lvlText w:val="%1%2.%3"/>
      <w:lvlJc w:val="left"/>
      <w:pPr>
        <w:tabs>
          <w:tab w:val="left" w:pos="576"/>
        </w:tabs>
        <w:ind w:left="576" w:hanging="576"/>
      </w:pPr>
      <w:rPr>
        <w:rFonts w:cs="Times New Roman"/>
      </w:rPr>
    </w:lvl>
    <w:lvl w:ilvl="3" w:tentative="0">
      <w:start w:val="1"/>
      <w:numFmt w:val="lowerLetter"/>
      <w:pStyle w:val="506"/>
      <w:lvlText w:val="%1%4."/>
      <w:lvlJc w:val="left"/>
      <w:pPr>
        <w:tabs>
          <w:tab w:val="left" w:pos="720"/>
        </w:tabs>
        <w:ind w:left="360" w:hanging="360"/>
      </w:pPr>
      <w:rPr>
        <w:rFonts w:cs="Times New Roman"/>
      </w:rPr>
    </w:lvl>
    <w:lvl w:ilvl="4" w:tentative="0">
      <w:start w:val="1"/>
      <w:numFmt w:val="decimal"/>
      <w:pStyle w:val="507"/>
      <w:lvlText w:val="%5."/>
      <w:lvlJc w:val="left"/>
      <w:pPr>
        <w:tabs>
          <w:tab w:val="left" w:pos="720"/>
        </w:tabs>
        <w:ind w:left="720" w:hanging="360"/>
      </w:pPr>
      <w:rPr>
        <w:rFonts w:cs="Times New Roman"/>
      </w:rPr>
    </w:lvl>
    <w:lvl w:ilvl="5" w:tentative="0">
      <w:start w:val="1"/>
      <w:numFmt w:val="lowerLetter"/>
      <w:pStyle w:val="508"/>
      <w:lvlText w:val="%1(%6)"/>
      <w:lvlJc w:val="left"/>
      <w:pPr>
        <w:tabs>
          <w:tab w:val="left" w:pos="1440"/>
        </w:tabs>
        <w:ind w:left="720"/>
      </w:pPr>
      <w:rPr>
        <w:rFonts w:cs="Times New Roman"/>
      </w:rPr>
    </w:lvl>
    <w:lvl w:ilvl="6" w:tentative="0">
      <w:start w:val="1"/>
      <w:numFmt w:val="lowerRoman"/>
      <w:pStyle w:val="509"/>
      <w:lvlText w:val="(%7)"/>
      <w:lvlJc w:val="left"/>
      <w:pPr>
        <w:tabs>
          <w:tab w:val="left" w:pos="1800"/>
        </w:tabs>
        <w:ind w:left="1440" w:hanging="360"/>
      </w:pPr>
      <w:rPr>
        <w:rFonts w:cs="Times New Roman"/>
      </w:rPr>
    </w:lvl>
    <w:lvl w:ilvl="7" w:tentative="0">
      <w:start w:val="1"/>
      <w:numFmt w:val="decimal"/>
      <w:pStyle w:val="510"/>
      <w:lvlText w:val="(%8)"/>
      <w:lvlJc w:val="left"/>
      <w:pPr>
        <w:tabs>
          <w:tab w:val="left" w:pos="1800"/>
        </w:tabs>
        <w:ind w:left="1800" w:hanging="360"/>
      </w:pPr>
      <w:rPr>
        <w:rFonts w:cs="Times New Roman"/>
      </w:rPr>
    </w:lvl>
    <w:lvl w:ilvl="8" w:tentative="0">
      <w:start w:val="1"/>
      <w:numFmt w:val="lowerRoman"/>
      <w:pStyle w:val="511"/>
      <w:lvlText w:val="(%9)"/>
      <w:lvlJc w:val="left"/>
      <w:pPr>
        <w:tabs>
          <w:tab w:val="left" w:pos="2520"/>
        </w:tabs>
        <w:ind w:left="2160" w:hanging="360"/>
      </w:pPr>
      <w:rPr>
        <w:rFonts w:cs="Times New Roman"/>
      </w:rPr>
    </w:lvl>
  </w:abstractNum>
  <w:abstractNum w:abstractNumId="24">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5">
    <w:nsid w:val="00000024"/>
    <w:multiLevelType w:val="multilevel"/>
    <w:tmpl w:val="00000024"/>
    <w:lvl w:ilvl="0" w:tentative="0">
      <w:start w:val="1"/>
      <w:numFmt w:val="bullet"/>
      <w:pStyle w:val="5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28"/>
    <w:multiLevelType w:val="multilevel"/>
    <w:tmpl w:val="00000028"/>
    <w:lvl w:ilvl="0" w:tentative="0">
      <w:start w:val="1"/>
      <w:numFmt w:val="decimal"/>
      <w:pStyle w:val="193"/>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7">
    <w:nsid w:val="00000029"/>
    <w:multiLevelType w:val="multilevel"/>
    <w:tmpl w:val="00000029"/>
    <w:lvl w:ilvl="0" w:tentative="0">
      <w:start w:val="1"/>
      <w:numFmt w:val="decimal"/>
      <w:pStyle w:val="28"/>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8">
    <w:nsid w:val="0000002C"/>
    <w:multiLevelType w:val="multilevel"/>
    <w:tmpl w:val="0000002C"/>
    <w:lvl w:ilvl="0" w:tentative="0">
      <w:start w:val="1"/>
      <w:numFmt w:val="decimal"/>
      <w:pStyle w:val="36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9">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0"/>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0">
    <w:nsid w:val="54F403B5"/>
    <w:multiLevelType w:val="singleLevel"/>
    <w:tmpl w:val="54F403B5"/>
    <w:lvl w:ilvl="0" w:tentative="0">
      <w:start w:val="1"/>
      <w:numFmt w:val="chineseCounting"/>
      <w:suff w:val="nothing"/>
      <w:lvlText w:val="%1、"/>
      <w:lvlJc w:val="left"/>
    </w:lvl>
  </w:abstractNum>
  <w:abstractNum w:abstractNumId="31">
    <w:nsid w:val="557FD3DA"/>
    <w:multiLevelType w:val="singleLevel"/>
    <w:tmpl w:val="557FD3DA"/>
    <w:lvl w:ilvl="0" w:tentative="0">
      <w:start w:val="3"/>
      <w:numFmt w:val="chineseCounting"/>
      <w:suff w:val="nothing"/>
      <w:lvlText w:val="%1、"/>
      <w:lvlJc w:val="left"/>
    </w:lvl>
  </w:abstractNum>
  <w:abstractNum w:abstractNumId="32">
    <w:nsid w:val="59C2244E"/>
    <w:multiLevelType w:val="multilevel"/>
    <w:tmpl w:val="59C2244E"/>
    <w:lvl w:ilvl="0" w:tentative="0">
      <w:start w:val="1"/>
      <w:numFmt w:val="decimal"/>
      <w:pStyle w:val="199"/>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3">
    <w:nsid w:val="625E924F"/>
    <w:multiLevelType w:val="singleLevel"/>
    <w:tmpl w:val="625E924F"/>
    <w:lvl w:ilvl="0" w:tentative="0">
      <w:start w:val="2"/>
      <w:numFmt w:val="decimal"/>
      <w:suff w:val="nothing"/>
      <w:lvlText w:val="%1、"/>
      <w:lvlJc w:val="left"/>
    </w:lvl>
  </w:abstractNum>
  <w:abstractNum w:abstractNumId="34">
    <w:nsid w:val="79189F0A"/>
    <w:multiLevelType w:val="singleLevel"/>
    <w:tmpl w:val="79189F0A"/>
    <w:lvl w:ilvl="0" w:tentative="0">
      <w:start w:val="5"/>
      <w:numFmt w:val="decimal"/>
      <w:suff w:val="nothing"/>
      <w:lvlText w:val="%1、"/>
      <w:lvlJc w:val="left"/>
    </w:lvl>
  </w:abstractNum>
  <w:num w:numId="1">
    <w:abstractNumId w:val="24"/>
  </w:num>
  <w:num w:numId="2">
    <w:abstractNumId w:val="19"/>
  </w:num>
  <w:num w:numId="3">
    <w:abstractNumId w:val="14"/>
  </w:num>
  <w:num w:numId="4">
    <w:abstractNumId w:val="22"/>
  </w:num>
  <w:num w:numId="5">
    <w:abstractNumId w:val="27"/>
  </w:num>
  <w:num w:numId="6">
    <w:abstractNumId w:val="11"/>
  </w:num>
  <w:num w:numId="7">
    <w:abstractNumId w:val="29"/>
  </w:num>
  <w:num w:numId="8">
    <w:abstractNumId w:val="15"/>
  </w:num>
  <w:num w:numId="9">
    <w:abstractNumId w:val="21"/>
  </w:num>
  <w:num w:numId="10">
    <w:abstractNumId w:val="26"/>
  </w:num>
  <w:num w:numId="11">
    <w:abstractNumId w:val="32"/>
  </w:num>
  <w:num w:numId="12">
    <w:abstractNumId w:val="2"/>
  </w:num>
  <w:num w:numId="13">
    <w:abstractNumId w:val="13"/>
  </w:num>
  <w:num w:numId="14">
    <w:abstractNumId w:val="10"/>
  </w:num>
  <w:num w:numId="15">
    <w:abstractNumId w:val="3"/>
  </w:num>
  <w:num w:numId="16">
    <w:abstractNumId w:val="7"/>
  </w:num>
  <w:num w:numId="17">
    <w:abstractNumId w:val="28"/>
  </w:num>
  <w:num w:numId="18">
    <w:abstractNumId w:val="4"/>
  </w:num>
  <w:num w:numId="19">
    <w:abstractNumId w:val="5"/>
  </w:num>
  <w:num w:numId="20">
    <w:abstractNumId w:val="17"/>
  </w:num>
  <w:num w:numId="21">
    <w:abstractNumId w:val="12"/>
  </w:num>
  <w:num w:numId="22">
    <w:abstractNumId w:val="20"/>
  </w:num>
  <w:num w:numId="23">
    <w:abstractNumId w:val="23"/>
  </w:num>
  <w:num w:numId="24">
    <w:abstractNumId w:val="18"/>
  </w:num>
  <w:num w:numId="25">
    <w:abstractNumId w:val="8"/>
  </w:num>
  <w:num w:numId="26">
    <w:abstractNumId w:val="6"/>
    <w:lvlOverride w:ilvl="0">
      <w:startOverride w:val="1"/>
    </w:lvlOverride>
  </w:num>
  <w:num w:numId="27">
    <w:abstractNumId w:val="25"/>
  </w:num>
  <w:num w:numId="28">
    <w:abstractNumId w:val="16"/>
  </w:num>
  <w:num w:numId="29">
    <w:abstractNumId w:val="1"/>
  </w:num>
  <w:num w:numId="30">
    <w:abstractNumId w:val="9"/>
  </w:num>
  <w:num w:numId="31">
    <w:abstractNumId w:val="34"/>
  </w:num>
  <w:num w:numId="32">
    <w:abstractNumId w:val="33"/>
  </w:num>
  <w:num w:numId="33">
    <w:abstractNumId w:val="0"/>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jk1ZTgzYWE5Zjk1ODVmOTAwZTdmOGNhNjczZTQifQ=="/>
  </w:docVars>
  <w:rsids>
    <w:rsidRoot w:val="00E1598F"/>
    <w:rsid w:val="0005247E"/>
    <w:rsid w:val="001475F4"/>
    <w:rsid w:val="002814B1"/>
    <w:rsid w:val="00310B0C"/>
    <w:rsid w:val="00325D15"/>
    <w:rsid w:val="00395CB6"/>
    <w:rsid w:val="00406A54"/>
    <w:rsid w:val="00501FD2"/>
    <w:rsid w:val="00544EC1"/>
    <w:rsid w:val="00A11CA9"/>
    <w:rsid w:val="00E1598F"/>
    <w:rsid w:val="01682B5C"/>
    <w:rsid w:val="02451456"/>
    <w:rsid w:val="03A6138C"/>
    <w:rsid w:val="044445A6"/>
    <w:rsid w:val="046F46C7"/>
    <w:rsid w:val="04AD688B"/>
    <w:rsid w:val="04E26B3E"/>
    <w:rsid w:val="0518245C"/>
    <w:rsid w:val="05265AFA"/>
    <w:rsid w:val="052A5B57"/>
    <w:rsid w:val="0586718C"/>
    <w:rsid w:val="059B7F92"/>
    <w:rsid w:val="05C16AE4"/>
    <w:rsid w:val="06065709"/>
    <w:rsid w:val="07074284"/>
    <w:rsid w:val="07225B82"/>
    <w:rsid w:val="073F4C20"/>
    <w:rsid w:val="07F25C80"/>
    <w:rsid w:val="08A91BB0"/>
    <w:rsid w:val="098E1C2B"/>
    <w:rsid w:val="0A166BDB"/>
    <w:rsid w:val="0AF23047"/>
    <w:rsid w:val="0B4279C0"/>
    <w:rsid w:val="0B581F2E"/>
    <w:rsid w:val="0BBC3E22"/>
    <w:rsid w:val="0BEA3594"/>
    <w:rsid w:val="0C7A1FEE"/>
    <w:rsid w:val="0CDF3565"/>
    <w:rsid w:val="0D1E2A57"/>
    <w:rsid w:val="0D7A65C0"/>
    <w:rsid w:val="0EF058CD"/>
    <w:rsid w:val="0FFD0862"/>
    <w:rsid w:val="104645DA"/>
    <w:rsid w:val="10AA6F23"/>
    <w:rsid w:val="11E550BF"/>
    <w:rsid w:val="12973BBA"/>
    <w:rsid w:val="12F34C75"/>
    <w:rsid w:val="13EF1C95"/>
    <w:rsid w:val="146029EE"/>
    <w:rsid w:val="148023CF"/>
    <w:rsid w:val="14E8239F"/>
    <w:rsid w:val="157513AD"/>
    <w:rsid w:val="157C333C"/>
    <w:rsid w:val="168D067E"/>
    <w:rsid w:val="184C55D6"/>
    <w:rsid w:val="18F86BFA"/>
    <w:rsid w:val="19692636"/>
    <w:rsid w:val="1AE462D0"/>
    <w:rsid w:val="1B59415F"/>
    <w:rsid w:val="1BA60B01"/>
    <w:rsid w:val="1BA93514"/>
    <w:rsid w:val="1C0B4E55"/>
    <w:rsid w:val="1CC5494E"/>
    <w:rsid w:val="1D3D556A"/>
    <w:rsid w:val="1D742EEF"/>
    <w:rsid w:val="1DBA7A97"/>
    <w:rsid w:val="1E9774BE"/>
    <w:rsid w:val="1ED53482"/>
    <w:rsid w:val="1ED67524"/>
    <w:rsid w:val="1F213248"/>
    <w:rsid w:val="1FFF4924"/>
    <w:rsid w:val="20203AED"/>
    <w:rsid w:val="20CC4073"/>
    <w:rsid w:val="21034FB5"/>
    <w:rsid w:val="21366341"/>
    <w:rsid w:val="22101661"/>
    <w:rsid w:val="22EE26E9"/>
    <w:rsid w:val="233126BC"/>
    <w:rsid w:val="23F933A6"/>
    <w:rsid w:val="24373B16"/>
    <w:rsid w:val="24EF4F40"/>
    <w:rsid w:val="250C5FA7"/>
    <w:rsid w:val="25FC470C"/>
    <w:rsid w:val="272F7091"/>
    <w:rsid w:val="28165D62"/>
    <w:rsid w:val="29F30959"/>
    <w:rsid w:val="2BA03516"/>
    <w:rsid w:val="2C2476EA"/>
    <w:rsid w:val="2D054929"/>
    <w:rsid w:val="2D1D3EAC"/>
    <w:rsid w:val="2D5F048F"/>
    <w:rsid w:val="2DC27ECF"/>
    <w:rsid w:val="2DF05189"/>
    <w:rsid w:val="2F0734CD"/>
    <w:rsid w:val="2F640A7D"/>
    <w:rsid w:val="2FA3072F"/>
    <w:rsid w:val="2FA630D2"/>
    <w:rsid w:val="306525BC"/>
    <w:rsid w:val="30986EFA"/>
    <w:rsid w:val="30A3481C"/>
    <w:rsid w:val="31E90E12"/>
    <w:rsid w:val="31EE13E9"/>
    <w:rsid w:val="33535F6A"/>
    <w:rsid w:val="33BF410F"/>
    <w:rsid w:val="340D68B4"/>
    <w:rsid w:val="342153E0"/>
    <w:rsid w:val="343E20CB"/>
    <w:rsid w:val="34713F0B"/>
    <w:rsid w:val="34890EB6"/>
    <w:rsid w:val="36A20DF7"/>
    <w:rsid w:val="36B357B5"/>
    <w:rsid w:val="36D27571"/>
    <w:rsid w:val="373F73AF"/>
    <w:rsid w:val="37452986"/>
    <w:rsid w:val="37AC7EFE"/>
    <w:rsid w:val="37C14D20"/>
    <w:rsid w:val="37CD082A"/>
    <w:rsid w:val="38EF1572"/>
    <w:rsid w:val="39453979"/>
    <w:rsid w:val="39D939E5"/>
    <w:rsid w:val="39DE3CCA"/>
    <w:rsid w:val="3A5540C8"/>
    <w:rsid w:val="3A9869E4"/>
    <w:rsid w:val="3AD37C55"/>
    <w:rsid w:val="3AE12510"/>
    <w:rsid w:val="3B24674A"/>
    <w:rsid w:val="3B345A5B"/>
    <w:rsid w:val="3B523567"/>
    <w:rsid w:val="3B7250A6"/>
    <w:rsid w:val="3BE52DD5"/>
    <w:rsid w:val="3BE54651"/>
    <w:rsid w:val="3C422951"/>
    <w:rsid w:val="3C463E89"/>
    <w:rsid w:val="3C820841"/>
    <w:rsid w:val="3C856C88"/>
    <w:rsid w:val="3CB21686"/>
    <w:rsid w:val="3CDB5695"/>
    <w:rsid w:val="3CE949E8"/>
    <w:rsid w:val="3CF50EFC"/>
    <w:rsid w:val="3D454134"/>
    <w:rsid w:val="3D4B7FB5"/>
    <w:rsid w:val="3D4D1310"/>
    <w:rsid w:val="3DD5509A"/>
    <w:rsid w:val="3DDA3A0D"/>
    <w:rsid w:val="3E640B14"/>
    <w:rsid w:val="3E68729F"/>
    <w:rsid w:val="3E727DFD"/>
    <w:rsid w:val="3EF77818"/>
    <w:rsid w:val="3F22062B"/>
    <w:rsid w:val="3F2D31C1"/>
    <w:rsid w:val="3F664A45"/>
    <w:rsid w:val="3FDA4DAD"/>
    <w:rsid w:val="3FEA0364"/>
    <w:rsid w:val="3FF132B2"/>
    <w:rsid w:val="3FF91C51"/>
    <w:rsid w:val="400619E3"/>
    <w:rsid w:val="401D58F4"/>
    <w:rsid w:val="40C01A9B"/>
    <w:rsid w:val="41FC033A"/>
    <w:rsid w:val="424E1BB1"/>
    <w:rsid w:val="425C40F6"/>
    <w:rsid w:val="43087695"/>
    <w:rsid w:val="43482019"/>
    <w:rsid w:val="434B5213"/>
    <w:rsid w:val="43E61A3A"/>
    <w:rsid w:val="4467266C"/>
    <w:rsid w:val="458052C7"/>
    <w:rsid w:val="45BA7DC0"/>
    <w:rsid w:val="46734EEB"/>
    <w:rsid w:val="46B7075B"/>
    <w:rsid w:val="474B5FC3"/>
    <w:rsid w:val="47AB1A53"/>
    <w:rsid w:val="480621CB"/>
    <w:rsid w:val="48317CE8"/>
    <w:rsid w:val="490F5D4D"/>
    <w:rsid w:val="49724CD2"/>
    <w:rsid w:val="4A2A0AE9"/>
    <w:rsid w:val="4A4331D7"/>
    <w:rsid w:val="4AB55081"/>
    <w:rsid w:val="4AB90F9C"/>
    <w:rsid w:val="4B6C3DDC"/>
    <w:rsid w:val="4B716136"/>
    <w:rsid w:val="4BA72C94"/>
    <w:rsid w:val="4BB73C19"/>
    <w:rsid w:val="4EE4165B"/>
    <w:rsid w:val="4F363489"/>
    <w:rsid w:val="4FE74F27"/>
    <w:rsid w:val="5004288A"/>
    <w:rsid w:val="50127A05"/>
    <w:rsid w:val="50BF6371"/>
    <w:rsid w:val="51733692"/>
    <w:rsid w:val="538422FC"/>
    <w:rsid w:val="539D310A"/>
    <w:rsid w:val="53F54F94"/>
    <w:rsid w:val="547C7BF5"/>
    <w:rsid w:val="549D35C9"/>
    <w:rsid w:val="55A0076B"/>
    <w:rsid w:val="55AD0A9C"/>
    <w:rsid w:val="55E61F20"/>
    <w:rsid w:val="569A7CD1"/>
    <w:rsid w:val="575416C6"/>
    <w:rsid w:val="57792DCA"/>
    <w:rsid w:val="577B243E"/>
    <w:rsid w:val="57D72CC2"/>
    <w:rsid w:val="58BC16C5"/>
    <w:rsid w:val="5A323D67"/>
    <w:rsid w:val="5A8C6723"/>
    <w:rsid w:val="5B0C47C2"/>
    <w:rsid w:val="5BCA1815"/>
    <w:rsid w:val="5BCE3EFF"/>
    <w:rsid w:val="5C3518A0"/>
    <w:rsid w:val="5CEB159D"/>
    <w:rsid w:val="5CF502C2"/>
    <w:rsid w:val="5D3C227C"/>
    <w:rsid w:val="5E784599"/>
    <w:rsid w:val="5ED84BDD"/>
    <w:rsid w:val="5F4527A3"/>
    <w:rsid w:val="5F596A63"/>
    <w:rsid w:val="6058507D"/>
    <w:rsid w:val="607046D5"/>
    <w:rsid w:val="60732BDB"/>
    <w:rsid w:val="608A3A03"/>
    <w:rsid w:val="60A40012"/>
    <w:rsid w:val="60E83D77"/>
    <w:rsid w:val="616D550B"/>
    <w:rsid w:val="61F85A54"/>
    <w:rsid w:val="637F5E9D"/>
    <w:rsid w:val="648A0D94"/>
    <w:rsid w:val="64990050"/>
    <w:rsid w:val="65320772"/>
    <w:rsid w:val="653363A2"/>
    <w:rsid w:val="65890555"/>
    <w:rsid w:val="65C27AD4"/>
    <w:rsid w:val="670A5B23"/>
    <w:rsid w:val="673227BE"/>
    <w:rsid w:val="67ED3E90"/>
    <w:rsid w:val="68C5726A"/>
    <w:rsid w:val="695F7B33"/>
    <w:rsid w:val="69AC7055"/>
    <w:rsid w:val="6AB210D1"/>
    <w:rsid w:val="6AC54925"/>
    <w:rsid w:val="6B603A76"/>
    <w:rsid w:val="6D870C5B"/>
    <w:rsid w:val="6E296FE5"/>
    <w:rsid w:val="6FBE16A4"/>
    <w:rsid w:val="6FC0088D"/>
    <w:rsid w:val="70863518"/>
    <w:rsid w:val="70F24F67"/>
    <w:rsid w:val="724F1C7B"/>
    <w:rsid w:val="726C07DF"/>
    <w:rsid w:val="72970D3A"/>
    <w:rsid w:val="744A2E4C"/>
    <w:rsid w:val="764A3287"/>
    <w:rsid w:val="7703171D"/>
    <w:rsid w:val="77D27668"/>
    <w:rsid w:val="78295EEB"/>
    <w:rsid w:val="7863464A"/>
    <w:rsid w:val="78724DB3"/>
    <w:rsid w:val="799F53FC"/>
    <w:rsid w:val="7AFA28C3"/>
    <w:rsid w:val="7B885632"/>
    <w:rsid w:val="7B972825"/>
    <w:rsid w:val="7C006A56"/>
    <w:rsid w:val="7D300E0F"/>
    <w:rsid w:val="7D3A2967"/>
    <w:rsid w:val="7D766291"/>
    <w:rsid w:val="7DA64F30"/>
    <w:rsid w:val="7DC94321"/>
    <w:rsid w:val="7E313DDB"/>
    <w:rsid w:val="7F001BE0"/>
    <w:rsid w:val="7F3E0DDC"/>
    <w:rsid w:val="7F4B26AE"/>
    <w:rsid w:val="7FE93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7"/>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8"/>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99"/>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100"/>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1"/>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2"/>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3"/>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4"/>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8"/>
    <w:qFormat/>
    <w:uiPriority w:val="99"/>
    <w:pPr>
      <w:autoSpaceDE w:val="0"/>
      <w:autoSpaceDN w:val="0"/>
      <w:adjustRightInd w:val="0"/>
    </w:pPr>
    <w:rPr>
      <w:rFonts w:ascii="宋体"/>
      <w:sz w:val="24"/>
      <w:szCs w:val="21"/>
      <w:lang w:val="zh-CN"/>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200" w:hangingChars="200"/>
    </w:pPr>
    <w:rPr>
      <w:rFonts w:eastAsia="仿宋"/>
    </w:rPr>
  </w:style>
  <w:style w:type="paragraph" w:styleId="17">
    <w:name w:val="Normal Indent"/>
    <w:basedOn w:val="1"/>
    <w:next w:val="1"/>
    <w:link w:val="404"/>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7"/>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200" w:hangingChars="200"/>
    </w:pPr>
    <w:rPr>
      <w:rFonts w:ascii="宋体" w:hAnsi="Tms Rmn"/>
      <w:color w:val="000000"/>
      <w:kern w:val="24"/>
      <w:sz w:val="28"/>
      <w:szCs w:val="20"/>
    </w:rPr>
  </w:style>
  <w:style w:type="paragraph" w:styleId="21">
    <w:name w:val="Document Map"/>
    <w:basedOn w:val="1"/>
    <w:link w:val="110"/>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5"/>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1"/>
    <w:qFormat/>
    <w:uiPriority w:val="99"/>
    <w:rPr>
      <w:rFonts w:ascii="FangSong_GB2312" w:eastAsia="FangSong_GB2312"/>
      <w:kern w:val="0"/>
      <w:sz w:val="28"/>
      <w:szCs w:val="20"/>
    </w:rPr>
  </w:style>
  <w:style w:type="paragraph" w:styleId="26">
    <w:name w:val="Body Text 3"/>
    <w:basedOn w:val="1"/>
    <w:link w:val="112"/>
    <w:qFormat/>
    <w:uiPriority w:val="99"/>
    <w:pPr>
      <w:jc w:val="center"/>
    </w:pPr>
    <w:rPr>
      <w:kern w:val="0"/>
      <w:sz w:val="20"/>
      <w:szCs w:val="20"/>
    </w:rPr>
  </w:style>
  <w:style w:type="paragraph" w:styleId="27">
    <w:name w:val="Body Text Indent"/>
    <w:basedOn w:val="1"/>
    <w:next w:val="1"/>
    <w:link w:val="113"/>
    <w:qFormat/>
    <w:uiPriority w:val="99"/>
    <w:pPr>
      <w:spacing w:line="480" w:lineRule="exact"/>
      <w:ind w:firstLine="480" w:firstLineChars="200"/>
    </w:pPr>
    <w:rPr>
      <w:rFonts w:ascii="宋体" w:hAnsi="宋体"/>
      <w:kern w:val="0"/>
      <w:sz w:val="24"/>
    </w:rPr>
  </w:style>
  <w:style w:type="paragraph" w:styleId="28">
    <w:name w:val="List Number 3"/>
    <w:basedOn w:val="1"/>
    <w:qFormat/>
    <w:uiPriority w:val="99"/>
    <w:pPr>
      <w:numPr>
        <w:ilvl w:val="0"/>
        <w:numId w:val="5"/>
      </w:numPr>
      <w:tabs>
        <w:tab w:val="left" w:pos="1200"/>
      </w:tabs>
      <w:spacing w:line="240" w:lineRule="auto"/>
    </w:pPr>
  </w:style>
  <w:style w:type="paragraph" w:styleId="29">
    <w:name w:val="List 2"/>
    <w:basedOn w:val="1"/>
    <w:qFormat/>
    <w:uiPriority w:val="99"/>
    <w:pPr>
      <w:tabs>
        <w:tab w:val="left" w:pos="420"/>
      </w:tabs>
      <w:spacing w:after="120" w:line="400" w:lineRule="exact"/>
    </w:pPr>
    <w:rPr>
      <w:szCs w:val="20"/>
    </w:rPr>
  </w:style>
  <w:style w:type="paragraph" w:styleId="30">
    <w:name w:val="List Continue"/>
    <w:basedOn w:val="1"/>
    <w:qFormat/>
    <w:uiPriority w:val="99"/>
    <w:pPr>
      <w:spacing w:after="120" w:line="240" w:lineRule="auto"/>
      <w:ind w:left="420" w:leftChars="200"/>
    </w:pPr>
    <w:rPr>
      <w:szCs w:val="20"/>
    </w:rPr>
  </w:style>
  <w:style w:type="paragraph" w:styleId="31">
    <w:name w:val="Block Text"/>
    <w:basedOn w:val="1"/>
    <w:qFormat/>
    <w:uiPriority w:val="99"/>
    <w:pPr>
      <w:ind w:left="-359" w:leftChars="-171" w:right="-244" w:rightChars="-244" w:firstLine="501" w:firstLineChars="239"/>
    </w:pPr>
    <w:rPr>
      <w:rFonts w:ascii="FangSong_GB2312" w:eastAsia="FangSong_GB2312"/>
      <w:sz w:val="30"/>
      <w:szCs w:val="20"/>
    </w:rPr>
  </w:style>
  <w:style w:type="paragraph" w:styleId="32">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3">
    <w:name w:val="HTML Address"/>
    <w:basedOn w:val="1"/>
    <w:link w:val="114"/>
    <w:qFormat/>
    <w:uiPriority w:val="99"/>
    <w:pPr>
      <w:widowControl/>
      <w:adjustRightInd w:val="0"/>
      <w:snapToGrid w:val="0"/>
      <w:jc w:val="left"/>
    </w:pPr>
    <w:rPr>
      <w:rFonts w:ascii="宋体" w:hAnsi="宋体" w:eastAsia="仿宋"/>
      <w:i/>
      <w:iCs/>
      <w:kern w:val="0"/>
      <w:sz w:val="24"/>
    </w:rPr>
  </w:style>
  <w:style w:type="paragraph" w:styleId="34">
    <w:name w:val="index 4"/>
    <w:basedOn w:val="1"/>
    <w:next w:val="1"/>
    <w:qFormat/>
    <w:uiPriority w:val="99"/>
    <w:pPr>
      <w:widowControl/>
      <w:adjustRightInd w:val="0"/>
      <w:snapToGrid w:val="0"/>
      <w:ind w:left="960" w:hanging="240"/>
      <w:jc w:val="left"/>
    </w:pPr>
    <w:rPr>
      <w:kern w:val="0"/>
      <w:sz w:val="24"/>
    </w:rPr>
  </w:style>
  <w:style w:type="paragraph" w:styleId="35">
    <w:name w:val="toc 5"/>
    <w:basedOn w:val="1"/>
    <w:next w:val="1"/>
    <w:qFormat/>
    <w:uiPriority w:val="99"/>
    <w:pPr>
      <w:ind w:left="1680" w:leftChars="800"/>
    </w:pPr>
  </w:style>
  <w:style w:type="paragraph" w:styleId="36">
    <w:name w:val="toc 3"/>
    <w:basedOn w:val="1"/>
    <w:next w:val="1"/>
    <w:qFormat/>
    <w:uiPriority w:val="99"/>
    <w:pPr>
      <w:tabs>
        <w:tab w:val="right" w:leader="dot" w:pos="8268"/>
      </w:tabs>
      <w:ind w:left="840" w:leftChars="400"/>
    </w:pPr>
    <w:rPr>
      <w:rFonts w:ascii="宋体" w:hAnsi="宋体"/>
    </w:rPr>
  </w:style>
  <w:style w:type="paragraph" w:styleId="37">
    <w:name w:val="Plain Text"/>
    <w:basedOn w:val="1"/>
    <w:next w:val="38"/>
    <w:link w:val="115"/>
    <w:qFormat/>
    <w:uiPriority w:val="99"/>
    <w:rPr>
      <w:rFonts w:ascii="宋体" w:hAnsi="Courier New"/>
      <w:kern w:val="0"/>
      <w:sz w:val="20"/>
      <w:szCs w:val="20"/>
    </w:rPr>
  </w:style>
  <w:style w:type="paragraph" w:styleId="38">
    <w:name w:val="Date"/>
    <w:basedOn w:val="1"/>
    <w:next w:val="1"/>
    <w:link w:val="116"/>
    <w:qFormat/>
    <w:uiPriority w:val="99"/>
    <w:pPr>
      <w:ind w:left="100" w:leftChars="2500"/>
    </w:pPr>
    <w:rPr>
      <w:rFonts w:ascii="宋体"/>
      <w:sz w:val="24"/>
      <w:szCs w:val="21"/>
      <w:lang w:val="zh-CN"/>
    </w:rPr>
  </w:style>
  <w:style w:type="paragraph" w:styleId="39">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0">
    <w:name w:val="toc 8"/>
    <w:basedOn w:val="1"/>
    <w:next w:val="1"/>
    <w:qFormat/>
    <w:uiPriority w:val="99"/>
    <w:pPr>
      <w:ind w:left="2940" w:leftChars="1400"/>
    </w:pPr>
  </w:style>
  <w:style w:type="paragraph" w:styleId="41">
    <w:name w:val="index 3"/>
    <w:basedOn w:val="1"/>
    <w:next w:val="1"/>
    <w:qFormat/>
    <w:uiPriority w:val="99"/>
    <w:pPr>
      <w:widowControl/>
      <w:adjustRightInd w:val="0"/>
      <w:snapToGrid w:val="0"/>
      <w:ind w:left="720" w:hanging="240"/>
      <w:jc w:val="left"/>
    </w:pPr>
    <w:rPr>
      <w:kern w:val="0"/>
      <w:sz w:val="24"/>
    </w:rPr>
  </w:style>
  <w:style w:type="paragraph" w:styleId="42">
    <w:name w:val="Body Text Indent 2"/>
    <w:basedOn w:val="1"/>
    <w:link w:val="117"/>
    <w:qFormat/>
    <w:uiPriority w:val="99"/>
    <w:pPr>
      <w:adjustRightInd w:val="0"/>
      <w:ind w:firstLine="601"/>
      <w:textAlignment w:val="baseline"/>
    </w:pPr>
    <w:rPr>
      <w:rFonts w:ascii="宋体"/>
      <w:kern w:val="0"/>
      <w:sz w:val="28"/>
      <w:szCs w:val="20"/>
    </w:rPr>
  </w:style>
  <w:style w:type="paragraph" w:styleId="43">
    <w:name w:val="endnote text"/>
    <w:basedOn w:val="1"/>
    <w:link w:val="118"/>
    <w:qFormat/>
    <w:uiPriority w:val="99"/>
    <w:pPr>
      <w:snapToGrid w:val="0"/>
      <w:spacing w:line="240" w:lineRule="auto"/>
      <w:jc w:val="left"/>
    </w:pPr>
  </w:style>
  <w:style w:type="paragraph" w:styleId="44">
    <w:name w:val="Balloon Text"/>
    <w:basedOn w:val="1"/>
    <w:link w:val="119"/>
    <w:qFormat/>
    <w:uiPriority w:val="99"/>
    <w:rPr>
      <w:kern w:val="0"/>
      <w:sz w:val="18"/>
      <w:szCs w:val="18"/>
    </w:rPr>
  </w:style>
  <w:style w:type="paragraph" w:styleId="45">
    <w:name w:val="footer"/>
    <w:basedOn w:val="1"/>
    <w:link w:val="120"/>
    <w:qFormat/>
    <w:uiPriority w:val="99"/>
    <w:pPr>
      <w:tabs>
        <w:tab w:val="center" w:pos="4153"/>
        <w:tab w:val="right" w:pos="8306"/>
      </w:tabs>
      <w:snapToGrid w:val="0"/>
      <w:jc w:val="left"/>
    </w:pPr>
    <w:rPr>
      <w:sz w:val="18"/>
      <w:szCs w:val="18"/>
    </w:rPr>
  </w:style>
  <w:style w:type="paragraph" w:styleId="46">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23"/>
    <w:qFormat/>
    <w:uiPriority w:val="99"/>
    <w:pPr>
      <w:adjustRightInd w:val="0"/>
      <w:spacing w:after="600" w:line="312" w:lineRule="atLeast"/>
      <w:jc w:val="center"/>
      <w:textAlignment w:val="baseline"/>
    </w:pPr>
    <w:rPr>
      <w:rFonts w:eastAsia="FangSong_GB2312"/>
      <w:kern w:val="0"/>
      <w:sz w:val="24"/>
      <w:szCs w:val="20"/>
    </w:rPr>
  </w:style>
  <w:style w:type="paragraph" w:styleId="48">
    <w:name w:val="toc 1"/>
    <w:basedOn w:val="1"/>
    <w:next w:val="1"/>
    <w:qFormat/>
    <w:uiPriority w:val="99"/>
  </w:style>
  <w:style w:type="paragraph" w:styleId="49">
    <w:name w:val="toc 4"/>
    <w:basedOn w:val="1"/>
    <w:next w:val="1"/>
    <w:qFormat/>
    <w:uiPriority w:val="99"/>
    <w:pPr>
      <w:ind w:left="1260" w:leftChars="600"/>
    </w:pPr>
  </w:style>
  <w:style w:type="paragraph" w:styleId="50">
    <w:name w:val="index heading"/>
    <w:basedOn w:val="1"/>
    <w:next w:val="51"/>
    <w:qFormat/>
    <w:uiPriority w:val="99"/>
    <w:pPr>
      <w:widowControl/>
      <w:adjustRightInd w:val="0"/>
      <w:snapToGrid w:val="0"/>
      <w:jc w:val="left"/>
    </w:pPr>
    <w:rPr>
      <w:kern w:val="0"/>
      <w:sz w:val="24"/>
    </w:rPr>
  </w:style>
  <w:style w:type="paragraph" w:styleId="51">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2">
    <w:name w:val="Subtitle"/>
    <w:basedOn w:val="1"/>
    <w:next w:val="1"/>
    <w:link w:val="124"/>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3">
    <w:name w:val="List Number 5"/>
    <w:basedOn w:val="1"/>
    <w:qFormat/>
    <w:uiPriority w:val="99"/>
    <w:pPr>
      <w:tabs>
        <w:tab w:val="left" w:pos="902"/>
      </w:tabs>
      <w:spacing w:line="400" w:lineRule="exact"/>
      <w:ind w:left="902" w:hanging="420"/>
    </w:pPr>
    <w:rPr>
      <w:sz w:val="24"/>
      <w:szCs w:val="20"/>
    </w:rPr>
  </w:style>
  <w:style w:type="paragraph" w:styleId="54">
    <w:name w:val="List"/>
    <w:basedOn w:val="1"/>
    <w:qFormat/>
    <w:uiPriority w:val="99"/>
    <w:pPr>
      <w:numPr>
        <w:ilvl w:val="0"/>
        <w:numId w:val="6"/>
      </w:numPr>
      <w:adjustRightInd w:val="0"/>
      <w:snapToGrid w:val="0"/>
      <w:jc w:val="left"/>
    </w:pPr>
    <w:rPr>
      <w:rFonts w:ascii="宋体" w:hAnsi="宋体"/>
      <w:sz w:val="24"/>
    </w:rPr>
  </w:style>
  <w:style w:type="paragraph" w:styleId="55">
    <w:name w:val="footnote text"/>
    <w:basedOn w:val="1"/>
    <w:qFormat/>
    <w:uiPriority w:val="0"/>
    <w:pPr>
      <w:snapToGrid w:val="0"/>
      <w:jc w:val="left"/>
    </w:pPr>
    <w:rPr>
      <w:rFonts w:eastAsia="FangSong_GB2312"/>
      <w:sz w:val="18"/>
      <w:szCs w:val="20"/>
    </w:rPr>
  </w:style>
  <w:style w:type="paragraph" w:styleId="56">
    <w:name w:val="toc 6"/>
    <w:basedOn w:val="1"/>
    <w:next w:val="1"/>
    <w:qFormat/>
    <w:uiPriority w:val="99"/>
    <w:pPr>
      <w:ind w:left="2100" w:leftChars="1000"/>
    </w:pPr>
  </w:style>
  <w:style w:type="paragraph" w:styleId="57">
    <w:name w:val="List 5"/>
    <w:basedOn w:val="1"/>
    <w:qFormat/>
    <w:uiPriority w:val="99"/>
    <w:pPr>
      <w:spacing w:line="240" w:lineRule="auto"/>
      <w:ind w:left="100" w:leftChars="800" w:hanging="200" w:hangingChars="200"/>
    </w:pPr>
    <w:rPr>
      <w:szCs w:val="20"/>
    </w:rPr>
  </w:style>
  <w:style w:type="paragraph" w:styleId="58">
    <w:name w:val="Body Text Indent 3"/>
    <w:basedOn w:val="1"/>
    <w:link w:val="125"/>
    <w:qFormat/>
    <w:uiPriority w:val="99"/>
    <w:pPr>
      <w:ind w:firstLine="420"/>
    </w:pPr>
    <w:rPr>
      <w:kern w:val="0"/>
      <w:sz w:val="24"/>
      <w:szCs w:val="20"/>
    </w:rPr>
  </w:style>
  <w:style w:type="paragraph" w:styleId="59">
    <w:name w:val="index 7"/>
    <w:basedOn w:val="1"/>
    <w:next w:val="1"/>
    <w:qFormat/>
    <w:uiPriority w:val="99"/>
    <w:pPr>
      <w:widowControl/>
      <w:adjustRightInd w:val="0"/>
      <w:snapToGrid w:val="0"/>
      <w:ind w:left="1680" w:hanging="240"/>
      <w:jc w:val="left"/>
    </w:pPr>
    <w:rPr>
      <w:kern w:val="0"/>
      <w:sz w:val="24"/>
    </w:rPr>
  </w:style>
  <w:style w:type="paragraph" w:styleId="60">
    <w:name w:val="index 9"/>
    <w:basedOn w:val="1"/>
    <w:next w:val="1"/>
    <w:qFormat/>
    <w:uiPriority w:val="99"/>
    <w:pPr>
      <w:widowControl/>
      <w:adjustRightInd w:val="0"/>
      <w:snapToGrid w:val="0"/>
      <w:ind w:left="2160" w:hanging="240"/>
      <w:jc w:val="left"/>
    </w:pPr>
    <w:rPr>
      <w:kern w:val="0"/>
      <w:sz w:val="24"/>
    </w:rPr>
  </w:style>
  <w:style w:type="paragraph" w:styleId="61">
    <w:name w:val="table of figures"/>
    <w:basedOn w:val="1"/>
    <w:next w:val="1"/>
    <w:qFormat/>
    <w:uiPriority w:val="99"/>
    <w:pPr>
      <w:widowControl/>
      <w:adjustRightInd w:val="0"/>
      <w:snapToGrid w:val="0"/>
      <w:ind w:left="480" w:hanging="480"/>
      <w:jc w:val="left"/>
    </w:pPr>
    <w:rPr>
      <w:kern w:val="0"/>
      <w:sz w:val="24"/>
    </w:rPr>
  </w:style>
  <w:style w:type="paragraph" w:styleId="62">
    <w:name w:val="toc 2"/>
    <w:basedOn w:val="1"/>
    <w:next w:val="1"/>
    <w:qFormat/>
    <w:uiPriority w:val="99"/>
    <w:pPr>
      <w:ind w:left="420" w:leftChars="200"/>
    </w:pPr>
  </w:style>
  <w:style w:type="paragraph" w:styleId="63">
    <w:name w:val="toc 9"/>
    <w:basedOn w:val="1"/>
    <w:next w:val="1"/>
    <w:qFormat/>
    <w:uiPriority w:val="99"/>
    <w:pPr>
      <w:ind w:left="3360" w:leftChars="1600"/>
    </w:pPr>
  </w:style>
  <w:style w:type="paragraph" w:styleId="64">
    <w:name w:val="Body Text 2"/>
    <w:basedOn w:val="1"/>
    <w:link w:val="126"/>
    <w:qFormat/>
    <w:uiPriority w:val="99"/>
    <w:pPr>
      <w:spacing w:after="120" w:line="480" w:lineRule="auto"/>
    </w:pPr>
  </w:style>
  <w:style w:type="paragraph" w:styleId="65">
    <w:name w:val="List 4"/>
    <w:basedOn w:val="1"/>
    <w:qFormat/>
    <w:uiPriority w:val="99"/>
    <w:pPr>
      <w:spacing w:line="240" w:lineRule="auto"/>
      <w:ind w:left="100" w:leftChars="600" w:hanging="200" w:hangingChars="200"/>
    </w:pPr>
    <w:rPr>
      <w:szCs w:val="20"/>
    </w:rPr>
  </w:style>
  <w:style w:type="paragraph" w:styleId="66">
    <w:name w:val="List Continue 2"/>
    <w:basedOn w:val="1"/>
    <w:qFormat/>
    <w:uiPriority w:val="99"/>
    <w:pPr>
      <w:spacing w:after="120" w:line="240" w:lineRule="auto"/>
      <w:ind w:left="840" w:leftChars="400"/>
    </w:pPr>
    <w:rPr>
      <w:szCs w:val="20"/>
    </w:rPr>
  </w:style>
  <w:style w:type="paragraph" w:styleId="67">
    <w:name w:val="Message Header"/>
    <w:basedOn w:val="1"/>
    <w:link w:val="127"/>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8">
    <w:name w:val="HTML Preformatted"/>
    <w:basedOn w:val="1"/>
    <w:link w:val="1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69">
    <w:name w:val="Normal (Web)"/>
    <w:basedOn w:val="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line="240" w:lineRule="auto"/>
      <w:ind w:left="1260" w:leftChars="600"/>
    </w:pPr>
    <w:rPr>
      <w:szCs w:val="20"/>
    </w:rPr>
  </w:style>
  <w:style w:type="paragraph" w:styleId="71">
    <w:name w:val="index 2"/>
    <w:basedOn w:val="1"/>
    <w:next w:val="1"/>
    <w:qFormat/>
    <w:uiPriority w:val="99"/>
    <w:pPr>
      <w:widowControl/>
      <w:adjustRightInd w:val="0"/>
      <w:snapToGrid w:val="0"/>
      <w:ind w:left="480" w:hanging="240"/>
      <w:jc w:val="left"/>
    </w:pPr>
    <w:rPr>
      <w:kern w:val="0"/>
      <w:sz w:val="24"/>
    </w:rPr>
  </w:style>
  <w:style w:type="paragraph" w:styleId="72">
    <w:name w:val="Title"/>
    <w:basedOn w:val="1"/>
    <w:next w:val="1"/>
    <w:link w:val="129"/>
    <w:qFormat/>
    <w:uiPriority w:val="99"/>
    <w:pPr>
      <w:widowControl/>
      <w:overflowPunct w:val="0"/>
      <w:autoSpaceDE w:val="0"/>
      <w:autoSpaceDN w:val="0"/>
      <w:adjustRightInd w:val="0"/>
      <w:jc w:val="center"/>
      <w:textAlignment w:val="baseline"/>
    </w:pPr>
    <w:rPr>
      <w:b/>
      <w:kern w:val="0"/>
      <w:sz w:val="24"/>
      <w:szCs w:val="20"/>
    </w:rPr>
  </w:style>
  <w:style w:type="paragraph" w:styleId="73">
    <w:name w:val="annotation subject"/>
    <w:basedOn w:val="23"/>
    <w:next w:val="23"/>
    <w:link w:val="106"/>
    <w:qFormat/>
    <w:uiPriority w:val="99"/>
    <w:rPr>
      <w:b/>
      <w:bCs/>
    </w:rPr>
  </w:style>
  <w:style w:type="paragraph" w:styleId="74">
    <w:name w:val="Body Text First Indent"/>
    <w:basedOn w:val="2"/>
    <w:next w:val="1"/>
    <w:link w:val="109"/>
    <w:qFormat/>
    <w:uiPriority w:val="99"/>
    <w:pPr>
      <w:ind w:firstLine="420"/>
    </w:pPr>
    <w:rPr>
      <w:kern w:val="0"/>
      <w:szCs w:val="20"/>
    </w:rPr>
  </w:style>
  <w:style w:type="paragraph" w:styleId="75">
    <w:name w:val="Body Text First Indent 2"/>
    <w:basedOn w:val="27"/>
    <w:link w:val="121"/>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Elegant"/>
    <w:basedOn w:val="76"/>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table" w:styleId="80">
    <w:name w:val="Table Grid 8"/>
    <w:basedOn w:val="76"/>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character" w:styleId="91">
    <w:name w:val="footnote reference"/>
    <w:basedOn w:val="81"/>
    <w:qFormat/>
    <w:uiPriority w:val="0"/>
    <w:rPr>
      <w:vertAlign w:val="superscript"/>
    </w:rPr>
  </w:style>
  <w:style w:type="paragraph" w:customStyle="1" w:styleId="92">
    <w:name w:val="签发人"/>
    <w:basedOn w:val="1"/>
    <w:qFormat/>
    <w:uiPriority w:val="0"/>
    <w:rPr>
      <w:rFonts w:eastAsia="楷体"/>
      <w:sz w:val="32"/>
    </w:rPr>
  </w:style>
  <w:style w:type="paragraph" w:customStyle="1" w:styleId="93">
    <w:name w:val="BodyText1I2"/>
    <w:basedOn w:val="94"/>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94">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95">
    <w:name w:val="正文（首行缩进2字符）"/>
    <w:basedOn w:val="1"/>
    <w:link w:val="649"/>
    <w:qFormat/>
    <w:uiPriority w:val="99"/>
    <w:pPr>
      <w:ind w:firstLine="480" w:firstLineChars="200"/>
    </w:pPr>
    <w:rPr>
      <w:sz w:val="24"/>
      <w:szCs w:val="20"/>
    </w:rPr>
  </w:style>
  <w:style w:type="character" w:customStyle="1" w:styleId="96">
    <w:name w:val="标题 1 Char1"/>
    <w:basedOn w:val="81"/>
    <w:link w:val="3"/>
    <w:qFormat/>
    <w:locked/>
    <w:uiPriority w:val="99"/>
    <w:rPr>
      <w:b/>
      <w:bCs/>
      <w:kern w:val="44"/>
      <w:sz w:val="44"/>
      <w:szCs w:val="44"/>
    </w:rPr>
  </w:style>
  <w:style w:type="character" w:customStyle="1" w:styleId="97">
    <w:name w:val="标题 2 Char1"/>
    <w:basedOn w:val="81"/>
    <w:link w:val="4"/>
    <w:qFormat/>
    <w:locked/>
    <w:uiPriority w:val="99"/>
    <w:rPr>
      <w:rFonts w:ascii="宋体" w:hAnsi="宋体" w:eastAsia="宋体"/>
      <w:b/>
      <w:sz w:val="30"/>
      <w:lang w:val="zh-CN"/>
    </w:rPr>
  </w:style>
  <w:style w:type="character" w:customStyle="1" w:styleId="98">
    <w:name w:val="标题 3 Char1"/>
    <w:basedOn w:val="81"/>
    <w:link w:val="5"/>
    <w:qFormat/>
    <w:locked/>
    <w:uiPriority w:val="99"/>
    <w:rPr>
      <w:b/>
      <w:kern w:val="2"/>
      <w:sz w:val="32"/>
    </w:rPr>
  </w:style>
  <w:style w:type="character" w:customStyle="1" w:styleId="99">
    <w:name w:val="标题 4 Char2"/>
    <w:basedOn w:val="81"/>
    <w:link w:val="6"/>
    <w:qFormat/>
    <w:locked/>
    <w:uiPriority w:val="99"/>
    <w:rPr>
      <w:rFonts w:ascii="Arial" w:hAnsi="Arial"/>
      <w:bCs/>
      <w:sz w:val="28"/>
      <w:szCs w:val="28"/>
      <w:lang w:val="zh-CN"/>
    </w:rPr>
  </w:style>
  <w:style w:type="character" w:customStyle="1" w:styleId="100">
    <w:name w:val="标题 5 Char1"/>
    <w:basedOn w:val="81"/>
    <w:link w:val="7"/>
    <w:qFormat/>
    <w:locked/>
    <w:uiPriority w:val="99"/>
    <w:rPr>
      <w:b/>
      <w:bCs/>
      <w:sz w:val="28"/>
      <w:szCs w:val="28"/>
    </w:rPr>
  </w:style>
  <w:style w:type="character" w:customStyle="1" w:styleId="101">
    <w:name w:val="标题 6 Char1"/>
    <w:basedOn w:val="81"/>
    <w:link w:val="8"/>
    <w:qFormat/>
    <w:locked/>
    <w:uiPriority w:val="99"/>
    <w:rPr>
      <w:rFonts w:ascii="Arial" w:hAnsi="Arial" w:eastAsia="黑体"/>
      <w:b/>
      <w:bCs/>
      <w:sz w:val="24"/>
      <w:szCs w:val="24"/>
    </w:rPr>
  </w:style>
  <w:style w:type="character" w:customStyle="1" w:styleId="102">
    <w:name w:val="标题 7 Char1"/>
    <w:basedOn w:val="81"/>
    <w:link w:val="9"/>
    <w:qFormat/>
    <w:locked/>
    <w:uiPriority w:val="99"/>
    <w:rPr>
      <w:b/>
      <w:bCs/>
      <w:sz w:val="24"/>
      <w:szCs w:val="24"/>
    </w:rPr>
  </w:style>
  <w:style w:type="character" w:customStyle="1" w:styleId="103">
    <w:name w:val="标题 8 Char1"/>
    <w:basedOn w:val="81"/>
    <w:link w:val="10"/>
    <w:qFormat/>
    <w:locked/>
    <w:uiPriority w:val="99"/>
    <w:rPr>
      <w:rFonts w:ascii="Arial" w:hAnsi="Arial" w:eastAsia="黑体"/>
      <w:sz w:val="24"/>
      <w:szCs w:val="24"/>
    </w:rPr>
  </w:style>
  <w:style w:type="character" w:customStyle="1" w:styleId="104">
    <w:name w:val="标题 9 Char1"/>
    <w:basedOn w:val="81"/>
    <w:link w:val="11"/>
    <w:qFormat/>
    <w:locked/>
    <w:uiPriority w:val="99"/>
    <w:rPr>
      <w:rFonts w:ascii="Arial" w:hAnsi="Arial" w:eastAsia="黑体"/>
      <w:szCs w:val="21"/>
    </w:rPr>
  </w:style>
  <w:style w:type="character" w:customStyle="1" w:styleId="105">
    <w:name w:val="批注文字 Char2"/>
    <w:basedOn w:val="81"/>
    <w:link w:val="23"/>
    <w:qFormat/>
    <w:locked/>
    <w:uiPriority w:val="99"/>
    <w:rPr>
      <w:rFonts w:ascii="Times New Roman" w:hAnsi="Times New Roman" w:eastAsia="宋体"/>
      <w:sz w:val="24"/>
    </w:rPr>
  </w:style>
  <w:style w:type="character" w:customStyle="1" w:styleId="106">
    <w:name w:val="批注主题 Char"/>
    <w:basedOn w:val="107"/>
    <w:link w:val="73"/>
    <w:qFormat/>
    <w:locked/>
    <w:uiPriority w:val="99"/>
    <w:rPr>
      <w:rFonts w:ascii="Times New Roman" w:hAnsi="Times New Roman" w:eastAsia="宋体" w:cs="Times New Roman"/>
      <w:b/>
      <w:bCs/>
      <w:sz w:val="24"/>
      <w:szCs w:val="24"/>
    </w:rPr>
  </w:style>
  <w:style w:type="character" w:customStyle="1" w:styleId="107">
    <w:name w:val="批注文字 Char"/>
    <w:basedOn w:val="81"/>
    <w:qFormat/>
    <w:uiPriority w:val="99"/>
    <w:rPr>
      <w:rFonts w:ascii="Times New Roman" w:hAnsi="Times New Roman" w:eastAsia="宋体" w:cs="Times New Roman"/>
      <w:sz w:val="24"/>
      <w:szCs w:val="24"/>
    </w:rPr>
  </w:style>
  <w:style w:type="character" w:customStyle="1" w:styleId="108">
    <w:name w:val="正文文本 Char"/>
    <w:basedOn w:val="81"/>
    <w:link w:val="2"/>
    <w:qFormat/>
    <w:locked/>
    <w:uiPriority w:val="99"/>
    <w:rPr>
      <w:rFonts w:ascii="宋体" w:hAnsi="Times New Roman" w:eastAsia="宋体" w:cs="Times New Roman"/>
      <w:sz w:val="21"/>
      <w:szCs w:val="21"/>
      <w:lang w:val="zh-CN"/>
    </w:rPr>
  </w:style>
  <w:style w:type="character" w:customStyle="1" w:styleId="109">
    <w:name w:val="正文首行缩进 Char2"/>
    <w:basedOn w:val="108"/>
    <w:link w:val="74"/>
    <w:qFormat/>
    <w:locked/>
    <w:uiPriority w:val="99"/>
    <w:rPr>
      <w:rFonts w:ascii="宋体" w:hAnsi="Times New Roman" w:eastAsia="宋体" w:cs="Times New Roman"/>
      <w:sz w:val="20"/>
      <w:szCs w:val="21"/>
      <w:lang w:val="zh-CN"/>
    </w:rPr>
  </w:style>
  <w:style w:type="character" w:customStyle="1" w:styleId="110">
    <w:name w:val="文档结构图 Char"/>
    <w:basedOn w:val="81"/>
    <w:link w:val="21"/>
    <w:qFormat/>
    <w:locked/>
    <w:uiPriority w:val="99"/>
    <w:rPr>
      <w:rFonts w:ascii="Times New Roman" w:hAnsi="Times New Roman" w:eastAsia="宋体" w:cs="Times New Roman"/>
      <w:sz w:val="24"/>
      <w:szCs w:val="24"/>
      <w:shd w:val="clear" w:color="auto" w:fill="000080"/>
    </w:rPr>
  </w:style>
  <w:style w:type="character" w:customStyle="1" w:styleId="111">
    <w:name w:val="称呼 Char1"/>
    <w:basedOn w:val="81"/>
    <w:link w:val="25"/>
    <w:qFormat/>
    <w:locked/>
    <w:uiPriority w:val="99"/>
    <w:rPr>
      <w:rFonts w:ascii="FangSong_GB2312" w:hAnsi="Times New Roman" w:eastAsia="FangSong_GB2312"/>
      <w:sz w:val="20"/>
    </w:rPr>
  </w:style>
  <w:style w:type="character" w:customStyle="1" w:styleId="112">
    <w:name w:val="正文文本 3 Char1"/>
    <w:basedOn w:val="81"/>
    <w:link w:val="26"/>
    <w:qFormat/>
    <w:locked/>
    <w:uiPriority w:val="99"/>
    <w:rPr>
      <w:rFonts w:ascii="Times New Roman" w:hAnsi="Times New Roman" w:eastAsia="宋体"/>
      <w:sz w:val="20"/>
    </w:rPr>
  </w:style>
  <w:style w:type="character" w:customStyle="1" w:styleId="113">
    <w:name w:val="正文文本缩进 Char2"/>
    <w:basedOn w:val="81"/>
    <w:link w:val="27"/>
    <w:qFormat/>
    <w:locked/>
    <w:uiPriority w:val="99"/>
    <w:rPr>
      <w:rFonts w:ascii="宋体" w:hAnsi="宋体" w:eastAsia="宋体"/>
      <w:sz w:val="24"/>
    </w:rPr>
  </w:style>
  <w:style w:type="character" w:customStyle="1" w:styleId="114">
    <w:name w:val="HTML 地址 Char"/>
    <w:basedOn w:val="81"/>
    <w:link w:val="33"/>
    <w:qFormat/>
    <w:locked/>
    <w:uiPriority w:val="99"/>
    <w:rPr>
      <w:rFonts w:ascii="宋体" w:hAnsi="宋体" w:eastAsia="仿宋" w:cs="Times New Roman"/>
      <w:i/>
      <w:iCs/>
      <w:sz w:val="24"/>
      <w:szCs w:val="24"/>
    </w:rPr>
  </w:style>
  <w:style w:type="character" w:customStyle="1" w:styleId="115">
    <w:name w:val="纯文本 Char2"/>
    <w:basedOn w:val="81"/>
    <w:link w:val="37"/>
    <w:qFormat/>
    <w:locked/>
    <w:uiPriority w:val="99"/>
    <w:rPr>
      <w:rFonts w:ascii="宋体" w:hAnsi="Courier New" w:eastAsia="宋体"/>
      <w:sz w:val="20"/>
    </w:rPr>
  </w:style>
  <w:style w:type="character" w:customStyle="1" w:styleId="116">
    <w:name w:val="日期 Char"/>
    <w:basedOn w:val="81"/>
    <w:link w:val="38"/>
    <w:qFormat/>
    <w:locked/>
    <w:uiPriority w:val="99"/>
    <w:rPr>
      <w:rFonts w:ascii="宋体" w:hAnsi="Times New Roman" w:eastAsia="宋体" w:cs="Times New Roman"/>
      <w:sz w:val="21"/>
      <w:szCs w:val="21"/>
      <w:lang w:val="zh-CN"/>
    </w:rPr>
  </w:style>
  <w:style w:type="character" w:customStyle="1" w:styleId="117">
    <w:name w:val="正文文本缩进 2 Char2"/>
    <w:basedOn w:val="81"/>
    <w:link w:val="42"/>
    <w:qFormat/>
    <w:locked/>
    <w:uiPriority w:val="99"/>
    <w:rPr>
      <w:rFonts w:ascii="宋体" w:hAnsi="Times New Roman" w:eastAsia="宋体"/>
      <w:kern w:val="0"/>
      <w:sz w:val="20"/>
    </w:rPr>
  </w:style>
  <w:style w:type="character" w:customStyle="1" w:styleId="118">
    <w:name w:val="尾注文本 Char"/>
    <w:basedOn w:val="81"/>
    <w:link w:val="43"/>
    <w:qFormat/>
    <w:locked/>
    <w:uiPriority w:val="99"/>
    <w:rPr>
      <w:rFonts w:cs="Times New Roman"/>
      <w:kern w:val="2"/>
      <w:sz w:val="24"/>
      <w:szCs w:val="24"/>
    </w:rPr>
  </w:style>
  <w:style w:type="character" w:customStyle="1" w:styleId="119">
    <w:name w:val="批注框文本 Char2"/>
    <w:basedOn w:val="81"/>
    <w:link w:val="44"/>
    <w:qFormat/>
    <w:locked/>
    <w:uiPriority w:val="99"/>
    <w:rPr>
      <w:rFonts w:ascii="Times New Roman" w:hAnsi="Times New Roman" w:eastAsia="宋体"/>
      <w:sz w:val="18"/>
    </w:rPr>
  </w:style>
  <w:style w:type="character" w:customStyle="1" w:styleId="120">
    <w:name w:val="页脚 Char"/>
    <w:basedOn w:val="81"/>
    <w:link w:val="45"/>
    <w:qFormat/>
    <w:locked/>
    <w:uiPriority w:val="99"/>
    <w:rPr>
      <w:rFonts w:cs="Times New Roman"/>
      <w:sz w:val="18"/>
      <w:szCs w:val="18"/>
    </w:rPr>
  </w:style>
  <w:style w:type="character" w:customStyle="1" w:styleId="121">
    <w:name w:val="正文首行缩进 2 Char"/>
    <w:basedOn w:val="113"/>
    <w:link w:val="75"/>
    <w:qFormat/>
    <w:locked/>
    <w:uiPriority w:val="99"/>
    <w:rPr>
      <w:rFonts w:ascii="Calibri" w:hAnsi="Calibri" w:eastAsia="仿宋" w:cs="Times New Roman"/>
      <w:kern w:val="2"/>
      <w:sz w:val="22"/>
      <w:szCs w:val="22"/>
    </w:rPr>
  </w:style>
  <w:style w:type="character" w:customStyle="1" w:styleId="122">
    <w:name w:val="页眉 Char"/>
    <w:basedOn w:val="81"/>
    <w:link w:val="46"/>
    <w:qFormat/>
    <w:locked/>
    <w:uiPriority w:val="99"/>
    <w:rPr>
      <w:rFonts w:cs="Times New Roman"/>
      <w:sz w:val="18"/>
      <w:szCs w:val="18"/>
    </w:rPr>
  </w:style>
  <w:style w:type="character" w:customStyle="1" w:styleId="123">
    <w:name w:val="签名 Char1"/>
    <w:basedOn w:val="81"/>
    <w:link w:val="47"/>
    <w:qFormat/>
    <w:locked/>
    <w:uiPriority w:val="99"/>
    <w:rPr>
      <w:rFonts w:ascii="Times New Roman" w:hAnsi="Times New Roman" w:eastAsia="FangSong_GB2312"/>
      <w:kern w:val="0"/>
      <w:sz w:val="20"/>
    </w:rPr>
  </w:style>
  <w:style w:type="character" w:customStyle="1" w:styleId="124">
    <w:name w:val="副标题 Char"/>
    <w:basedOn w:val="81"/>
    <w:link w:val="52"/>
    <w:qFormat/>
    <w:locked/>
    <w:uiPriority w:val="99"/>
    <w:rPr>
      <w:rFonts w:ascii="Cambria" w:hAnsi="Cambria" w:eastAsia="宋体"/>
      <w:b/>
      <w:kern w:val="28"/>
      <w:sz w:val="32"/>
    </w:rPr>
  </w:style>
  <w:style w:type="character" w:customStyle="1" w:styleId="125">
    <w:name w:val="正文文本缩进 3 Char2"/>
    <w:basedOn w:val="81"/>
    <w:link w:val="58"/>
    <w:qFormat/>
    <w:locked/>
    <w:uiPriority w:val="99"/>
    <w:rPr>
      <w:rFonts w:ascii="Times New Roman" w:hAnsi="Times New Roman" w:eastAsia="宋体"/>
      <w:sz w:val="20"/>
    </w:rPr>
  </w:style>
  <w:style w:type="character" w:customStyle="1" w:styleId="126">
    <w:name w:val="正文文本 2 Char"/>
    <w:basedOn w:val="81"/>
    <w:link w:val="64"/>
    <w:qFormat/>
    <w:locked/>
    <w:uiPriority w:val="99"/>
    <w:rPr>
      <w:rFonts w:ascii="Times New Roman" w:hAnsi="Times New Roman" w:eastAsia="宋体" w:cs="Times New Roman"/>
      <w:sz w:val="24"/>
      <w:szCs w:val="24"/>
    </w:rPr>
  </w:style>
  <w:style w:type="character" w:customStyle="1" w:styleId="127">
    <w:name w:val="信息标题 Char"/>
    <w:basedOn w:val="81"/>
    <w:link w:val="67"/>
    <w:qFormat/>
    <w:locked/>
    <w:uiPriority w:val="99"/>
    <w:rPr>
      <w:rFonts w:ascii="Arial" w:hAnsi="Arial" w:cs="Times New Roman"/>
      <w:kern w:val="2"/>
      <w:sz w:val="24"/>
      <w:shd w:val="pct20" w:color="auto" w:fill="auto"/>
    </w:rPr>
  </w:style>
  <w:style w:type="character" w:customStyle="1" w:styleId="128">
    <w:name w:val="HTML 预设格式 Char"/>
    <w:basedOn w:val="81"/>
    <w:link w:val="68"/>
    <w:qFormat/>
    <w:locked/>
    <w:uiPriority w:val="99"/>
    <w:rPr>
      <w:rFonts w:ascii="Arial" w:hAnsi="Arial" w:cs="Arial"/>
      <w:sz w:val="24"/>
      <w:szCs w:val="24"/>
    </w:rPr>
  </w:style>
  <w:style w:type="character" w:customStyle="1" w:styleId="129">
    <w:name w:val="标题 Char"/>
    <w:basedOn w:val="81"/>
    <w:link w:val="72"/>
    <w:qFormat/>
    <w:locked/>
    <w:uiPriority w:val="99"/>
    <w:rPr>
      <w:rFonts w:ascii="Times New Roman" w:hAnsi="Times New Roman" w:eastAsia="宋体" w:cs="Times New Roman"/>
      <w:b/>
      <w:kern w:val="0"/>
      <w:sz w:val="20"/>
      <w:szCs w:val="20"/>
    </w:rPr>
  </w:style>
  <w:style w:type="paragraph" w:customStyle="1" w:styleId="130">
    <w:name w:val="样式 标题 5 + 右侧:  -0.18 字符"/>
    <w:basedOn w:val="1"/>
    <w:qFormat/>
    <w:uiPriority w:val="99"/>
    <w:pPr>
      <w:numPr>
        <w:ilvl w:val="4"/>
        <w:numId w:val="7"/>
      </w:numPr>
    </w:pPr>
  </w:style>
  <w:style w:type="paragraph" w:customStyle="1" w:styleId="131">
    <w:name w:val="正文文字表格居中"/>
    <w:basedOn w:val="1"/>
    <w:next w:val="64"/>
    <w:qFormat/>
    <w:uiPriority w:val="99"/>
    <w:pPr>
      <w:snapToGrid w:val="0"/>
    </w:pPr>
    <w:rPr>
      <w:rFonts w:ascii="宋体"/>
      <w:b/>
      <w:sz w:val="24"/>
      <w:szCs w:val="20"/>
    </w:rPr>
  </w:style>
  <w:style w:type="paragraph" w:customStyle="1" w:styleId="13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3">
    <w:name w:val="正文2"/>
    <w:basedOn w:val="1"/>
    <w:link w:val="414"/>
    <w:qFormat/>
    <w:uiPriority w:val="99"/>
    <w:pPr>
      <w:spacing w:before="156"/>
      <w:ind w:firstLine="510" w:firstLineChars="200"/>
    </w:pPr>
    <w:rPr>
      <w:kern w:val="0"/>
      <w:sz w:val="24"/>
      <w:szCs w:val="20"/>
    </w:rPr>
  </w:style>
  <w:style w:type="paragraph" w:customStyle="1" w:styleId="134">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6">
    <w:name w:val="正文缩进1"/>
    <w:basedOn w:val="1"/>
    <w:next w:val="27"/>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7">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8">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9">
    <w:name w:val="xl25"/>
    <w:basedOn w:val="1"/>
    <w:qFormat/>
    <w:uiPriority w:val="99"/>
    <w:pPr>
      <w:widowControl/>
      <w:spacing w:before="100" w:beforeAutospacing="1" w:after="100" w:afterAutospacing="1"/>
      <w:jc w:val="center"/>
      <w:textAlignment w:val="center"/>
    </w:pPr>
    <w:rPr>
      <w:rFonts w:ascii="KaiTi_GB2312" w:hAnsi="宋体" w:eastAsia="KaiTi_GB2312"/>
      <w:kern w:val="0"/>
      <w:sz w:val="24"/>
    </w:rPr>
  </w:style>
  <w:style w:type="paragraph" w:customStyle="1" w:styleId="140">
    <w:name w:val="Char2"/>
    <w:basedOn w:val="1"/>
    <w:qFormat/>
    <w:uiPriority w:val="99"/>
    <w:rPr>
      <w:rFonts w:ascii="FangSong_GB2312" w:eastAsia="FangSong_GB2312"/>
      <w:b/>
      <w:sz w:val="32"/>
      <w:szCs w:val="32"/>
    </w:rPr>
  </w:style>
  <w:style w:type="paragraph" w:customStyle="1" w:styleId="14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2">
    <w:name w:val="Char1"/>
    <w:basedOn w:val="1"/>
    <w:qFormat/>
    <w:uiPriority w:val="99"/>
    <w:rPr>
      <w:rFonts w:ascii="FangSong_GB2312" w:eastAsia="FangSong_GB2312"/>
      <w:b/>
      <w:sz w:val="32"/>
      <w:szCs w:val="32"/>
    </w:rPr>
  </w:style>
  <w:style w:type="paragraph" w:customStyle="1" w:styleId="143">
    <w:name w:val="Char"/>
    <w:basedOn w:val="1"/>
    <w:qFormat/>
    <w:uiPriority w:val="99"/>
    <w:rPr>
      <w:rFonts w:ascii="FangSong_GB2312" w:eastAsia="FangSong_GB2312"/>
      <w:b/>
      <w:sz w:val="32"/>
      <w:szCs w:val="32"/>
    </w:rPr>
  </w:style>
  <w:style w:type="paragraph" w:customStyle="1" w:styleId="144">
    <w:name w:val="Char Char1 Char Char Char"/>
    <w:basedOn w:val="1"/>
    <w:qFormat/>
    <w:uiPriority w:val="99"/>
    <w:rPr>
      <w:rFonts w:ascii="FangSong_GB2312" w:eastAsia="FangSong_GB2312"/>
      <w:b/>
      <w:sz w:val="32"/>
      <w:szCs w:val="32"/>
    </w:rPr>
  </w:style>
  <w:style w:type="paragraph" w:customStyle="1" w:styleId="145">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6">
    <w:name w:val="Char Char Char Char"/>
    <w:basedOn w:val="1"/>
    <w:qFormat/>
    <w:uiPriority w:val="99"/>
    <w:rPr>
      <w:rFonts w:ascii="Tahoma" w:hAnsi="Tahoma"/>
      <w:sz w:val="24"/>
      <w:szCs w:val="20"/>
    </w:rPr>
  </w:style>
  <w:style w:type="paragraph" w:customStyle="1" w:styleId="147">
    <w:name w:val="Char Char1"/>
    <w:basedOn w:val="1"/>
    <w:qFormat/>
    <w:uiPriority w:val="99"/>
    <w:pPr>
      <w:widowControl/>
      <w:spacing w:after="160" w:line="240" w:lineRule="exact"/>
      <w:jc w:val="left"/>
    </w:pPr>
    <w:rPr>
      <w:rFonts w:eastAsia="FangSong_GB2312"/>
      <w:sz w:val="28"/>
    </w:rPr>
  </w:style>
  <w:style w:type="paragraph" w:customStyle="1" w:styleId="1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9">
    <w:name w:val="Char31"/>
    <w:basedOn w:val="1"/>
    <w:qFormat/>
    <w:uiPriority w:val="99"/>
    <w:rPr>
      <w:rFonts w:ascii="FangSong_GB2312" w:eastAsia="FangSong_GB2312"/>
      <w:b/>
      <w:sz w:val="32"/>
      <w:szCs w:val="32"/>
    </w:rPr>
  </w:style>
  <w:style w:type="paragraph" w:customStyle="1" w:styleId="150">
    <w:name w:val="Char Char1 Char1"/>
    <w:basedOn w:val="1"/>
    <w:qFormat/>
    <w:uiPriority w:val="99"/>
    <w:rPr>
      <w:rFonts w:ascii="FangSong_GB2312" w:eastAsia="FangSong_GB2312"/>
      <w:b/>
      <w:sz w:val="32"/>
      <w:szCs w:val="32"/>
    </w:rPr>
  </w:style>
  <w:style w:type="paragraph" w:customStyle="1" w:styleId="151">
    <w:name w:val="Table Text"/>
    <w:basedOn w:val="1"/>
    <w:link w:val="426"/>
    <w:qFormat/>
    <w:uiPriority w:val="99"/>
    <w:pPr>
      <w:widowControl/>
      <w:spacing w:before="60" w:after="60"/>
      <w:jc w:val="left"/>
    </w:pPr>
    <w:rPr>
      <w:kern w:val="0"/>
      <w:sz w:val="24"/>
    </w:rPr>
  </w:style>
  <w:style w:type="paragraph" w:customStyle="1" w:styleId="152">
    <w:name w:val="Char11"/>
    <w:basedOn w:val="1"/>
    <w:qFormat/>
    <w:uiPriority w:val="99"/>
    <w:pPr>
      <w:widowControl/>
      <w:spacing w:after="160" w:line="240" w:lineRule="exact"/>
      <w:jc w:val="left"/>
    </w:pPr>
    <w:rPr>
      <w:rFonts w:ascii="Verdana" w:hAnsi="Verdana" w:eastAsia="FangSong_GB2312"/>
      <w:kern w:val="0"/>
      <w:sz w:val="24"/>
      <w:szCs w:val="20"/>
      <w:lang w:eastAsia="en-US"/>
    </w:rPr>
  </w:style>
  <w:style w:type="paragraph" w:customStyle="1" w:styleId="153">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4">
    <w:name w:val="样式 正文文本缩进 2 + 仿宋_GB2312 黑色 行距: 1.5 倍行距"/>
    <w:basedOn w:val="42"/>
    <w:qFormat/>
    <w:uiPriority w:val="99"/>
    <w:pPr>
      <w:adjustRightInd/>
      <w:ind w:firstLine="560" w:firstLineChars="200"/>
      <w:textAlignment w:val="auto"/>
    </w:pPr>
    <w:rPr>
      <w:rFonts w:hAnsi="宋体" w:cs="宋体"/>
      <w:color w:val="000000"/>
      <w:kern w:val="2"/>
      <w:sz w:val="24"/>
    </w:rPr>
  </w:style>
  <w:style w:type="paragraph" w:customStyle="1" w:styleId="155">
    <w:name w:val="正文（标题三）"/>
    <w:basedOn w:val="1"/>
    <w:qFormat/>
    <w:uiPriority w:val="99"/>
    <w:pPr>
      <w:ind w:firstLine="200" w:firstLineChars="200"/>
    </w:pPr>
    <w:rPr>
      <w:sz w:val="24"/>
    </w:rPr>
  </w:style>
  <w:style w:type="paragraph" w:customStyle="1" w:styleId="156">
    <w:name w:val="Char2 Char Char Char"/>
    <w:basedOn w:val="1"/>
    <w:qFormat/>
    <w:uiPriority w:val="99"/>
    <w:rPr>
      <w:rFonts w:ascii="FangSong_GB2312" w:eastAsia="FangSong_GB2312"/>
      <w:b/>
      <w:sz w:val="32"/>
      <w:szCs w:val="32"/>
    </w:rPr>
  </w:style>
  <w:style w:type="paragraph" w:customStyle="1" w:styleId="157">
    <w:name w:val="gf正文1"/>
    <w:basedOn w:val="1"/>
    <w:link w:val="403"/>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8">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9">
    <w:name w:val="默认段落字体 Para Char Char Char1 Char"/>
    <w:basedOn w:val="1"/>
    <w:qFormat/>
    <w:uiPriority w:val="99"/>
    <w:pPr>
      <w:spacing w:line="240" w:lineRule="atLeast"/>
      <w:ind w:left="420" w:firstLine="420"/>
    </w:pPr>
    <w:rPr>
      <w:sz w:val="24"/>
    </w:rPr>
  </w:style>
  <w:style w:type="paragraph" w:customStyle="1" w:styleId="160">
    <w:name w:val="a1"/>
    <w:basedOn w:val="1"/>
    <w:qFormat/>
    <w:uiPriority w:val="99"/>
    <w:pPr>
      <w:widowControl/>
      <w:spacing w:line="300" w:lineRule="atLeast"/>
      <w:jc w:val="left"/>
    </w:pPr>
    <w:rPr>
      <w:rFonts w:ascii="宋体" w:hAnsi="宋体"/>
      <w:kern w:val="0"/>
      <w:sz w:val="18"/>
      <w:szCs w:val="20"/>
    </w:rPr>
  </w:style>
  <w:style w:type="paragraph" w:customStyle="1" w:styleId="16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2">
    <w:name w:val="默认段落字体 Para Char Char Char Char Char Char Char"/>
    <w:basedOn w:val="1"/>
    <w:qFormat/>
    <w:uiPriority w:val="99"/>
    <w:rPr>
      <w:rFonts w:eastAsia="FangSong_GB2312"/>
      <w:sz w:val="28"/>
      <w:szCs w:val="20"/>
    </w:rPr>
  </w:style>
  <w:style w:type="paragraph" w:customStyle="1" w:styleId="163">
    <w:name w:val="样式1"/>
    <w:basedOn w:val="1"/>
    <w:link w:val="464"/>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Char Char1 Char Char Char Char Char Char"/>
    <w:basedOn w:val="1"/>
    <w:qFormat/>
    <w:uiPriority w:val="99"/>
    <w:rPr>
      <w:rFonts w:ascii="FangSong_GB2312" w:eastAsia="FangSong_GB2312"/>
      <w:b/>
      <w:sz w:val="32"/>
      <w:szCs w:val="20"/>
    </w:rPr>
  </w:style>
  <w:style w:type="paragraph" w:customStyle="1" w:styleId="165">
    <w:name w:val="Char Char1 Char Char Char1"/>
    <w:basedOn w:val="1"/>
    <w:qFormat/>
    <w:uiPriority w:val="99"/>
    <w:rPr>
      <w:rFonts w:ascii="FangSong_GB2312" w:eastAsia="FangSong_GB2312"/>
      <w:b/>
      <w:sz w:val="32"/>
      <w:szCs w:val="20"/>
    </w:rPr>
  </w:style>
  <w:style w:type="paragraph" w:customStyle="1" w:styleId="166">
    <w:name w:val="Char Char Char Char Char Char Char Char"/>
    <w:basedOn w:val="1"/>
    <w:qFormat/>
    <w:uiPriority w:val="99"/>
    <w:pPr>
      <w:tabs>
        <w:tab w:val="left" w:pos="360"/>
      </w:tabs>
    </w:pPr>
    <w:rPr>
      <w:sz w:val="24"/>
      <w:szCs w:val="20"/>
    </w:rPr>
  </w:style>
  <w:style w:type="paragraph" w:customStyle="1" w:styleId="167">
    <w:name w:val="4"/>
    <w:basedOn w:val="1"/>
    <w:next w:val="42"/>
    <w:qFormat/>
    <w:uiPriority w:val="99"/>
    <w:pPr>
      <w:spacing w:after="120" w:line="480" w:lineRule="auto"/>
      <w:ind w:left="420" w:leftChars="200"/>
    </w:pPr>
    <w:rPr>
      <w:sz w:val="24"/>
      <w:szCs w:val="20"/>
    </w:rPr>
  </w:style>
  <w:style w:type="paragraph" w:customStyle="1" w:styleId="168">
    <w:name w:val="FA正文"/>
    <w:basedOn w:val="1"/>
    <w:link w:val="408"/>
    <w:qFormat/>
    <w:uiPriority w:val="99"/>
    <w:pPr>
      <w:ind w:firstLine="480" w:firstLineChars="200"/>
    </w:pPr>
    <w:rPr>
      <w:rFonts w:hAnsi="宋体"/>
      <w:kern w:val="0"/>
      <w:sz w:val="24"/>
      <w:szCs w:val="20"/>
    </w:rPr>
  </w:style>
  <w:style w:type="paragraph" w:customStyle="1" w:styleId="169">
    <w:name w:val="0"/>
    <w:basedOn w:val="1"/>
    <w:qFormat/>
    <w:uiPriority w:val="99"/>
    <w:pPr>
      <w:widowControl/>
    </w:pPr>
    <w:rPr>
      <w:kern w:val="0"/>
      <w:sz w:val="24"/>
      <w:szCs w:val="20"/>
    </w:rPr>
  </w:style>
  <w:style w:type="paragraph" w:customStyle="1" w:styleId="170">
    <w:name w:val="Char Char Char Char Char Char Char Char Char Char"/>
    <w:basedOn w:val="1"/>
    <w:qFormat/>
    <w:uiPriority w:val="99"/>
    <w:rPr>
      <w:rFonts w:ascii="FangSong_GB2312" w:eastAsia="FangSong_GB2312"/>
      <w:b/>
      <w:sz w:val="32"/>
      <w:szCs w:val="32"/>
    </w:rPr>
  </w:style>
  <w:style w:type="paragraph" w:customStyle="1" w:styleId="171">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2">
    <w:name w:val="样式 首行缩进:  2 字符"/>
    <w:basedOn w:val="1"/>
    <w:qFormat/>
    <w:uiPriority w:val="99"/>
    <w:pPr>
      <w:snapToGrid w:val="0"/>
    </w:pPr>
    <w:rPr>
      <w:rFonts w:ascii="FangSong_GB2312" w:hAnsi="宋体" w:eastAsia="FangSong_GB2312" w:cs="宋体"/>
      <w:color w:val="000000"/>
      <w:kern w:val="0"/>
      <w:sz w:val="28"/>
      <w:szCs w:val="21"/>
    </w:rPr>
  </w:style>
  <w:style w:type="paragraph" w:customStyle="1" w:styleId="173">
    <w:name w:val="Char Char Char Char Char Char Char Char Char Char1"/>
    <w:basedOn w:val="1"/>
    <w:qFormat/>
    <w:uiPriority w:val="99"/>
    <w:rPr>
      <w:rFonts w:ascii="FangSong_GB2312" w:eastAsia="FangSong_GB2312"/>
      <w:b/>
      <w:sz w:val="32"/>
      <w:szCs w:val="32"/>
    </w:rPr>
  </w:style>
  <w:style w:type="paragraph" w:customStyle="1" w:styleId="174">
    <w:name w:val="Char Char Char Char Char Char Char"/>
    <w:basedOn w:val="1"/>
    <w:qFormat/>
    <w:uiPriority w:val="99"/>
    <w:rPr>
      <w:rFonts w:ascii="FangSong_GB2312" w:eastAsia="FangSong_GB2312"/>
      <w:b/>
      <w:sz w:val="32"/>
      <w:szCs w:val="32"/>
    </w:rPr>
  </w:style>
  <w:style w:type="paragraph" w:customStyle="1" w:styleId="175">
    <w:name w:val="默认段落字体 Para Char"/>
    <w:basedOn w:val="1"/>
    <w:qFormat/>
    <w:uiPriority w:val="99"/>
    <w:rPr>
      <w:rFonts w:ascii="Tahoma" w:hAnsi="Tahoma"/>
      <w:sz w:val="24"/>
      <w:szCs w:val="20"/>
    </w:rPr>
  </w:style>
  <w:style w:type="paragraph" w:customStyle="1" w:styleId="176">
    <w:name w:val="Char Char"/>
    <w:basedOn w:val="1"/>
    <w:qFormat/>
    <w:uiPriority w:val="99"/>
    <w:rPr>
      <w:rFonts w:ascii="Tahoma" w:hAnsi="Tahoma"/>
      <w:sz w:val="24"/>
      <w:szCs w:val="20"/>
    </w:rPr>
  </w:style>
  <w:style w:type="paragraph" w:customStyle="1" w:styleId="177">
    <w:name w:val="规范正文"/>
    <w:basedOn w:val="1"/>
    <w:qFormat/>
    <w:uiPriority w:val="99"/>
    <w:pPr>
      <w:numPr>
        <w:ilvl w:val="0"/>
        <w:numId w:val="8"/>
      </w:numPr>
      <w:adjustRightInd w:val="0"/>
      <w:spacing w:beforeLines="50"/>
      <w:textAlignment w:val="baseline"/>
    </w:pPr>
    <w:rPr>
      <w:szCs w:val="20"/>
    </w:rPr>
  </w:style>
  <w:style w:type="paragraph" w:customStyle="1" w:styleId="178">
    <w:name w:val="样式"/>
    <w:basedOn w:val="1"/>
    <w:qFormat/>
    <w:uiPriority w:val="99"/>
    <w:pPr>
      <w:autoSpaceDE w:val="0"/>
      <w:autoSpaceDN w:val="0"/>
      <w:snapToGrid w:val="0"/>
      <w:spacing w:before="120" w:after="120"/>
    </w:pPr>
    <w:rPr>
      <w:rFonts w:ascii="宋体"/>
      <w:sz w:val="24"/>
      <w:szCs w:val="20"/>
    </w:rPr>
  </w:style>
  <w:style w:type="paragraph" w:customStyle="1" w:styleId="179">
    <w:name w:val="Char Char Char Char Char Char Char Char Char Char Char Char1 Char"/>
    <w:basedOn w:val="1"/>
    <w:qFormat/>
    <w:uiPriority w:val="99"/>
    <w:rPr>
      <w:rFonts w:ascii="Tahoma" w:hAnsi="Tahoma" w:cs="FangSong_GB2312"/>
      <w:sz w:val="24"/>
      <w:szCs w:val="20"/>
    </w:rPr>
  </w:style>
  <w:style w:type="paragraph" w:customStyle="1" w:styleId="180">
    <w:name w:val="彩色列表 - 强调文字颜色 11"/>
    <w:basedOn w:val="1"/>
    <w:qFormat/>
    <w:uiPriority w:val="99"/>
    <w:pPr>
      <w:ind w:firstLine="200" w:firstLineChars="200"/>
    </w:pPr>
    <w:rPr>
      <w:rFonts w:eastAsia="KaiTi_GB2312" w:cs="Lucida Sans"/>
      <w:sz w:val="24"/>
    </w:rPr>
  </w:style>
  <w:style w:type="paragraph" w:customStyle="1" w:styleId="181">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2">
    <w:name w:val="正文段"/>
    <w:basedOn w:val="1"/>
    <w:qFormat/>
    <w:uiPriority w:val="99"/>
    <w:pPr>
      <w:widowControl/>
      <w:snapToGrid w:val="0"/>
      <w:spacing w:afterLines="50"/>
      <w:ind w:firstLine="200" w:firstLineChars="200"/>
    </w:pPr>
    <w:rPr>
      <w:kern w:val="0"/>
      <w:sz w:val="24"/>
      <w:szCs w:val="20"/>
    </w:rPr>
  </w:style>
  <w:style w:type="paragraph" w:customStyle="1" w:styleId="183">
    <w:name w:val="Char1 Char Char Char1"/>
    <w:basedOn w:val="1"/>
    <w:qFormat/>
    <w:uiPriority w:val="99"/>
    <w:rPr>
      <w:rFonts w:ascii="Tahoma" w:hAnsi="Tahoma"/>
      <w:sz w:val="24"/>
      <w:szCs w:val="20"/>
    </w:rPr>
  </w:style>
  <w:style w:type="paragraph" w:customStyle="1" w:styleId="184">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85">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7">
    <w:name w:val="章标题"/>
    <w:next w:val="186"/>
    <w:qFormat/>
    <w:uiPriority w:val="99"/>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188">
    <w:name w:val="一级条标题"/>
    <w:basedOn w:val="187"/>
    <w:next w:val="186"/>
    <w:qFormat/>
    <w:uiPriority w:val="99"/>
    <w:pPr>
      <w:numPr>
        <w:ilvl w:val="2"/>
        <w:numId w:val="0"/>
      </w:numPr>
      <w:outlineLvl w:val="2"/>
    </w:pPr>
  </w:style>
  <w:style w:type="paragraph" w:customStyle="1" w:styleId="189">
    <w:name w:val="二级条标题"/>
    <w:basedOn w:val="188"/>
    <w:next w:val="186"/>
    <w:qFormat/>
    <w:uiPriority w:val="99"/>
    <w:pPr>
      <w:numPr>
        <w:ilvl w:val="3"/>
      </w:numPr>
      <w:outlineLvl w:val="3"/>
    </w:pPr>
  </w:style>
  <w:style w:type="paragraph" w:customStyle="1" w:styleId="190">
    <w:name w:val="三级条标题"/>
    <w:basedOn w:val="189"/>
    <w:next w:val="186"/>
    <w:qFormat/>
    <w:uiPriority w:val="99"/>
    <w:pPr>
      <w:numPr>
        <w:ilvl w:val="4"/>
      </w:numPr>
      <w:outlineLvl w:val="4"/>
    </w:pPr>
  </w:style>
  <w:style w:type="paragraph" w:customStyle="1" w:styleId="191">
    <w:name w:val="四级条标题"/>
    <w:basedOn w:val="190"/>
    <w:next w:val="186"/>
    <w:qFormat/>
    <w:uiPriority w:val="99"/>
    <w:pPr>
      <w:numPr>
        <w:ilvl w:val="5"/>
      </w:numPr>
      <w:outlineLvl w:val="5"/>
    </w:pPr>
  </w:style>
  <w:style w:type="paragraph" w:customStyle="1" w:styleId="192">
    <w:name w:val="五级条标题"/>
    <w:basedOn w:val="191"/>
    <w:next w:val="186"/>
    <w:qFormat/>
    <w:uiPriority w:val="99"/>
    <w:pPr>
      <w:numPr>
        <w:ilvl w:val="6"/>
      </w:numPr>
      <w:outlineLvl w:val="6"/>
    </w:pPr>
  </w:style>
  <w:style w:type="paragraph" w:customStyle="1" w:styleId="193">
    <w:name w:val="正文表标题"/>
    <w:next w:val="186"/>
    <w:qFormat/>
    <w:uiPriority w:val="99"/>
    <w:pPr>
      <w:numPr>
        <w:ilvl w:val="0"/>
        <w:numId w:val="10"/>
      </w:numPr>
      <w:jc w:val="center"/>
    </w:pPr>
    <w:rPr>
      <w:rFonts w:ascii="黑体" w:hAnsi="Times New Roman" w:eastAsia="黑体" w:cs="Times New Roman"/>
      <w:sz w:val="21"/>
      <w:lang w:val="en-US" w:eastAsia="zh-CN" w:bidi="ar-SA"/>
    </w:rPr>
  </w:style>
  <w:style w:type="paragraph" w:customStyle="1" w:styleId="19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5">
    <w:name w:val="标准小四"/>
    <w:basedOn w:val="1"/>
    <w:qFormat/>
    <w:uiPriority w:val="99"/>
    <w:pPr>
      <w:ind w:firstLine="480" w:firstLineChars="200"/>
    </w:pPr>
    <w:rPr>
      <w:rFonts w:ascii="Arial" w:hAnsi="Arial"/>
      <w:sz w:val="24"/>
      <w:szCs w:val="21"/>
    </w:rPr>
  </w:style>
  <w:style w:type="paragraph" w:customStyle="1" w:styleId="196">
    <w:name w:val="样式 样式 正文文本缩进 + 仿宋_GB2312 小四 首行缩进:  0 厘米 行距: 1.5 倍行距 + (中文) 仿宋_GB... Char Char"/>
    <w:basedOn w:val="1"/>
    <w:qFormat/>
    <w:uiPriority w:val="99"/>
    <w:pPr>
      <w:ind w:firstLine="480" w:firstLineChars="200"/>
    </w:pPr>
    <w:rPr>
      <w:rFonts w:ascii="FangSong_GB2312" w:eastAsia="新宋体"/>
      <w:sz w:val="24"/>
      <w:szCs w:val="20"/>
    </w:rPr>
  </w:style>
  <w:style w:type="paragraph" w:customStyle="1" w:styleId="197">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8">
    <w:name w:val="Char Char1 Char Char1 Char Char1"/>
    <w:basedOn w:val="1"/>
    <w:qFormat/>
    <w:uiPriority w:val="99"/>
    <w:pPr>
      <w:tabs>
        <w:tab w:val="left" w:pos="840"/>
      </w:tabs>
      <w:ind w:left="840" w:hanging="420"/>
    </w:pPr>
    <w:rPr>
      <w:rFonts w:ascii="Tahoma" w:hAnsi="Tahoma"/>
      <w:sz w:val="24"/>
    </w:rPr>
  </w:style>
  <w:style w:type="paragraph" w:customStyle="1" w:styleId="199">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0">
    <w:name w:val="数字标题1"/>
    <w:basedOn w:val="3"/>
    <w:next w:val="1"/>
    <w:qFormat/>
    <w:uiPriority w:val="99"/>
    <w:pPr>
      <w:numPr>
        <w:numId w:val="0"/>
      </w:numPr>
      <w:tabs>
        <w:tab w:val="clear" w:pos="432"/>
      </w:tabs>
      <w:ind w:left="480" w:hanging="480"/>
    </w:pPr>
  </w:style>
  <w:style w:type="paragraph" w:customStyle="1" w:styleId="201">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2">
    <w:name w:val="数字标题3"/>
    <w:basedOn w:val="5"/>
    <w:next w:val="1"/>
    <w:qFormat/>
    <w:uiPriority w:val="99"/>
    <w:pPr>
      <w:spacing w:line="240" w:lineRule="auto"/>
    </w:pPr>
    <w:rPr>
      <w:sz w:val="28"/>
      <w:szCs w:val="28"/>
    </w:rPr>
  </w:style>
  <w:style w:type="paragraph" w:customStyle="1" w:styleId="203">
    <w:name w:val="数字标题4"/>
    <w:basedOn w:val="6"/>
    <w:qFormat/>
    <w:uiPriority w:val="99"/>
    <w:pPr>
      <w:numPr>
        <w:ilvl w:val="3"/>
        <w:numId w:val="0"/>
      </w:numPr>
      <w:tabs>
        <w:tab w:val="left" w:pos="0"/>
      </w:tabs>
      <w:spacing w:before="0" w:after="0" w:line="360" w:lineRule="auto"/>
      <w:ind w:left="1"/>
    </w:pPr>
    <w:rPr>
      <w:rFonts w:eastAsia="FangSong_GB2312" w:cs="Arial"/>
      <w:b/>
      <w:bCs w:val="0"/>
      <w:color w:val="000000"/>
      <w:kern w:val="0"/>
      <w:sz w:val="24"/>
      <w:szCs w:val="24"/>
      <w:lang w:val="en-US"/>
    </w:rPr>
  </w:style>
  <w:style w:type="paragraph" w:customStyle="1" w:styleId="204">
    <w:name w:val="数字标题5"/>
    <w:basedOn w:val="7"/>
    <w:next w:val="1"/>
    <w:qFormat/>
    <w:uiPriority w:val="99"/>
    <w:pPr>
      <w:numPr>
        <w:ilvl w:val="0"/>
        <w:numId w:val="0"/>
      </w:numPr>
      <w:tabs>
        <w:tab w:val="clear" w:pos="432"/>
        <w:tab w:val="clear" w:pos="1008"/>
      </w:tabs>
      <w:ind w:left="480" w:hanging="480"/>
    </w:pPr>
  </w:style>
  <w:style w:type="paragraph" w:customStyle="1" w:styleId="205">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6">
    <w:name w:val="正文首行缩进1"/>
    <w:basedOn w:val="2"/>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7">
    <w:name w:val="默认段落样式"/>
    <w:basedOn w:val="133"/>
    <w:qFormat/>
    <w:uiPriority w:val="99"/>
    <w:pPr>
      <w:spacing w:before="0"/>
      <w:ind w:firstLine="480"/>
      <w:outlineLvl w:val="2"/>
    </w:pPr>
    <w:rPr>
      <w:rFonts w:ascii="FangSong_GB2312" w:hAnsi="宋体" w:eastAsia="FangSong_GB2312"/>
      <w:color w:val="000000"/>
      <w:szCs w:val="24"/>
    </w:rPr>
  </w:style>
  <w:style w:type="paragraph" w:customStyle="1" w:styleId="208">
    <w:name w:val="样式 标题 3H3 + 两端对齐"/>
    <w:basedOn w:val="5"/>
    <w:qFormat/>
    <w:uiPriority w:val="99"/>
    <w:pPr>
      <w:spacing w:before="0" w:after="0" w:line="240" w:lineRule="auto"/>
      <w:jc w:val="left"/>
    </w:pPr>
    <w:rPr>
      <w:rFonts w:cs="宋体"/>
      <w:sz w:val="21"/>
      <w:szCs w:val="20"/>
    </w:rPr>
  </w:style>
  <w:style w:type="paragraph" w:customStyle="1" w:styleId="209">
    <w:name w:val="表格"/>
    <w:basedOn w:val="1"/>
    <w:link w:val="425"/>
    <w:qFormat/>
    <w:uiPriority w:val="99"/>
    <w:pPr>
      <w:snapToGrid w:val="0"/>
      <w:ind w:firstLine="42" w:firstLineChars="21"/>
    </w:pPr>
    <w:rPr>
      <w:rFonts w:ascii="宋体" w:hAnsi="宋体"/>
      <w:kern w:val="0"/>
      <w:sz w:val="20"/>
      <w:szCs w:val="20"/>
    </w:rPr>
  </w:style>
  <w:style w:type="paragraph" w:customStyle="1" w:styleId="210">
    <w:name w:val="列表内容"/>
    <w:basedOn w:val="1"/>
    <w:next w:val="1"/>
    <w:qFormat/>
    <w:uiPriority w:val="99"/>
    <w:pPr>
      <w:widowControl/>
      <w:tabs>
        <w:tab w:val="left" w:pos="840"/>
      </w:tabs>
      <w:ind w:left="840" w:hanging="420"/>
      <w:jc w:val="left"/>
    </w:pPr>
    <w:rPr>
      <w:kern w:val="0"/>
      <w:sz w:val="18"/>
    </w:rPr>
  </w:style>
  <w:style w:type="paragraph" w:customStyle="1" w:styleId="21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3">
    <w:name w:val="表文字"/>
    <w:qFormat/>
    <w:uiPriority w:val="99"/>
    <w:rPr>
      <w:rFonts w:ascii="宋体" w:hAnsi="Times New Roman" w:eastAsia="宋体" w:cs="Times New Roman"/>
      <w:kern w:val="2"/>
      <w:lang w:val="en-US" w:eastAsia="zh-CN" w:bidi="ar-SA"/>
    </w:rPr>
  </w:style>
  <w:style w:type="paragraph" w:customStyle="1" w:styleId="214">
    <w:name w:val="Char Char Char"/>
    <w:basedOn w:val="1"/>
    <w:qFormat/>
    <w:uiPriority w:val="99"/>
    <w:rPr>
      <w:rFonts w:ascii="Tahoma" w:hAnsi="Tahoma"/>
      <w:sz w:val="24"/>
      <w:szCs w:val="20"/>
    </w:rPr>
  </w:style>
  <w:style w:type="paragraph" w:customStyle="1" w:styleId="215">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7">
    <w:name w:val="样式 仿宋_GB2312 小三 左侧:  1.06 厘米"/>
    <w:basedOn w:val="1"/>
    <w:qFormat/>
    <w:uiPriority w:val="99"/>
    <w:pPr>
      <w:ind w:left="601"/>
    </w:pPr>
    <w:rPr>
      <w:rFonts w:ascii="FangSong_GB2312" w:eastAsia="FangSong_GB2312"/>
      <w:sz w:val="24"/>
      <w:szCs w:val="20"/>
    </w:rPr>
  </w:style>
  <w:style w:type="paragraph" w:customStyle="1" w:styleId="2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9">
    <w:name w:val="方案正文"/>
    <w:basedOn w:val="1"/>
    <w:qFormat/>
    <w:uiPriority w:val="99"/>
    <w:pPr>
      <w:adjustRightInd w:val="0"/>
      <w:snapToGrid w:val="0"/>
      <w:spacing w:line="324" w:lineRule="auto"/>
      <w:ind w:firstLine="482" w:firstLineChars="200"/>
    </w:pPr>
    <w:rPr>
      <w:rFonts w:ascii="FangSong_GB2312" w:eastAsia="FangSong_GB2312"/>
      <w:b/>
      <w:color w:val="000000"/>
      <w:sz w:val="24"/>
      <w:szCs w:val="20"/>
    </w:rPr>
  </w:style>
  <w:style w:type="paragraph" w:customStyle="1" w:styleId="22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1">
    <w:name w:val="彩色底纹 - 强调文字颜色 11"/>
    <w:qFormat/>
    <w:uiPriority w:val="99"/>
    <w:rPr>
      <w:rFonts w:ascii="Times New Roman" w:hAnsi="Times New Roman" w:eastAsia="宋体" w:cs="Times New Roman"/>
      <w:kern w:val="2"/>
      <w:sz w:val="21"/>
      <w:lang w:val="en-US" w:eastAsia="zh-CN" w:bidi="ar-SA"/>
    </w:rPr>
  </w:style>
  <w:style w:type="paragraph" w:customStyle="1" w:styleId="22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3">
    <w:name w:val="首行缩进"/>
    <w:basedOn w:val="1"/>
    <w:qFormat/>
    <w:uiPriority w:val="99"/>
    <w:pPr>
      <w:ind w:firstLine="480" w:firstLineChars="200"/>
    </w:pPr>
    <w:rPr>
      <w:rFonts w:ascii="宋体"/>
      <w:sz w:val="24"/>
      <w:szCs w:val="20"/>
    </w:rPr>
  </w:style>
  <w:style w:type="paragraph" w:customStyle="1" w:styleId="224">
    <w:name w:val="Char3"/>
    <w:basedOn w:val="1"/>
    <w:qFormat/>
    <w:uiPriority w:val="99"/>
    <w:rPr>
      <w:rFonts w:ascii="FangSong_GB2312" w:eastAsia="FangSong_GB2312"/>
      <w:b/>
      <w:sz w:val="32"/>
      <w:szCs w:val="32"/>
    </w:rPr>
  </w:style>
  <w:style w:type="paragraph" w:customStyle="1" w:styleId="225">
    <w:name w:val="标准正文格式"/>
    <w:basedOn w:val="1"/>
    <w:link w:val="429"/>
    <w:qFormat/>
    <w:uiPriority w:val="99"/>
    <w:pPr>
      <w:widowControl/>
      <w:adjustRightInd w:val="0"/>
      <w:spacing w:before="60" w:after="120"/>
      <w:ind w:firstLine="200" w:firstLineChars="200"/>
      <w:textAlignment w:val="baseline"/>
    </w:pPr>
    <w:rPr>
      <w:rFonts w:ascii="宋体" w:eastAsia="FangSong_GB2312"/>
      <w:color w:val="000000"/>
      <w:kern w:val="0"/>
      <w:sz w:val="24"/>
      <w:szCs w:val="20"/>
    </w:rPr>
  </w:style>
  <w:style w:type="paragraph" w:customStyle="1" w:styleId="226">
    <w:name w:val="正文 首行缩进:  2 字符 Char"/>
    <w:basedOn w:val="1"/>
    <w:qFormat/>
    <w:uiPriority w:val="99"/>
    <w:pPr>
      <w:ind w:firstLine="480"/>
    </w:pPr>
    <w:rPr>
      <w:rFonts w:cs="宋体"/>
      <w:sz w:val="24"/>
      <w:szCs w:val="20"/>
    </w:rPr>
  </w:style>
  <w:style w:type="paragraph" w:customStyle="1" w:styleId="227">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8">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Char Char Char Char Char Char Char1"/>
    <w:basedOn w:val="1"/>
    <w:qFormat/>
    <w:uiPriority w:val="99"/>
    <w:pPr>
      <w:tabs>
        <w:tab w:val="left" w:pos="432"/>
      </w:tabs>
      <w:ind w:left="432" w:hanging="432"/>
    </w:pPr>
    <w:rPr>
      <w:rFonts w:ascii="FangSong_GB2312" w:eastAsia="FangSong_GB2312"/>
      <w:kern w:val="0"/>
      <w:sz w:val="24"/>
      <w:lang w:val="zh-CN"/>
    </w:rPr>
  </w:style>
  <w:style w:type="paragraph" w:customStyle="1" w:styleId="230">
    <w:name w:val="单元格左对齐"/>
    <w:basedOn w:val="1"/>
    <w:qFormat/>
    <w:uiPriority w:val="99"/>
    <w:rPr>
      <w:sz w:val="24"/>
    </w:rPr>
  </w:style>
  <w:style w:type="paragraph" w:customStyle="1" w:styleId="231">
    <w:name w:val="单元格居中"/>
    <w:basedOn w:val="1"/>
    <w:qFormat/>
    <w:uiPriority w:val="99"/>
    <w:pPr>
      <w:jc w:val="center"/>
    </w:pPr>
    <w:rPr>
      <w:sz w:val="24"/>
    </w:rPr>
  </w:style>
  <w:style w:type="paragraph" w:customStyle="1" w:styleId="232">
    <w:name w:val="正文1"/>
    <w:basedOn w:val="1"/>
    <w:link w:val="431"/>
    <w:qFormat/>
    <w:uiPriority w:val="99"/>
    <w:pPr>
      <w:widowControl/>
      <w:ind w:left="360" w:firstLine="420"/>
      <w:jc w:val="left"/>
    </w:pPr>
    <w:rPr>
      <w:rFonts w:ascii="宋体" w:hAnsi="宋体"/>
      <w:kern w:val="0"/>
      <w:sz w:val="20"/>
      <w:szCs w:val="20"/>
    </w:rPr>
  </w:style>
  <w:style w:type="paragraph" w:customStyle="1" w:styleId="233">
    <w:name w:val="Char Char Char1"/>
    <w:basedOn w:val="1"/>
    <w:qFormat/>
    <w:uiPriority w:val="99"/>
    <w:pPr>
      <w:tabs>
        <w:tab w:val="left" w:pos="0"/>
      </w:tabs>
    </w:pPr>
    <w:rPr>
      <w:rFonts w:eastAsia="FangSong_GB2312"/>
      <w:sz w:val="28"/>
    </w:rPr>
  </w:style>
  <w:style w:type="paragraph" w:customStyle="1" w:styleId="234">
    <w:name w:val="样式 左侧:  0.85 厘米 首行缩进:  0.85 厘米"/>
    <w:basedOn w:val="1"/>
    <w:qFormat/>
    <w:uiPriority w:val="99"/>
    <w:pPr>
      <w:ind w:firstLine="482"/>
    </w:pPr>
    <w:rPr>
      <w:rFonts w:cs="宋体"/>
      <w:sz w:val="24"/>
      <w:szCs w:val="20"/>
    </w:rPr>
  </w:style>
  <w:style w:type="paragraph" w:customStyle="1" w:styleId="235">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6">
    <w:name w:val="正文样式 首行缩进:  0.74 厘米"/>
    <w:basedOn w:val="1"/>
    <w:qFormat/>
    <w:uiPriority w:val="99"/>
    <w:pPr>
      <w:spacing w:beforeLines="50"/>
      <w:ind w:firstLine="420"/>
    </w:pPr>
    <w:rPr>
      <w:rFonts w:cs="宋体"/>
      <w:sz w:val="24"/>
      <w:szCs w:val="20"/>
    </w:rPr>
  </w:style>
  <w:style w:type="paragraph" w:customStyle="1" w:styleId="237">
    <w:name w:val="标题五"/>
    <w:basedOn w:val="1"/>
    <w:qFormat/>
    <w:uiPriority w:val="99"/>
    <w:pPr>
      <w:spacing w:beforeLines="50"/>
    </w:pPr>
    <w:rPr>
      <w:b/>
      <w:sz w:val="24"/>
    </w:rPr>
  </w:style>
  <w:style w:type="paragraph" w:customStyle="1" w:styleId="238">
    <w:name w:val="正文（首行缩进）"/>
    <w:basedOn w:val="27"/>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9">
    <w:name w:val="标书正文格式"/>
    <w:qFormat/>
    <w:uiPriority w:val="99"/>
    <w:pPr>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240">
    <w:name w:val="此正文"/>
    <w:basedOn w:val="1"/>
    <w:qFormat/>
    <w:uiPriority w:val="99"/>
    <w:pPr>
      <w:ind w:firstLine="200" w:firstLineChars="200"/>
    </w:pPr>
    <w:rPr>
      <w:sz w:val="24"/>
    </w:rPr>
  </w:style>
  <w:style w:type="paragraph" w:customStyle="1" w:styleId="241">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3">
    <w:name w:val="规划正文"/>
    <w:basedOn w:val="1"/>
    <w:qFormat/>
    <w:uiPriority w:val="99"/>
    <w:pPr>
      <w:spacing w:beforeLines="100"/>
      <w:jc w:val="left"/>
    </w:pPr>
    <w:rPr>
      <w:rFonts w:ascii="Arial" w:hAnsi="Arial" w:eastAsia="FangSong_GB2312"/>
      <w:bCs/>
      <w:sz w:val="28"/>
    </w:rPr>
  </w:style>
  <w:style w:type="paragraph" w:customStyle="1" w:styleId="244">
    <w:name w:val="MM Title"/>
    <w:basedOn w:val="7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5">
    <w:name w:val="MM Topic 1"/>
    <w:basedOn w:val="3"/>
    <w:qFormat/>
    <w:uiPriority w:val="99"/>
    <w:pPr>
      <w:numPr>
        <w:numId w:val="0"/>
      </w:numPr>
    </w:pPr>
  </w:style>
  <w:style w:type="paragraph" w:customStyle="1" w:styleId="246">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7">
    <w:name w:val="MM Topic 3"/>
    <w:basedOn w:val="5"/>
    <w:qFormat/>
    <w:uiPriority w:val="99"/>
  </w:style>
  <w:style w:type="paragraph" w:customStyle="1" w:styleId="248">
    <w:name w:val="MM Topic 4"/>
    <w:basedOn w:val="6"/>
    <w:qFormat/>
    <w:uiPriority w:val="99"/>
    <w:pPr>
      <w:numPr>
        <w:numId w:val="0"/>
      </w:numPr>
      <w:tabs>
        <w:tab w:val="clear" w:pos="432"/>
      </w:tabs>
    </w:pPr>
    <w:rPr>
      <w:lang w:val="en-US"/>
    </w:rPr>
  </w:style>
  <w:style w:type="paragraph" w:customStyle="1" w:styleId="249">
    <w:name w:val="MM Topic 5"/>
    <w:basedOn w:val="7"/>
    <w:qFormat/>
    <w:uiPriority w:val="99"/>
    <w:pPr>
      <w:numPr>
        <w:ilvl w:val="0"/>
        <w:numId w:val="14"/>
      </w:numPr>
      <w:tabs>
        <w:tab w:val="left" w:pos="900"/>
        <w:tab w:val="clear" w:pos="432"/>
      </w:tabs>
      <w:ind w:left="0" w:firstLine="0"/>
    </w:pPr>
  </w:style>
  <w:style w:type="paragraph" w:customStyle="1" w:styleId="250">
    <w:name w:val="MM Empty"/>
    <w:basedOn w:val="1"/>
    <w:qFormat/>
    <w:uiPriority w:val="99"/>
  </w:style>
  <w:style w:type="paragraph" w:customStyle="1" w:styleId="251">
    <w:name w:val="标准正文"/>
    <w:basedOn w:val="1"/>
    <w:link w:val="462"/>
    <w:qFormat/>
    <w:uiPriority w:val="99"/>
    <w:pPr>
      <w:spacing w:before="60" w:after="60"/>
      <w:ind w:firstLine="482" w:firstLineChars="200"/>
    </w:pPr>
    <w:rPr>
      <w:rFonts w:ascii="Arial" w:hAnsi="Arial"/>
      <w:b/>
      <w:kern w:val="0"/>
      <w:sz w:val="24"/>
      <w:szCs w:val="20"/>
    </w:rPr>
  </w:style>
  <w:style w:type="paragraph" w:customStyle="1" w:styleId="252">
    <w:name w:val="注释"/>
    <w:basedOn w:val="1"/>
    <w:qFormat/>
    <w:uiPriority w:val="99"/>
    <w:pPr>
      <w:ind w:firstLine="480"/>
    </w:pPr>
    <w:rPr>
      <w:sz w:val="24"/>
    </w:rPr>
  </w:style>
  <w:style w:type="paragraph" w:customStyle="1" w:styleId="253">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4">
    <w:name w:val="Char2 Char Char Char1"/>
    <w:basedOn w:val="1"/>
    <w:qFormat/>
    <w:uiPriority w:val="99"/>
    <w:rPr>
      <w:rFonts w:ascii="FangSong_GB2312" w:eastAsia="FangSong_GB2312"/>
      <w:b/>
      <w:sz w:val="32"/>
      <w:szCs w:val="32"/>
    </w:rPr>
  </w:style>
  <w:style w:type="paragraph" w:customStyle="1" w:styleId="255">
    <w:name w:val="列出段落1"/>
    <w:basedOn w:val="1"/>
    <w:link w:val="675"/>
    <w:qFormat/>
    <w:uiPriority w:val="99"/>
    <w:pPr>
      <w:ind w:firstLine="420" w:firstLineChars="200"/>
    </w:pPr>
  </w:style>
  <w:style w:type="paragraph" w:customStyle="1" w:styleId="256">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7">
    <w:name w:val="列出段落11"/>
    <w:basedOn w:val="1"/>
    <w:qFormat/>
    <w:uiPriority w:val="99"/>
    <w:pPr>
      <w:ind w:firstLine="420" w:firstLineChars="200"/>
    </w:pPr>
  </w:style>
  <w:style w:type="paragraph" w:customStyle="1" w:styleId="25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缺省文本"/>
    <w:basedOn w:val="1"/>
    <w:qFormat/>
    <w:uiPriority w:val="99"/>
    <w:pPr>
      <w:autoSpaceDE w:val="0"/>
      <w:autoSpaceDN w:val="0"/>
      <w:adjustRightInd w:val="0"/>
      <w:jc w:val="left"/>
    </w:pPr>
    <w:rPr>
      <w:kern w:val="0"/>
      <w:sz w:val="24"/>
    </w:rPr>
  </w:style>
  <w:style w:type="paragraph" w:customStyle="1" w:styleId="262">
    <w:name w:val="1 Char"/>
    <w:basedOn w:val="1"/>
    <w:qFormat/>
    <w:uiPriority w:val="99"/>
    <w:pPr>
      <w:tabs>
        <w:tab w:val="left" w:pos="432"/>
      </w:tabs>
      <w:spacing w:beforeLines="50" w:afterLines="50"/>
      <w:ind w:left="432" w:hanging="432"/>
    </w:pPr>
    <w:rPr>
      <w:sz w:val="24"/>
    </w:rPr>
  </w:style>
  <w:style w:type="paragraph" w:customStyle="1" w:styleId="263">
    <w:name w:val="无间隔1"/>
    <w:link w:val="443"/>
    <w:qFormat/>
    <w:uiPriority w:val="99"/>
    <w:rPr>
      <w:rFonts w:ascii="Calibri" w:hAnsi="Calibri" w:eastAsia="宋体" w:cs="Times New Roman"/>
      <w:sz w:val="22"/>
      <w:lang w:val="en-US" w:eastAsia="zh-CN" w:bidi="ar-SA"/>
    </w:rPr>
  </w:style>
  <w:style w:type="paragraph" w:customStyle="1" w:styleId="264">
    <w:name w:val="列出段落[858D7CFB-ED40-4347-BF05-701D383B685F][858D7CFB-ED40-4347-BF05-701D383B685F]"/>
    <w:basedOn w:val="1"/>
    <w:qFormat/>
    <w:uiPriority w:val="99"/>
    <w:pPr>
      <w:ind w:firstLine="420" w:firstLineChars="200"/>
    </w:pPr>
    <w:rPr>
      <w:szCs w:val="21"/>
    </w:rPr>
  </w:style>
  <w:style w:type="paragraph" w:customStyle="1" w:styleId="265">
    <w:name w:val="修订1"/>
    <w:qFormat/>
    <w:uiPriority w:val="99"/>
    <w:rPr>
      <w:rFonts w:ascii="Times New Roman" w:hAnsi="Times New Roman" w:eastAsia="宋体" w:cs="Times New Roman"/>
      <w:kern w:val="2"/>
      <w:sz w:val="21"/>
      <w:szCs w:val="24"/>
      <w:lang w:val="en-US" w:eastAsia="zh-CN" w:bidi="ar-SA"/>
    </w:rPr>
  </w:style>
  <w:style w:type="paragraph" w:customStyle="1" w:styleId="266">
    <w:name w:val="样式2"/>
    <w:basedOn w:val="133"/>
    <w:link w:val="444"/>
    <w:qFormat/>
    <w:uiPriority w:val="99"/>
    <w:pPr>
      <w:spacing w:before="0" w:line="460" w:lineRule="exact"/>
      <w:ind w:firstLine="480"/>
    </w:pPr>
    <w:rPr>
      <w:rFonts w:ascii="FangSong_GB2312" w:hAnsi="仿宋" w:eastAsia="FangSong_GB2312"/>
    </w:rPr>
  </w:style>
  <w:style w:type="paragraph" w:customStyle="1" w:styleId="267">
    <w:name w:val="标题2def"/>
    <w:basedOn w:val="72"/>
    <w:qFormat/>
    <w:uiPriority w:val="99"/>
    <w:pPr>
      <w:snapToGrid w:val="0"/>
      <w:spacing w:before="160" w:after="200"/>
      <w:outlineLvl w:val="0"/>
    </w:pPr>
    <w:rPr>
      <w:rFonts w:hAnsi="宋体" w:eastAsia="FangSong_GB2312"/>
      <w:sz w:val="32"/>
    </w:rPr>
  </w:style>
  <w:style w:type="paragraph" w:customStyle="1" w:styleId="268">
    <w:name w:val="CM29"/>
    <w:basedOn w:val="269"/>
    <w:next w:val="269"/>
    <w:qFormat/>
    <w:uiPriority w:val="99"/>
    <w:pPr>
      <w:spacing w:after="153"/>
    </w:pPr>
    <w:rPr>
      <w:rFonts w:ascii="黑体" w:eastAsia="黑体"/>
      <w:color w:val="auto"/>
    </w:rPr>
  </w:style>
  <w:style w:type="paragraph" w:customStyle="1" w:styleId="26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0">
    <w:name w:val="CM11"/>
    <w:basedOn w:val="269"/>
    <w:next w:val="269"/>
    <w:qFormat/>
    <w:uiPriority w:val="99"/>
    <w:pPr>
      <w:spacing w:line="468" w:lineRule="atLeast"/>
    </w:pPr>
    <w:rPr>
      <w:rFonts w:ascii="黑体" w:eastAsia="黑体"/>
      <w:color w:val="auto"/>
    </w:rPr>
  </w:style>
  <w:style w:type="paragraph" w:customStyle="1" w:styleId="271">
    <w:name w:val="CM26"/>
    <w:basedOn w:val="269"/>
    <w:next w:val="269"/>
    <w:qFormat/>
    <w:uiPriority w:val="99"/>
    <w:pPr>
      <w:spacing w:after="210"/>
    </w:pPr>
    <w:rPr>
      <w:rFonts w:ascii="黑体" w:eastAsia="黑体"/>
      <w:color w:val="auto"/>
    </w:rPr>
  </w:style>
  <w:style w:type="paragraph" w:customStyle="1" w:styleId="272">
    <w:name w:val="List Paragraph11"/>
    <w:basedOn w:val="1"/>
    <w:link w:val="463"/>
    <w:qFormat/>
    <w:uiPriority w:val="99"/>
    <w:pPr>
      <w:ind w:firstLine="200" w:firstLineChars="200"/>
    </w:pPr>
    <w:rPr>
      <w:rFonts w:eastAsia="KaiTi_GB2312"/>
      <w:kern w:val="0"/>
      <w:sz w:val="24"/>
    </w:rPr>
  </w:style>
  <w:style w:type="paragraph" w:customStyle="1" w:styleId="27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8">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9">
    <w:name w:val="纯文本1"/>
    <w:basedOn w:val="1"/>
    <w:qFormat/>
    <w:uiPriority w:val="99"/>
    <w:rPr>
      <w:rFonts w:ascii="宋体" w:hAnsi="Courier New"/>
      <w:kern w:val="0"/>
      <w:sz w:val="20"/>
      <w:szCs w:val="20"/>
    </w:rPr>
  </w:style>
  <w:style w:type="paragraph" w:customStyle="1" w:styleId="290">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1">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2">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5">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6">
    <w:name w:val="msormpane"/>
    <w:qFormat/>
    <w:uiPriority w:val="99"/>
    <w:rPr>
      <w:rFonts w:ascii="Times New Roman" w:hAnsi="Times New Roman" w:eastAsia="宋体" w:cs="Times New Roman"/>
      <w:kern w:val="2"/>
      <w:sz w:val="21"/>
      <w:lang w:val="en-US" w:eastAsia="zh-CN" w:bidi="ar-SA"/>
    </w:rPr>
  </w:style>
  <w:style w:type="paragraph" w:customStyle="1" w:styleId="297">
    <w:name w:val="msolistparagraph"/>
    <w:basedOn w:val="1"/>
    <w:qFormat/>
    <w:uiPriority w:val="99"/>
    <w:pPr>
      <w:ind w:firstLine="200" w:firstLineChars="200"/>
    </w:pPr>
    <w:rPr>
      <w:rFonts w:eastAsia="KaiTi_GB2312" w:cs="Lucida Sans"/>
      <w:sz w:val="24"/>
    </w:rPr>
  </w:style>
  <w:style w:type="paragraph" w:customStyle="1" w:styleId="298">
    <w:name w:val="Char21"/>
    <w:basedOn w:val="1"/>
    <w:qFormat/>
    <w:uiPriority w:val="99"/>
    <w:rPr>
      <w:rFonts w:ascii="FangSong_GB2312" w:eastAsia="FangSong_GB2312"/>
      <w:b/>
      <w:sz w:val="32"/>
      <w:szCs w:val="32"/>
    </w:rPr>
  </w:style>
  <w:style w:type="paragraph" w:customStyle="1" w:styleId="299">
    <w:name w:val="Char Char11"/>
    <w:basedOn w:val="1"/>
    <w:qFormat/>
    <w:uiPriority w:val="99"/>
    <w:pPr>
      <w:widowControl/>
      <w:spacing w:after="160" w:line="240" w:lineRule="exact"/>
      <w:jc w:val="left"/>
    </w:pPr>
    <w:rPr>
      <w:rFonts w:eastAsia="FangSong_GB2312"/>
      <w:sz w:val="28"/>
    </w:rPr>
  </w:style>
  <w:style w:type="paragraph" w:customStyle="1" w:styleId="300">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1">
    <w:name w:val="Char Char1 Char Char Char Char Char Char1"/>
    <w:basedOn w:val="1"/>
    <w:qFormat/>
    <w:uiPriority w:val="99"/>
    <w:rPr>
      <w:rFonts w:ascii="FangSong_GB2312" w:eastAsia="FangSong_GB2312"/>
      <w:b/>
      <w:sz w:val="32"/>
      <w:szCs w:val="20"/>
    </w:rPr>
  </w:style>
  <w:style w:type="paragraph" w:customStyle="1" w:styleId="302">
    <w:name w:val="Char Char Char Char Char Char Char Char1"/>
    <w:basedOn w:val="1"/>
    <w:qFormat/>
    <w:uiPriority w:val="99"/>
    <w:pPr>
      <w:tabs>
        <w:tab w:val="left" w:pos="360"/>
      </w:tabs>
    </w:pPr>
    <w:rPr>
      <w:sz w:val="24"/>
      <w:szCs w:val="20"/>
    </w:rPr>
  </w:style>
  <w:style w:type="paragraph" w:customStyle="1" w:styleId="303">
    <w:name w:val="Char Char Char Char Char Char Char Char Char Char Char Char1 Char1"/>
    <w:basedOn w:val="1"/>
    <w:qFormat/>
    <w:uiPriority w:val="99"/>
    <w:rPr>
      <w:rFonts w:ascii="Tahoma" w:hAnsi="Tahoma" w:cs="FangSong_GB2312"/>
      <w:sz w:val="24"/>
      <w:szCs w:val="20"/>
    </w:rPr>
  </w:style>
  <w:style w:type="paragraph" w:customStyle="1" w:styleId="30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6">
    <w:name w:val="Char32"/>
    <w:basedOn w:val="1"/>
    <w:qFormat/>
    <w:uiPriority w:val="99"/>
    <w:rPr>
      <w:rFonts w:ascii="FangSong_GB2312" w:eastAsia="FangSong_GB2312"/>
      <w:b/>
      <w:sz w:val="32"/>
      <w:szCs w:val="32"/>
    </w:rPr>
  </w:style>
  <w:style w:type="paragraph" w:customStyle="1" w:styleId="307">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0">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2">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3">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6">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3">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6">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8">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9">
    <w:name w:val="font10"/>
    <w:basedOn w:val="1"/>
    <w:qFormat/>
    <w:uiPriority w:val="99"/>
    <w:pPr>
      <w:widowControl/>
      <w:spacing w:before="100" w:beforeAutospacing="1" w:after="100" w:afterAutospacing="1"/>
      <w:jc w:val="left"/>
    </w:pPr>
    <w:rPr>
      <w:kern w:val="0"/>
      <w:sz w:val="18"/>
      <w:szCs w:val="18"/>
    </w:rPr>
  </w:style>
  <w:style w:type="paragraph" w:customStyle="1" w:styleId="330">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1">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3">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4">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5">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6">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7">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8">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0">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1">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2">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4">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FangSong_GB2312" w:hAnsi="宋体" w:eastAsia="FangSong_GB2312" w:cs="宋体"/>
      <w:b/>
      <w:bCs/>
      <w:color w:val="000000"/>
      <w:kern w:val="0"/>
      <w:sz w:val="24"/>
    </w:rPr>
  </w:style>
  <w:style w:type="paragraph" w:customStyle="1" w:styleId="345">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6">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FangSong_GB2312" w:hAnsi="宋体" w:eastAsia="FangSong_GB2312" w:cs="宋体"/>
      <w:color w:val="000000"/>
      <w:kern w:val="0"/>
      <w:sz w:val="24"/>
    </w:rPr>
  </w:style>
  <w:style w:type="paragraph" w:customStyle="1" w:styleId="347">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FangSong_GB2312" w:hAnsi="宋体" w:eastAsia="FangSong_GB2312" w:cs="宋体"/>
      <w:color w:val="000000"/>
      <w:kern w:val="0"/>
      <w:sz w:val="24"/>
    </w:rPr>
  </w:style>
  <w:style w:type="paragraph" w:customStyle="1" w:styleId="348">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9">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0">
    <w:name w:val="Char Char1 Char Char Char Char Char Char Char Char"/>
    <w:basedOn w:val="1"/>
    <w:qFormat/>
    <w:uiPriority w:val="99"/>
    <w:pPr>
      <w:spacing w:after="160" w:line="240" w:lineRule="exact"/>
      <w:jc w:val="left"/>
    </w:pPr>
    <w:rPr>
      <w:szCs w:val="20"/>
    </w:rPr>
  </w:style>
  <w:style w:type="paragraph" w:customStyle="1" w:styleId="351">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2">
    <w:name w:val="招标文件－标准正文"/>
    <w:basedOn w:val="37"/>
    <w:qFormat/>
    <w:uiPriority w:val="99"/>
    <w:rPr>
      <w:rFonts w:ascii="Times New Roman" w:hAnsi="Times New Roman"/>
      <w:color w:val="000000"/>
      <w:sz w:val="24"/>
    </w:rPr>
  </w:style>
  <w:style w:type="paragraph" w:customStyle="1" w:styleId="353">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4">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5">
    <w:name w:val="正文 + 宋体"/>
    <w:basedOn w:val="1"/>
    <w:next w:val="1"/>
    <w:qFormat/>
    <w:uiPriority w:val="99"/>
    <w:pPr>
      <w:spacing w:after="120" w:line="480" w:lineRule="auto"/>
    </w:pPr>
    <w:rPr>
      <w:rFonts w:ascii="宋体" w:hAnsi="宋体"/>
      <w:kern w:val="0"/>
      <w:sz w:val="24"/>
    </w:rPr>
  </w:style>
  <w:style w:type="paragraph" w:customStyle="1" w:styleId="356">
    <w:name w:val="pa-15"/>
    <w:basedOn w:val="1"/>
    <w:qFormat/>
    <w:uiPriority w:val="99"/>
    <w:pPr>
      <w:widowControl/>
      <w:spacing w:line="240" w:lineRule="atLeast"/>
      <w:jc w:val="center"/>
    </w:pPr>
    <w:rPr>
      <w:rFonts w:ascii="宋体" w:hAnsi="宋体" w:cs="宋体"/>
      <w:kern w:val="0"/>
      <w:sz w:val="24"/>
    </w:rPr>
  </w:style>
  <w:style w:type="paragraph" w:customStyle="1" w:styleId="357">
    <w:name w:val="p0"/>
    <w:basedOn w:val="1"/>
    <w:qFormat/>
    <w:uiPriority w:val="99"/>
    <w:pPr>
      <w:widowControl/>
    </w:pPr>
    <w:rPr>
      <w:kern w:val="0"/>
      <w:szCs w:val="20"/>
    </w:rPr>
  </w:style>
  <w:style w:type="paragraph" w:customStyle="1" w:styleId="358">
    <w:name w:val="样式 标题 2 + 四号"/>
    <w:basedOn w:val="4"/>
    <w:qFormat/>
    <w:uiPriority w:val="99"/>
    <w:pPr>
      <w:spacing w:before="120" w:after="120"/>
      <w:ind w:left="0" w:firstLine="0"/>
    </w:pPr>
    <w:rPr>
      <w:rFonts w:hAnsi="Arial"/>
      <w:sz w:val="28"/>
      <w:szCs w:val="32"/>
      <w:lang w:val="en-US"/>
    </w:rPr>
  </w:style>
  <w:style w:type="paragraph" w:customStyle="1" w:styleId="359">
    <w:name w:val="哈哈正文"/>
    <w:basedOn w:val="1"/>
    <w:link w:val="467"/>
    <w:qFormat/>
    <w:uiPriority w:val="99"/>
    <w:pPr>
      <w:ind w:firstLine="200" w:firstLineChars="200"/>
    </w:pPr>
    <w:rPr>
      <w:rFonts w:ascii="宋体" w:hAnsi="宋体"/>
      <w:kern w:val="0"/>
      <w:sz w:val="24"/>
      <w:szCs w:val="20"/>
    </w:rPr>
  </w:style>
  <w:style w:type="paragraph" w:customStyle="1" w:styleId="360">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2">
    <w:name w:val="样式3"/>
    <w:basedOn w:val="1"/>
    <w:link w:val="468"/>
    <w:qFormat/>
    <w:uiPriority w:val="99"/>
    <w:pPr>
      <w:numPr>
        <w:ilvl w:val="0"/>
        <w:numId w:val="16"/>
      </w:numPr>
      <w:adjustRightInd w:val="0"/>
      <w:snapToGrid w:val="0"/>
    </w:pPr>
    <w:rPr>
      <w:rFonts w:ascii="FangSong_GB2312" w:hAnsi="仿宋" w:eastAsia="FangSong_GB2312"/>
      <w:b/>
      <w:color w:val="000000"/>
      <w:sz w:val="28"/>
      <w:szCs w:val="28"/>
    </w:rPr>
  </w:style>
  <w:style w:type="paragraph" w:customStyle="1" w:styleId="363">
    <w:name w:val="样式 正文文字缩进 + 仿宋_GB2312"/>
    <w:basedOn w:val="27"/>
    <w:qFormat/>
    <w:uiPriority w:val="99"/>
    <w:pPr>
      <w:widowControl/>
      <w:tabs>
        <w:tab w:val="right" w:pos="8640"/>
      </w:tabs>
      <w:spacing w:before="120" w:line="240" w:lineRule="auto"/>
    </w:pPr>
    <w:rPr>
      <w:rFonts w:ascii="FangSong_GB2312" w:hAnsi="FangSong_GB2312"/>
    </w:rPr>
  </w:style>
  <w:style w:type="paragraph" w:customStyle="1" w:styleId="364">
    <w:name w:val="Char Char Char1 Char"/>
    <w:basedOn w:val="1"/>
    <w:qFormat/>
    <w:uiPriority w:val="99"/>
    <w:rPr>
      <w:szCs w:val="20"/>
    </w:rPr>
  </w:style>
  <w:style w:type="paragraph" w:customStyle="1" w:styleId="365">
    <w:name w:val="样式5"/>
    <w:basedOn w:val="1"/>
    <w:qFormat/>
    <w:uiPriority w:val="99"/>
    <w:pPr>
      <w:adjustRightInd w:val="0"/>
      <w:spacing w:line="440" w:lineRule="exact"/>
      <w:ind w:left="2" w:firstLine="480" w:firstLineChars="200"/>
    </w:pPr>
    <w:rPr>
      <w:rFonts w:ascii="FangSong_GB2312" w:hAnsi="仿宋" w:eastAsia="FangSong_GB2312"/>
      <w:sz w:val="24"/>
    </w:rPr>
  </w:style>
  <w:style w:type="paragraph" w:customStyle="1" w:styleId="366">
    <w:name w:val="带编号样式"/>
    <w:basedOn w:val="1"/>
    <w:link w:val="473"/>
    <w:qFormat/>
    <w:uiPriority w:val="99"/>
    <w:pPr>
      <w:numPr>
        <w:ilvl w:val="0"/>
        <w:numId w:val="17"/>
      </w:numPr>
      <w:tabs>
        <w:tab w:val="left" w:pos="840"/>
      </w:tabs>
      <w:adjustRightInd w:val="0"/>
      <w:snapToGrid w:val="0"/>
    </w:pPr>
    <w:rPr>
      <w:rFonts w:ascii="FangSong_GB2312" w:hAnsi="Calibri" w:eastAsia="FangSong_GB2312"/>
      <w:color w:val="000000"/>
      <w:sz w:val="24"/>
      <w:szCs w:val="22"/>
    </w:rPr>
  </w:style>
  <w:style w:type="paragraph" w:customStyle="1" w:styleId="367">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公文正文"/>
    <w:basedOn w:val="1"/>
    <w:link w:val="475"/>
    <w:qFormat/>
    <w:uiPriority w:val="99"/>
    <w:pPr>
      <w:spacing w:before="156"/>
      <w:ind w:firstLine="360" w:firstLineChars="200"/>
    </w:pPr>
    <w:rPr>
      <w:rFonts w:ascii="FangSong_GB2312" w:eastAsia="FangSong_GB2312"/>
      <w:kern w:val="0"/>
      <w:sz w:val="24"/>
    </w:rPr>
  </w:style>
  <w:style w:type="paragraph" w:customStyle="1" w:styleId="369">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1">
    <w:name w:val="Proposals body"/>
    <w:basedOn w:val="1"/>
    <w:next w:val="1"/>
    <w:qFormat/>
    <w:uiPriority w:val="99"/>
    <w:pPr>
      <w:widowControl/>
      <w:jc w:val="left"/>
    </w:pPr>
    <w:rPr>
      <w:rFonts w:ascii="宋体"/>
      <w:color w:val="000000"/>
      <w:kern w:val="0"/>
      <w:sz w:val="24"/>
      <w:szCs w:val="20"/>
    </w:rPr>
  </w:style>
  <w:style w:type="paragraph" w:customStyle="1" w:styleId="372">
    <w:name w:val="表格（小）"/>
    <w:basedOn w:val="1"/>
    <w:qFormat/>
    <w:uiPriority w:val="99"/>
    <w:pPr>
      <w:snapToGrid w:val="0"/>
      <w:spacing w:line="300" w:lineRule="auto"/>
    </w:pPr>
    <w:rPr>
      <w:rFonts w:eastAsia="仿宋"/>
      <w:szCs w:val="21"/>
    </w:rPr>
  </w:style>
  <w:style w:type="paragraph" w:customStyle="1" w:styleId="373">
    <w:name w:val="1."/>
    <w:basedOn w:val="1"/>
    <w:qFormat/>
    <w:uiPriority w:val="99"/>
    <w:pPr>
      <w:ind w:firstLine="480" w:firstLineChars="200"/>
    </w:pPr>
    <w:rPr>
      <w:sz w:val="24"/>
    </w:rPr>
  </w:style>
  <w:style w:type="paragraph" w:customStyle="1" w:styleId="374">
    <w:name w:val="Char Char Char Char Char Char Char Char Char Char Char1 Char"/>
    <w:basedOn w:val="1"/>
    <w:qFormat/>
    <w:uiPriority w:val="99"/>
    <w:rPr>
      <w:rFonts w:ascii="Tahoma" w:hAnsi="Tahoma"/>
      <w:sz w:val="24"/>
    </w:rPr>
  </w:style>
  <w:style w:type="paragraph" w:customStyle="1" w:styleId="375">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6">
    <w:name w:val="正文首行缩进（ACK）"/>
    <w:basedOn w:val="1"/>
    <w:link w:val="479"/>
    <w:qFormat/>
    <w:uiPriority w:val="99"/>
    <w:pPr>
      <w:widowControl/>
      <w:spacing w:after="50" w:line="300" w:lineRule="auto"/>
      <w:ind w:firstLine="200" w:firstLineChars="200"/>
      <w:jc w:val="left"/>
    </w:pPr>
    <w:rPr>
      <w:rFonts w:ascii="Arial" w:hAnsi="Arial"/>
      <w:kern w:val="0"/>
      <w:sz w:val="20"/>
      <w:szCs w:val="21"/>
    </w:rPr>
  </w:style>
  <w:style w:type="paragraph" w:customStyle="1" w:styleId="377">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8">
    <w:name w:val="table_lines"/>
    <w:basedOn w:val="1"/>
    <w:qFormat/>
    <w:uiPriority w:val="99"/>
    <w:pPr>
      <w:widowControl/>
      <w:jc w:val="left"/>
    </w:pPr>
    <w:rPr>
      <w:kern w:val="0"/>
      <w:sz w:val="20"/>
      <w:szCs w:val="20"/>
    </w:rPr>
  </w:style>
  <w:style w:type="paragraph" w:customStyle="1" w:styleId="379">
    <w:name w:val="Normal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80">
    <w:name w:val="Char3 Char Char Char Char Char Char"/>
    <w:basedOn w:val="1"/>
    <w:qFormat/>
    <w:uiPriority w:val="99"/>
    <w:rPr>
      <w:rFonts w:ascii="Arial" w:hAnsi="Arial" w:eastAsia="黑体" w:cs="Arial"/>
      <w:kern w:val="0"/>
      <w:szCs w:val="21"/>
    </w:rPr>
  </w:style>
  <w:style w:type="paragraph" w:customStyle="1" w:styleId="381">
    <w:name w:val="正文，首行缩进:  2 字符"/>
    <w:qFormat/>
    <w:uiPriority w:val="99"/>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382">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3">
    <w:name w:val="List Paragraph1"/>
    <w:basedOn w:val="1"/>
    <w:qFormat/>
    <w:uiPriority w:val="99"/>
    <w:pPr>
      <w:ind w:firstLine="420" w:firstLineChars="200"/>
    </w:pPr>
    <w:rPr>
      <w:szCs w:val="21"/>
    </w:rPr>
  </w:style>
  <w:style w:type="character" w:customStyle="1" w:styleId="384">
    <w:name w:val="标题 1 Char"/>
    <w:basedOn w:val="81"/>
    <w:qFormat/>
    <w:uiPriority w:val="99"/>
    <w:rPr>
      <w:rFonts w:ascii="Times New Roman" w:hAnsi="Times New Roman" w:eastAsia="宋体" w:cs="Times New Roman"/>
      <w:b/>
      <w:bCs/>
      <w:kern w:val="44"/>
      <w:sz w:val="44"/>
      <w:szCs w:val="44"/>
    </w:rPr>
  </w:style>
  <w:style w:type="character" w:customStyle="1" w:styleId="385">
    <w:name w:val="标题 2 Char"/>
    <w:basedOn w:val="81"/>
    <w:qFormat/>
    <w:uiPriority w:val="99"/>
    <w:rPr>
      <w:rFonts w:ascii="Calibri Light" w:hAnsi="Calibri Light" w:eastAsia="宋体" w:cs="黑体"/>
      <w:b/>
      <w:bCs/>
      <w:sz w:val="32"/>
      <w:szCs w:val="32"/>
    </w:rPr>
  </w:style>
  <w:style w:type="character" w:customStyle="1" w:styleId="386">
    <w:name w:val="标题 3 Char"/>
    <w:basedOn w:val="81"/>
    <w:qFormat/>
    <w:uiPriority w:val="99"/>
    <w:rPr>
      <w:rFonts w:ascii="Times New Roman" w:hAnsi="Times New Roman" w:eastAsia="宋体" w:cs="Times New Roman"/>
      <w:b/>
      <w:bCs/>
      <w:sz w:val="32"/>
      <w:szCs w:val="32"/>
    </w:rPr>
  </w:style>
  <w:style w:type="character" w:customStyle="1" w:styleId="387">
    <w:name w:val="标题 4 Char"/>
    <w:basedOn w:val="81"/>
    <w:qFormat/>
    <w:uiPriority w:val="99"/>
    <w:rPr>
      <w:rFonts w:ascii="Calibri Light" w:hAnsi="Calibri Light" w:eastAsia="宋体" w:cs="黑体"/>
      <w:b/>
      <w:bCs/>
      <w:sz w:val="28"/>
      <w:szCs w:val="28"/>
    </w:rPr>
  </w:style>
  <w:style w:type="character" w:customStyle="1" w:styleId="388">
    <w:name w:val="标题 5 Char"/>
    <w:basedOn w:val="81"/>
    <w:qFormat/>
    <w:uiPriority w:val="99"/>
    <w:rPr>
      <w:rFonts w:ascii="Times New Roman" w:hAnsi="Times New Roman" w:eastAsia="宋体" w:cs="Times New Roman"/>
      <w:b/>
      <w:bCs/>
      <w:sz w:val="28"/>
      <w:szCs w:val="28"/>
    </w:rPr>
  </w:style>
  <w:style w:type="character" w:customStyle="1" w:styleId="389">
    <w:name w:val="标题 6 Char"/>
    <w:basedOn w:val="81"/>
    <w:qFormat/>
    <w:uiPriority w:val="99"/>
    <w:rPr>
      <w:rFonts w:ascii="Calibri Light" w:hAnsi="Calibri Light" w:eastAsia="宋体" w:cs="黑体"/>
      <w:b/>
      <w:bCs/>
      <w:sz w:val="24"/>
      <w:szCs w:val="24"/>
    </w:rPr>
  </w:style>
  <w:style w:type="character" w:customStyle="1" w:styleId="390">
    <w:name w:val="标题 7 Char"/>
    <w:basedOn w:val="81"/>
    <w:qFormat/>
    <w:uiPriority w:val="99"/>
    <w:rPr>
      <w:rFonts w:ascii="Times New Roman" w:hAnsi="Times New Roman" w:eastAsia="宋体" w:cs="Times New Roman"/>
      <w:b/>
      <w:bCs/>
      <w:sz w:val="24"/>
      <w:szCs w:val="24"/>
    </w:rPr>
  </w:style>
  <w:style w:type="character" w:customStyle="1" w:styleId="391">
    <w:name w:val="标题 8 Char"/>
    <w:basedOn w:val="81"/>
    <w:qFormat/>
    <w:uiPriority w:val="99"/>
    <w:rPr>
      <w:rFonts w:ascii="Calibri Light" w:hAnsi="Calibri Light" w:eastAsia="宋体" w:cs="黑体"/>
      <w:sz w:val="24"/>
      <w:szCs w:val="24"/>
    </w:rPr>
  </w:style>
  <w:style w:type="character" w:customStyle="1" w:styleId="392">
    <w:name w:val="标题 9 Char"/>
    <w:basedOn w:val="81"/>
    <w:qFormat/>
    <w:uiPriority w:val="99"/>
    <w:rPr>
      <w:rFonts w:ascii="Calibri Light" w:hAnsi="Calibri Light" w:eastAsia="宋体" w:cs="黑体"/>
      <w:sz w:val="21"/>
      <w:szCs w:val="21"/>
    </w:rPr>
  </w:style>
  <w:style w:type="character" w:customStyle="1" w:styleId="393">
    <w:name w:val="纯文本 Char"/>
    <w:basedOn w:val="81"/>
    <w:qFormat/>
    <w:uiPriority w:val="99"/>
    <w:rPr>
      <w:rFonts w:ascii="宋体" w:hAnsi="Courier New" w:eastAsia="宋体" w:cs="Courier New"/>
      <w:sz w:val="21"/>
      <w:szCs w:val="21"/>
    </w:rPr>
  </w:style>
  <w:style w:type="character" w:customStyle="1" w:styleId="394">
    <w:name w:val="正文文本缩进 2 Char"/>
    <w:basedOn w:val="81"/>
    <w:qFormat/>
    <w:uiPriority w:val="99"/>
    <w:rPr>
      <w:rFonts w:ascii="Times New Roman" w:hAnsi="Times New Roman" w:eastAsia="宋体" w:cs="Times New Roman"/>
      <w:sz w:val="24"/>
      <w:szCs w:val="24"/>
    </w:rPr>
  </w:style>
  <w:style w:type="character" w:customStyle="1" w:styleId="395">
    <w:name w:val="正文文本缩进 Char"/>
    <w:basedOn w:val="81"/>
    <w:qFormat/>
    <w:uiPriority w:val="99"/>
    <w:rPr>
      <w:rFonts w:ascii="Times New Roman" w:hAnsi="Times New Roman" w:eastAsia="宋体" w:cs="Times New Roman"/>
      <w:sz w:val="24"/>
      <w:szCs w:val="24"/>
    </w:rPr>
  </w:style>
  <w:style w:type="character" w:customStyle="1" w:styleId="396">
    <w:name w:val="正文文本 3 Char"/>
    <w:basedOn w:val="81"/>
    <w:qFormat/>
    <w:uiPriority w:val="99"/>
    <w:rPr>
      <w:rFonts w:ascii="Times New Roman" w:hAnsi="Times New Roman" w:eastAsia="宋体" w:cs="Times New Roman"/>
      <w:sz w:val="16"/>
      <w:szCs w:val="16"/>
    </w:rPr>
  </w:style>
  <w:style w:type="character" w:customStyle="1" w:styleId="397">
    <w:name w:val="正文文本缩进 3 Char"/>
    <w:basedOn w:val="81"/>
    <w:qFormat/>
    <w:uiPriority w:val="99"/>
    <w:rPr>
      <w:rFonts w:ascii="Times New Roman" w:hAnsi="Times New Roman" w:eastAsia="宋体" w:cs="Times New Roman"/>
      <w:sz w:val="16"/>
      <w:szCs w:val="16"/>
    </w:rPr>
  </w:style>
  <w:style w:type="character" w:customStyle="1" w:styleId="398">
    <w:name w:val="批注框文本 Char"/>
    <w:basedOn w:val="81"/>
    <w:qFormat/>
    <w:uiPriority w:val="99"/>
    <w:rPr>
      <w:rFonts w:ascii="Times New Roman" w:hAnsi="Times New Roman" w:eastAsia="宋体" w:cs="Times New Roman"/>
      <w:sz w:val="18"/>
      <w:szCs w:val="18"/>
    </w:rPr>
  </w:style>
  <w:style w:type="character" w:customStyle="1" w:styleId="399">
    <w:name w:val="Char Char21"/>
    <w:qFormat/>
    <w:uiPriority w:val="99"/>
    <w:rPr>
      <w:rFonts w:ascii="宋体" w:hAnsi="Courier New" w:eastAsia="宋体"/>
      <w:kern w:val="2"/>
      <w:sz w:val="21"/>
      <w:lang w:val="en-US" w:eastAsia="zh-CN"/>
    </w:rPr>
  </w:style>
  <w:style w:type="character" w:customStyle="1" w:styleId="400">
    <w:name w:val="纯文本 Char Char Char"/>
    <w:qFormat/>
    <w:uiPriority w:val="99"/>
    <w:rPr>
      <w:rFonts w:ascii="宋体" w:hAnsi="Courier New" w:eastAsia="宋体"/>
      <w:kern w:val="2"/>
      <w:sz w:val="21"/>
      <w:lang w:val="en-US" w:eastAsia="zh-CN"/>
    </w:rPr>
  </w:style>
  <w:style w:type="character" w:customStyle="1" w:styleId="401">
    <w:name w:val="hui"/>
    <w:basedOn w:val="81"/>
    <w:qFormat/>
    <w:uiPriority w:val="99"/>
    <w:rPr>
      <w:rFonts w:cs="Times New Roman"/>
    </w:rPr>
  </w:style>
  <w:style w:type="character" w:customStyle="1" w:styleId="402">
    <w:name w:val="hui3"/>
    <w:qFormat/>
    <w:uiPriority w:val="99"/>
    <w:rPr>
      <w:color w:val="333333"/>
    </w:rPr>
  </w:style>
  <w:style w:type="character" w:customStyle="1" w:styleId="403">
    <w:name w:val="gf正文1 Char"/>
    <w:link w:val="157"/>
    <w:qFormat/>
    <w:locked/>
    <w:uiPriority w:val="99"/>
    <w:rPr>
      <w:rFonts w:ascii="宋体" w:hAnsi="宋体" w:eastAsia="宋体"/>
      <w:sz w:val="24"/>
    </w:rPr>
  </w:style>
  <w:style w:type="character" w:customStyle="1" w:styleId="404">
    <w:name w:val="正文缩进 Char2"/>
    <w:link w:val="17"/>
    <w:qFormat/>
    <w:locked/>
    <w:uiPriority w:val="99"/>
    <w:rPr>
      <w:rFonts w:ascii="宋体" w:hAnsi="Times New Roman" w:eastAsia="宋体"/>
      <w:snapToGrid w:val="0"/>
      <w:color w:val="000000"/>
      <w:kern w:val="28"/>
      <w:sz w:val="20"/>
    </w:rPr>
  </w:style>
  <w:style w:type="character" w:customStyle="1" w:styleId="405">
    <w:name w:val="普通文字 Char Char1"/>
    <w:qFormat/>
    <w:uiPriority w:val="99"/>
    <w:rPr>
      <w:rFonts w:ascii="宋体" w:hAnsi="Courier New"/>
      <w:kern w:val="2"/>
      <w:sz w:val="21"/>
    </w:rPr>
  </w:style>
  <w:style w:type="character" w:customStyle="1" w:styleId="406">
    <w:name w:val="shadow11"/>
    <w:qFormat/>
    <w:uiPriority w:val="99"/>
    <w:rPr>
      <w:color w:val="000000"/>
      <w:sz w:val="21"/>
    </w:rPr>
  </w:style>
  <w:style w:type="character" w:customStyle="1" w:styleId="407">
    <w:name w:val="普通文字 Char1"/>
    <w:qFormat/>
    <w:uiPriority w:val="99"/>
    <w:rPr>
      <w:rFonts w:ascii="宋体" w:hAnsi="Courier New" w:eastAsia="宋体"/>
      <w:kern w:val="2"/>
      <w:sz w:val="21"/>
      <w:lang w:val="en-US" w:eastAsia="zh-CN"/>
    </w:rPr>
  </w:style>
  <w:style w:type="character" w:customStyle="1" w:styleId="408">
    <w:name w:val="FA正文 Char Char"/>
    <w:link w:val="168"/>
    <w:qFormat/>
    <w:locked/>
    <w:uiPriority w:val="99"/>
    <w:rPr>
      <w:rFonts w:hAnsi="宋体"/>
      <w:sz w:val="24"/>
    </w:rPr>
  </w:style>
  <w:style w:type="character" w:customStyle="1" w:styleId="409">
    <w:name w:val="md"/>
    <w:basedOn w:val="81"/>
    <w:qFormat/>
    <w:uiPriority w:val="99"/>
    <w:rPr>
      <w:rFonts w:cs="Times New Roman"/>
    </w:rPr>
  </w:style>
  <w:style w:type="character" w:customStyle="1" w:styleId="410">
    <w:name w:val="正文首行缩进 Char"/>
    <w:basedOn w:val="108"/>
    <w:qFormat/>
    <w:uiPriority w:val="99"/>
    <w:rPr>
      <w:rFonts w:ascii="宋体" w:hAnsi="Times New Roman" w:eastAsia="宋体" w:cs="Times New Roman"/>
      <w:sz w:val="21"/>
      <w:szCs w:val="21"/>
      <w:lang w:val="zh-CN"/>
    </w:rPr>
  </w:style>
  <w:style w:type="character" w:customStyle="1" w:styleId="411">
    <w:name w:val="unnamed11"/>
    <w:qFormat/>
    <w:uiPriority w:val="99"/>
    <w:rPr>
      <w:sz w:val="20"/>
    </w:rPr>
  </w:style>
  <w:style w:type="character" w:customStyle="1" w:styleId="412">
    <w:name w:val="dectext1"/>
    <w:qFormat/>
    <w:uiPriority w:val="99"/>
    <w:rPr>
      <w:rFonts w:ascii="宋体" w:hAnsi="宋体" w:eastAsia="宋体"/>
      <w:color w:val="333333"/>
      <w:sz w:val="21"/>
      <w:u w:val="none"/>
    </w:rPr>
  </w:style>
  <w:style w:type="character" w:customStyle="1" w:styleId="413">
    <w:name w:val="正文非缩进 Char"/>
    <w:qFormat/>
    <w:uiPriority w:val="99"/>
    <w:rPr>
      <w:rFonts w:ascii="宋体" w:eastAsia="宋体"/>
      <w:snapToGrid w:val="0"/>
      <w:color w:val="000000"/>
      <w:kern w:val="28"/>
      <w:sz w:val="28"/>
      <w:lang w:val="en-US" w:eastAsia="zh-CN"/>
    </w:rPr>
  </w:style>
  <w:style w:type="character" w:customStyle="1" w:styleId="414">
    <w:name w:val="正文2 Char"/>
    <w:link w:val="133"/>
    <w:qFormat/>
    <w:locked/>
    <w:uiPriority w:val="99"/>
    <w:rPr>
      <w:rFonts w:ascii="Times New Roman" w:hAnsi="Times New Roman" w:eastAsia="宋体"/>
      <w:sz w:val="20"/>
    </w:rPr>
  </w:style>
  <w:style w:type="character" w:customStyle="1" w:styleId="415">
    <w:name w:val="h3 Char"/>
    <w:qFormat/>
    <w:uiPriority w:val="99"/>
    <w:rPr>
      <w:rFonts w:eastAsia="宋体"/>
      <w:b/>
      <w:kern w:val="2"/>
      <w:sz w:val="32"/>
      <w:lang w:val="en-US" w:eastAsia="zh-CN"/>
    </w:rPr>
  </w:style>
  <w:style w:type="character" w:customStyle="1" w:styleId="416">
    <w:name w:val="签名 Char"/>
    <w:basedOn w:val="81"/>
    <w:qFormat/>
    <w:uiPriority w:val="99"/>
    <w:rPr>
      <w:rFonts w:ascii="Times New Roman" w:hAnsi="Times New Roman" w:eastAsia="宋体" w:cs="Times New Roman"/>
      <w:sz w:val="24"/>
      <w:szCs w:val="24"/>
    </w:rPr>
  </w:style>
  <w:style w:type="character" w:customStyle="1" w:styleId="417">
    <w:name w:val="称呼 Char"/>
    <w:basedOn w:val="81"/>
    <w:qFormat/>
    <w:uiPriority w:val="99"/>
    <w:rPr>
      <w:rFonts w:ascii="Times New Roman" w:hAnsi="Times New Roman" w:eastAsia="宋体" w:cs="Times New Roman"/>
      <w:sz w:val="24"/>
      <w:szCs w:val="24"/>
    </w:rPr>
  </w:style>
  <w:style w:type="character" w:customStyle="1" w:styleId="418">
    <w:name w:val="style91"/>
    <w:qFormat/>
    <w:uiPriority w:val="99"/>
    <w:rPr>
      <w:color w:val="333333"/>
    </w:rPr>
  </w:style>
  <w:style w:type="character" w:customStyle="1" w:styleId="419">
    <w:name w:val="Normal Indent Char Char"/>
    <w:qFormat/>
    <w:uiPriority w:val="99"/>
    <w:rPr>
      <w:rFonts w:eastAsia="宋体"/>
      <w:kern w:val="2"/>
      <w:sz w:val="21"/>
      <w:lang w:val="en-US" w:eastAsia="zh-CN"/>
    </w:rPr>
  </w:style>
  <w:style w:type="character" w:customStyle="1" w:styleId="420">
    <w:name w:val="large1"/>
    <w:qFormat/>
    <w:uiPriority w:val="99"/>
    <w:rPr>
      <w:rFonts w:ascii="宋体" w:hAnsi="宋体" w:eastAsia="宋体"/>
      <w:sz w:val="21"/>
    </w:rPr>
  </w:style>
  <w:style w:type="character" w:customStyle="1" w:styleId="421">
    <w:name w:val="Char Char5"/>
    <w:qFormat/>
    <w:uiPriority w:val="99"/>
    <w:rPr>
      <w:rFonts w:ascii="宋体" w:hAnsi="Courier New" w:eastAsia="宋体"/>
      <w:kern w:val="2"/>
      <w:sz w:val="21"/>
      <w:lang w:val="en-US" w:eastAsia="zh-CN"/>
    </w:rPr>
  </w:style>
  <w:style w:type="character" w:customStyle="1" w:styleId="422">
    <w:name w:val="页眉 Char1"/>
    <w:qFormat/>
    <w:uiPriority w:val="99"/>
    <w:rPr>
      <w:rFonts w:eastAsia="宋体"/>
      <w:kern w:val="2"/>
      <w:sz w:val="18"/>
      <w:lang w:val="en-US" w:eastAsia="zh-CN"/>
    </w:rPr>
  </w:style>
  <w:style w:type="character" w:customStyle="1" w:styleId="423">
    <w:name w:val="页脚 Char1"/>
    <w:qFormat/>
    <w:uiPriority w:val="99"/>
    <w:rPr>
      <w:rFonts w:eastAsia="宋体"/>
      <w:kern w:val="2"/>
      <w:sz w:val="18"/>
      <w:lang w:val="en-US" w:eastAsia="zh-CN"/>
    </w:rPr>
  </w:style>
  <w:style w:type="character" w:customStyle="1" w:styleId="424">
    <w:name w:val="普通文字 Char1 Char"/>
    <w:qFormat/>
    <w:uiPriority w:val="99"/>
    <w:rPr>
      <w:rFonts w:ascii="宋体" w:hAnsi="Courier New" w:eastAsia="宋体"/>
      <w:kern w:val="2"/>
      <w:sz w:val="24"/>
      <w:lang w:val="en-US" w:eastAsia="zh-CN"/>
    </w:rPr>
  </w:style>
  <w:style w:type="character" w:customStyle="1" w:styleId="425">
    <w:name w:val="表格 Char Char"/>
    <w:link w:val="209"/>
    <w:qFormat/>
    <w:locked/>
    <w:uiPriority w:val="99"/>
    <w:rPr>
      <w:rFonts w:ascii="宋体" w:hAnsi="宋体" w:eastAsia="宋体"/>
    </w:rPr>
  </w:style>
  <w:style w:type="character" w:customStyle="1" w:styleId="426">
    <w:name w:val="Table Text Char1"/>
    <w:link w:val="151"/>
    <w:qFormat/>
    <w:locked/>
    <w:uiPriority w:val="99"/>
    <w:rPr>
      <w:rFonts w:ascii="Times New Roman" w:hAnsi="Times New Roman" w:eastAsia="宋体"/>
      <w:kern w:val="0"/>
      <w:sz w:val="24"/>
    </w:rPr>
  </w:style>
  <w:style w:type="character" w:customStyle="1" w:styleId="427">
    <w:name w:val="Char Char8"/>
    <w:qFormat/>
    <w:uiPriority w:val="99"/>
    <w:rPr>
      <w:rFonts w:eastAsia="宋体"/>
      <w:b/>
      <w:sz w:val="24"/>
      <w:lang w:eastAsia="zh-CN"/>
    </w:rPr>
  </w:style>
  <w:style w:type="character" w:customStyle="1" w:styleId="428">
    <w:name w:val="正文缩进 Char"/>
    <w:qFormat/>
    <w:uiPriority w:val="99"/>
    <w:rPr>
      <w:rFonts w:eastAsia="宋体"/>
      <w:kern w:val="2"/>
      <w:sz w:val="21"/>
      <w:lang w:val="en-US" w:eastAsia="zh-CN"/>
    </w:rPr>
  </w:style>
  <w:style w:type="character" w:customStyle="1" w:styleId="429">
    <w:name w:val="标准正文格式 Char"/>
    <w:link w:val="225"/>
    <w:qFormat/>
    <w:locked/>
    <w:uiPriority w:val="99"/>
    <w:rPr>
      <w:rFonts w:ascii="宋体" w:hAnsi="Times New Roman" w:eastAsia="FangSong_GB2312"/>
      <w:color w:val="000000"/>
      <w:kern w:val="0"/>
      <w:sz w:val="20"/>
    </w:rPr>
  </w:style>
  <w:style w:type="character" w:customStyle="1" w:styleId="430">
    <w:name w:val="ca-131"/>
    <w:qFormat/>
    <w:uiPriority w:val="99"/>
    <w:rPr>
      <w:rFonts w:ascii="FangSong_GB2312" w:eastAsia="FangSong_GB2312"/>
      <w:b/>
      <w:color w:val="000000"/>
      <w:spacing w:val="-20"/>
      <w:sz w:val="24"/>
    </w:rPr>
  </w:style>
  <w:style w:type="character" w:customStyle="1" w:styleId="431">
    <w:name w:val="正文1 Char"/>
    <w:link w:val="232"/>
    <w:qFormat/>
    <w:locked/>
    <w:uiPriority w:val="99"/>
    <w:rPr>
      <w:rFonts w:ascii="宋体" w:hAnsi="宋体" w:eastAsia="宋体"/>
      <w:kern w:val="0"/>
      <w:sz w:val="20"/>
    </w:rPr>
  </w:style>
  <w:style w:type="character" w:customStyle="1" w:styleId="432">
    <w:name w:val="pt141"/>
    <w:qFormat/>
    <w:uiPriority w:val="99"/>
    <w:rPr>
      <w:color w:val="330066"/>
      <w:sz w:val="22"/>
    </w:rPr>
  </w:style>
  <w:style w:type="character" w:customStyle="1" w:styleId="433">
    <w:name w:val="dandyren_title1"/>
    <w:qFormat/>
    <w:uiPriority w:val="99"/>
    <w:rPr>
      <w:b/>
      <w:color w:val="FF6633"/>
      <w:sz w:val="18"/>
    </w:rPr>
  </w:style>
  <w:style w:type="character" w:customStyle="1" w:styleId="434">
    <w:name w:val="gray6"/>
    <w:basedOn w:val="81"/>
    <w:qFormat/>
    <w:uiPriority w:val="99"/>
    <w:rPr>
      <w:rFonts w:cs="Times New Roman"/>
    </w:rPr>
  </w:style>
  <w:style w:type="character" w:customStyle="1" w:styleId="435">
    <w:name w:val="blue1"/>
    <w:basedOn w:val="81"/>
    <w:qFormat/>
    <w:uiPriority w:val="99"/>
    <w:rPr>
      <w:rFonts w:cs="Times New Roman"/>
    </w:rPr>
  </w:style>
  <w:style w:type="character" w:customStyle="1" w:styleId="436">
    <w:name w:val="font21"/>
    <w:qFormat/>
    <w:uiPriority w:val="99"/>
    <w:rPr>
      <w:rFonts w:ascii="宋体" w:hAnsi="宋体" w:eastAsia="宋体"/>
      <w:kern w:val="2"/>
      <w:sz w:val="28"/>
      <w:lang w:val="en-US" w:eastAsia="zh-CN"/>
    </w:rPr>
  </w:style>
  <w:style w:type="character" w:customStyle="1" w:styleId="437">
    <w:name w:val="style36"/>
    <w:basedOn w:val="81"/>
    <w:qFormat/>
    <w:uiPriority w:val="99"/>
    <w:rPr>
      <w:rFonts w:cs="Times New Roman"/>
    </w:rPr>
  </w:style>
  <w:style w:type="character" w:customStyle="1" w:styleId="438">
    <w:name w:val="Ò³Ã¼ Char Char"/>
    <w:qFormat/>
    <w:uiPriority w:val="99"/>
    <w:rPr>
      <w:rFonts w:eastAsia="宋体"/>
      <w:kern w:val="2"/>
      <w:sz w:val="18"/>
      <w:lang w:val="en-US" w:eastAsia="zh-CN"/>
    </w:rPr>
  </w:style>
  <w:style w:type="character" w:customStyle="1" w:styleId="439">
    <w:name w:val="Footer-Even Char"/>
    <w:qFormat/>
    <w:uiPriority w:val="99"/>
    <w:rPr>
      <w:rFonts w:eastAsia="宋体"/>
      <w:kern w:val="2"/>
      <w:sz w:val="18"/>
      <w:lang w:val="en-US" w:eastAsia="zh-CN"/>
    </w:rPr>
  </w:style>
  <w:style w:type="character" w:customStyle="1" w:styleId="440">
    <w:name w:val="hei16b1"/>
    <w:qFormat/>
    <w:uiPriority w:val="99"/>
    <w:rPr>
      <w:rFonts w:ascii="Arial" w:hAnsi="Arial"/>
      <w:b/>
      <w:color w:val="000000"/>
      <w:sz w:val="24"/>
    </w:rPr>
  </w:style>
  <w:style w:type="character" w:customStyle="1" w:styleId="441">
    <w:name w:val="style5"/>
    <w:basedOn w:val="81"/>
    <w:qFormat/>
    <w:uiPriority w:val="99"/>
    <w:rPr>
      <w:rFonts w:cs="Times New Roman"/>
    </w:rPr>
  </w:style>
  <w:style w:type="character" w:customStyle="1" w:styleId="442">
    <w:name w:val="style6"/>
    <w:basedOn w:val="81"/>
    <w:qFormat/>
    <w:uiPriority w:val="99"/>
    <w:rPr>
      <w:rFonts w:cs="Times New Roman"/>
    </w:rPr>
  </w:style>
  <w:style w:type="character" w:customStyle="1" w:styleId="443">
    <w:name w:val="无间隔 Char"/>
    <w:link w:val="263"/>
    <w:qFormat/>
    <w:locked/>
    <w:uiPriority w:val="99"/>
    <w:rPr>
      <w:rFonts w:ascii="Calibri" w:hAnsi="Calibri"/>
      <w:sz w:val="22"/>
    </w:rPr>
  </w:style>
  <w:style w:type="character" w:customStyle="1" w:styleId="444">
    <w:name w:val="样式2 Char"/>
    <w:link w:val="266"/>
    <w:qFormat/>
    <w:locked/>
    <w:uiPriority w:val="99"/>
    <w:rPr>
      <w:rFonts w:ascii="FangSong_GB2312" w:hAnsi="仿宋" w:eastAsia="FangSong_GB2312"/>
      <w:kern w:val="0"/>
      <w:sz w:val="20"/>
    </w:rPr>
  </w:style>
  <w:style w:type="character" w:customStyle="1" w:styleId="445">
    <w:name w:val="文档结构图 Char2"/>
    <w:qFormat/>
    <w:uiPriority w:val="99"/>
    <w:rPr>
      <w:rFonts w:eastAsia="宋体"/>
      <w:kern w:val="2"/>
      <w:sz w:val="24"/>
      <w:lang w:val="en-US" w:eastAsia="zh-CN"/>
    </w:rPr>
  </w:style>
  <w:style w:type="character" w:customStyle="1" w:styleId="446">
    <w:name w:val="标题 Char2"/>
    <w:qFormat/>
    <w:uiPriority w:val="99"/>
    <w:rPr>
      <w:rFonts w:eastAsia="宋体"/>
      <w:b/>
      <w:sz w:val="24"/>
      <w:lang w:eastAsia="zh-CN"/>
    </w:rPr>
  </w:style>
  <w:style w:type="character" w:customStyle="1" w:styleId="447">
    <w:name w:val="正文文本 2 Char2"/>
    <w:qFormat/>
    <w:uiPriority w:val="99"/>
    <w:rPr>
      <w:rFonts w:eastAsia="宋体"/>
      <w:kern w:val="2"/>
      <w:sz w:val="24"/>
      <w:lang w:val="en-US" w:eastAsia="zh-CN"/>
    </w:rPr>
  </w:style>
  <w:style w:type="character" w:customStyle="1" w:styleId="448">
    <w:name w:val="批注主题 Char2"/>
    <w:qFormat/>
    <w:uiPriority w:val="99"/>
    <w:rPr>
      <w:rFonts w:eastAsia="宋体"/>
      <w:b/>
      <w:kern w:val="2"/>
      <w:sz w:val="24"/>
      <w:lang w:val="en-US" w:eastAsia="zh-CN"/>
    </w:rPr>
  </w:style>
  <w:style w:type="character" w:customStyle="1" w:styleId="449">
    <w:name w:val="日期 Char2"/>
    <w:qFormat/>
    <w:uiPriority w:val="99"/>
    <w:rPr>
      <w:rFonts w:ascii="宋体"/>
      <w:kern w:val="2"/>
      <w:sz w:val="21"/>
      <w:lang w:val="zh-CN"/>
    </w:rPr>
  </w:style>
  <w:style w:type="character" w:customStyle="1" w:styleId="450">
    <w:name w:val="文档结构图 Char1"/>
    <w:qFormat/>
    <w:uiPriority w:val="99"/>
    <w:rPr>
      <w:rFonts w:eastAsia="宋体"/>
      <w:kern w:val="2"/>
      <w:sz w:val="24"/>
      <w:lang w:val="en-US" w:eastAsia="zh-CN"/>
    </w:rPr>
  </w:style>
  <w:style w:type="character" w:customStyle="1" w:styleId="451">
    <w:name w:val="标题 Char1"/>
    <w:qFormat/>
    <w:uiPriority w:val="99"/>
    <w:rPr>
      <w:rFonts w:eastAsia="宋体"/>
      <w:b/>
      <w:sz w:val="24"/>
      <w:lang w:eastAsia="zh-CN"/>
    </w:rPr>
  </w:style>
  <w:style w:type="character" w:customStyle="1" w:styleId="452">
    <w:name w:val="正文文本 2 Char1"/>
    <w:qFormat/>
    <w:uiPriority w:val="99"/>
    <w:rPr>
      <w:rFonts w:eastAsia="宋体"/>
      <w:kern w:val="2"/>
      <w:sz w:val="24"/>
      <w:lang w:val="en-US" w:eastAsia="zh-CN"/>
    </w:rPr>
  </w:style>
  <w:style w:type="character" w:customStyle="1" w:styleId="453">
    <w:name w:val="批注主题 Char1"/>
    <w:qFormat/>
    <w:uiPriority w:val="99"/>
    <w:rPr>
      <w:rFonts w:eastAsia="宋体"/>
      <w:b/>
      <w:kern w:val="2"/>
      <w:sz w:val="24"/>
      <w:lang w:val="en-US" w:eastAsia="zh-CN"/>
    </w:rPr>
  </w:style>
  <w:style w:type="character" w:customStyle="1" w:styleId="454">
    <w:name w:val="日期 Char1"/>
    <w:qFormat/>
    <w:uiPriority w:val="99"/>
    <w:rPr>
      <w:rFonts w:ascii="宋体"/>
      <w:kern w:val="2"/>
      <w:sz w:val="21"/>
      <w:lang w:val="zh-CN"/>
    </w:rPr>
  </w:style>
  <w:style w:type="character" w:customStyle="1" w:styleId="455">
    <w:name w:val="Char Char2"/>
    <w:qFormat/>
    <w:uiPriority w:val="99"/>
    <w:rPr>
      <w:rFonts w:ascii="宋体" w:hAnsi="Courier New" w:eastAsia="宋体"/>
      <w:kern w:val="2"/>
      <w:sz w:val="21"/>
      <w:lang w:val="en-US" w:eastAsia="zh-CN"/>
    </w:rPr>
  </w:style>
  <w:style w:type="character" w:customStyle="1" w:styleId="456">
    <w:name w:val="Char Char51"/>
    <w:qFormat/>
    <w:uiPriority w:val="99"/>
    <w:rPr>
      <w:rFonts w:ascii="宋体" w:hAnsi="Courier New" w:eastAsia="宋体"/>
      <w:kern w:val="2"/>
      <w:sz w:val="21"/>
      <w:lang w:val="en-US" w:eastAsia="zh-CN"/>
    </w:rPr>
  </w:style>
  <w:style w:type="character" w:customStyle="1" w:styleId="457">
    <w:name w:val="Char Char81"/>
    <w:qFormat/>
    <w:uiPriority w:val="99"/>
    <w:rPr>
      <w:rFonts w:ascii="宋体" w:hAnsi="宋体" w:eastAsia="宋体"/>
      <w:b/>
      <w:sz w:val="24"/>
      <w:lang w:eastAsia="zh-CN"/>
    </w:rPr>
  </w:style>
  <w:style w:type="character" w:customStyle="1" w:styleId="458">
    <w:name w:val="普通文字 Char4"/>
    <w:qFormat/>
    <w:uiPriority w:val="99"/>
    <w:rPr>
      <w:rFonts w:ascii="宋体" w:hAnsi="Courier New" w:eastAsia="宋体"/>
      <w:kern w:val="2"/>
      <w:sz w:val="21"/>
      <w:lang w:val="en-US" w:eastAsia="zh-CN"/>
    </w:rPr>
  </w:style>
  <w:style w:type="character" w:customStyle="1" w:styleId="459">
    <w:name w:val="font11"/>
    <w:qFormat/>
    <w:uiPriority w:val="99"/>
    <w:rPr>
      <w:rFonts w:ascii="宋体" w:hAnsi="宋体" w:eastAsia="宋体"/>
      <w:color w:val="000000"/>
      <w:sz w:val="20"/>
    </w:rPr>
  </w:style>
  <w:style w:type="character" w:customStyle="1" w:styleId="460">
    <w:name w:val="marklong"/>
    <w:basedOn w:val="81"/>
    <w:qFormat/>
    <w:uiPriority w:val="99"/>
    <w:rPr>
      <w:rFonts w:cs="Times New Roman"/>
    </w:rPr>
  </w:style>
  <w:style w:type="character" w:customStyle="1" w:styleId="461">
    <w:name w:val="Ò³Ã¼ Char Char1"/>
    <w:qFormat/>
    <w:uiPriority w:val="99"/>
    <w:rPr>
      <w:rFonts w:eastAsia="宋体"/>
      <w:kern w:val="2"/>
      <w:sz w:val="18"/>
      <w:lang w:val="en-US" w:eastAsia="zh-CN"/>
    </w:rPr>
  </w:style>
  <w:style w:type="character" w:customStyle="1" w:styleId="462">
    <w:name w:val="标准正文 Char"/>
    <w:link w:val="251"/>
    <w:qFormat/>
    <w:locked/>
    <w:uiPriority w:val="99"/>
    <w:rPr>
      <w:rFonts w:ascii="Arial" w:hAnsi="Arial" w:eastAsia="宋体"/>
      <w:b/>
      <w:sz w:val="20"/>
    </w:rPr>
  </w:style>
  <w:style w:type="character" w:customStyle="1" w:styleId="463">
    <w:name w:val="列出段落 Char"/>
    <w:link w:val="272"/>
    <w:qFormat/>
    <w:locked/>
    <w:uiPriority w:val="99"/>
    <w:rPr>
      <w:rFonts w:ascii="Times New Roman" w:hAnsi="Times New Roman" w:eastAsia="KaiTi_GB2312"/>
      <w:sz w:val="24"/>
    </w:rPr>
  </w:style>
  <w:style w:type="character" w:customStyle="1" w:styleId="464">
    <w:name w:val="样式1 Char"/>
    <w:link w:val="163"/>
    <w:qFormat/>
    <w:locked/>
    <w:uiPriority w:val="99"/>
    <w:rPr>
      <w:rFonts w:ascii="宋体" w:hAnsi="宋体" w:eastAsia="宋体"/>
      <w:kern w:val="0"/>
      <w:sz w:val="20"/>
    </w:rPr>
  </w:style>
  <w:style w:type="character" w:customStyle="1" w:styleId="465">
    <w:name w:val="正文2 Char Char"/>
    <w:qFormat/>
    <w:uiPriority w:val="99"/>
    <w:rPr>
      <w:rFonts w:ascii="宋体" w:hAnsi="宋体" w:eastAsia="宋体"/>
      <w:kern w:val="2"/>
      <w:sz w:val="24"/>
      <w:lang w:val="en-US" w:eastAsia="zh-CN"/>
    </w:rPr>
  </w:style>
  <w:style w:type="character" w:customStyle="1" w:styleId="466">
    <w:name w:val="Char Char12"/>
    <w:qFormat/>
    <w:uiPriority w:val="99"/>
    <w:rPr>
      <w:kern w:val="2"/>
      <w:sz w:val="24"/>
    </w:rPr>
  </w:style>
  <w:style w:type="character" w:customStyle="1" w:styleId="467">
    <w:name w:val="哈哈正文 Char"/>
    <w:link w:val="359"/>
    <w:qFormat/>
    <w:locked/>
    <w:uiPriority w:val="99"/>
    <w:rPr>
      <w:rFonts w:ascii="宋体" w:hAnsi="宋体" w:eastAsia="宋体"/>
      <w:sz w:val="24"/>
    </w:rPr>
  </w:style>
  <w:style w:type="character" w:customStyle="1" w:styleId="468">
    <w:name w:val="样式3 Char"/>
    <w:link w:val="362"/>
    <w:qFormat/>
    <w:locked/>
    <w:uiPriority w:val="99"/>
    <w:rPr>
      <w:rFonts w:ascii="FangSong_GB2312" w:hAnsi="仿宋" w:eastAsia="FangSong_GB2312"/>
      <w:b/>
      <w:color w:val="000000"/>
      <w:sz w:val="28"/>
      <w:szCs w:val="28"/>
    </w:rPr>
  </w:style>
  <w:style w:type="character" w:customStyle="1" w:styleId="469">
    <w:name w:val="ca-91"/>
    <w:qFormat/>
    <w:uiPriority w:val="99"/>
    <w:rPr>
      <w:rFonts w:ascii="宋体" w:hAnsi="宋体" w:eastAsia="宋体"/>
      <w:sz w:val="21"/>
    </w:rPr>
  </w:style>
  <w:style w:type="character" w:customStyle="1" w:styleId="470">
    <w:name w:val="正文非缩进 Char3"/>
    <w:qFormat/>
    <w:uiPriority w:val="99"/>
    <w:rPr>
      <w:rFonts w:ascii="宋体" w:eastAsia="宋体"/>
      <w:snapToGrid w:val="0"/>
      <w:color w:val="000000"/>
      <w:kern w:val="28"/>
      <w:sz w:val="28"/>
      <w:lang w:val="en-US" w:eastAsia="zh-CN"/>
    </w:rPr>
  </w:style>
  <w:style w:type="character" w:customStyle="1" w:styleId="471">
    <w:name w:val="font01"/>
    <w:qFormat/>
    <w:uiPriority w:val="99"/>
    <w:rPr>
      <w:rFonts w:ascii="Arial" w:hAnsi="Arial"/>
      <w:color w:val="000000"/>
      <w:sz w:val="20"/>
    </w:rPr>
  </w:style>
  <w:style w:type="character" w:customStyle="1" w:styleId="472">
    <w:name w:val="test1"/>
    <w:qFormat/>
    <w:uiPriority w:val="99"/>
    <w:rPr>
      <w:rFonts w:ascii="宋体" w:hAnsi="宋体" w:eastAsia="宋体"/>
      <w:color w:val="000000"/>
      <w:sz w:val="21"/>
      <w:u w:val="none"/>
    </w:rPr>
  </w:style>
  <w:style w:type="character" w:customStyle="1" w:styleId="473">
    <w:name w:val="带编号样式 Char"/>
    <w:link w:val="366"/>
    <w:qFormat/>
    <w:locked/>
    <w:uiPriority w:val="99"/>
    <w:rPr>
      <w:rFonts w:ascii="FangSong_GB2312" w:hAnsi="Calibri" w:eastAsia="FangSong_GB2312"/>
      <w:color w:val="000000"/>
      <w:sz w:val="24"/>
    </w:rPr>
  </w:style>
  <w:style w:type="character" w:customStyle="1" w:styleId="474">
    <w:name w:val="正文文本 Char1"/>
    <w:qFormat/>
    <w:uiPriority w:val="99"/>
    <w:rPr>
      <w:rFonts w:eastAsia="宋体"/>
      <w:kern w:val="2"/>
      <w:sz w:val="21"/>
      <w:lang w:val="en-US" w:eastAsia="zh-CN"/>
    </w:rPr>
  </w:style>
  <w:style w:type="character" w:customStyle="1" w:styleId="475">
    <w:name w:val="公文正文 Char"/>
    <w:link w:val="368"/>
    <w:qFormat/>
    <w:locked/>
    <w:uiPriority w:val="99"/>
    <w:rPr>
      <w:rFonts w:ascii="FangSong_GB2312" w:eastAsia="FangSong_GB2312"/>
      <w:sz w:val="24"/>
    </w:rPr>
  </w:style>
  <w:style w:type="character" w:customStyle="1" w:styleId="476">
    <w:name w:val="font41"/>
    <w:qFormat/>
    <w:uiPriority w:val="99"/>
    <w:rPr>
      <w:rFonts w:ascii="Calibri" w:hAnsi="Calibri"/>
      <w:color w:val="000000"/>
      <w:sz w:val="20"/>
    </w:rPr>
  </w:style>
  <w:style w:type="character" w:customStyle="1" w:styleId="477">
    <w:name w:val="h Char Char"/>
    <w:qFormat/>
    <w:uiPriority w:val="99"/>
    <w:rPr>
      <w:rFonts w:eastAsia="宋体"/>
      <w:kern w:val="2"/>
      <w:sz w:val="18"/>
      <w:lang w:val="en-US" w:eastAsia="zh-CN"/>
    </w:rPr>
  </w:style>
  <w:style w:type="character" w:customStyle="1" w:styleId="478">
    <w:name w:val="列出段落字符"/>
    <w:qFormat/>
    <w:uiPriority w:val="99"/>
    <w:rPr>
      <w:rFonts w:ascii="Calibri" w:hAnsi="Calibri"/>
      <w:kern w:val="2"/>
      <w:sz w:val="22"/>
    </w:rPr>
  </w:style>
  <w:style w:type="character" w:customStyle="1" w:styleId="479">
    <w:name w:val="正文首行缩进（ACK） Char Char"/>
    <w:link w:val="376"/>
    <w:qFormat/>
    <w:locked/>
    <w:uiPriority w:val="99"/>
    <w:rPr>
      <w:rFonts w:ascii="Arial" w:hAnsi="Arial" w:eastAsia="宋体"/>
      <w:sz w:val="21"/>
    </w:rPr>
  </w:style>
  <w:style w:type="character" w:customStyle="1" w:styleId="480">
    <w:name w:val="apple-converted-space"/>
    <w:qFormat/>
    <w:uiPriority w:val="99"/>
  </w:style>
  <w:style w:type="character" w:customStyle="1" w:styleId="481">
    <w:name w:val="副标题 Char1"/>
    <w:basedOn w:val="81"/>
    <w:qFormat/>
    <w:uiPriority w:val="99"/>
    <w:rPr>
      <w:rFonts w:ascii="Calibri Light" w:hAnsi="Calibri Light" w:eastAsia="宋体" w:cs="黑体"/>
      <w:b/>
      <w:bCs/>
      <w:kern w:val="28"/>
      <w:sz w:val="32"/>
      <w:szCs w:val="32"/>
    </w:rPr>
  </w:style>
  <w:style w:type="table" w:customStyle="1" w:styleId="482">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3">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4">
    <w:name w:val="tpc_content1"/>
    <w:qFormat/>
    <w:uiPriority w:val="99"/>
    <w:rPr>
      <w:sz w:val="20"/>
    </w:rPr>
  </w:style>
  <w:style w:type="paragraph" w:customStyle="1" w:styleId="485">
    <w:name w:val="智业正文"/>
    <w:basedOn w:val="1"/>
    <w:link w:val="486"/>
    <w:qFormat/>
    <w:uiPriority w:val="99"/>
    <w:pPr>
      <w:ind w:firstLine="200" w:firstLineChars="200"/>
    </w:pPr>
    <w:rPr>
      <w:rFonts w:ascii="FangSong_GB2312" w:eastAsia="FangSong_GB2312"/>
      <w:sz w:val="28"/>
      <w:szCs w:val="20"/>
      <w:lang w:val="zh-CN"/>
    </w:rPr>
  </w:style>
  <w:style w:type="character" w:customStyle="1" w:styleId="486">
    <w:name w:val="智业正文 Char"/>
    <w:link w:val="485"/>
    <w:qFormat/>
    <w:locked/>
    <w:uiPriority w:val="99"/>
    <w:rPr>
      <w:rFonts w:ascii="FangSong_GB2312" w:eastAsia="FangSong_GB2312"/>
      <w:kern w:val="2"/>
      <w:sz w:val="28"/>
      <w:lang w:val="zh-CN" w:eastAsia="zh-CN"/>
    </w:rPr>
  </w:style>
  <w:style w:type="paragraph" w:customStyle="1" w:styleId="487">
    <w:name w:val="列出段落2"/>
    <w:basedOn w:val="1"/>
    <w:qFormat/>
    <w:uiPriority w:val="99"/>
    <w:pPr>
      <w:ind w:firstLine="420" w:firstLineChars="200"/>
    </w:pPr>
    <w:rPr>
      <w:rFonts w:eastAsia="微软雅黑"/>
    </w:rPr>
  </w:style>
  <w:style w:type="paragraph" w:customStyle="1" w:styleId="488">
    <w:name w:val="列出段落3"/>
    <w:basedOn w:val="1"/>
    <w:link w:val="570"/>
    <w:qFormat/>
    <w:uiPriority w:val="99"/>
    <w:pPr>
      <w:ind w:firstLine="420" w:firstLineChars="200"/>
    </w:pPr>
  </w:style>
  <w:style w:type="paragraph" w:customStyle="1" w:styleId="489">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90">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1">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2">
    <w:name w:val="Char1 Char Char Char Char Char Char"/>
    <w:basedOn w:val="1"/>
    <w:qFormat/>
    <w:uiPriority w:val="99"/>
    <w:pPr>
      <w:adjustRightInd w:val="0"/>
      <w:snapToGrid w:val="0"/>
    </w:pPr>
    <w:rPr>
      <w:rFonts w:ascii="Tahoma" w:hAnsi="Tahoma"/>
      <w:sz w:val="24"/>
      <w:szCs w:val="20"/>
    </w:rPr>
  </w:style>
  <w:style w:type="character" w:customStyle="1" w:styleId="493">
    <w:name w:val="正文缩进 Char1"/>
    <w:qFormat/>
    <w:uiPriority w:val="99"/>
    <w:rPr>
      <w:kern w:val="2"/>
      <w:sz w:val="21"/>
    </w:rPr>
  </w:style>
  <w:style w:type="paragraph" w:customStyle="1" w:styleId="494">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5">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6">
    <w:name w:val="1.1.1Head2"/>
    <w:qFormat/>
    <w:uiPriority w:val="99"/>
    <w:pPr>
      <w:numPr>
        <w:ilvl w:val="2"/>
        <w:numId w:val="19"/>
      </w:numPr>
      <w:spacing w:before="28" w:after="28"/>
      <w:outlineLvl w:val="2"/>
    </w:pPr>
    <w:rPr>
      <w:rFonts w:ascii="Arial" w:hAnsi="Arial" w:eastAsia="宋体" w:cs="Times New Roman"/>
      <w:b/>
      <w:lang w:val="en-US" w:eastAsia="en-US" w:bidi="ar-SA"/>
    </w:rPr>
  </w:style>
  <w:style w:type="paragraph" w:customStyle="1" w:styleId="497">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8">
    <w:name w:val="RFI text from 3rd Level"/>
    <w:basedOn w:val="499"/>
    <w:qFormat/>
    <w:uiPriority w:val="99"/>
    <w:pPr>
      <w:numPr>
        <w:ilvl w:val="0"/>
        <w:numId w:val="0"/>
      </w:numPr>
      <w:tabs>
        <w:tab w:val="left" w:pos="360"/>
        <w:tab w:val="left" w:pos="720"/>
        <w:tab w:val="left" w:pos="1080"/>
        <w:tab w:val="left" w:pos="1620"/>
      </w:tabs>
    </w:pPr>
    <w:rPr>
      <w:b w:val="0"/>
      <w:lang w:eastAsia="zh-CN"/>
    </w:rPr>
  </w:style>
  <w:style w:type="paragraph" w:customStyle="1" w:styleId="499">
    <w:name w:val="RFI text from 2nd Level"/>
    <w:basedOn w:val="490"/>
    <w:qFormat/>
    <w:uiPriority w:val="99"/>
    <w:pPr>
      <w:numPr>
        <w:ilvl w:val="1"/>
        <w:numId w:val="21"/>
      </w:numPr>
      <w:tabs>
        <w:tab w:val="left" w:pos="1620"/>
        <w:tab w:val="clear" w:pos="1440"/>
      </w:tabs>
      <w:ind w:left="1620" w:hanging="360"/>
    </w:pPr>
    <w:rPr>
      <w:b/>
      <w:bCs/>
      <w:color w:val="auto"/>
    </w:rPr>
  </w:style>
  <w:style w:type="paragraph" w:customStyle="1" w:styleId="500">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1">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2">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3">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4">
    <w:name w:val="Head1"/>
    <w:qFormat/>
    <w:uiPriority w:val="99"/>
    <w:pPr>
      <w:numPr>
        <w:ilvl w:val="1"/>
        <w:numId w:val="23"/>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505">
    <w:name w:val="Head2"/>
    <w:qFormat/>
    <w:uiPriority w:val="99"/>
    <w:pPr>
      <w:numPr>
        <w:ilvl w:val="2"/>
        <w:numId w:val="23"/>
      </w:numPr>
      <w:spacing w:before="28" w:after="28"/>
      <w:outlineLvl w:val="2"/>
    </w:pPr>
    <w:rPr>
      <w:rFonts w:ascii="Arial" w:hAnsi="Arial" w:eastAsia="宋体" w:cs="Times New Roman"/>
      <w:b/>
      <w:lang w:val="en-US" w:eastAsia="en-US" w:bidi="ar-SA"/>
    </w:rPr>
  </w:style>
  <w:style w:type="paragraph" w:customStyle="1" w:styleId="506">
    <w:name w:val="Level 1: a."/>
    <w:qFormat/>
    <w:uiPriority w:val="99"/>
    <w:pPr>
      <w:numPr>
        <w:ilvl w:val="3"/>
        <w:numId w:val="23"/>
      </w:numPr>
      <w:tabs>
        <w:tab w:val="clear" w:pos="720"/>
      </w:tabs>
      <w:spacing w:before="72" w:after="72"/>
      <w:jc w:val="both"/>
      <w:outlineLvl w:val="3"/>
    </w:pPr>
    <w:rPr>
      <w:rFonts w:ascii="Arial" w:hAnsi="Arial" w:eastAsia="宋体" w:cs="Times New Roman"/>
      <w:lang w:val="en-US" w:eastAsia="en-US" w:bidi="ar-SA"/>
    </w:rPr>
  </w:style>
  <w:style w:type="paragraph" w:customStyle="1" w:styleId="507">
    <w:name w:val="Level 2: 1."/>
    <w:qFormat/>
    <w:uiPriority w:val="99"/>
    <w:pPr>
      <w:numPr>
        <w:ilvl w:val="4"/>
        <w:numId w:val="23"/>
      </w:numPr>
      <w:spacing w:before="72" w:after="72"/>
      <w:jc w:val="both"/>
      <w:outlineLvl w:val="4"/>
    </w:pPr>
    <w:rPr>
      <w:rFonts w:ascii="Arial" w:hAnsi="Arial" w:eastAsia="宋体" w:cs="Times New Roman"/>
      <w:lang w:val="en-US" w:eastAsia="en-US" w:bidi="ar-SA"/>
    </w:rPr>
  </w:style>
  <w:style w:type="paragraph" w:customStyle="1" w:styleId="508">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9">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0">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1">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2">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3">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4">
    <w:name w:val="RFI List 1"/>
    <w:basedOn w:val="490"/>
    <w:qFormat/>
    <w:uiPriority w:val="99"/>
    <w:pPr>
      <w:numPr>
        <w:numId w:val="0"/>
      </w:numPr>
      <w:tabs>
        <w:tab w:val="left" w:pos="360"/>
        <w:tab w:val="left" w:pos="1800"/>
      </w:tabs>
      <w:spacing w:before="240" w:after="160"/>
      <w:ind w:left="720" w:hanging="720"/>
      <w:outlineLvl w:val="0"/>
    </w:pPr>
    <w:rPr>
      <w:b/>
      <w:color w:val="auto"/>
    </w:rPr>
  </w:style>
  <w:style w:type="paragraph" w:customStyle="1" w:styleId="515">
    <w:name w:val="RFI Heading 4th Level"/>
    <w:basedOn w:val="490"/>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6">
    <w:name w:val="RFI List 2"/>
    <w:basedOn w:val="514"/>
    <w:qFormat/>
    <w:uiPriority w:val="99"/>
    <w:pPr>
      <w:numPr>
        <w:numId w:val="24"/>
      </w:numPr>
      <w:tabs>
        <w:tab w:val="left" w:pos="2304"/>
      </w:tabs>
      <w:ind w:left="720" w:hanging="720"/>
    </w:pPr>
    <w:rPr>
      <w:b w:val="0"/>
      <w:bCs/>
    </w:rPr>
  </w:style>
  <w:style w:type="paragraph" w:customStyle="1" w:styleId="517">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8">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9">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0">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2">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3">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4">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5">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6">
    <w:name w:val="Style Body Text Indent 2 + 11 pt Line spacing:  1.5 lines"/>
    <w:basedOn w:val="42"/>
    <w:qFormat/>
    <w:uiPriority w:val="99"/>
    <w:pPr>
      <w:widowControl/>
      <w:tabs>
        <w:tab w:val="left" w:pos="900"/>
      </w:tabs>
      <w:snapToGrid w:val="0"/>
      <w:ind w:firstLine="0"/>
      <w:textAlignment w:val="auto"/>
    </w:pPr>
    <w:rPr>
      <w:rFonts w:hAnsi="宋体" w:eastAsia="仿宋"/>
      <w:sz w:val="22"/>
      <w:lang w:val="en-GB"/>
    </w:rPr>
  </w:style>
  <w:style w:type="paragraph" w:customStyle="1" w:styleId="527">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8">
    <w:name w:val="Achievement"/>
    <w:basedOn w:val="2"/>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9">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0">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1">
    <w:name w:val="条目2"/>
    <w:basedOn w:val="37"/>
    <w:qFormat/>
    <w:uiPriority w:val="99"/>
    <w:pPr>
      <w:numPr>
        <w:ilvl w:val="0"/>
        <w:numId w:val="27"/>
      </w:numPr>
      <w:adjustRightInd w:val="0"/>
      <w:snapToGrid w:val="0"/>
    </w:pPr>
    <w:rPr>
      <w:rFonts w:eastAsia="仿宋" w:cs="Courier New"/>
      <w:color w:val="000000"/>
      <w:sz w:val="24"/>
      <w:szCs w:val="21"/>
    </w:rPr>
  </w:style>
  <w:style w:type="paragraph" w:customStyle="1" w:styleId="532">
    <w:name w:val="水印"/>
    <w:basedOn w:val="1"/>
    <w:qFormat/>
    <w:uiPriority w:val="99"/>
    <w:pPr>
      <w:adjustRightInd w:val="0"/>
      <w:snapToGrid w:val="0"/>
      <w:spacing w:line="240" w:lineRule="atLeast"/>
      <w:textAlignment w:val="baseline"/>
    </w:pPr>
    <w:rPr>
      <w:kern w:val="0"/>
      <w:szCs w:val="20"/>
    </w:rPr>
  </w:style>
  <w:style w:type="paragraph" w:customStyle="1" w:styleId="533">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4">
    <w:name w:val="项目"/>
    <w:basedOn w:val="2"/>
    <w:next w:val="2"/>
    <w:qFormat/>
    <w:uiPriority w:val="99"/>
    <w:pPr>
      <w:numPr>
        <w:ilvl w:val="0"/>
        <w:numId w:val="28"/>
      </w:numPr>
      <w:autoSpaceDE/>
      <w:autoSpaceDN/>
      <w:snapToGrid w:val="0"/>
    </w:pPr>
    <w:rPr>
      <w:rFonts w:ascii="Times New Roman" w:eastAsia="仿宋"/>
      <w:kern w:val="0"/>
      <w:szCs w:val="20"/>
      <w:lang w:val="en-US"/>
    </w:rPr>
  </w:style>
  <w:style w:type="paragraph" w:customStyle="1" w:styleId="535">
    <w:name w:val="www序号1)"/>
    <w:basedOn w:val="1"/>
    <w:link w:val="537"/>
    <w:qFormat/>
    <w:uiPriority w:val="99"/>
    <w:pPr>
      <w:tabs>
        <w:tab w:val="left" w:pos="2160"/>
      </w:tabs>
      <w:adjustRightInd w:val="0"/>
      <w:snapToGrid w:val="0"/>
      <w:ind w:left="2160" w:hanging="420"/>
    </w:pPr>
    <w:rPr>
      <w:rFonts w:eastAsia="仿宋"/>
      <w:kern w:val="0"/>
      <w:sz w:val="24"/>
    </w:rPr>
  </w:style>
  <w:style w:type="paragraph" w:customStyle="1" w:styleId="536">
    <w:name w:val="www正文"/>
    <w:basedOn w:val="1"/>
    <w:qFormat/>
    <w:uiPriority w:val="99"/>
    <w:pPr>
      <w:adjustRightInd w:val="0"/>
      <w:snapToGrid w:val="0"/>
      <w:ind w:firstLine="480" w:firstLineChars="200"/>
    </w:pPr>
    <w:rPr>
      <w:sz w:val="24"/>
    </w:rPr>
  </w:style>
  <w:style w:type="character" w:customStyle="1" w:styleId="537">
    <w:name w:val="www序号1) Char"/>
    <w:link w:val="535"/>
    <w:qFormat/>
    <w:locked/>
    <w:uiPriority w:val="99"/>
    <w:rPr>
      <w:rFonts w:eastAsia="仿宋"/>
      <w:sz w:val="24"/>
    </w:rPr>
  </w:style>
  <w:style w:type="paragraph" w:customStyle="1" w:styleId="538">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9">
    <w:name w:val="样式 正文文本缩进 + 左侧:  2 字符 首行缩进:  2 字符"/>
    <w:basedOn w:val="27"/>
    <w:qFormat/>
    <w:uiPriority w:val="99"/>
    <w:pPr>
      <w:tabs>
        <w:tab w:val="left" w:pos="360"/>
        <w:tab w:val="left" w:pos="540"/>
      </w:tabs>
      <w:adjustRightInd w:val="0"/>
      <w:snapToGrid w:val="0"/>
      <w:spacing w:line="520" w:lineRule="exact"/>
      <w:ind w:left="200" w:firstLine="560"/>
    </w:pPr>
    <w:rPr>
      <w:rFonts w:ascii="FangSong_GB2312" w:hAnsi="Times New Roman" w:eastAsia="FangSong_GB2312"/>
      <w:sz w:val="28"/>
      <w:szCs w:val="20"/>
    </w:rPr>
  </w:style>
  <w:style w:type="paragraph" w:customStyle="1" w:styleId="540">
    <w:name w:val="图中文字"/>
    <w:basedOn w:val="1"/>
    <w:qFormat/>
    <w:uiPriority w:val="99"/>
    <w:pPr>
      <w:adjustRightInd w:val="0"/>
      <w:snapToGrid w:val="0"/>
      <w:spacing w:line="240" w:lineRule="atLeast"/>
      <w:jc w:val="center"/>
    </w:pPr>
    <w:rPr>
      <w:sz w:val="24"/>
      <w:szCs w:val="20"/>
    </w:rPr>
  </w:style>
  <w:style w:type="paragraph" w:customStyle="1" w:styleId="541">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2">
    <w:name w:val="CSS1级正文 Char"/>
    <w:basedOn w:val="2"/>
    <w:qFormat/>
    <w:uiPriority w:val="99"/>
    <w:pPr>
      <w:autoSpaceDE/>
      <w:autoSpaceDN/>
      <w:snapToGrid w:val="0"/>
      <w:ind w:firstLine="480"/>
    </w:pPr>
    <w:rPr>
      <w:rFonts w:ascii="Times New Roman" w:eastAsia="仿宋"/>
      <w:kern w:val="0"/>
      <w:szCs w:val="24"/>
      <w:lang w:val="en-US"/>
    </w:rPr>
  </w:style>
  <w:style w:type="character" w:customStyle="1" w:styleId="543">
    <w:name w:val="链接"/>
    <w:qFormat/>
    <w:uiPriority w:val="99"/>
    <w:rPr>
      <w:color w:val="0000FF"/>
      <w:sz w:val="21"/>
      <w:u w:val="single"/>
    </w:rPr>
  </w:style>
  <w:style w:type="paragraph" w:customStyle="1" w:styleId="544">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5">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6">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7">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8">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9">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0">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1">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2">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3">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4">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5">
    <w:name w:val="样式 标题 1章节第一层h1H"/>
    <w:basedOn w:val="3"/>
    <w:qFormat/>
    <w:uiPriority w:val="99"/>
    <w:pPr>
      <w:keepNext w:val="0"/>
      <w:keepLines w:val="0"/>
      <w:numPr>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6">
    <w:name w:val="金宏发行正文 Char"/>
    <w:basedOn w:val="1"/>
    <w:qFormat/>
    <w:uiPriority w:val="99"/>
    <w:pPr>
      <w:adjustRightInd w:val="0"/>
      <w:snapToGrid w:val="0"/>
      <w:spacing w:line="500" w:lineRule="exact"/>
      <w:ind w:firstLine="560" w:firstLineChars="200"/>
    </w:pPr>
    <w:rPr>
      <w:rFonts w:eastAsia="FangSong_GB2312"/>
      <w:sz w:val="28"/>
      <w:szCs w:val="20"/>
    </w:rPr>
  </w:style>
  <w:style w:type="paragraph" w:customStyle="1" w:styleId="557">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8">
    <w:name w:val="金宏发行正文"/>
    <w:basedOn w:val="1"/>
    <w:qFormat/>
    <w:uiPriority w:val="99"/>
    <w:pPr>
      <w:adjustRightInd w:val="0"/>
      <w:snapToGrid w:val="0"/>
      <w:spacing w:line="500" w:lineRule="exact"/>
      <w:ind w:firstLine="560" w:firstLineChars="200"/>
    </w:pPr>
    <w:rPr>
      <w:rFonts w:eastAsia="FangSong_GB2312"/>
      <w:sz w:val="28"/>
      <w:szCs w:val="20"/>
    </w:rPr>
  </w:style>
  <w:style w:type="paragraph" w:customStyle="1" w:styleId="559">
    <w:name w:val="标1"/>
    <w:basedOn w:val="1"/>
    <w:qFormat/>
    <w:uiPriority w:val="99"/>
    <w:pPr>
      <w:widowControl/>
      <w:adjustRightInd w:val="0"/>
      <w:snapToGrid w:val="0"/>
      <w:spacing w:beforeLines="100"/>
      <w:jc w:val="left"/>
      <w:outlineLvl w:val="0"/>
    </w:pPr>
    <w:rPr>
      <w:rFonts w:ascii="Arial Narrow" w:hAnsi="Arial Narrow" w:eastAsia="FangSong_GB2312"/>
      <w:b/>
      <w:spacing w:val="20"/>
      <w:kern w:val="0"/>
      <w:sz w:val="24"/>
    </w:rPr>
  </w:style>
  <w:style w:type="character" w:customStyle="1" w:styleId="560">
    <w:name w:val="javascript"/>
    <w:basedOn w:val="81"/>
    <w:qFormat/>
    <w:uiPriority w:val="99"/>
    <w:rPr>
      <w:rFonts w:cs="Times New Roman"/>
    </w:rPr>
  </w:style>
  <w:style w:type="paragraph" w:customStyle="1" w:styleId="561">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2">
    <w:name w:val="para1"/>
    <w:qFormat/>
    <w:uiPriority w:val="99"/>
    <w:rPr>
      <w:rFonts w:ascii="Arial" w:hAnsi="Arial"/>
      <w:sz w:val="18"/>
    </w:rPr>
  </w:style>
  <w:style w:type="paragraph" w:customStyle="1" w:styleId="563">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4">
    <w:name w:val="表格标题"/>
    <w:basedOn w:val="1"/>
    <w:qFormat/>
    <w:uiPriority w:val="99"/>
    <w:pPr>
      <w:adjustRightInd w:val="0"/>
      <w:snapToGrid w:val="0"/>
      <w:jc w:val="center"/>
    </w:pPr>
    <w:rPr>
      <w:rFonts w:eastAsia="仿宋"/>
      <w:b/>
    </w:rPr>
  </w:style>
  <w:style w:type="paragraph" w:customStyle="1" w:styleId="565">
    <w:name w:val="表格文字"/>
    <w:basedOn w:val="1"/>
    <w:qFormat/>
    <w:uiPriority w:val="99"/>
    <w:pPr>
      <w:adjustRightInd w:val="0"/>
      <w:snapToGrid w:val="0"/>
      <w:jc w:val="left"/>
      <w:textAlignment w:val="top"/>
    </w:pPr>
    <w:rPr>
      <w:rFonts w:eastAsia="仿宋"/>
      <w:sz w:val="18"/>
    </w:rPr>
  </w:style>
  <w:style w:type="paragraph" w:customStyle="1" w:styleId="566">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9">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0">
    <w:name w:val="列出段落 字符1"/>
    <w:link w:val="488"/>
    <w:qFormat/>
    <w:locked/>
    <w:uiPriority w:val="99"/>
    <w:rPr>
      <w:kern w:val="2"/>
      <w:sz w:val="24"/>
    </w:rPr>
  </w:style>
  <w:style w:type="paragraph" w:customStyle="1" w:styleId="571">
    <w:name w:val="顺序编号1"/>
    <w:basedOn w:val="1"/>
    <w:qFormat/>
    <w:uiPriority w:val="99"/>
    <w:pPr>
      <w:adjustRightInd w:val="0"/>
      <w:snapToGrid w:val="0"/>
      <w:spacing w:afterLines="50"/>
    </w:pPr>
  </w:style>
  <w:style w:type="paragraph" w:customStyle="1" w:styleId="572">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3">
    <w:name w:val="图例"/>
    <w:basedOn w:val="1"/>
    <w:next w:val="42"/>
    <w:qFormat/>
    <w:uiPriority w:val="99"/>
    <w:pPr>
      <w:spacing w:line="300" w:lineRule="auto"/>
      <w:ind w:firstLine="200" w:firstLineChars="200"/>
      <w:jc w:val="center"/>
    </w:pPr>
    <w:rPr>
      <w:rFonts w:ascii="宋体" w:hAnsi="Calibri" w:cs="黑体"/>
      <w:sz w:val="18"/>
      <w:szCs w:val="18"/>
    </w:rPr>
  </w:style>
  <w:style w:type="paragraph" w:customStyle="1" w:styleId="574">
    <w:name w:val="表格数据"/>
    <w:qFormat/>
    <w:uiPriority w:val="99"/>
    <w:rPr>
      <w:rFonts w:ascii="Times New Roman" w:hAnsi="Times New Roman" w:eastAsia="宋体" w:cs="宋体"/>
      <w:lang w:val="en-US" w:eastAsia="zh-CN" w:bidi="ar-SA"/>
    </w:rPr>
  </w:style>
  <w:style w:type="paragraph" w:customStyle="1" w:styleId="575">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6">
    <w:name w:val="标题 4 Char1"/>
    <w:qFormat/>
    <w:uiPriority w:val="99"/>
    <w:rPr>
      <w:rFonts w:ascii="Arial" w:hAnsi="Arial" w:eastAsia="黑体"/>
      <w:b/>
      <w:kern w:val="2"/>
      <w:sz w:val="28"/>
      <w:lang w:val="en-US" w:eastAsia="zh-CN"/>
    </w:rPr>
  </w:style>
  <w:style w:type="character" w:customStyle="1" w:styleId="577">
    <w:name w:val="px1233"/>
    <w:basedOn w:val="81"/>
    <w:qFormat/>
    <w:uiPriority w:val="99"/>
    <w:rPr>
      <w:rFonts w:cs="Times New Roman"/>
    </w:rPr>
  </w:style>
  <w:style w:type="character" w:customStyle="1" w:styleId="578">
    <w:name w:val="outputtext"/>
    <w:basedOn w:val="81"/>
    <w:qFormat/>
    <w:uiPriority w:val="99"/>
    <w:rPr>
      <w:rFonts w:cs="Times New Roman"/>
    </w:rPr>
  </w:style>
  <w:style w:type="character" w:customStyle="1" w:styleId="579">
    <w:name w:val="txt"/>
    <w:basedOn w:val="81"/>
    <w:qFormat/>
    <w:uiPriority w:val="99"/>
    <w:rPr>
      <w:rFonts w:cs="Times New Roman"/>
    </w:rPr>
  </w:style>
  <w:style w:type="paragraph" w:customStyle="1" w:styleId="580">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1">
    <w:name w:val="文档结构图1"/>
    <w:basedOn w:val="1"/>
    <w:qFormat/>
    <w:uiPriority w:val="99"/>
    <w:pPr>
      <w:spacing w:line="240" w:lineRule="auto"/>
    </w:pPr>
    <w:rPr>
      <w:rFonts w:ascii="宋体"/>
      <w:sz w:val="18"/>
      <w:szCs w:val="18"/>
    </w:rPr>
  </w:style>
  <w:style w:type="character" w:customStyle="1" w:styleId="582">
    <w:name w:val="标题 1 Char Char"/>
    <w:qFormat/>
    <w:uiPriority w:val="99"/>
    <w:rPr>
      <w:rFonts w:eastAsia="宋体"/>
      <w:b/>
      <w:spacing w:val="-2"/>
      <w:sz w:val="24"/>
      <w:lang w:val="en-US" w:eastAsia="zh-CN"/>
    </w:rPr>
  </w:style>
  <w:style w:type="character" w:customStyle="1" w:styleId="583">
    <w:name w:val="纯文本 Char Char Char Char Char Char Char Char Char Char"/>
    <w:qFormat/>
    <w:uiPriority w:val="99"/>
    <w:rPr>
      <w:rFonts w:ascii="宋体" w:hAnsi="Courier New" w:eastAsia="宋体"/>
      <w:kern w:val="2"/>
      <w:sz w:val="21"/>
      <w:lang w:val="en-US" w:eastAsia="zh-CN"/>
    </w:rPr>
  </w:style>
  <w:style w:type="paragraph" w:customStyle="1" w:styleId="584">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5">
    <w:name w:val="无间隔2"/>
    <w:link w:val="58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6">
    <w:name w:val="无间隔 字符"/>
    <w:link w:val="585"/>
    <w:qFormat/>
    <w:locked/>
    <w:uiPriority w:val="99"/>
    <w:rPr>
      <w:rFonts w:ascii="Calibri" w:hAnsi="Calibri"/>
      <w:kern w:val="2"/>
      <w:sz w:val="22"/>
    </w:rPr>
  </w:style>
  <w:style w:type="paragraph" w:customStyle="1" w:styleId="587">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8">
    <w:name w:val="03"/>
    <w:basedOn w:val="1"/>
    <w:qFormat/>
    <w:uiPriority w:val="99"/>
    <w:pPr>
      <w:spacing w:line="500" w:lineRule="exact"/>
      <w:ind w:firstLine="567"/>
    </w:pPr>
    <w:rPr>
      <w:spacing w:val="20"/>
      <w:sz w:val="28"/>
      <w:szCs w:val="20"/>
    </w:rPr>
  </w:style>
  <w:style w:type="paragraph" w:customStyle="1" w:styleId="589">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90">
    <w:name w:val="样式6"/>
    <w:basedOn w:val="1"/>
    <w:qFormat/>
    <w:uiPriority w:val="99"/>
    <w:pPr>
      <w:spacing w:before="249" w:after="249" w:line="240" w:lineRule="auto"/>
    </w:pPr>
    <w:rPr>
      <w:rFonts w:ascii="华文中宋" w:eastAsia="华文中宋"/>
      <w:b/>
      <w:sz w:val="32"/>
      <w:szCs w:val="20"/>
    </w:rPr>
  </w:style>
  <w:style w:type="paragraph" w:customStyle="1" w:styleId="591">
    <w:name w:val="s2"/>
    <w:basedOn w:val="1"/>
    <w:qFormat/>
    <w:uiPriority w:val="99"/>
    <w:pPr>
      <w:widowControl/>
      <w:spacing w:before="100" w:beforeAutospacing="1" w:after="100" w:afterAutospacing="1" w:line="240" w:lineRule="auto"/>
      <w:jc w:val="left"/>
    </w:pPr>
    <w:rPr>
      <w:kern w:val="0"/>
      <w:sz w:val="24"/>
    </w:rPr>
  </w:style>
  <w:style w:type="character" w:customStyle="1" w:styleId="592">
    <w:name w:val="cucd-0 Char1"/>
    <w:link w:val="593"/>
    <w:qFormat/>
    <w:locked/>
    <w:uiPriority w:val="99"/>
    <w:rPr>
      <w:sz w:val="24"/>
      <w:lang w:val="en-US" w:eastAsia="zh-CN"/>
    </w:rPr>
  </w:style>
  <w:style w:type="paragraph" w:customStyle="1" w:styleId="593">
    <w:name w:val="cucd-0"/>
    <w:link w:val="592"/>
    <w:qFormat/>
    <w:uiPriority w:val="99"/>
    <w:pPr>
      <w:spacing w:line="360" w:lineRule="auto"/>
      <w:ind w:firstLine="480" w:firstLineChars="200"/>
    </w:pPr>
    <w:rPr>
      <w:rFonts w:ascii="Times New Roman" w:hAnsi="Times New Roman" w:eastAsia="宋体" w:cs="Times New Roman"/>
      <w:sz w:val="24"/>
      <w:szCs w:val="24"/>
      <w:lang w:val="en-US" w:eastAsia="zh-CN" w:bidi="ar-SA"/>
    </w:rPr>
  </w:style>
  <w:style w:type="paragraph" w:customStyle="1" w:styleId="594">
    <w:name w:val="GP正文(首行缩进)"/>
    <w:basedOn w:val="1"/>
    <w:qFormat/>
    <w:uiPriority w:val="99"/>
    <w:pPr>
      <w:ind w:firstLine="200" w:firstLineChars="200"/>
      <w:jc w:val="left"/>
    </w:pPr>
    <w:rPr>
      <w:kern w:val="0"/>
      <w:sz w:val="24"/>
      <w:szCs w:val="20"/>
    </w:rPr>
  </w:style>
  <w:style w:type="paragraph" w:customStyle="1" w:styleId="595">
    <w:name w:val="标书正文"/>
    <w:basedOn w:val="1"/>
    <w:qFormat/>
    <w:uiPriority w:val="99"/>
    <w:pPr>
      <w:ind w:firstLine="480" w:firstLineChars="200"/>
    </w:pPr>
    <w:rPr>
      <w:rFonts w:ascii="宋体" w:cs="宋体"/>
      <w:sz w:val="24"/>
    </w:rPr>
  </w:style>
  <w:style w:type="character" w:customStyle="1" w:styleId="596">
    <w:name w:val="标题2 Char Char"/>
    <w:link w:val="597"/>
    <w:qFormat/>
    <w:locked/>
    <w:uiPriority w:val="99"/>
    <w:rPr>
      <w:rFonts w:ascii="Arial" w:hAnsi="Arial"/>
      <w:b/>
      <w:bCs/>
      <w:spacing w:val="20"/>
      <w:kern w:val="28"/>
      <w:sz w:val="28"/>
      <w:szCs w:val="28"/>
      <w:lang w:eastAsia="en-US"/>
    </w:rPr>
  </w:style>
  <w:style w:type="paragraph" w:customStyle="1" w:styleId="597">
    <w:name w:val="标题2"/>
    <w:basedOn w:val="4"/>
    <w:link w:val="596"/>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8">
    <w:name w:val="页脚 Char Char"/>
    <w:qFormat/>
    <w:uiPriority w:val="99"/>
    <w:rPr>
      <w:rFonts w:eastAsia="宋体"/>
      <w:sz w:val="18"/>
    </w:rPr>
  </w:style>
  <w:style w:type="character" w:customStyle="1" w:styleId="599">
    <w:name w:val="Char Char Char Char Char"/>
    <w:qFormat/>
    <w:uiPriority w:val="99"/>
    <w:rPr>
      <w:rFonts w:ascii="Arial" w:hAnsi="Arial" w:eastAsia="黑体"/>
      <w:b/>
      <w:kern w:val="2"/>
      <w:sz w:val="28"/>
      <w:lang w:val="en-US" w:eastAsia="zh-CN"/>
    </w:rPr>
  </w:style>
  <w:style w:type="character" w:customStyle="1" w:styleId="600">
    <w:name w:val="标题 4 Char Char"/>
    <w:qFormat/>
    <w:uiPriority w:val="99"/>
    <w:rPr>
      <w:rFonts w:ascii="Arial" w:hAnsi="Arial" w:eastAsia="黑体"/>
      <w:b/>
      <w:kern w:val="2"/>
      <w:sz w:val="28"/>
      <w:lang w:val="en-US" w:eastAsia="zh-CN"/>
    </w:rPr>
  </w:style>
  <w:style w:type="character" w:customStyle="1" w:styleId="601">
    <w:name w:val="正文缩进 Char Char"/>
    <w:qFormat/>
    <w:uiPriority w:val="99"/>
    <w:rPr>
      <w:rFonts w:ascii="Calibri" w:hAnsi="Calibri" w:eastAsia="宋体"/>
      <w:kern w:val="2"/>
      <w:sz w:val="22"/>
      <w:lang w:val="en-US" w:eastAsia="zh-CN"/>
    </w:rPr>
  </w:style>
  <w:style w:type="character" w:customStyle="1" w:styleId="602">
    <w:name w:val="文档结构图 Char Char"/>
    <w:qFormat/>
    <w:uiPriority w:val="99"/>
    <w:rPr>
      <w:rFonts w:ascii="宋体" w:eastAsia="宋体"/>
      <w:sz w:val="18"/>
    </w:rPr>
  </w:style>
  <w:style w:type="paragraph" w:customStyle="1" w:styleId="603">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4">
    <w:name w:val="bt"/>
    <w:basedOn w:val="81"/>
    <w:qFormat/>
    <w:uiPriority w:val="99"/>
    <w:rPr>
      <w:rFonts w:cs="Times New Roman"/>
    </w:rPr>
  </w:style>
  <w:style w:type="paragraph" w:customStyle="1" w:styleId="605">
    <w:name w:val="正文 项目"/>
    <w:basedOn w:val="1"/>
    <w:qFormat/>
    <w:uiPriority w:val="99"/>
    <w:pPr>
      <w:widowControl/>
      <w:numPr>
        <w:ilvl w:val="0"/>
        <w:numId w:val="30"/>
      </w:numPr>
      <w:spacing w:after="120" w:line="440" w:lineRule="exact"/>
      <w:jc w:val="left"/>
    </w:pPr>
    <w:rPr>
      <w:rFonts w:ascii="FangSong_GB2312" w:hAnsi="FangSong_GB2312" w:eastAsia="FangSong_GB2312"/>
      <w:sz w:val="24"/>
      <w:szCs w:val="20"/>
    </w:rPr>
  </w:style>
  <w:style w:type="character" w:customStyle="1" w:styleId="606">
    <w:name w:val="批注文字 Char1"/>
    <w:basedOn w:val="81"/>
    <w:qFormat/>
    <w:uiPriority w:val="99"/>
    <w:rPr>
      <w:rFonts w:ascii="Times New Roman" w:hAnsi="Times New Roman" w:cs="Times New Roman"/>
      <w:color w:val="auto"/>
      <w:kern w:val="2"/>
      <w:sz w:val="21"/>
    </w:rPr>
  </w:style>
  <w:style w:type="character" w:customStyle="1" w:styleId="607">
    <w:name w:val="题注 Char"/>
    <w:basedOn w:val="81"/>
    <w:link w:val="18"/>
    <w:qFormat/>
    <w:locked/>
    <w:uiPriority w:val="99"/>
    <w:rPr>
      <w:rFonts w:cs="Times New Roman"/>
      <w:b/>
      <w:kern w:val="2"/>
      <w:sz w:val="28"/>
    </w:rPr>
  </w:style>
  <w:style w:type="character" w:customStyle="1" w:styleId="608">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09">
    <w:name w:val="正文首行缩进 Char1"/>
    <w:basedOn w:val="81"/>
    <w:qFormat/>
    <w:uiPriority w:val="99"/>
    <w:rPr>
      <w:rFonts w:ascii="Times New Roman" w:hAnsi="Times New Roman" w:cs="Times New Roman"/>
      <w:color w:val="auto"/>
      <w:kern w:val="2"/>
      <w:sz w:val="24"/>
      <w:szCs w:val="24"/>
    </w:rPr>
  </w:style>
  <w:style w:type="character" w:customStyle="1" w:styleId="610">
    <w:name w:val="正文首行缩进 2 Char1"/>
    <w:basedOn w:val="608"/>
    <w:qFormat/>
    <w:uiPriority w:val="99"/>
    <w:rPr>
      <w:rFonts w:ascii="Times New Roman" w:hAnsi="Times New Roman" w:eastAsia="方正书宋简体" w:cs="Times New Roman"/>
      <w:color w:val="auto"/>
      <w:kern w:val="2"/>
      <w:sz w:val="21"/>
      <w:szCs w:val="21"/>
    </w:rPr>
  </w:style>
  <w:style w:type="character" w:customStyle="1" w:styleId="611">
    <w:name w:val="正文文本缩进 2 Char1"/>
    <w:basedOn w:val="81"/>
    <w:qFormat/>
    <w:uiPriority w:val="99"/>
    <w:rPr>
      <w:rFonts w:ascii="KaiTi_GB2312" w:hAnsi="Times New Roman" w:eastAsia="KaiTi_GB2312" w:cs="Times New Roman"/>
      <w:color w:val="auto"/>
      <w:sz w:val="32"/>
      <w:szCs w:val="32"/>
    </w:rPr>
  </w:style>
  <w:style w:type="character" w:customStyle="1" w:styleId="612">
    <w:name w:val="正文文本缩进 3 Char1"/>
    <w:basedOn w:val="81"/>
    <w:qFormat/>
    <w:uiPriority w:val="99"/>
    <w:rPr>
      <w:rFonts w:ascii="Times New Roman" w:hAnsi="Times New Roman" w:cs="Times New Roman"/>
      <w:color w:val="auto"/>
      <w:sz w:val="32"/>
      <w:szCs w:val="32"/>
    </w:rPr>
  </w:style>
  <w:style w:type="character" w:customStyle="1" w:styleId="613">
    <w:name w:val="纯文本 Char1"/>
    <w:basedOn w:val="81"/>
    <w:qFormat/>
    <w:uiPriority w:val="99"/>
    <w:rPr>
      <w:rFonts w:ascii="宋体" w:hAnsi="Courier New" w:eastAsia="宋体" w:cs="Courier New"/>
      <w:sz w:val="21"/>
      <w:szCs w:val="21"/>
    </w:rPr>
  </w:style>
  <w:style w:type="character" w:customStyle="1" w:styleId="614">
    <w:name w:val="批注框文本 Char1"/>
    <w:basedOn w:val="81"/>
    <w:qFormat/>
    <w:uiPriority w:val="99"/>
    <w:rPr>
      <w:rFonts w:ascii="Times New Roman" w:hAnsi="Times New Roman" w:cs="Times New Roman"/>
      <w:color w:val="auto"/>
      <w:kern w:val="2"/>
      <w:sz w:val="18"/>
      <w:szCs w:val="18"/>
    </w:rPr>
  </w:style>
  <w:style w:type="paragraph" w:customStyle="1" w:styleId="615">
    <w:name w:val="样式 标题 1 + 四号 居中"/>
    <w:basedOn w:val="3"/>
    <w:qFormat/>
    <w:uiPriority w:val="99"/>
    <w:pPr>
      <w:numPr>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6">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7">
    <w:name w:val="Char Char Char Char Char Char Char Char Char Char Char Char Char Char"/>
    <w:basedOn w:val="1"/>
    <w:qFormat/>
    <w:uiPriority w:val="99"/>
    <w:pPr>
      <w:spacing w:line="240" w:lineRule="auto"/>
    </w:pPr>
    <w:rPr>
      <w:rFonts w:ascii="Tahoma" w:hAnsi="Tahoma"/>
      <w:sz w:val="24"/>
    </w:rPr>
  </w:style>
  <w:style w:type="character" w:customStyle="1" w:styleId="618">
    <w:name w:val="表题/图题 Char"/>
    <w:basedOn w:val="81"/>
    <w:link w:val="619"/>
    <w:qFormat/>
    <w:locked/>
    <w:uiPriority w:val="99"/>
    <w:rPr>
      <w:rFonts w:hAnsi="宋体" w:cs="Times New Roman"/>
      <w:b/>
      <w:sz w:val="24"/>
      <w:szCs w:val="24"/>
    </w:rPr>
  </w:style>
  <w:style w:type="paragraph" w:customStyle="1" w:styleId="619">
    <w:name w:val="表题/图题"/>
    <w:basedOn w:val="1"/>
    <w:next w:val="1"/>
    <w:link w:val="618"/>
    <w:qFormat/>
    <w:uiPriority w:val="99"/>
    <w:pPr>
      <w:tabs>
        <w:tab w:val="left" w:pos="720"/>
      </w:tabs>
      <w:spacing w:line="240" w:lineRule="auto"/>
      <w:ind w:left="720" w:hanging="720"/>
      <w:jc w:val="center"/>
    </w:pPr>
    <w:rPr>
      <w:rFonts w:hAnsi="宋体"/>
      <w:b/>
      <w:kern w:val="0"/>
      <w:sz w:val="24"/>
    </w:rPr>
  </w:style>
  <w:style w:type="paragraph" w:customStyle="1" w:styleId="620">
    <w:name w:val="Char Char Char Char Char Char Char Char Char"/>
    <w:basedOn w:val="1"/>
    <w:qFormat/>
    <w:uiPriority w:val="99"/>
    <w:pPr>
      <w:widowControl/>
      <w:spacing w:after="160" w:line="240" w:lineRule="exact"/>
      <w:jc w:val="left"/>
    </w:pPr>
    <w:rPr>
      <w:rFonts w:ascii="Verdana" w:hAnsi="Verdana" w:eastAsia="FangSong_GB2312"/>
      <w:b/>
      <w:i/>
      <w:kern w:val="0"/>
      <w:sz w:val="24"/>
      <w:lang w:eastAsia="en-US"/>
    </w:rPr>
  </w:style>
  <w:style w:type="character" w:customStyle="1" w:styleId="621">
    <w:name w:val="段落正文 Char"/>
    <w:basedOn w:val="81"/>
    <w:link w:val="622"/>
    <w:qFormat/>
    <w:locked/>
    <w:uiPriority w:val="99"/>
    <w:rPr>
      <w:rFonts w:hAnsi="宋体" w:cs="Times New Roman"/>
      <w:sz w:val="24"/>
      <w:szCs w:val="24"/>
    </w:rPr>
  </w:style>
  <w:style w:type="paragraph" w:customStyle="1" w:styleId="622">
    <w:name w:val="段落正文"/>
    <w:basedOn w:val="1"/>
    <w:link w:val="621"/>
    <w:qFormat/>
    <w:uiPriority w:val="99"/>
    <w:pPr>
      <w:spacing w:beforeLines="50" w:line="300" w:lineRule="auto"/>
      <w:ind w:firstLine="480" w:firstLineChars="200"/>
      <w:jc w:val="left"/>
    </w:pPr>
    <w:rPr>
      <w:rFonts w:hAnsi="宋体"/>
      <w:kern w:val="0"/>
      <w:sz w:val="24"/>
    </w:rPr>
  </w:style>
  <w:style w:type="paragraph" w:customStyle="1" w:styleId="623">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4">
    <w:name w:val="图表脚注"/>
    <w:next w:val="186"/>
    <w:qFormat/>
    <w:uiPriority w:val="99"/>
    <w:pPr>
      <w:tabs>
        <w:tab w:val="left" w:pos="1125"/>
      </w:tabs>
      <w:ind w:left="1125" w:hanging="480"/>
      <w:jc w:val="both"/>
    </w:pPr>
    <w:rPr>
      <w:rFonts w:ascii="宋体" w:hAnsi="Times New Roman" w:eastAsia="宋体" w:cs="Times New Roman"/>
      <w:sz w:val="18"/>
      <w:lang w:val="en-US" w:eastAsia="zh-CN" w:bidi="ar-SA"/>
    </w:rPr>
  </w:style>
  <w:style w:type="paragraph" w:customStyle="1" w:styleId="625">
    <w:name w:val="标题1"/>
    <w:basedOn w:val="74"/>
    <w:qFormat/>
    <w:uiPriority w:val="99"/>
    <w:pPr>
      <w:autoSpaceDE/>
      <w:autoSpaceDN/>
      <w:adjustRightInd/>
      <w:spacing w:line="240" w:lineRule="auto"/>
      <w:ind w:firstLine="0"/>
    </w:pPr>
    <w:rPr>
      <w:rFonts w:ascii="KaiTi_GB2312" w:eastAsia="KaiTi_GB2312"/>
      <w:b/>
      <w:sz w:val="28"/>
      <w:szCs w:val="28"/>
      <w:lang w:val="en-US"/>
    </w:rPr>
  </w:style>
  <w:style w:type="paragraph" w:customStyle="1" w:styleId="626">
    <w:name w:val="我的正文"/>
    <w:basedOn w:val="1"/>
    <w:qFormat/>
    <w:uiPriority w:val="99"/>
    <w:pPr>
      <w:adjustRightInd w:val="0"/>
      <w:snapToGrid w:val="0"/>
      <w:spacing w:line="360" w:lineRule="exact"/>
      <w:ind w:right="210" w:rightChars="100"/>
      <w:jc w:val="left"/>
    </w:pPr>
    <w:rPr>
      <w:b/>
      <w:color w:val="000000"/>
    </w:rPr>
  </w:style>
  <w:style w:type="paragraph" w:customStyle="1" w:styleId="627">
    <w:name w:val="（空）多级符号 Char Char"/>
    <w:basedOn w:val="1"/>
    <w:qFormat/>
    <w:uiPriority w:val="99"/>
    <w:pPr>
      <w:adjustRightInd w:val="0"/>
      <w:snapToGrid w:val="0"/>
      <w:ind w:firstLine="540" w:firstLineChars="225"/>
    </w:pPr>
    <w:rPr>
      <w:rFonts w:ascii="宋体" w:hAnsi="宋体"/>
      <w:sz w:val="24"/>
    </w:rPr>
  </w:style>
  <w:style w:type="paragraph" w:customStyle="1" w:styleId="628">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9">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1">
    <w:name w:val="正文样式 Char"/>
    <w:basedOn w:val="81"/>
    <w:link w:val="632"/>
    <w:qFormat/>
    <w:locked/>
    <w:uiPriority w:val="99"/>
    <w:rPr>
      <w:rFonts w:hAnsi="宋体" w:cs="Times New Roman"/>
      <w:sz w:val="24"/>
      <w:szCs w:val="24"/>
    </w:rPr>
  </w:style>
  <w:style w:type="paragraph" w:customStyle="1" w:styleId="632">
    <w:name w:val="正文样式"/>
    <w:basedOn w:val="1"/>
    <w:link w:val="631"/>
    <w:qFormat/>
    <w:uiPriority w:val="99"/>
    <w:pPr>
      <w:ind w:firstLine="480" w:firstLineChars="200"/>
    </w:pPr>
    <w:rPr>
      <w:rFonts w:hAnsi="宋体"/>
      <w:kern w:val="0"/>
      <w:sz w:val="24"/>
    </w:rPr>
  </w:style>
  <w:style w:type="paragraph" w:customStyle="1" w:styleId="633">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lang w:val="en-US" w:eastAsia="en-US" w:bidi="ar-SA"/>
    </w:rPr>
  </w:style>
  <w:style w:type="paragraph" w:customStyle="1" w:styleId="634">
    <w:name w:val="Default Paragraph Char Char Char Char"/>
    <w:basedOn w:val="1"/>
    <w:next w:val="1"/>
    <w:qFormat/>
    <w:uiPriority w:val="99"/>
    <w:pPr>
      <w:widowControl/>
      <w:jc w:val="left"/>
    </w:pPr>
    <w:rPr>
      <w:kern w:val="0"/>
      <w:szCs w:val="20"/>
      <w:lang w:eastAsia="en-US"/>
    </w:rPr>
  </w:style>
  <w:style w:type="paragraph" w:customStyle="1" w:styleId="635">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6">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7">
    <w:name w:val="样式 楷体_GB2312 悬挂缩进: 1.5 字符 行距: 固定值 24 磅 Char Char Char Char Char"/>
    <w:link w:val="638"/>
    <w:qFormat/>
    <w:locked/>
    <w:uiPriority w:val="99"/>
    <w:rPr>
      <w:rFonts w:ascii="KaiTi_GB2312" w:hAnsi="Tahoma" w:eastAsia="KaiTi_GB2312"/>
      <w:sz w:val="28"/>
    </w:rPr>
  </w:style>
  <w:style w:type="paragraph" w:customStyle="1" w:styleId="638">
    <w:name w:val="样式 楷体_GB2312 悬挂缩进: 1.5 字符 行距: 固定值 24 磅 Char Char"/>
    <w:basedOn w:val="1"/>
    <w:link w:val="637"/>
    <w:qFormat/>
    <w:uiPriority w:val="99"/>
    <w:pPr>
      <w:ind w:firstLine="599" w:firstLineChars="214"/>
    </w:pPr>
    <w:rPr>
      <w:rFonts w:ascii="KaiTi_GB2312" w:hAnsi="Tahoma" w:eastAsia="KaiTi_GB2312"/>
      <w:kern w:val="0"/>
      <w:sz w:val="28"/>
      <w:szCs w:val="28"/>
    </w:rPr>
  </w:style>
  <w:style w:type="paragraph" w:customStyle="1" w:styleId="639">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0">
    <w:name w:val="正文_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641">
    <w:name w:val="artcontent"/>
    <w:basedOn w:val="81"/>
    <w:qFormat/>
    <w:uiPriority w:val="99"/>
    <w:rPr>
      <w:rFonts w:ascii="Tahoma" w:hAnsi="Tahoma" w:eastAsia="宋体" w:cs="Tahoma"/>
      <w:kern w:val="2"/>
      <w:sz w:val="28"/>
      <w:szCs w:val="28"/>
      <w:lang w:val="en-US" w:eastAsia="zh-CN" w:bidi="ar-SA"/>
    </w:rPr>
  </w:style>
  <w:style w:type="character" w:customStyle="1" w:styleId="642">
    <w:name w:val="title_emph1"/>
    <w:basedOn w:val="81"/>
    <w:qFormat/>
    <w:uiPriority w:val="99"/>
    <w:rPr>
      <w:rFonts w:ascii="Arial" w:hAnsi="Arial" w:cs="Arial"/>
      <w:b/>
      <w:bCs/>
      <w:sz w:val="20"/>
      <w:szCs w:val="20"/>
    </w:rPr>
  </w:style>
  <w:style w:type="character" w:customStyle="1" w:styleId="643">
    <w:name w:val="style1"/>
    <w:basedOn w:val="81"/>
    <w:qFormat/>
    <w:uiPriority w:val="99"/>
    <w:rPr>
      <w:rFonts w:cs="Times New Roman"/>
    </w:rPr>
  </w:style>
  <w:style w:type="character" w:customStyle="1" w:styleId="644">
    <w:name w:val="spantable1"/>
    <w:basedOn w:val="81"/>
    <w:qFormat/>
    <w:uiPriority w:val="99"/>
    <w:rPr>
      <w:rFonts w:ascii="??" w:hAnsi="??" w:cs="Times New Roman"/>
      <w:sz w:val="18"/>
      <w:szCs w:val="18"/>
    </w:rPr>
  </w:style>
  <w:style w:type="character" w:customStyle="1" w:styleId="645">
    <w:name w:val="表格内容"/>
    <w:basedOn w:val="81"/>
    <w:qFormat/>
    <w:uiPriority w:val="99"/>
    <w:rPr>
      <w:rFonts w:cs="Times New Roman"/>
      <w:sz w:val="24"/>
    </w:rPr>
  </w:style>
  <w:style w:type="character" w:customStyle="1" w:styleId="646">
    <w:name w:val="param-name"/>
    <w:basedOn w:val="81"/>
    <w:qFormat/>
    <w:uiPriority w:val="99"/>
    <w:rPr>
      <w:rFonts w:cs="Times New Roman"/>
    </w:rPr>
  </w:style>
  <w:style w:type="paragraph" w:customStyle="1" w:styleId="647">
    <w:name w:val="常规正文"/>
    <w:basedOn w:val="1"/>
    <w:qFormat/>
    <w:uiPriority w:val="99"/>
    <w:pPr>
      <w:ind w:firstLine="200" w:firstLineChars="200"/>
    </w:pPr>
    <w:rPr>
      <w:sz w:val="24"/>
    </w:rPr>
  </w:style>
  <w:style w:type="paragraph" w:customStyle="1" w:styleId="648">
    <w:name w:val="1 Char Char Char Char"/>
    <w:basedOn w:val="1"/>
    <w:qFormat/>
    <w:uiPriority w:val="99"/>
    <w:pPr>
      <w:spacing w:line="240" w:lineRule="auto"/>
    </w:pPr>
    <w:rPr>
      <w:rFonts w:ascii="宋体" w:hAnsi="宋体"/>
      <w:sz w:val="24"/>
    </w:rPr>
  </w:style>
  <w:style w:type="character" w:customStyle="1" w:styleId="649">
    <w:name w:val="正文（首行缩进2字符） Char"/>
    <w:basedOn w:val="81"/>
    <w:link w:val="95"/>
    <w:qFormat/>
    <w:locked/>
    <w:uiPriority w:val="99"/>
    <w:rPr>
      <w:rFonts w:cs="Times New Roman"/>
      <w:kern w:val="2"/>
      <w:sz w:val="24"/>
    </w:rPr>
  </w:style>
  <w:style w:type="paragraph" w:customStyle="1" w:styleId="650">
    <w:name w:val="F00"/>
    <w:basedOn w:val="1"/>
    <w:qFormat/>
    <w:uiPriority w:val="99"/>
    <w:pPr>
      <w:tabs>
        <w:tab w:val="left" w:pos="2235"/>
      </w:tabs>
      <w:spacing w:line="500" w:lineRule="exact"/>
      <w:ind w:firstLine="353" w:firstLineChars="147"/>
    </w:pPr>
    <w:rPr>
      <w:rFonts w:ascii="宋体" w:hAnsi="宋体"/>
      <w:sz w:val="24"/>
    </w:rPr>
  </w:style>
  <w:style w:type="table" w:customStyle="1" w:styleId="651">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2">
    <w:name w:val="TableTextLeft"/>
    <w:qFormat/>
    <w:uiPriority w:val="99"/>
    <w:rPr>
      <w:rFonts w:ascii="Century Gothic" w:hAnsi="Century Gothic" w:eastAsia="宋体" w:cs="Times New Roman"/>
      <w:szCs w:val="18"/>
      <w:lang w:val="en-US" w:eastAsia="en-US" w:bidi="ar-SA"/>
    </w:rPr>
  </w:style>
  <w:style w:type="paragraph" w:customStyle="1" w:styleId="653">
    <w:name w:val="正文，首行缩进:"/>
    <w:basedOn w:val="1"/>
    <w:qFormat/>
    <w:uiPriority w:val="99"/>
    <w:pPr>
      <w:ind w:firstLine="420" w:firstLineChars="175"/>
      <w:jc w:val="left"/>
    </w:pPr>
    <w:rPr>
      <w:rFonts w:ascii="宋体" w:hAnsi="宋体" w:cs="宋体"/>
      <w:sz w:val="24"/>
      <w:szCs w:val="20"/>
    </w:rPr>
  </w:style>
  <w:style w:type="paragraph" w:customStyle="1" w:styleId="654">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5">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6">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7">
    <w:name w:val="正文应用"/>
    <w:basedOn w:val="1"/>
    <w:qFormat/>
    <w:uiPriority w:val="99"/>
    <w:pPr>
      <w:ind w:firstLine="480" w:firstLineChars="200"/>
      <w:jc w:val="left"/>
    </w:pPr>
    <w:rPr>
      <w:sz w:val="24"/>
      <w:szCs w:val="20"/>
    </w:rPr>
  </w:style>
  <w:style w:type="paragraph" w:customStyle="1" w:styleId="658">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9">
    <w:name w:val="标二"/>
    <w:next w:val="1"/>
    <w:qFormat/>
    <w:uiPriority w:val="99"/>
    <w:pPr>
      <w:widowControl w:val="0"/>
      <w:outlineLvl w:val="1"/>
    </w:pPr>
    <w:rPr>
      <w:rFonts w:ascii="宋体" w:hAnsi="宋体" w:eastAsia="宋体" w:cs="Times New Roman"/>
      <w:b/>
      <w:color w:val="000000"/>
      <w:kern w:val="2"/>
      <w:sz w:val="24"/>
      <w:lang w:val="en-US" w:eastAsia="zh-CN" w:bidi="ar-SA"/>
    </w:rPr>
  </w:style>
  <w:style w:type="paragraph" w:customStyle="1" w:styleId="660">
    <w:name w:val="正文文字缩进2字"/>
    <w:basedOn w:val="2"/>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1">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2">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3">
    <w:name w:val="样式 段落缩进2 小四 + 段前: 15.6 磅"/>
    <w:basedOn w:val="1"/>
    <w:qFormat/>
    <w:uiPriority w:val="99"/>
    <w:pPr>
      <w:spacing w:before="312"/>
    </w:pPr>
    <w:rPr>
      <w:rFonts w:ascii="宋体" w:hAnsi="宋体"/>
      <w:sz w:val="24"/>
      <w:szCs w:val="20"/>
    </w:rPr>
  </w:style>
  <w:style w:type="paragraph" w:customStyle="1" w:styleId="664">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5">
    <w:name w:val="表项"/>
    <w:next w:val="666"/>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66">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67">
    <w:name w:val="表身（中）"/>
    <w:basedOn w:val="666"/>
    <w:qFormat/>
    <w:uiPriority w:val="99"/>
    <w:pPr>
      <w:jc w:val="center"/>
    </w:pPr>
  </w:style>
  <w:style w:type="paragraph" w:customStyle="1" w:styleId="668">
    <w:name w:val="框下空行"/>
    <w:basedOn w:val="1"/>
    <w:next w:val="1"/>
    <w:qFormat/>
    <w:uiPriority w:val="99"/>
    <w:pPr>
      <w:widowControl/>
      <w:adjustRightInd w:val="0"/>
      <w:snapToGrid w:val="0"/>
      <w:spacing w:line="200" w:lineRule="exact"/>
      <w:ind w:left="680"/>
    </w:pPr>
    <w:rPr>
      <w:sz w:val="18"/>
      <w:szCs w:val="20"/>
    </w:rPr>
  </w:style>
  <w:style w:type="paragraph" w:customStyle="1" w:styleId="669">
    <w:name w:val="正文文字左对齐"/>
    <w:basedOn w:val="2"/>
    <w:qFormat/>
    <w:uiPriority w:val="99"/>
    <w:pPr>
      <w:autoSpaceDE/>
      <w:autoSpaceDN/>
      <w:adjustRightInd/>
    </w:pPr>
    <w:rPr>
      <w:rFonts w:hAnsi="宋体"/>
      <w:bCs/>
      <w:szCs w:val="20"/>
      <w:lang w:val="en-GB"/>
    </w:rPr>
  </w:style>
  <w:style w:type="character" w:customStyle="1" w:styleId="670">
    <w:name w:val="txtcontent11"/>
    <w:basedOn w:val="81"/>
    <w:qFormat/>
    <w:uiPriority w:val="99"/>
    <w:rPr>
      <w:rFonts w:ascii="??" w:hAnsi="??" w:cs="Times New Roman"/>
      <w:color w:val="000000"/>
      <w:sz w:val="19"/>
      <w:szCs w:val="19"/>
    </w:rPr>
  </w:style>
  <w:style w:type="paragraph" w:customStyle="1" w:styleId="671">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2">
    <w:name w:val="f9"/>
    <w:basedOn w:val="81"/>
    <w:qFormat/>
    <w:uiPriority w:val="99"/>
    <w:rPr>
      <w:rFonts w:cs="Times New Roman"/>
    </w:rPr>
  </w:style>
  <w:style w:type="character" w:customStyle="1" w:styleId="673">
    <w:name w:val="style11"/>
    <w:basedOn w:val="81"/>
    <w:qFormat/>
    <w:uiPriority w:val="99"/>
    <w:rPr>
      <w:rFonts w:cs="Times New Roman"/>
      <w:color w:val="3399FF"/>
    </w:rPr>
  </w:style>
  <w:style w:type="character" w:customStyle="1" w:styleId="674">
    <w:name w:val="Char Char26"/>
    <w:qFormat/>
    <w:uiPriority w:val="99"/>
    <w:rPr>
      <w:rFonts w:ascii="宋体" w:eastAsia="宋体"/>
      <w:snapToGrid w:val="0"/>
      <w:color w:val="000000"/>
      <w:kern w:val="28"/>
      <w:sz w:val="28"/>
      <w:lang w:val="en-US" w:eastAsia="zh-CN"/>
    </w:rPr>
  </w:style>
  <w:style w:type="character" w:customStyle="1" w:styleId="675">
    <w:name w:val="列出段落 字符"/>
    <w:link w:val="255"/>
    <w:qFormat/>
    <w:locked/>
    <w:uiPriority w:val="99"/>
    <w:rPr>
      <w:kern w:val="2"/>
      <w:sz w:val="24"/>
    </w:rPr>
  </w:style>
  <w:style w:type="paragraph" w:customStyle="1" w:styleId="676">
    <w:name w:val="公开招标文件"/>
    <w:basedOn w:val="1"/>
    <w:qFormat/>
    <w:uiPriority w:val="99"/>
    <w:pPr>
      <w:spacing w:line="1000" w:lineRule="exact"/>
      <w:jc w:val="center"/>
    </w:pPr>
    <w:rPr>
      <w:rFonts w:ascii="宋体" w:hAnsi="宋体" w:cs="宋体"/>
      <w:b/>
      <w:bCs/>
      <w:sz w:val="92"/>
      <w:szCs w:val="20"/>
    </w:rPr>
  </w:style>
  <w:style w:type="paragraph" w:customStyle="1" w:styleId="677">
    <w:name w:val="封面第一行"/>
    <w:basedOn w:val="1"/>
    <w:qFormat/>
    <w:uiPriority w:val="99"/>
    <w:pPr>
      <w:jc w:val="center"/>
    </w:pPr>
    <w:rPr>
      <w:rFonts w:ascii="黑体" w:hAnsi="宋体" w:eastAsia="黑体" w:cs="宋体"/>
      <w:sz w:val="56"/>
      <w:szCs w:val="20"/>
    </w:rPr>
  </w:style>
  <w:style w:type="paragraph" w:customStyle="1" w:styleId="678">
    <w:name w:val="列出段落4"/>
    <w:basedOn w:val="1"/>
    <w:qFormat/>
    <w:uiPriority w:val="99"/>
    <w:pPr>
      <w:spacing w:line="240" w:lineRule="auto"/>
      <w:ind w:firstLine="420" w:firstLineChars="200"/>
    </w:pPr>
  </w:style>
  <w:style w:type="paragraph" w:customStyle="1" w:styleId="679">
    <w:name w:val="封面编号"/>
    <w:basedOn w:val="1"/>
    <w:qFormat/>
    <w:uiPriority w:val="99"/>
    <w:pPr>
      <w:jc w:val="center"/>
    </w:pPr>
    <w:rPr>
      <w:rFonts w:ascii="黑体" w:hAnsi="宋体" w:eastAsia="黑体" w:cs="宋体"/>
      <w:b/>
      <w:bCs/>
      <w:sz w:val="38"/>
      <w:szCs w:val="20"/>
    </w:rPr>
  </w:style>
  <w:style w:type="paragraph" w:customStyle="1" w:styleId="680">
    <w:name w:val="正文（宋体，小四，1.5倍行距）"/>
    <w:basedOn w:val="1"/>
    <w:qFormat/>
    <w:uiPriority w:val="99"/>
    <w:pPr>
      <w:ind w:firstLine="480" w:firstLineChars="200"/>
    </w:pPr>
    <w:rPr>
      <w:rFonts w:ascii="宋体" w:hAnsi="宋体"/>
    </w:rPr>
  </w:style>
  <w:style w:type="paragraph" w:customStyle="1" w:styleId="681">
    <w:name w:val="段落文字"/>
    <w:basedOn w:val="1"/>
    <w:qFormat/>
    <w:uiPriority w:val="99"/>
    <w:pPr>
      <w:spacing w:line="398" w:lineRule="auto"/>
      <w:ind w:firstLine="480" w:firstLineChars="200"/>
    </w:pPr>
    <w:rPr>
      <w:rFonts w:cs="宋体"/>
    </w:rPr>
  </w:style>
  <w:style w:type="paragraph" w:customStyle="1" w:styleId="682">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3">
    <w:name w:val="正文文本缩进_0"/>
    <w:basedOn w:val="682"/>
    <w:qFormat/>
    <w:uiPriority w:val="99"/>
    <w:pPr>
      <w:autoSpaceDE w:val="0"/>
      <w:autoSpaceDN w:val="0"/>
      <w:spacing w:line="360" w:lineRule="auto"/>
      <w:ind w:left="181" w:firstLine="539"/>
    </w:pPr>
    <w:rPr>
      <w:sz w:val="24"/>
      <w:szCs w:val="20"/>
    </w:rPr>
  </w:style>
  <w:style w:type="paragraph" w:customStyle="1" w:styleId="684">
    <w:name w:val="标题4"/>
    <w:basedOn w:val="5"/>
    <w:qFormat/>
    <w:uiPriority w:val="99"/>
    <w:pPr>
      <w:outlineLvl w:val="3"/>
    </w:pPr>
  </w:style>
  <w:style w:type="paragraph" w:customStyle="1" w:styleId="685">
    <w:name w:val="正文缩进_0"/>
    <w:basedOn w:val="682"/>
    <w:qFormat/>
    <w:uiPriority w:val="99"/>
    <w:pPr>
      <w:ind w:firstLine="420"/>
    </w:pPr>
  </w:style>
  <w:style w:type="character" w:customStyle="1" w:styleId="686">
    <w:name w:val="16"/>
    <w:qFormat/>
    <w:uiPriority w:val="99"/>
    <w:rPr>
      <w:rFonts w:ascii="Times New Roman" w:hAnsi="Times New Roman"/>
      <w:sz w:val="21"/>
    </w:rPr>
  </w:style>
  <w:style w:type="paragraph" w:customStyle="1" w:styleId="687">
    <w:name w:val="表内文字"/>
    <w:basedOn w:val="1"/>
    <w:qFormat/>
    <w:uiPriority w:val="99"/>
    <w:pPr>
      <w:tabs>
        <w:tab w:val="left" w:pos="1418"/>
      </w:tabs>
      <w:jc w:val="center"/>
    </w:pPr>
    <w:rPr>
      <w:rFonts w:ascii="FangSong_GB2312" w:eastAsia="FangSong_GB2312"/>
      <w:spacing w:val="-20"/>
      <w:kern w:val="0"/>
      <w:sz w:val="24"/>
    </w:rPr>
  </w:style>
  <w:style w:type="paragraph" w:customStyle="1" w:styleId="688">
    <w:name w:val="_Style 2"/>
    <w:basedOn w:val="1"/>
    <w:qFormat/>
    <w:uiPriority w:val="99"/>
    <w:pPr>
      <w:ind w:firstLine="420" w:firstLineChars="200"/>
    </w:pPr>
  </w:style>
  <w:style w:type="paragraph" w:customStyle="1" w:styleId="68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0">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1">
    <w:name w:val="font31"/>
    <w:basedOn w:val="81"/>
    <w:qFormat/>
    <w:uiPriority w:val="0"/>
    <w:rPr>
      <w:rFonts w:hint="eastAsia" w:ascii="微软雅黑" w:hAnsi="微软雅黑" w:eastAsia="微软雅黑" w:cs="微软雅黑"/>
      <w:color w:val="000000"/>
      <w:sz w:val="16"/>
      <w:szCs w:val="16"/>
      <w:u w:val="none"/>
    </w:rPr>
  </w:style>
  <w:style w:type="paragraph" w:customStyle="1" w:styleId="692">
    <w:name w:val="Table Paragraph"/>
    <w:basedOn w:val="1"/>
    <w:unhideWhenUsed/>
    <w:qFormat/>
    <w:uiPriority w:val="1"/>
    <w:rPr>
      <w:sz w:val="24"/>
    </w:rPr>
  </w:style>
  <w:style w:type="paragraph" w:customStyle="1" w:styleId="6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5">
    <w:name w:val="font81"/>
    <w:basedOn w:val="81"/>
    <w:qFormat/>
    <w:uiPriority w:val="0"/>
    <w:rPr>
      <w:rFonts w:hint="eastAsia" w:ascii="宋体" w:hAnsi="宋体" w:eastAsia="宋体" w:cs="宋体"/>
      <w:color w:val="000000"/>
      <w:sz w:val="20"/>
      <w:szCs w:val="20"/>
      <w:u w:val="none"/>
    </w:rPr>
  </w:style>
  <w:style w:type="paragraph" w:customStyle="1" w:styleId="696">
    <w:name w:val="reader-word-layer"/>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9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表格内文"/>
    <w:basedOn w:val="1"/>
    <w:qFormat/>
    <w:uiPriority w:val="99"/>
    <w:pPr>
      <w:spacing w:line="400" w:lineRule="exact"/>
    </w:pPr>
    <w:rPr>
      <w:rFonts w:ascii="Arial" w:hAnsi="Arial" w:cs="宋体"/>
      <w:szCs w:val="20"/>
    </w:rPr>
  </w:style>
  <w:style w:type="paragraph" w:styleId="69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700">
    <w:name w:val="DAS正文"/>
    <w:basedOn w:val="1"/>
    <w:qFormat/>
    <w:uiPriority w:val="0"/>
    <w:pPr>
      <w:ind w:right="181" w:firstLine="480"/>
    </w:pPr>
    <w:rPr>
      <w:rFonts w:ascii="Verdana" w:hAnsi="Verdana"/>
      <w:sz w:val="24"/>
    </w:rPr>
  </w:style>
  <w:style w:type="paragraph" w:customStyle="1" w:styleId="701">
    <w:name w:val="4、正文"/>
    <w:basedOn w:val="1"/>
    <w:qFormat/>
    <w:uiPriority w:val="0"/>
    <w:pPr>
      <w:ind w:firstLine="200" w:firstLineChars="200"/>
    </w:pPr>
    <w:rPr>
      <w:rFonts w:ascii="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33294</Words>
  <Characters>34914</Characters>
  <Lines>262</Lines>
  <Paragraphs>73</Paragraphs>
  <TotalTime>1</TotalTime>
  <ScaleCrop>false</ScaleCrop>
  <LinksUpToDate>false</LinksUpToDate>
  <CharactersWithSpaces>36250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2022-04-12T03:04:00Z</dcterms:created>
  <dc:creator>鲁中伦</dc:creator>
  <cp:lastModifiedBy>加勒比贼船</cp:lastModifiedBy>
  <cp:lastPrinted>2022-03-23T06:23:00Z</cp:lastPrinted>
  <dcterms:modified xsi:type="dcterms:W3CDTF">2022-11-14T06:13:55Z</dcterms:modified>
  <dc:title>杭州市公安局大江东产业集聚区分局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45A3749E32884527A689393E1B8B33FD</vt:lpwstr>
  </property>
</Properties>
</file>