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bookmarkStart w:id="82" w:name="_GoBack"/>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台州市政府采购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竞争性磋商文件</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32"/>
          <w:highlight w:val="none"/>
        </w:rPr>
      </w:pPr>
      <w:r>
        <w:rPr>
          <w:rFonts w:hint="eastAsia" w:ascii="宋体"/>
          <w:b/>
          <w:color w:val="auto"/>
          <w:kern w:val="0"/>
          <w:sz w:val="32"/>
          <w:highlight w:val="none"/>
        </w:rPr>
        <w:t>台财采确</w:t>
      </w:r>
      <w:r>
        <w:rPr>
          <w:rFonts w:hint="eastAsia" w:ascii="宋体"/>
          <w:b/>
          <w:color w:val="auto"/>
          <w:kern w:val="0"/>
          <w:sz w:val="32"/>
          <w:highlight w:val="none"/>
          <w:lang w:val="en-US" w:eastAsia="zh-CN"/>
        </w:rPr>
        <w:t>临</w:t>
      </w:r>
      <w:r>
        <w:rPr>
          <w:rFonts w:hint="eastAsia" w:ascii="宋体"/>
          <w:b/>
          <w:color w:val="auto"/>
          <w:kern w:val="0"/>
          <w:sz w:val="32"/>
          <w:highlight w:val="none"/>
        </w:rPr>
        <w:t>【2022】    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p>
    <w:p>
      <w:pPr>
        <w:autoSpaceDE w:val="0"/>
        <w:autoSpaceDN w:val="0"/>
        <w:adjustRightInd w:val="0"/>
        <w:spacing w:line="360" w:lineRule="auto"/>
        <w:rPr>
          <w:rFonts w:ascii="宋体"/>
          <w:b/>
          <w:color w:val="auto"/>
          <w:kern w:val="0"/>
          <w:sz w:val="52"/>
          <w:szCs w:val="52"/>
          <w:highlight w:val="none"/>
        </w:rPr>
      </w:pPr>
    </w:p>
    <w:p>
      <w:pPr>
        <w:autoSpaceDE w:val="0"/>
        <w:autoSpaceDN w:val="0"/>
        <w:adjustRightInd w:val="0"/>
        <w:spacing w:line="360" w:lineRule="auto"/>
        <w:ind w:firstLine="1797" w:firstLineChars="642"/>
        <w:jc w:val="center"/>
        <w:rPr>
          <w:rFonts w:ascii="宋体"/>
          <w:color w:val="auto"/>
          <w:kern w:val="0"/>
          <w:sz w:val="28"/>
          <w:highlight w:val="none"/>
        </w:rPr>
      </w:pPr>
    </w:p>
    <w:p>
      <w:pPr>
        <w:autoSpaceDE w:val="0"/>
        <w:autoSpaceDN w:val="0"/>
        <w:adjustRightInd w:val="0"/>
        <w:spacing w:line="360" w:lineRule="auto"/>
        <w:jc w:val="center"/>
        <w:rPr>
          <w:rFonts w:ascii="宋体"/>
          <w:color w:val="auto"/>
          <w:kern w:val="0"/>
          <w:sz w:val="28"/>
          <w:highlight w:val="none"/>
        </w:rPr>
      </w:pPr>
      <w:r>
        <w:rPr>
          <w:rFonts w:hint="eastAsia" w:ascii="宋体"/>
          <w:color w:val="auto"/>
          <w:kern w:val="0"/>
          <w:sz w:val="28"/>
          <w:highlight w:val="none"/>
        </w:rPr>
        <w:t>采购项目：</w:t>
      </w:r>
      <w:r>
        <w:rPr>
          <w:rFonts w:hint="eastAsia" w:ascii="宋体" w:hAnsi="宋体" w:cs="Calibri Light"/>
          <w:color w:val="auto"/>
          <w:kern w:val="0"/>
          <w:sz w:val="28"/>
          <w:szCs w:val="28"/>
          <w:highlight w:val="none"/>
        </w:rPr>
        <w:t>主干道路风貌整治攻坚项目（方案设计）</w:t>
      </w:r>
    </w:p>
    <w:p>
      <w:pPr>
        <w:autoSpaceDE w:val="0"/>
        <w:autoSpaceDN w:val="0"/>
        <w:adjustRightInd w:val="0"/>
        <w:spacing w:line="360" w:lineRule="auto"/>
        <w:jc w:val="center"/>
        <w:rPr>
          <w:rFonts w:ascii="宋体"/>
          <w:color w:val="auto"/>
          <w:kern w:val="0"/>
          <w:sz w:val="28"/>
          <w:highlight w:val="none"/>
        </w:rPr>
      </w:pPr>
      <w:r>
        <w:rPr>
          <w:rFonts w:hint="eastAsia" w:ascii="宋体"/>
          <w:color w:val="auto"/>
          <w:kern w:val="0"/>
          <w:sz w:val="28"/>
          <w:highlight w:val="none"/>
        </w:rPr>
        <w:t>采 购 人：</w:t>
      </w:r>
      <w:r>
        <w:rPr>
          <w:rFonts w:hint="eastAsia" w:ascii="宋体" w:hAnsi="宋体" w:cs="Calibri Light"/>
          <w:color w:val="auto"/>
          <w:kern w:val="0"/>
          <w:sz w:val="28"/>
          <w:szCs w:val="28"/>
          <w:highlight w:val="none"/>
        </w:rPr>
        <w:t>台州市住房和城乡建设局（盖章）</w:t>
      </w:r>
    </w:p>
    <w:p>
      <w:pPr>
        <w:autoSpaceDE w:val="0"/>
        <w:autoSpaceDN w:val="0"/>
        <w:adjustRightInd w:val="0"/>
        <w:spacing w:line="360" w:lineRule="auto"/>
        <w:rPr>
          <w:rFonts w:ascii="宋体"/>
          <w:color w:val="auto"/>
          <w:kern w:val="0"/>
          <w:sz w:val="28"/>
          <w:highlight w:val="none"/>
        </w:rPr>
      </w:pPr>
    </w:p>
    <w:p>
      <w:pPr>
        <w:autoSpaceDE w:val="0"/>
        <w:autoSpaceDN w:val="0"/>
        <w:adjustRightInd w:val="0"/>
        <w:spacing w:line="360" w:lineRule="auto"/>
        <w:rPr>
          <w:rFonts w:ascii="宋体"/>
          <w:color w:val="auto"/>
          <w:kern w:val="0"/>
          <w:sz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台州市建设咨询有限公司（盖章）</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auto"/>
          <w:highlight w:val="none"/>
        </w:rPr>
      </w:pPr>
      <w:r>
        <w:rPr>
          <w:rFonts w:hint="eastAsia" w:ascii="宋体" w:hAnsi="宋体" w:cs="宋体"/>
          <w:color w:val="auto"/>
          <w:kern w:val="0"/>
          <w:sz w:val="28"/>
          <w:szCs w:val="28"/>
          <w:highlight w:val="none"/>
        </w:rPr>
        <w:t>2022年</w:t>
      </w:r>
      <w:r>
        <w:rPr>
          <w:rFonts w:hint="eastAsia" w:ascii="宋体" w:hAnsi="宋体" w:cs="宋体"/>
          <w:color w:val="auto"/>
          <w:kern w:val="0"/>
          <w:sz w:val="28"/>
          <w:szCs w:val="28"/>
          <w:highlight w:val="none"/>
          <w:lang w:val="en-US" w:eastAsia="zh-CN"/>
        </w:rPr>
        <w:t>07</w:t>
      </w:r>
      <w:r>
        <w:rPr>
          <w:rFonts w:hint="eastAsia" w:ascii="宋体" w:hAnsi="宋体" w:cs="宋体"/>
          <w:color w:val="auto"/>
          <w:kern w:val="0"/>
          <w:sz w:val="28"/>
          <w:szCs w:val="28"/>
          <w:highlight w:val="none"/>
        </w:rPr>
        <w:t>月</w:t>
      </w:r>
    </w:p>
    <w:p>
      <w:pPr>
        <w:spacing w:line="360" w:lineRule="auto"/>
        <w:rPr>
          <w:color w:val="auto"/>
          <w:highlight w:val="none"/>
        </w:rPr>
      </w:pPr>
    </w:p>
    <w:p>
      <w:pPr>
        <w:pStyle w:val="28"/>
        <w:rPr>
          <w:color w:val="auto"/>
          <w:highlight w:val="none"/>
        </w:rPr>
      </w:pPr>
    </w:p>
    <w:p>
      <w:pPr>
        <w:spacing w:line="360" w:lineRule="auto"/>
        <w:rPr>
          <w:color w:val="auto"/>
          <w:highlight w:val="none"/>
        </w:rPr>
      </w:pPr>
    </w:p>
    <w:p>
      <w:pPr>
        <w:rPr>
          <w:rFonts w:ascii="宋体" w:hAnsi="宋体" w:cs="Arial"/>
          <w:b/>
          <w:bCs/>
          <w:color w:val="auto"/>
          <w:sz w:val="36"/>
          <w:szCs w:val="36"/>
          <w:highlight w:val="none"/>
        </w:rPr>
      </w:pPr>
      <w:r>
        <w:rPr>
          <w:rFonts w:hint="eastAsia" w:ascii="宋体" w:hAnsi="宋体" w:cs="Arial"/>
          <w:b/>
          <w:bCs/>
          <w:color w:val="auto"/>
          <w:sz w:val="36"/>
          <w:szCs w:val="36"/>
          <w:highlight w:val="none"/>
        </w:rPr>
        <w:br w:type="page"/>
      </w:r>
    </w:p>
    <w:sdt>
      <w:sdtPr>
        <w:rPr>
          <w:rFonts w:hint="eastAsia" w:ascii="宋体" w:hAnsi="宋体" w:cs="宋体"/>
          <w:color w:val="auto"/>
          <w:sz w:val="32"/>
          <w:szCs w:val="32"/>
          <w:highlight w:val="none"/>
        </w:rPr>
        <w:id w:val="147453465"/>
        <w:docPartObj>
          <w:docPartGallery w:val="Table of Contents"/>
          <w:docPartUnique/>
        </w:docPartObj>
      </w:sdtPr>
      <w:sdtEndPr>
        <w:rPr>
          <w:rFonts w:hint="eastAsia" w:ascii="Times New Roman" w:hAnsi="Times New Roman" w:cs="Times New Roman"/>
          <w:color w:val="auto"/>
          <w:sz w:val="21"/>
          <w:szCs w:val="28"/>
          <w:highlight w:val="none"/>
        </w:rPr>
      </w:sdtEndPr>
      <w:sdtContent>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目  录</w:t>
          </w:r>
        </w:p>
        <w:p>
          <w:pPr>
            <w:pStyle w:val="49"/>
            <w:tabs>
              <w:tab w:val="right" w:leader="dot" w:pos="9070"/>
            </w:tabs>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TOC \o "1-1" \h \u </w:instrText>
          </w:r>
          <w:r>
            <w:rPr>
              <w:rFonts w:hint="eastAsia"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"_Toc32401" </w:instrText>
          </w:r>
          <w:r>
            <w:rPr>
              <w:color w:val="auto"/>
              <w:highlight w:val="none"/>
            </w:rPr>
            <w:fldChar w:fldCharType="separate"/>
          </w:r>
          <w:r>
            <w:rPr>
              <w:rFonts w:hint="eastAsia" w:ascii="宋体" w:hAnsi="宋体" w:cs="宋体"/>
              <w:color w:val="auto"/>
              <w:sz w:val="32"/>
              <w:szCs w:val="32"/>
              <w:highlight w:val="none"/>
            </w:rPr>
            <w:t>第一章 磋商邀请</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_Toc32401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49"/>
            <w:tabs>
              <w:tab w:val="right" w:leader="dot" w:pos="9070"/>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"_Toc6994" </w:instrText>
          </w:r>
          <w:r>
            <w:rPr>
              <w:color w:val="auto"/>
              <w:highlight w:val="none"/>
            </w:rPr>
            <w:fldChar w:fldCharType="separate"/>
          </w:r>
          <w:r>
            <w:rPr>
              <w:rFonts w:hint="eastAsia" w:ascii="宋体" w:hAnsi="宋体" w:cs="宋体"/>
              <w:color w:val="auto"/>
              <w:sz w:val="32"/>
              <w:szCs w:val="32"/>
              <w:highlight w:val="none"/>
            </w:rPr>
            <w:t>第二章 供应商须知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t>5</w:t>
          </w:r>
          <w:r>
            <w:rPr>
              <w:rFonts w:hint="eastAsia" w:ascii="宋体" w:hAnsi="宋体" w:cs="宋体"/>
              <w:color w:val="auto"/>
              <w:sz w:val="32"/>
              <w:szCs w:val="32"/>
              <w:highlight w:val="none"/>
            </w:rPr>
            <w:fldChar w:fldCharType="end"/>
          </w:r>
        </w:p>
        <w:p>
          <w:pPr>
            <w:pStyle w:val="49"/>
            <w:tabs>
              <w:tab w:val="right" w:leader="dot" w:pos="9070"/>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"_Toc29935" </w:instrText>
          </w:r>
          <w:r>
            <w:rPr>
              <w:color w:val="auto"/>
              <w:highlight w:val="none"/>
            </w:rPr>
            <w:fldChar w:fldCharType="separate"/>
          </w:r>
          <w:r>
            <w:rPr>
              <w:rFonts w:hint="eastAsia" w:ascii="宋体" w:hAnsi="宋体" w:cs="宋体"/>
              <w:color w:val="auto"/>
              <w:sz w:val="32"/>
              <w:szCs w:val="32"/>
              <w:highlight w:val="none"/>
            </w:rPr>
            <w:t>第三章 项目需求</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_Toc29935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15</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49"/>
            <w:tabs>
              <w:tab w:val="right" w:leader="dot" w:pos="9070"/>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"_Toc19531" </w:instrText>
          </w:r>
          <w:r>
            <w:rPr>
              <w:color w:val="auto"/>
              <w:highlight w:val="none"/>
            </w:rPr>
            <w:fldChar w:fldCharType="separate"/>
          </w:r>
          <w:r>
            <w:rPr>
              <w:rFonts w:hint="eastAsia" w:ascii="宋体" w:hAnsi="宋体" w:cs="宋体"/>
              <w:color w:val="auto"/>
              <w:sz w:val="32"/>
              <w:szCs w:val="32"/>
              <w:highlight w:val="none"/>
            </w:rPr>
            <w:t>第四章 磋商</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_Toc19531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49"/>
            <w:tabs>
              <w:tab w:val="right" w:leader="dot" w:pos="9070"/>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"_Toc21781" </w:instrText>
          </w:r>
          <w:r>
            <w:rPr>
              <w:color w:val="auto"/>
              <w:highlight w:val="none"/>
            </w:rPr>
            <w:fldChar w:fldCharType="separate"/>
          </w:r>
          <w:r>
            <w:rPr>
              <w:rFonts w:hint="eastAsia" w:ascii="宋体" w:hAnsi="宋体" w:cs="宋体"/>
              <w:color w:val="auto"/>
              <w:sz w:val="32"/>
              <w:szCs w:val="32"/>
              <w:highlight w:val="none"/>
            </w:rPr>
            <w:t>第五章 拟签订的合同文本</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_Toc21781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24</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49"/>
            <w:tabs>
              <w:tab w:val="right" w:leader="dot" w:pos="9070"/>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"_Toc22166" </w:instrText>
          </w:r>
          <w:r>
            <w:rPr>
              <w:color w:val="auto"/>
              <w:highlight w:val="none"/>
            </w:rPr>
            <w:fldChar w:fldCharType="separate"/>
          </w:r>
          <w:r>
            <w:rPr>
              <w:rFonts w:hint="eastAsia" w:ascii="宋体" w:hAnsi="宋体" w:cs="宋体"/>
              <w:color w:val="auto"/>
              <w:sz w:val="32"/>
              <w:szCs w:val="32"/>
              <w:highlight w:val="none"/>
            </w:rPr>
            <w:t>第六章 响应文件格式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t>4</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t>1</w:t>
          </w:r>
        </w:p>
        <w:p>
          <w:pPr>
            <w:spacing w:line="360" w:lineRule="auto"/>
            <w:rPr>
              <w:color w:val="auto"/>
              <w:sz w:val="28"/>
              <w:szCs w:val="28"/>
              <w:highlight w:val="none"/>
            </w:rPr>
          </w:pPr>
          <w:r>
            <w:rPr>
              <w:rFonts w:hint="eastAsia" w:ascii="宋体" w:hAnsi="宋体" w:cs="宋体"/>
              <w:color w:val="auto"/>
              <w:sz w:val="32"/>
              <w:szCs w:val="32"/>
              <w:highlight w:val="none"/>
            </w:rPr>
            <w:fldChar w:fldCharType="end"/>
          </w:r>
        </w:p>
      </w:sdtContent>
    </w:sdt>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color w:val="auto"/>
          <w:sz w:val="36"/>
          <w:szCs w:val="36"/>
          <w:highlight w:val="none"/>
        </w:rPr>
      </w:pPr>
      <w:bookmarkStart w:id="0" w:name="_Toc32401"/>
      <w:r>
        <w:rPr>
          <w:rFonts w:hint="eastAsia" w:asciiTheme="majorEastAsia" w:hAnsiTheme="majorEastAsia" w:eastAsiaTheme="majorEastAsia"/>
          <w:b/>
          <w:color w:val="auto"/>
          <w:kern w:val="0"/>
          <w:sz w:val="36"/>
          <w:szCs w:val="36"/>
          <w:highlight w:val="none"/>
        </w:rPr>
        <w:t>磋商邀请</w:t>
      </w:r>
      <w:bookmarkEnd w:id="0"/>
    </w:p>
    <w:p>
      <w:pPr>
        <w:pStyle w:val="4"/>
        <w:ind w:right="0" w:firstLine="480" w:firstLineChars="200"/>
        <w:rPr>
          <w:rFonts w:asciiTheme="minorEastAsia" w:hAnsiTheme="minorEastAsia" w:eastAsiaTheme="minorEastAsia" w:cstheme="minorEastAsia"/>
          <w:b w:val="0"/>
          <w:color w:val="auto"/>
          <w:sz w:val="24"/>
          <w:szCs w:val="24"/>
          <w:highlight w:val="none"/>
        </w:rPr>
      </w:pPr>
      <w:bookmarkStart w:id="1" w:name="_Toc35393621"/>
      <w:bookmarkStart w:id="2" w:name="_Toc35393790"/>
      <w:bookmarkStart w:id="3" w:name="_Toc28359079"/>
      <w:bookmarkStart w:id="4" w:name="_Toc28359002"/>
      <w:bookmarkStart w:id="5" w:name="_Hlk24379207"/>
      <w:r>
        <w:rPr>
          <w:rFonts w:hint="eastAsia" w:asciiTheme="minorEastAsia" w:hAnsiTheme="minorEastAsia" w:eastAsiaTheme="minorEastAsia" w:cstheme="minorEastAsia"/>
          <w:b w:val="0"/>
          <w:color w:val="auto"/>
          <w:sz w:val="24"/>
          <w:szCs w:val="24"/>
          <w:highlight w:val="none"/>
          <w:u w:val="single"/>
        </w:rPr>
        <w:t>台州市建设咨询有限公司</w:t>
      </w:r>
      <w:r>
        <w:rPr>
          <w:rFonts w:hint="eastAsia" w:asciiTheme="minorEastAsia" w:hAnsiTheme="minorEastAsia" w:eastAsiaTheme="minorEastAsia" w:cstheme="minorEastAsia"/>
          <w:b w:val="0"/>
          <w:color w:val="auto"/>
          <w:sz w:val="24"/>
          <w:szCs w:val="24"/>
          <w:highlight w:val="none"/>
        </w:rPr>
        <w:t>受</w:t>
      </w:r>
      <w:r>
        <w:rPr>
          <w:rFonts w:hint="eastAsia" w:asciiTheme="minorEastAsia" w:hAnsiTheme="minorEastAsia" w:eastAsiaTheme="minorEastAsia" w:cstheme="minorEastAsia"/>
          <w:b w:val="0"/>
          <w:color w:val="auto"/>
          <w:sz w:val="24"/>
          <w:szCs w:val="24"/>
          <w:highlight w:val="none"/>
          <w:u w:val="single"/>
        </w:rPr>
        <w:t>台州市住房和城乡建设局</w:t>
      </w:r>
      <w:r>
        <w:rPr>
          <w:rFonts w:hint="eastAsia" w:asciiTheme="minorEastAsia" w:hAnsiTheme="minorEastAsia" w:eastAsiaTheme="minorEastAsia" w:cstheme="minorEastAsia"/>
          <w:b w:val="0"/>
          <w:color w:val="auto"/>
          <w:sz w:val="24"/>
          <w:szCs w:val="24"/>
          <w:highlight w:val="none"/>
        </w:rPr>
        <w:t>委托，就</w:t>
      </w:r>
      <w:r>
        <w:rPr>
          <w:rFonts w:hint="eastAsia" w:asciiTheme="minorEastAsia" w:hAnsiTheme="minorEastAsia" w:eastAsiaTheme="minorEastAsia" w:cstheme="minorEastAsia"/>
          <w:b w:val="0"/>
          <w:color w:val="auto"/>
          <w:sz w:val="24"/>
          <w:szCs w:val="24"/>
          <w:highlight w:val="none"/>
          <w:u w:val="single"/>
        </w:rPr>
        <w:t>主干道路风貌整治攻坚项目（方案设计）</w:t>
      </w:r>
      <w:r>
        <w:rPr>
          <w:rFonts w:hint="eastAsia" w:asciiTheme="minorEastAsia" w:hAnsiTheme="minorEastAsia" w:eastAsiaTheme="minorEastAsia" w:cstheme="minorEastAsia"/>
          <w:b w:val="0"/>
          <w:color w:val="auto"/>
          <w:sz w:val="24"/>
          <w:szCs w:val="24"/>
          <w:highlight w:val="none"/>
        </w:rPr>
        <w:t>进行竞争性磋商，欢迎符合资格条件的国内供应商前来磋商。</w:t>
      </w:r>
    </w:p>
    <w:p>
      <w:pPr>
        <w:pStyle w:val="4"/>
        <w:ind w:right="0" w:firstLine="482"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一、项目基本情况</w:t>
      </w:r>
      <w:bookmarkEnd w:id="1"/>
      <w:bookmarkEnd w:id="2"/>
      <w:bookmarkEnd w:id="3"/>
      <w:bookmarkEnd w:id="4"/>
    </w:p>
    <w:p>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台财采确临【2022】    号</w:t>
      </w:r>
    </w:p>
    <w:bookmarkEnd w:id="5"/>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项目名称：主干道路风貌整治攻坚项目（方案设计）</w:t>
      </w:r>
    </w:p>
    <w:tbl>
      <w:tblPr>
        <w:tblStyle w:val="22"/>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852"/>
        <w:gridCol w:w="844"/>
        <w:gridCol w:w="863"/>
        <w:gridCol w:w="1649"/>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015" w:type="dxa"/>
            <w:vAlign w:val="center"/>
          </w:tcPr>
          <w:p>
            <w:pPr>
              <w:tabs>
                <w:tab w:val="left" w:pos="8280"/>
              </w:tabs>
              <w:autoSpaceDE w:val="0"/>
              <w:autoSpaceDN w:val="0"/>
              <w:adjustRightIn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标项号</w:t>
            </w:r>
          </w:p>
        </w:tc>
        <w:tc>
          <w:tcPr>
            <w:tcW w:w="2852" w:type="dxa"/>
            <w:vAlign w:val="center"/>
          </w:tcPr>
          <w:p>
            <w:pPr>
              <w:tabs>
                <w:tab w:val="left" w:pos="8280"/>
              </w:tabs>
              <w:autoSpaceDE w:val="0"/>
              <w:autoSpaceDN w:val="0"/>
              <w:adjustRightInd w:val="0"/>
              <w:ind w:firstLine="120" w:firstLineChars="5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标项名称</w:t>
            </w:r>
          </w:p>
        </w:tc>
        <w:tc>
          <w:tcPr>
            <w:tcW w:w="844" w:type="dxa"/>
            <w:vAlign w:val="center"/>
          </w:tcPr>
          <w:p>
            <w:pPr>
              <w:tabs>
                <w:tab w:val="left" w:pos="8280"/>
              </w:tabs>
              <w:autoSpaceDE w:val="0"/>
              <w:autoSpaceDN w:val="0"/>
              <w:adjustRightIn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数量</w:t>
            </w:r>
          </w:p>
        </w:tc>
        <w:tc>
          <w:tcPr>
            <w:tcW w:w="863" w:type="dxa"/>
            <w:vAlign w:val="center"/>
          </w:tcPr>
          <w:p>
            <w:pPr>
              <w:tabs>
                <w:tab w:val="left" w:pos="8280"/>
              </w:tabs>
              <w:autoSpaceDE w:val="0"/>
              <w:autoSpaceDN w:val="0"/>
              <w:adjustRightIn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单位</w:t>
            </w:r>
          </w:p>
        </w:tc>
        <w:tc>
          <w:tcPr>
            <w:tcW w:w="1649" w:type="dxa"/>
            <w:vAlign w:val="center"/>
          </w:tcPr>
          <w:p>
            <w:pPr>
              <w:tabs>
                <w:tab w:val="left" w:pos="8280"/>
              </w:tabs>
              <w:autoSpaceDE w:val="0"/>
              <w:autoSpaceDN w:val="0"/>
              <w:adjustRightIn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预算</w:t>
            </w:r>
          </w:p>
          <w:p>
            <w:pPr>
              <w:tabs>
                <w:tab w:val="left" w:pos="8280"/>
              </w:tabs>
              <w:autoSpaceDE w:val="0"/>
              <w:autoSpaceDN w:val="0"/>
              <w:adjustRightIn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（万元）</w:t>
            </w:r>
          </w:p>
        </w:tc>
        <w:tc>
          <w:tcPr>
            <w:tcW w:w="1481" w:type="dxa"/>
            <w:vAlign w:val="center"/>
          </w:tcPr>
          <w:p>
            <w:pPr>
              <w:jc w:val="center"/>
              <w:rPr>
                <w:rFonts w:asciiTheme="minorEastAsia" w:hAnsiTheme="minorEastAsia" w:cstheme="minorEastAsia"/>
                <w:b/>
                <w:color w:val="auto"/>
                <w:sz w:val="24"/>
                <w:highlight w:val="none"/>
              </w:rPr>
            </w:pPr>
            <w:r>
              <w:rPr>
                <w:rFonts w:hint="eastAsia" w:ascii="宋体" w:hAnsi="宋体"/>
                <w:b/>
                <w:color w:val="auto"/>
                <w:sz w:val="24"/>
                <w:highlight w:val="none"/>
              </w:rPr>
              <w:t>投标</w:t>
            </w:r>
            <w:r>
              <w:rPr>
                <w:rFonts w:ascii="宋体" w:hAnsi="宋体"/>
                <w:b/>
                <w:color w:val="auto"/>
                <w:sz w:val="24"/>
                <w:highlight w:val="none"/>
              </w:rPr>
              <w:t>上限</w:t>
            </w:r>
            <w:r>
              <w:rPr>
                <w:rFonts w:hint="eastAsia" w:ascii="宋体" w:hAnsi="宋体"/>
                <w:b/>
                <w:color w:val="auto"/>
                <w:sz w:val="24"/>
                <w:highlight w:val="none"/>
              </w:rPr>
              <w:t>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015" w:type="dxa"/>
            <w:vAlign w:val="center"/>
          </w:tcPr>
          <w:p>
            <w:pPr>
              <w:tabs>
                <w:tab w:val="left" w:pos="8280"/>
              </w:tabs>
              <w:autoSpaceDE w:val="0"/>
              <w:autoSpaceDN w:val="0"/>
              <w:adjustRightIn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2852" w:type="dxa"/>
            <w:vAlign w:val="center"/>
          </w:tcPr>
          <w:p>
            <w:pPr>
              <w:tabs>
                <w:tab w:val="left" w:pos="8280"/>
              </w:tabs>
              <w:autoSpaceDE w:val="0"/>
              <w:autoSpaceDN w:val="0"/>
              <w:adjustRightInd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主干道路风貌整治攻坚项目（方案设计）</w:t>
            </w:r>
          </w:p>
        </w:tc>
        <w:tc>
          <w:tcPr>
            <w:tcW w:w="844" w:type="dxa"/>
            <w:vAlign w:val="center"/>
          </w:tcPr>
          <w:p>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p>
        </w:tc>
        <w:tc>
          <w:tcPr>
            <w:tcW w:w="863" w:type="dxa"/>
            <w:vAlign w:val="center"/>
          </w:tcPr>
          <w:p>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w:t>
            </w:r>
          </w:p>
        </w:tc>
        <w:tc>
          <w:tcPr>
            <w:tcW w:w="1649" w:type="dxa"/>
            <w:vAlign w:val="center"/>
          </w:tcPr>
          <w:p>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330</w:t>
            </w:r>
          </w:p>
        </w:tc>
        <w:tc>
          <w:tcPr>
            <w:tcW w:w="1481" w:type="dxa"/>
            <w:vAlign w:val="center"/>
          </w:tcPr>
          <w:p>
            <w:pPr>
              <w:tabs>
                <w:tab w:val="left" w:pos="8280"/>
              </w:tabs>
              <w:autoSpaceDE w:val="0"/>
              <w:autoSpaceDN w:val="0"/>
              <w:adjustRightIn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330</w:t>
            </w:r>
          </w:p>
        </w:tc>
      </w:tr>
    </w:tbl>
    <w:p>
      <w:pPr>
        <w:pStyle w:val="4"/>
        <w:ind w:right="0" w:firstLine="482" w:firstLineChars="200"/>
        <w:rPr>
          <w:rFonts w:cs="宋体"/>
          <w:bCs/>
          <w:color w:val="auto"/>
          <w:sz w:val="24"/>
          <w:szCs w:val="24"/>
          <w:highlight w:val="none"/>
        </w:rPr>
      </w:pPr>
      <w:bookmarkStart w:id="6" w:name="_Toc28359003"/>
      <w:bookmarkStart w:id="7" w:name="_Toc35393622"/>
      <w:bookmarkStart w:id="8" w:name="_Toc28359080"/>
      <w:bookmarkStart w:id="9" w:name="_Toc35393791"/>
      <w:r>
        <w:rPr>
          <w:rFonts w:hint="eastAsia" w:cs="宋体"/>
          <w:bCs/>
          <w:color w:val="auto"/>
          <w:sz w:val="24"/>
          <w:szCs w:val="24"/>
          <w:highlight w:val="none"/>
        </w:rPr>
        <w:t>二、供应商的资格要求</w:t>
      </w:r>
      <w:bookmarkEnd w:id="6"/>
      <w:bookmarkEnd w:id="7"/>
      <w:bookmarkEnd w:id="8"/>
      <w:bookmarkEnd w:id="9"/>
    </w:p>
    <w:p>
      <w:pPr>
        <w:spacing w:line="360" w:lineRule="auto"/>
        <w:ind w:firstLine="480" w:firstLineChars="200"/>
        <w:rPr>
          <w:rFonts w:ascii="宋体" w:hAnsi="宋体" w:cs="宋体"/>
          <w:color w:val="auto"/>
          <w:sz w:val="24"/>
          <w:highlight w:val="none"/>
        </w:rPr>
      </w:pPr>
      <w:bookmarkStart w:id="10" w:name="_Toc35393623"/>
      <w:bookmarkStart w:id="11" w:name="_Toc28359081"/>
      <w:bookmarkStart w:id="12" w:name="_Toc28359004"/>
      <w:bookmarkStart w:id="13" w:name="_Toc35393792"/>
      <w:r>
        <w:rPr>
          <w:rFonts w:hint="eastAsia" w:ascii="宋体" w:hAnsi="宋体" w:cs="宋体"/>
          <w:color w:val="auto"/>
          <w:sz w:val="24"/>
          <w:highlight w:val="none"/>
        </w:rPr>
        <w:t>（一）满足《中华人民共和国政府采购法》第二十二条规定</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（二）本项目的特定资格要求：</w:t>
      </w:r>
      <w:r>
        <w:rPr>
          <w:rFonts w:hint="eastAsia" w:ascii="宋体" w:hAnsi="宋体" w:cs="宋体"/>
          <w:color w:val="auto"/>
          <w:sz w:val="24"/>
          <w:highlight w:val="none"/>
        </w:rPr>
        <w:t>投标人须具有城乡规划</w:t>
      </w:r>
      <w:r>
        <w:rPr>
          <w:rFonts w:hint="eastAsia" w:ascii="宋体" w:hAnsi="宋体" w:cs="宋体"/>
          <w:color w:val="auto"/>
          <w:sz w:val="24"/>
          <w:highlight w:val="none"/>
          <w:lang w:val="en-US" w:eastAsia="zh-CN"/>
        </w:rPr>
        <w:t>编制乙</w:t>
      </w:r>
      <w:r>
        <w:rPr>
          <w:rFonts w:hint="eastAsia" w:ascii="宋体" w:hAnsi="宋体" w:cs="宋体"/>
          <w:color w:val="auto"/>
          <w:sz w:val="24"/>
          <w:highlight w:val="none"/>
        </w:rPr>
        <w:t>级资质</w:t>
      </w:r>
      <w:r>
        <w:rPr>
          <w:rFonts w:hint="eastAsia" w:ascii="宋体" w:hAnsi="宋体" w:cs="宋体"/>
          <w:color w:val="auto"/>
          <w:sz w:val="24"/>
          <w:highlight w:val="none"/>
          <w:lang w:val="en-US" w:eastAsia="zh-CN"/>
        </w:rPr>
        <w:t>及以上</w:t>
      </w:r>
      <w:r>
        <w:rPr>
          <w:rFonts w:hint="eastAsia" w:ascii="宋体" w:hAnsi="宋体" w:cs="宋体"/>
          <w:color w:val="auto"/>
          <w:sz w:val="24"/>
          <w:highlight w:val="none"/>
          <w:lang w:val="en-US"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（三）本项目</w:t>
      </w:r>
      <w:r>
        <w:rPr>
          <w:rFonts w:hint="eastAsia" w:ascii="宋体" w:hAnsi="宋体" w:cs="宋体"/>
          <w:color w:val="auto"/>
          <w:sz w:val="24"/>
          <w:highlight w:val="none"/>
        </w:rPr>
        <w:t>不</w:t>
      </w:r>
      <w:r>
        <w:rPr>
          <w:rFonts w:hint="eastAsia" w:ascii="宋体" w:hAnsi="宋体" w:cs="宋体"/>
          <w:color w:val="auto"/>
          <w:sz w:val="24"/>
          <w:highlight w:val="none"/>
        </w:rPr>
        <w:t>接受联合体磋商</w:t>
      </w:r>
    </w:p>
    <w:bookmarkEnd w:id="10"/>
    <w:bookmarkEnd w:id="11"/>
    <w:bookmarkEnd w:id="12"/>
    <w:bookmarkEnd w:id="13"/>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（四）本项目</w:t>
      </w:r>
      <w:r>
        <w:rPr>
          <w:rFonts w:hint="eastAsia" w:ascii="宋体" w:hAnsi="宋体" w:cs="宋体"/>
          <w:color w:val="auto"/>
          <w:sz w:val="24"/>
          <w:highlight w:val="none"/>
        </w:rPr>
        <w:t>非</w:t>
      </w:r>
      <w:r>
        <w:rPr>
          <w:rFonts w:hint="eastAsia" w:ascii="宋体" w:hAnsi="宋体" w:cs="宋体"/>
          <w:color w:val="auto"/>
          <w:sz w:val="24"/>
          <w:highlight w:val="none"/>
        </w:rPr>
        <w:t>专门针对为中小企业采购项目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4"/>
        <w:ind w:right="0" w:firstLine="482" w:firstLineChars="200"/>
        <w:rPr>
          <w:rFonts w:cs="宋体"/>
          <w:bCs/>
          <w:color w:val="auto"/>
          <w:sz w:val="24"/>
          <w:szCs w:val="24"/>
          <w:highlight w:val="none"/>
        </w:rPr>
      </w:pPr>
      <w:r>
        <w:rPr>
          <w:rFonts w:hint="eastAsia" w:cs="宋体"/>
          <w:bCs/>
          <w:color w:val="auto"/>
          <w:sz w:val="24"/>
          <w:szCs w:val="24"/>
          <w:highlight w:val="none"/>
        </w:rPr>
        <w:t>三、获取磋商文件</w:t>
      </w:r>
    </w:p>
    <w:p>
      <w:pPr>
        <w:pStyle w:val="4"/>
        <w:ind w:right="0" w:firstLine="482" w:firstLineChars="200"/>
        <w:rPr>
          <w:rFonts w:cs="宋体"/>
          <w:color w:val="auto"/>
          <w:sz w:val="24"/>
          <w:highlight w:val="none"/>
        </w:rPr>
      </w:pPr>
      <w:r>
        <w:rPr>
          <w:rFonts w:hint="eastAsia" w:cs="宋体"/>
          <w:color w:val="auto"/>
          <w:sz w:val="24"/>
          <w:szCs w:val="24"/>
          <w:highlight w:val="none"/>
        </w:rPr>
        <w:t>（一）时间：公告发布时间至响应截止时间</w:t>
      </w:r>
    </w:p>
    <w:p>
      <w:pPr>
        <w:pStyle w:val="28"/>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（二）方式：浙江政府采购网</w:t>
      </w:r>
      <w:r>
        <w:rPr>
          <w:rFonts w:hint="eastAsia" w:ascii="宋体" w:hAnsi="宋体" w:eastAsia="宋体" w:cs="宋体"/>
          <w:color w:val="auto"/>
          <w:kern w:val="2"/>
          <w:sz w:val="24"/>
          <w:szCs w:val="24"/>
          <w:highlight w:val="none"/>
        </w:rPr>
        <w:t>（https://zfcg.czt.zj.gov.cn）</w:t>
      </w:r>
      <w:r>
        <w:rPr>
          <w:rFonts w:hint="eastAsia" w:ascii="宋体" w:hAnsi="宋体" w:eastAsia="宋体" w:cs="宋体"/>
          <w:color w:val="auto"/>
          <w:sz w:val="24"/>
          <w:szCs w:val="24"/>
          <w:highlight w:val="none"/>
        </w:rPr>
        <w:t>免费下载</w:t>
      </w:r>
    </w:p>
    <w:p>
      <w:pPr>
        <w:pStyle w:val="4"/>
        <w:ind w:right="0" w:firstLine="482" w:firstLineChars="200"/>
        <w:rPr>
          <w:rFonts w:cs="宋体"/>
          <w:bCs/>
          <w:color w:val="auto"/>
          <w:sz w:val="24"/>
          <w:szCs w:val="24"/>
          <w:highlight w:val="none"/>
        </w:rPr>
      </w:pPr>
      <w:bookmarkStart w:id="14" w:name="_Toc35393624"/>
      <w:bookmarkStart w:id="15" w:name="_Toc35393793"/>
      <w:bookmarkStart w:id="16" w:name="_Toc28359005"/>
      <w:bookmarkStart w:id="17" w:name="_Toc28359082"/>
      <w:r>
        <w:rPr>
          <w:rFonts w:hint="eastAsia" w:cs="宋体"/>
          <w:bCs/>
          <w:color w:val="auto"/>
          <w:sz w:val="24"/>
          <w:szCs w:val="24"/>
          <w:highlight w:val="none"/>
        </w:rPr>
        <w:t>四、提交磋商响应文件</w:t>
      </w:r>
      <w:bookmarkEnd w:id="14"/>
      <w:bookmarkEnd w:id="15"/>
      <w:bookmarkEnd w:id="16"/>
      <w:bookmarkEnd w:id="17"/>
    </w:p>
    <w:p>
      <w:pPr>
        <w:spacing w:line="360" w:lineRule="auto"/>
        <w:ind w:firstLine="480" w:firstLineChars="200"/>
        <w:rPr>
          <w:rFonts w:ascii="宋体" w:hAnsi="宋体" w:cs="宋体"/>
          <w:iCs/>
          <w:color w:val="auto"/>
          <w:sz w:val="24"/>
          <w:highlight w:val="none"/>
          <w:u w:val="single"/>
        </w:rPr>
      </w:pPr>
      <w:bookmarkStart w:id="18" w:name="_Toc35393794"/>
      <w:bookmarkStart w:id="19" w:name="_Toc28359007"/>
      <w:bookmarkStart w:id="20" w:name="_Toc28359084"/>
      <w:bookmarkStart w:id="21" w:name="_Toc35393625"/>
      <w:r>
        <w:rPr>
          <w:rFonts w:hint="eastAsia" w:ascii="宋体" w:hAnsi="宋体" w:cs="宋体"/>
          <w:color w:val="auto"/>
          <w:sz w:val="24"/>
          <w:highlight w:val="none"/>
        </w:rPr>
        <w:t>（一）截止时间（磋商开始时间）：</w:t>
      </w:r>
      <w:r>
        <w:rPr>
          <w:rFonts w:hint="eastAsia" w:ascii="宋体" w:hAnsi="宋体" w:cs="宋体"/>
          <w:bCs/>
          <w:color w:val="auto"/>
          <w:sz w:val="24"/>
          <w:highlight w:val="none"/>
          <w:u w:val="single"/>
        </w:rPr>
        <w:t>2022年</w:t>
      </w:r>
      <w:r>
        <w:rPr>
          <w:rFonts w:hint="eastAsia" w:ascii="宋体" w:hAnsi="宋体" w:cs="宋体"/>
          <w:color w:val="auto"/>
          <w:sz w:val="24"/>
          <w:highlight w:val="none"/>
          <w:u w:val="single"/>
          <w:lang w:val="en-US" w:eastAsia="zh-CN"/>
        </w:rPr>
        <w:t>07</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19</w:t>
      </w:r>
      <w:r>
        <w:rPr>
          <w:rFonts w:hint="eastAsia" w:ascii="宋体" w:hAnsi="宋体" w:cs="宋体"/>
          <w:bCs/>
          <w:color w:val="auto"/>
          <w:sz w:val="24"/>
          <w:highlight w:val="none"/>
          <w:u w:val="single"/>
        </w:rPr>
        <w:t>日09点</w:t>
      </w:r>
      <w:r>
        <w:rPr>
          <w:rFonts w:hint="eastAsia" w:ascii="宋体" w:hAnsi="宋体" w:cs="宋体"/>
          <w:bCs/>
          <w:color w:val="auto"/>
          <w:sz w:val="24"/>
          <w:highlight w:val="none"/>
          <w:u w:val="single"/>
          <w:lang w:val="en-US" w:eastAsia="zh-CN"/>
        </w:rPr>
        <w:t>00</w:t>
      </w:r>
      <w:r>
        <w:rPr>
          <w:rFonts w:hint="eastAsia" w:ascii="宋体" w:hAnsi="宋体" w:cs="宋体"/>
          <w:bCs/>
          <w:color w:val="auto"/>
          <w:sz w:val="24"/>
          <w:highlight w:val="none"/>
          <w:u w:val="single"/>
        </w:rPr>
        <w:t>分</w:t>
      </w:r>
      <w:r>
        <w:rPr>
          <w:rFonts w:hint="eastAsia" w:ascii="宋体" w:hAnsi="宋体" w:cs="宋体"/>
          <w:bCs/>
          <w:color w:val="auto"/>
          <w:sz w:val="24"/>
          <w:highlight w:val="none"/>
        </w:rPr>
        <w:t>（北京时间）</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（二）提交网址：浙江政府采购云平台（http://www.zcygov.cn）</w:t>
      </w:r>
    </w:p>
    <w:bookmarkEnd w:id="18"/>
    <w:bookmarkEnd w:id="19"/>
    <w:bookmarkEnd w:id="20"/>
    <w:bookmarkEnd w:id="21"/>
    <w:p>
      <w:pPr>
        <w:pStyle w:val="21"/>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pPr>
        <w:pStyle w:val="21"/>
        <w:spacing w:after="0" w:line="360" w:lineRule="auto"/>
        <w:ind w:left="0" w:leftChars="0" w:firstLine="480" w:firstLineChars="200"/>
        <w:rPr>
          <w:rFonts w:asciiTheme="minorEastAsia" w:hAnsiTheme="minorEastAsia" w:eastAsiaTheme="minorEastAsia" w:cstheme="minorEastAsia"/>
          <w:color w:val="auto"/>
          <w:kern w:val="0"/>
          <w:sz w:val="24"/>
          <w:highlight w:val="none"/>
        </w:rPr>
      </w:pPr>
      <w:bookmarkStart w:id="22" w:name="_Toc35393795"/>
      <w:bookmarkStart w:id="23" w:name="_Toc35393626"/>
      <w:r>
        <w:rPr>
          <w:rFonts w:hint="eastAsia" w:asciiTheme="minorEastAsia" w:hAnsiTheme="minorEastAsia" w:eastAsiaTheme="minorEastAsia" w:cstheme="minorEastAsia"/>
          <w:color w:val="auto"/>
          <w:kern w:val="0"/>
          <w:sz w:val="24"/>
          <w:highlight w:val="none"/>
        </w:rPr>
        <w:t>（一）公告网址：浙江政府采购网（</w:t>
      </w:r>
      <w:r>
        <w:rPr>
          <w:rFonts w:hint="eastAsia" w:asciiTheme="minorEastAsia" w:hAnsiTheme="minorEastAsia" w:eastAsiaTheme="minorEastAsia" w:cstheme="minorEastAsia"/>
          <w:color w:val="auto"/>
          <w:sz w:val="24"/>
          <w:highlight w:val="none"/>
        </w:rPr>
        <w:t>https://zfcg.czt.zj.gov.cn</w:t>
      </w:r>
      <w:r>
        <w:rPr>
          <w:rFonts w:hint="eastAsia" w:asciiTheme="minorEastAsia" w:hAnsiTheme="minorEastAsia" w:eastAsiaTheme="minorEastAsia" w:cstheme="minorEastAsia"/>
          <w:color w:val="auto"/>
          <w:kern w:val="0"/>
          <w:sz w:val="24"/>
          <w:highlight w:val="none"/>
        </w:rPr>
        <w:t>），台州市公共资源交易网（https://tzztb.zjtz.gov.cn）。</w:t>
      </w:r>
    </w:p>
    <w:p>
      <w:pPr>
        <w:pStyle w:val="21"/>
        <w:spacing w:after="0" w:line="360" w:lineRule="auto"/>
        <w:ind w:left="0" w:leftChars="0"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（二）公告期限：本公告期限自发布之日起五个工作日</w:t>
      </w:r>
    </w:p>
    <w:bookmarkEnd w:id="22"/>
    <w:bookmarkEnd w:id="23"/>
    <w:p>
      <w:pPr>
        <w:pStyle w:val="4"/>
        <w:ind w:right="0" w:firstLine="482" w:firstLineChars="200"/>
        <w:rPr>
          <w:rFonts w:asciiTheme="minorEastAsia" w:hAnsiTheme="minorEastAsia" w:eastAsiaTheme="minorEastAsia" w:cstheme="minorEastAsia"/>
          <w:bCs/>
          <w:color w:val="auto"/>
          <w:sz w:val="24"/>
          <w:szCs w:val="24"/>
          <w:highlight w:val="none"/>
        </w:rPr>
      </w:pPr>
      <w:bookmarkStart w:id="24" w:name="_Toc28359087"/>
      <w:bookmarkStart w:id="25" w:name="_Toc28359010"/>
      <w:r>
        <w:rPr>
          <w:rFonts w:hint="eastAsia" w:asciiTheme="minorEastAsia" w:hAnsiTheme="minorEastAsia" w:eastAsiaTheme="minorEastAsia" w:cstheme="minorEastAsia"/>
          <w:bCs/>
          <w:color w:val="auto"/>
          <w:sz w:val="24"/>
          <w:szCs w:val="24"/>
          <w:highlight w:val="none"/>
        </w:rPr>
        <w:t>六、注册报名</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参与政府采购项目的供应商，需登录浙江省政府采购网（https://zfcg.czt.zj.gov.cn/）进行注册后报名。</w:t>
      </w:r>
    </w:p>
    <w:p>
      <w:pPr>
        <w:pStyle w:val="4"/>
        <w:ind w:right="0" w:firstLine="482" w:firstLineChars="200"/>
        <w:rPr>
          <w:rFonts w:asciiTheme="minorEastAsia" w:hAnsiTheme="minorEastAsia" w:eastAsiaTheme="minorEastAsia" w:cstheme="minorEastAsia"/>
          <w:bCs/>
          <w:color w:val="auto"/>
          <w:sz w:val="24"/>
          <w:szCs w:val="24"/>
          <w:highlight w:val="none"/>
        </w:rPr>
      </w:pPr>
      <w:bookmarkStart w:id="26" w:name="_Toc35393796"/>
      <w:bookmarkStart w:id="27" w:name="_Toc28359085"/>
      <w:bookmarkStart w:id="28" w:name="_Toc28359008"/>
      <w:bookmarkStart w:id="29" w:name="_Toc35393627"/>
      <w:r>
        <w:rPr>
          <w:rFonts w:hint="eastAsia" w:asciiTheme="minorEastAsia" w:hAnsiTheme="minorEastAsia" w:eastAsiaTheme="minorEastAsia" w:cstheme="minorEastAsia"/>
          <w:bCs/>
          <w:color w:val="auto"/>
          <w:sz w:val="24"/>
          <w:szCs w:val="24"/>
          <w:highlight w:val="none"/>
        </w:rPr>
        <w:t>七、联系</w:t>
      </w:r>
      <w:bookmarkEnd w:id="26"/>
      <w:bookmarkEnd w:id="27"/>
      <w:bookmarkEnd w:id="28"/>
      <w:bookmarkEnd w:id="29"/>
      <w:r>
        <w:rPr>
          <w:rFonts w:hint="eastAsia" w:asciiTheme="minorEastAsia" w:hAnsiTheme="minorEastAsia" w:eastAsiaTheme="minorEastAsia" w:cstheme="minorEastAsia"/>
          <w:bCs/>
          <w:color w:val="auto"/>
          <w:sz w:val="24"/>
          <w:szCs w:val="24"/>
          <w:highlight w:val="none"/>
        </w:rPr>
        <w:t>方式</w:t>
      </w:r>
    </w:p>
    <w:p>
      <w:pPr>
        <w:snapToGrid w:val="0"/>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 xml:space="preserve">（一）采购人（受理磋商文件相关质疑及答复） </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u w:val="single"/>
        </w:rPr>
        <w:t>台州市住房和城乡建设局</w:t>
      </w:r>
    </w:p>
    <w:p>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台州市市府大道465号</w:t>
      </w:r>
    </w:p>
    <w:p>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bookmarkStart w:id="30" w:name="_Toc28359009"/>
      <w:bookmarkStart w:id="31" w:name="_Toc28359086"/>
      <w:r>
        <w:rPr>
          <w:rFonts w:hint="eastAsia" w:asciiTheme="minorEastAsia" w:hAnsiTheme="minorEastAsia" w:eastAsiaTheme="minorEastAsia" w:cstheme="minorEastAsia"/>
          <w:color w:val="auto"/>
          <w:sz w:val="24"/>
          <w:highlight w:val="none"/>
          <w:u w:val="single"/>
        </w:rPr>
        <w:t>石先生</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0576-88517661</w:t>
      </w:r>
    </w:p>
    <w:bookmarkEnd w:id="30"/>
    <w:bookmarkEnd w:id="31"/>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w:t>
      </w:r>
      <w:r>
        <w:rPr>
          <w:rFonts w:hint="eastAsia" w:ascii="宋体" w:hAnsi="宋体" w:cs="宋体"/>
          <w:b/>
          <w:bCs/>
          <w:color w:val="auto"/>
          <w:sz w:val="24"/>
          <w:highlight w:val="none"/>
        </w:rPr>
        <w:t>采购组织机构</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台州市建设咨询有限公司</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台州市市府大道507号台州国际商务广场1幢东电梯11楼</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rPr>
        <w:t>葛俊</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0576-88517782</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受理联系人：</w:t>
      </w:r>
      <w:r>
        <w:rPr>
          <w:rFonts w:hint="eastAsia" w:ascii="宋体" w:hAnsi="宋体" w:cs="宋体"/>
          <w:color w:val="auto"/>
          <w:sz w:val="24"/>
          <w:highlight w:val="none"/>
          <w:u w:val="single"/>
        </w:rPr>
        <w:t>徐瑜（受理注册、磋商结果相关质疑及答复）</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0576-88517786</w:t>
      </w: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（三）同级政府采购监管机构</w:t>
      </w:r>
    </w:p>
    <w:p>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u w:val="single"/>
        </w:rPr>
        <w:t>台州市财政局政府采购监管处</w:t>
      </w:r>
    </w:p>
    <w:p>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single"/>
        </w:rPr>
        <w:t>台州经济开发区纬一路</w:t>
      </w:r>
    </w:p>
    <w:p>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陈女士/李女士</w:t>
      </w:r>
    </w:p>
    <w:p>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single"/>
        </w:rPr>
        <w:t>0576-88206705/0576-88206731</w:t>
      </w: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（四）政采云平台</w:t>
      </w:r>
    </w:p>
    <w:p>
      <w:pPr>
        <w:spacing w:line="360" w:lineRule="auto"/>
        <w:ind w:firstLine="480" w:firstLineChars="200"/>
        <w:rPr>
          <w:color w:val="auto"/>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single"/>
        </w:rPr>
        <w:t>4008817190</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shd w:val="clear" w:color="auto" w:fill="FFFFFF"/>
        </w:rPr>
        <w:t>台州市建设咨询有限公司</w:t>
      </w:r>
    </w:p>
    <w:p>
      <w:pPr>
        <w:widowControl/>
        <w:spacing w:line="360" w:lineRule="auto"/>
        <w:jc w:val="righ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2022年</w:t>
      </w:r>
      <w:r>
        <w:rPr>
          <w:rFonts w:hint="eastAsia" w:asciiTheme="minorEastAsia" w:hAnsiTheme="minorEastAsia" w:eastAsiaTheme="minorEastAsia" w:cstheme="minorEastAsia"/>
          <w:color w:val="auto"/>
          <w:sz w:val="24"/>
          <w:highlight w:val="none"/>
          <w:lang w:val="en-US" w:eastAsia="zh-CN"/>
        </w:rPr>
        <w:t>07</w:t>
      </w:r>
      <w:r>
        <w:rPr>
          <w:rFonts w:hint="eastAsia" w:asciiTheme="minorEastAsia" w:hAnsiTheme="minorEastAsia" w:eastAsiaTheme="minorEastAsia" w:cstheme="minorEastAsia"/>
          <w:color w:val="auto"/>
          <w:kern w:val="0"/>
          <w:sz w:val="24"/>
          <w:highlight w:val="none"/>
        </w:rPr>
        <w:t>月</w:t>
      </w:r>
    </w:p>
    <w:p>
      <w:pPr>
        <w:pStyle w:val="27"/>
        <w:spacing w:before="120"/>
        <w:rPr>
          <w:color w:val="auto"/>
          <w:highlight w:val="none"/>
        </w:rPr>
      </w:pPr>
    </w:p>
    <w:p>
      <w:pPr>
        <w:spacing w:line="360" w:lineRule="auto"/>
        <w:rPr>
          <w:rFonts w:eastAsiaTheme="minorEastAsia"/>
          <w:color w:val="auto"/>
          <w:highlight w:val="none"/>
        </w:rPr>
      </w:pPr>
    </w:p>
    <w:bookmarkEnd w:id="24"/>
    <w:bookmarkEnd w:id="25"/>
    <w:p>
      <w:pPr>
        <w:numPr>
          <w:ilvl w:val="0"/>
          <w:numId w:val="4"/>
        </w:numPr>
        <w:spacing w:line="360" w:lineRule="auto"/>
        <w:jc w:val="center"/>
        <w:outlineLvl w:val="0"/>
        <w:rPr>
          <w:rFonts w:asciiTheme="minorEastAsia" w:hAnsiTheme="minorEastAsia" w:eastAsiaTheme="minorEastAsia"/>
          <w:b/>
          <w:color w:val="auto"/>
          <w:sz w:val="36"/>
          <w:szCs w:val="36"/>
          <w:highlight w:val="none"/>
        </w:rPr>
      </w:pPr>
      <w:bookmarkStart w:id="32" w:name="_Toc6994"/>
      <w:r>
        <w:rPr>
          <w:rFonts w:hint="eastAsia" w:asciiTheme="minorEastAsia" w:hAnsiTheme="minorEastAsia" w:eastAsiaTheme="minorEastAsia"/>
          <w:b/>
          <w:color w:val="auto"/>
          <w:sz w:val="36"/>
          <w:szCs w:val="36"/>
          <w:highlight w:val="none"/>
        </w:rPr>
        <w:t>供应商须知</w:t>
      </w:r>
      <w:bookmarkEnd w:id="32"/>
    </w:p>
    <w:p>
      <w:pPr>
        <w:numPr>
          <w:ilvl w:val="0"/>
          <w:numId w:val="5"/>
        </w:num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22"/>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仿宋_GB2312" w:hAnsi="仿宋" w:eastAsia="仿宋_GB2312" w:cs="仿宋_GB2312"/>
                <w:b/>
                <w:color w:val="auto"/>
                <w:sz w:val="24"/>
                <w:highlight w:val="none"/>
              </w:rPr>
              <w:t>序号</w:t>
            </w:r>
          </w:p>
        </w:tc>
        <w:tc>
          <w:tcPr>
            <w:tcW w:w="1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仿宋_GB2312" w:hAnsi="仿宋" w:eastAsia="仿宋_GB2312" w:cs="仿宋_GB2312"/>
                <w:b/>
                <w:color w:val="auto"/>
                <w:sz w:val="24"/>
                <w:highlight w:val="none"/>
              </w:rPr>
              <w:t>事项</w:t>
            </w:r>
          </w:p>
        </w:tc>
        <w:tc>
          <w:tcPr>
            <w:tcW w:w="6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 xml:space="preserve"> 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 xml:space="preserve"> 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答疑会或</w:t>
            </w:r>
          </w:p>
          <w:p>
            <w:pPr>
              <w:jc w:val="center"/>
              <w:rPr>
                <w:rFonts w:ascii="宋体" w:hAnsi="宋体" w:cs="宋体"/>
                <w:color w:val="auto"/>
                <w:kern w:val="0"/>
                <w:szCs w:val="21"/>
                <w:highlight w:val="none"/>
              </w:rPr>
            </w:pPr>
            <w:r>
              <w:rPr>
                <w:rFonts w:hint="eastAsia" w:ascii="宋体" w:hAnsi="宋体" w:cs="宋体"/>
                <w:color w:val="auto"/>
                <w:szCs w:val="21"/>
                <w:highlight w:val="none"/>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highlight w:val="none"/>
              </w:rPr>
            </w:pPr>
            <w:r>
              <w:rPr>
                <w:rFonts w:hint="eastAsia" w:ascii="宋体" w:hAnsi="宋体" w:cs="宋体"/>
                <w:color w:val="auto"/>
                <w:szCs w:val="21"/>
                <w:highlight w:val="none"/>
              </w:rPr>
              <w:t>响应文件的制作和递交</w:t>
            </w:r>
          </w:p>
        </w:tc>
        <w:tc>
          <w:tcPr>
            <w:tcW w:w="6501" w:type="dxa"/>
            <w:tcBorders>
              <w:top w:val="single" w:color="auto" w:sz="4" w:space="0"/>
              <w:left w:val="single" w:color="auto" w:sz="4" w:space="0"/>
              <w:bottom w:val="single" w:color="auto" w:sz="4" w:space="0"/>
              <w:right w:val="single" w:color="auto" w:sz="4" w:space="0"/>
            </w:tcBorders>
            <w:vAlign w:val="center"/>
          </w:tcPr>
          <w:p>
            <w:pPr>
              <w:ind w:firstLine="420" w:firstLineChars="200"/>
              <w:rPr>
                <w:color w:val="auto"/>
                <w:highlight w:val="none"/>
              </w:rPr>
            </w:pPr>
            <w:r>
              <w:rPr>
                <w:rFonts w:hint="eastAsia"/>
                <w:color w:val="auto"/>
                <w:highlight w:val="none"/>
              </w:rPr>
              <w:t>请供应商仔细阅读“政府采购项目电子交易操作指南”。</w:t>
            </w:r>
          </w:p>
          <w:p>
            <w:pPr>
              <w:ind w:firstLine="420" w:firstLineChars="200"/>
              <w:rPr>
                <w:color w:val="auto"/>
                <w:highlight w:val="none"/>
              </w:rPr>
            </w:pPr>
            <w:r>
              <w:rPr>
                <w:rFonts w:hint="eastAsia"/>
                <w:color w:val="auto"/>
                <w:highlight w:val="none"/>
              </w:rPr>
              <w:t>1.响应文件的制作：供应商按照本项目磋商文件和政采云平台的要求,通过政采云电子交易客户端编制、加密并递交响应文件（下载网址：</w:t>
            </w: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color w:val="auto"/>
                <w:highlight w:val="none"/>
              </w:rPr>
              <w:t>https://zfcg.czt.zj.gov.cn/download/index.html）。</w:t>
            </w:r>
            <w:r>
              <w:rPr>
                <w:rFonts w:hint="eastAsia"/>
                <w:color w:val="auto"/>
                <w:highlight w:val="none"/>
              </w:rPr>
              <w:fldChar w:fldCharType="end"/>
            </w:r>
          </w:p>
          <w:p>
            <w:pPr>
              <w:ind w:firstLine="420" w:firstLineChars="200"/>
              <w:rPr>
                <w:color w:val="auto"/>
                <w:highlight w:val="none"/>
              </w:rPr>
            </w:pPr>
            <w:r>
              <w:rPr>
                <w:rFonts w:hint="eastAsia"/>
                <w:color w:val="auto"/>
                <w:highlight w:val="none"/>
              </w:rPr>
              <w:t>2.递交响应文件：供应商应当在响应截止时间前（磋商当天北京时间09:</w:t>
            </w:r>
            <w:r>
              <w:rPr>
                <w:rFonts w:hint="eastAsia"/>
                <w:color w:val="auto"/>
                <w:highlight w:val="none"/>
                <w:lang w:val="en-US" w:eastAsia="zh-CN"/>
              </w:rPr>
              <w:t>0</w:t>
            </w:r>
            <w:r>
              <w:rPr>
                <w:rFonts w:hint="eastAsia"/>
                <w:color w:val="auto"/>
                <w:highlight w:val="none"/>
              </w:rPr>
              <w:t>0）完成响应文件的递交，逾期递交的响应文件恕不接受。补充或者修改响应文件的，应当先行撤回原文件，补充、修改后重新递交。响应截止时间前未完成</w:t>
            </w:r>
            <w:r>
              <w:rPr>
                <w:rFonts w:hint="eastAsia" w:ascii="宋体" w:hAnsi="宋体" w:cs="宋体"/>
                <w:color w:val="auto"/>
                <w:szCs w:val="21"/>
                <w:highlight w:val="none"/>
              </w:rPr>
              <w:t>递交</w:t>
            </w:r>
            <w:r>
              <w:rPr>
                <w:rFonts w:hint="eastAsia"/>
                <w:color w:val="auto"/>
                <w:highlight w:val="none"/>
              </w:rPr>
              <w:t>的，视为撤回响应文件。</w:t>
            </w:r>
          </w:p>
          <w:p>
            <w:pPr>
              <w:ind w:firstLine="420" w:firstLineChars="200"/>
              <w:rPr>
                <w:rFonts w:ascii="宋体" w:hAnsi="宋体" w:cs="宋体"/>
                <w:color w:val="auto"/>
                <w:kern w:val="0"/>
                <w:szCs w:val="21"/>
                <w:highlight w:val="none"/>
              </w:rPr>
            </w:pPr>
            <w:r>
              <w:rPr>
                <w:rFonts w:hint="eastAsia"/>
                <w:color w:val="auto"/>
                <w:highlight w:val="none"/>
              </w:rPr>
              <w:t>3.响应文件解密：供应商应在开标当天北京时间09:</w:t>
            </w:r>
            <w:r>
              <w:rPr>
                <w:rFonts w:hint="eastAsia"/>
                <w:color w:val="auto"/>
                <w:highlight w:val="none"/>
                <w:lang w:val="en-US" w:eastAsia="zh-CN"/>
              </w:rPr>
              <w:t>00</w:t>
            </w:r>
            <w:r>
              <w:rPr>
                <w:rFonts w:hint="eastAsia"/>
                <w:color w:val="auto"/>
                <w:highlight w:val="none"/>
              </w:rPr>
              <w:t>至</w:t>
            </w:r>
            <w:r>
              <w:rPr>
                <w:rFonts w:hint="eastAsia"/>
                <w:color w:val="auto"/>
                <w:highlight w:val="none"/>
                <w:lang w:val="en-US" w:eastAsia="zh-CN"/>
              </w:rPr>
              <w:t>09</w:t>
            </w:r>
            <w:r>
              <w:rPr>
                <w:rFonts w:hint="eastAsia"/>
                <w:color w:val="auto"/>
                <w:highlight w:val="none"/>
              </w:rPr>
              <w:t>:</w:t>
            </w:r>
            <w:r>
              <w:rPr>
                <w:rFonts w:hint="eastAsia"/>
                <w:color w:val="auto"/>
                <w:highlight w:val="none"/>
                <w:lang w:val="en-US" w:eastAsia="zh-CN"/>
              </w:rPr>
              <w:t>30</w:t>
            </w:r>
            <w:r>
              <w:rPr>
                <w:rFonts w:hint="eastAsia"/>
                <w:color w:val="auto"/>
                <w:highlight w:val="none"/>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760" w:type="dxa"/>
            <w:tcBorders>
              <w:top w:val="single" w:color="auto" w:sz="4" w:space="0"/>
              <w:left w:val="single" w:color="auto" w:sz="4" w:space="0"/>
              <w:bottom w:val="single" w:color="auto" w:sz="4" w:space="0"/>
              <w:right w:val="single" w:color="auto" w:sz="4" w:space="0"/>
            </w:tcBorders>
            <w:vAlign w:val="center"/>
          </w:tcPr>
          <w:p>
            <w:pPr>
              <w:pStyle w:val="21"/>
              <w:spacing w:after="0"/>
              <w:ind w:left="0" w:leftChars="0" w:firstLine="0"/>
              <w:jc w:val="center"/>
              <w:rPr>
                <w:rFonts w:ascii="宋体" w:hAnsi="宋体" w:cs="宋体"/>
                <w:color w:val="auto"/>
                <w:kern w:val="0"/>
                <w:szCs w:val="21"/>
                <w:highlight w:val="none"/>
              </w:rPr>
            </w:pPr>
            <w:r>
              <w:rPr>
                <w:rFonts w:hint="eastAsia" w:ascii="宋体" w:hAnsi="宋体" w:cs="宋体"/>
                <w:color w:val="auto"/>
                <w:szCs w:val="21"/>
                <w:highlight w:val="none"/>
              </w:rPr>
              <w:t>备份响应文件的递交</w:t>
            </w:r>
          </w:p>
        </w:tc>
        <w:tc>
          <w:tcPr>
            <w:tcW w:w="6501" w:type="dxa"/>
            <w:tcBorders>
              <w:top w:val="single" w:color="auto" w:sz="4" w:space="0"/>
              <w:left w:val="single" w:color="auto" w:sz="4" w:space="0"/>
              <w:bottom w:val="single" w:color="auto" w:sz="4" w:space="0"/>
              <w:right w:val="single" w:color="auto" w:sz="4" w:space="0"/>
            </w:tcBorders>
            <w:vAlign w:val="center"/>
          </w:tcPr>
          <w:p>
            <w:pPr>
              <w:pStyle w:val="21"/>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备份响应文件是通过</w:t>
            </w:r>
            <w:r>
              <w:rPr>
                <w:rFonts w:hint="eastAsia"/>
                <w:color w:val="auto"/>
                <w:highlight w:val="none"/>
              </w:rPr>
              <w:t>“政采云电子交易客户端”</w:t>
            </w:r>
            <w:r>
              <w:rPr>
                <w:rFonts w:hint="eastAsia" w:ascii="宋体" w:hAnsi="宋体" w:cs="宋体"/>
                <w:color w:val="auto"/>
                <w:szCs w:val="21"/>
                <w:highlight w:val="none"/>
              </w:rPr>
              <w:t>制做响应文件产生的备份文件，请供应商自行妥善保管。</w:t>
            </w:r>
          </w:p>
          <w:p>
            <w:pPr>
              <w:pStyle w:val="21"/>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1.使用前提：供应商自行在线解密操作失败无法按时寻求技术人员帮助解密，或者寻求技术人员帮助仍无法按时完成解密。</w:t>
            </w:r>
          </w:p>
          <w:p>
            <w:pPr>
              <w:pStyle w:val="21"/>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2.递交截止时间：磋商当天</w:t>
            </w:r>
            <w:r>
              <w:rPr>
                <w:rFonts w:hint="eastAsia" w:ascii="宋体" w:hAnsi="宋体" w:cs="宋体"/>
                <w:color w:val="auto"/>
                <w:szCs w:val="21"/>
                <w:highlight w:val="none"/>
                <w:u w:val="single"/>
              </w:rPr>
              <w:t>09:</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0</w:t>
            </w:r>
            <w:r>
              <w:rPr>
                <w:rFonts w:hint="eastAsia" w:ascii="宋体" w:hAnsi="宋体" w:cs="宋体"/>
                <w:color w:val="auto"/>
                <w:szCs w:val="21"/>
                <w:highlight w:val="none"/>
              </w:rPr>
              <w:t>（北京时间）。</w:t>
            </w:r>
          </w:p>
          <w:p>
            <w:pPr>
              <w:pStyle w:val="21"/>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3.投递邮箱：64532337@qq.com。</w:t>
            </w:r>
          </w:p>
          <w:p>
            <w:pPr>
              <w:pStyle w:val="21"/>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4.未按上述要求递交备份响应文件或所提供的备份响应文件不符合要求的视同放弃本次磋商，仅提交备份响应文件的，投标无效。</w:t>
            </w:r>
          </w:p>
          <w:p>
            <w:pPr>
              <w:pStyle w:val="21"/>
              <w:spacing w:after="0"/>
              <w:ind w:left="0" w:leftChars="0" w:firstLineChars="200"/>
              <w:rPr>
                <w:rFonts w:ascii="宋体" w:hAnsi="宋体" w:cs="宋体"/>
                <w:color w:val="auto"/>
                <w:kern w:val="0"/>
                <w:szCs w:val="21"/>
                <w:highlight w:val="none"/>
              </w:rPr>
            </w:pPr>
            <w:r>
              <w:rPr>
                <w:rFonts w:hint="eastAsia" w:ascii="宋体" w:hAnsi="宋体" w:cs="宋体"/>
                <w:color w:val="auto"/>
                <w:highlight w:val="none"/>
              </w:rPr>
              <w:t>5.供应商未按时完成解密的，并符合备份响应文件使用前提的，供应商应提供备份响应文件，否则视为放弃投标。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磋商注意事项</w:t>
            </w:r>
          </w:p>
        </w:tc>
        <w:tc>
          <w:tcPr>
            <w:tcW w:w="650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ind w:firstLine="420" w:firstLineChars="200"/>
              <w:rPr>
                <w:rFonts w:hAnsi="宋体" w:cs="宋体"/>
                <w:bCs/>
                <w:color w:val="auto"/>
                <w:szCs w:val="21"/>
                <w:highlight w:val="none"/>
              </w:rPr>
            </w:pPr>
            <w:r>
              <w:rPr>
                <w:rFonts w:hint="eastAsia" w:hAnsi="宋体" w:cs="宋体"/>
                <w:bCs/>
                <w:color w:val="auto"/>
                <w:szCs w:val="21"/>
                <w:highlight w:val="none"/>
              </w:rPr>
              <w:t>1.本项目实行电子采购，采用电子响应文件。若供应商参与本项目，自行承担磋商活动一切费用。</w:t>
            </w:r>
          </w:p>
          <w:p>
            <w:pPr>
              <w:pStyle w:val="13"/>
              <w:adjustRightInd w:val="0"/>
              <w:snapToGrid w:val="0"/>
              <w:ind w:firstLine="420" w:firstLineChars="200"/>
              <w:rPr>
                <w:rFonts w:hAnsi="宋体" w:cs="宋体"/>
                <w:color w:val="auto"/>
                <w:szCs w:val="21"/>
                <w:highlight w:val="none"/>
              </w:rPr>
            </w:pPr>
            <w:r>
              <w:rPr>
                <w:rFonts w:hint="eastAsia" w:hAnsi="宋体" w:cs="宋体"/>
                <w:bCs/>
                <w:color w:val="auto"/>
                <w:szCs w:val="21"/>
                <w:highlight w:val="none"/>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信用信息查询渠道</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cs="Arial" w:asciiTheme="minorEastAsia" w:hAnsiTheme="minorEastAsia" w:eastAsiaTheme="minorEastAsia"/>
                <w:color w:val="auto"/>
                <w:szCs w:val="21"/>
                <w:highlight w:val="none"/>
              </w:rPr>
              <w:t>http://www.creditchina.gov.cn</w:t>
            </w:r>
            <w:r>
              <w:rPr>
                <w:rFonts w:cs="Arial" w:asciiTheme="minorEastAsia" w:hAnsiTheme="minorEastAsia" w:eastAsiaTheme="minorEastAsia"/>
                <w:color w:val="auto"/>
                <w:szCs w:val="21"/>
                <w:highlight w:val="none"/>
              </w:rPr>
              <w:fldChar w:fldCharType="end"/>
            </w:r>
            <w:r>
              <w:rPr>
                <w:rFonts w:hint="eastAsia" w:cs="Arial" w:asciiTheme="minorEastAsia" w:hAnsiTheme="minorEastAsia" w:eastAsiaTheme="minorEastAsia"/>
                <w:color w:val="auto"/>
                <w:szCs w:val="21"/>
                <w:highlight w:val="none"/>
              </w:rPr>
              <w:t>)</w:t>
            </w:r>
          </w:p>
          <w:p>
            <w:pPr>
              <w:snapToGrid w:val="0"/>
              <w:rPr>
                <w:rFonts w:ascii="宋体" w:hAnsi="宋体" w:cs="宋体"/>
                <w:color w:val="auto"/>
                <w:szCs w:val="21"/>
                <w:highlight w:val="none"/>
              </w:rPr>
            </w:pPr>
            <w:r>
              <w:rPr>
                <w:rFonts w:hint="eastAsia" w:cs="Arial" w:asciiTheme="minorEastAsia" w:hAnsiTheme="minorEastAsia" w:eastAsiaTheme="minorEastAsia"/>
                <w:color w:val="auto"/>
                <w:szCs w:val="21"/>
                <w:highlight w:val="none"/>
              </w:rPr>
              <w:t>中国政府采购网（网址：</w:t>
            </w:r>
            <w:r>
              <w:rPr>
                <w:rFonts w:cs="Arial" w:asciiTheme="minorEastAsia" w:hAnsiTheme="minorEastAsia" w:eastAsiaTheme="minorEastAsia"/>
                <w:color w:val="auto"/>
                <w:szCs w:val="21"/>
                <w:highlight w:val="none"/>
              </w:rPr>
              <w:t>http://www.ccgp.gov.cn</w:t>
            </w:r>
            <w:r>
              <w:rPr>
                <w:rFonts w:hint="eastAsia" w:cs="Arial"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color w:val="auto"/>
                <w:highlight w:val="none"/>
              </w:rPr>
              <w:t>中小企业预留份额情况</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ascii="黑体" w:hAnsi="黑体" w:eastAsia="黑体" w:cs="黑体"/>
                <w:color w:val="auto"/>
                <w:szCs w:val="21"/>
                <w:highlight w:val="none"/>
                <w:shd w:val="clear" w:color="auto" w:fill="FFFFFF"/>
              </w:rPr>
            </w:pPr>
            <w:r>
              <w:rPr>
                <w:rFonts w:hint="eastAsia" w:cs="Arial" w:asciiTheme="minorEastAsia" w:hAnsiTheme="minorEastAsia" w:eastAsiaTheme="minorEastAsia"/>
                <w:color w:val="auto"/>
                <w:szCs w:val="21"/>
                <w:highlight w:val="none"/>
              </w:rPr>
              <w:t>根据《政府采购促进中小企业发展管理办法》财库〔2020〕46号文件的规定，本项目不属于专门面向中小企业采购的项目。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中小企业优惠措施</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1.项目属性（服务类）</w:t>
            </w:r>
          </w:p>
          <w:p>
            <w:pPr>
              <w:snapToGrid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2.中小企业划分标准所属行业（具体根据《中小企业划型标准规定》执行）</w:t>
            </w:r>
          </w:p>
          <w:p>
            <w:pPr>
              <w:snapToGrid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采购标的：主干道路风貌整治攻坚项目（方案设计），</w:t>
            </w:r>
          </w:p>
          <w:p>
            <w:pPr>
              <w:snapToGrid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所属行业：</w:t>
            </w:r>
            <w:r>
              <w:rPr>
                <w:rFonts w:hint="eastAsia" w:ascii="宋体" w:hAnsi="宋体" w:cs="宋体"/>
                <w:color w:val="auto"/>
                <w:szCs w:val="21"/>
                <w:highlight w:val="none"/>
                <w:u w:val="single"/>
              </w:rPr>
              <w:t>（十六）其他未列明行业</w:t>
            </w:r>
            <w:r>
              <w:rPr>
                <w:rFonts w:hint="eastAsia" w:cs="Arial" w:asciiTheme="minorEastAsia" w:hAnsiTheme="minorEastAsia" w:eastAsiaTheme="minorEastAsia"/>
                <w:color w:val="auto"/>
                <w:szCs w:val="21"/>
                <w:highlight w:val="none"/>
              </w:rPr>
              <w:t>。</w:t>
            </w:r>
          </w:p>
          <w:p>
            <w:pPr>
              <w:snapToGrid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rPr>
                <w:rFonts w:ascii="宋体" w:hAnsi="宋体" w:cs="宋体"/>
                <w:color w:val="auto"/>
                <w:szCs w:val="21"/>
                <w:highlight w:val="none"/>
              </w:rPr>
            </w:pPr>
            <w:r>
              <w:rPr>
                <w:rFonts w:hint="eastAsia" w:cs="Arial" w:asciiTheme="minorEastAsia" w:hAnsiTheme="minorEastAsia" w:eastAsiaTheme="minorEastAsia"/>
                <w:color w:val="auto"/>
                <w:szCs w:val="21"/>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10</w:t>
            </w:r>
          </w:p>
        </w:tc>
        <w:tc>
          <w:tcPr>
            <w:tcW w:w="17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质疑渠道</w:t>
            </w:r>
          </w:p>
        </w:tc>
        <w:tc>
          <w:tcPr>
            <w:tcW w:w="6501"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color w:val="auto"/>
                <w:highlight w:val="none"/>
              </w:rPr>
            </w:pPr>
            <w:r>
              <w:rPr>
                <w:rFonts w:hint="eastAsia" w:ascii="宋体" w:hAnsi="宋体" w:cs="宋体"/>
                <w:color w:val="auto"/>
                <w:highlight w:val="none"/>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szCs w:val="21"/>
                <w:highlight w:val="none"/>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本项目招标代理服务费2</w:t>
            </w:r>
            <w:r>
              <w:rPr>
                <w:rFonts w:hint="eastAsia" w:ascii="宋体" w:hAnsi="宋体" w:cs="宋体"/>
                <w:color w:val="auto"/>
                <w:szCs w:val="21"/>
                <w:highlight w:val="none"/>
                <w:lang w:val="en-US" w:eastAsia="zh-CN"/>
              </w:rPr>
              <w:t>2500</w:t>
            </w:r>
            <w:r>
              <w:rPr>
                <w:rFonts w:hint="eastAsia" w:ascii="宋体" w:hAnsi="宋体" w:cs="宋体"/>
                <w:color w:val="auto"/>
                <w:szCs w:val="21"/>
                <w:highlight w:val="none"/>
              </w:rPr>
              <w:t>元，由中标单位支付，请各投标人报价时综合考虑。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lang w:val="zh-CN"/>
              </w:rPr>
              <w:t>实质性条款</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kern w:val="0"/>
                <w:szCs w:val="21"/>
                <w:highlight w:val="none"/>
                <w:lang w:val="zh-CN"/>
              </w:rPr>
              <w:t>带“</w:t>
            </w:r>
            <w:r>
              <w:rPr>
                <w:rFonts w:hint="eastAsia" w:ascii="宋体" w:hAnsi="宋体" w:cs="宋体"/>
                <w:bCs/>
                <w:color w:val="auto"/>
                <w:szCs w:val="21"/>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asciiTheme="minorEastAsia" w:hAnsiTheme="minorEastAsia" w:eastAsiaTheme="minorEastAsia"/>
                <w:color w:val="auto"/>
                <w:highlight w:val="none"/>
              </w:rPr>
              <w:t>主要性能参数</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color w:val="auto"/>
                <w:szCs w:val="21"/>
                <w:highlight w:val="none"/>
              </w:rPr>
            </w:pPr>
            <w:r>
              <w:rPr>
                <w:rFonts w:hint="eastAsia" w:ascii="宋体" w:hAnsi="宋体" w:cs="宋体"/>
                <w:color w:val="auto"/>
                <w:szCs w:val="21"/>
                <w:highlight w:val="none"/>
              </w:rPr>
              <w:t>带“★”的条款是</w:t>
            </w:r>
            <w:r>
              <w:rPr>
                <w:rFonts w:asciiTheme="minorEastAsia" w:hAnsiTheme="minorEastAsia" w:eastAsiaTheme="minorEastAsia"/>
                <w:color w:val="auto"/>
                <w:highlight w:val="none"/>
              </w:rPr>
              <w:t>主要性能参数</w:t>
            </w:r>
            <w:r>
              <w:rPr>
                <w:rFonts w:hint="eastAsia" w:asciiTheme="minorEastAsia" w:hAnsiTheme="minorEastAsia" w:eastAsiaTheme="minor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本招标文件解释权属于采购人和采购组织机构</w:t>
            </w:r>
          </w:p>
        </w:tc>
      </w:tr>
    </w:tbl>
    <w:p>
      <w:pPr>
        <w:pStyle w:val="13"/>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其他：政采贷服务、合同履约保函服务、预付款保函服务</w:t>
      </w:r>
    </w:p>
    <w:p>
      <w:pPr>
        <w:pStyle w:val="13"/>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根据监管部门通知，中标人可根据项目情况及自身需求向以下银行申请政采贷服务:</w:t>
      </w:r>
    </w:p>
    <w:tbl>
      <w:tblPr>
        <w:tblStyle w:val="22"/>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3"/>
        <w:gridCol w:w="1417"/>
        <w:gridCol w:w="1605"/>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93"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银行</w:t>
            </w:r>
          </w:p>
        </w:tc>
        <w:tc>
          <w:tcPr>
            <w:tcW w:w="1417"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贷款年利率</w:t>
            </w:r>
          </w:p>
        </w:tc>
        <w:tc>
          <w:tcPr>
            <w:tcW w:w="160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联系人</w:t>
            </w:r>
          </w:p>
        </w:tc>
        <w:tc>
          <w:tcPr>
            <w:tcW w:w="288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中国工商银行</w:t>
            </w:r>
          </w:p>
        </w:tc>
        <w:tc>
          <w:tcPr>
            <w:tcW w:w="1417"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3.8%起</w:t>
            </w:r>
          </w:p>
        </w:tc>
        <w:tc>
          <w:tcPr>
            <w:tcW w:w="160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王霖</w:t>
            </w:r>
          </w:p>
        </w:tc>
        <w:tc>
          <w:tcPr>
            <w:tcW w:w="288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中国农业银行</w:t>
            </w:r>
          </w:p>
        </w:tc>
        <w:tc>
          <w:tcPr>
            <w:tcW w:w="1417"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3.8%起</w:t>
            </w:r>
          </w:p>
        </w:tc>
        <w:tc>
          <w:tcPr>
            <w:tcW w:w="160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龚盛</w:t>
            </w:r>
          </w:p>
        </w:tc>
        <w:tc>
          <w:tcPr>
            <w:tcW w:w="288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中国建设银行</w:t>
            </w:r>
          </w:p>
        </w:tc>
        <w:tc>
          <w:tcPr>
            <w:tcW w:w="1417"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3.8%起</w:t>
            </w:r>
          </w:p>
        </w:tc>
        <w:tc>
          <w:tcPr>
            <w:tcW w:w="160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梅晶晶</w:t>
            </w:r>
          </w:p>
        </w:tc>
        <w:tc>
          <w:tcPr>
            <w:tcW w:w="288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中国银行</w:t>
            </w:r>
          </w:p>
        </w:tc>
        <w:tc>
          <w:tcPr>
            <w:tcW w:w="1417"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3.75%起</w:t>
            </w:r>
          </w:p>
        </w:tc>
        <w:tc>
          <w:tcPr>
            <w:tcW w:w="160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任茜</w:t>
            </w:r>
          </w:p>
        </w:tc>
        <w:tc>
          <w:tcPr>
            <w:tcW w:w="288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浦发银行台州分行</w:t>
            </w:r>
          </w:p>
        </w:tc>
        <w:tc>
          <w:tcPr>
            <w:tcW w:w="1417"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4.05%起</w:t>
            </w:r>
          </w:p>
        </w:tc>
        <w:tc>
          <w:tcPr>
            <w:tcW w:w="160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王渊</w:t>
            </w:r>
          </w:p>
        </w:tc>
        <w:tc>
          <w:tcPr>
            <w:tcW w:w="288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浦发银行椒江分行</w:t>
            </w:r>
          </w:p>
        </w:tc>
        <w:tc>
          <w:tcPr>
            <w:tcW w:w="1417"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4.05%起</w:t>
            </w:r>
          </w:p>
        </w:tc>
        <w:tc>
          <w:tcPr>
            <w:tcW w:w="160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孙瑞华</w:t>
            </w:r>
          </w:p>
        </w:tc>
        <w:tc>
          <w:tcPr>
            <w:tcW w:w="288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交通银行台州分行</w:t>
            </w:r>
          </w:p>
        </w:tc>
        <w:tc>
          <w:tcPr>
            <w:tcW w:w="1417"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3.75%起</w:t>
            </w:r>
          </w:p>
        </w:tc>
        <w:tc>
          <w:tcPr>
            <w:tcW w:w="160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周翔宇</w:t>
            </w:r>
          </w:p>
        </w:tc>
        <w:tc>
          <w:tcPr>
            <w:tcW w:w="288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招商银行台州分行</w:t>
            </w:r>
          </w:p>
        </w:tc>
        <w:tc>
          <w:tcPr>
            <w:tcW w:w="1417"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4.32%起</w:t>
            </w:r>
          </w:p>
        </w:tc>
        <w:tc>
          <w:tcPr>
            <w:tcW w:w="160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王海玲</w:t>
            </w:r>
          </w:p>
        </w:tc>
        <w:tc>
          <w:tcPr>
            <w:tcW w:w="288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浙商银行台州分行</w:t>
            </w:r>
          </w:p>
        </w:tc>
        <w:tc>
          <w:tcPr>
            <w:tcW w:w="1417"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5.01%起</w:t>
            </w:r>
          </w:p>
        </w:tc>
        <w:tc>
          <w:tcPr>
            <w:tcW w:w="160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章涉漪</w:t>
            </w:r>
          </w:p>
        </w:tc>
        <w:tc>
          <w:tcPr>
            <w:tcW w:w="288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中信银行台州分行</w:t>
            </w:r>
          </w:p>
        </w:tc>
        <w:tc>
          <w:tcPr>
            <w:tcW w:w="1417"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4.15%起</w:t>
            </w:r>
          </w:p>
        </w:tc>
        <w:tc>
          <w:tcPr>
            <w:tcW w:w="160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陈金园</w:t>
            </w:r>
          </w:p>
        </w:tc>
        <w:tc>
          <w:tcPr>
            <w:tcW w:w="288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华夏银行台州分行</w:t>
            </w:r>
          </w:p>
        </w:tc>
        <w:tc>
          <w:tcPr>
            <w:tcW w:w="1417"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4.5%起</w:t>
            </w:r>
          </w:p>
        </w:tc>
        <w:tc>
          <w:tcPr>
            <w:tcW w:w="160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邱明达</w:t>
            </w:r>
          </w:p>
        </w:tc>
        <w:tc>
          <w:tcPr>
            <w:tcW w:w="288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泰隆银行开发区支行</w:t>
            </w:r>
          </w:p>
        </w:tc>
        <w:tc>
          <w:tcPr>
            <w:tcW w:w="1417"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5.6%起</w:t>
            </w:r>
          </w:p>
        </w:tc>
        <w:tc>
          <w:tcPr>
            <w:tcW w:w="160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梁宛莉</w:t>
            </w:r>
          </w:p>
        </w:tc>
        <w:tc>
          <w:tcPr>
            <w:tcW w:w="288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民泰银行椒江支行</w:t>
            </w:r>
          </w:p>
        </w:tc>
        <w:tc>
          <w:tcPr>
            <w:tcW w:w="1417"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5.8%起</w:t>
            </w:r>
          </w:p>
        </w:tc>
        <w:tc>
          <w:tcPr>
            <w:tcW w:w="160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陈慧珠</w:t>
            </w:r>
          </w:p>
        </w:tc>
        <w:tc>
          <w:tcPr>
            <w:tcW w:w="288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绍兴银行台州分行</w:t>
            </w:r>
          </w:p>
        </w:tc>
        <w:tc>
          <w:tcPr>
            <w:tcW w:w="1417"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5.1%起</w:t>
            </w:r>
          </w:p>
        </w:tc>
        <w:tc>
          <w:tcPr>
            <w:tcW w:w="160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郭庭斌</w:t>
            </w:r>
          </w:p>
        </w:tc>
        <w:tc>
          <w:tcPr>
            <w:tcW w:w="288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温州银行台州分行</w:t>
            </w:r>
          </w:p>
        </w:tc>
        <w:tc>
          <w:tcPr>
            <w:tcW w:w="1417"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4.55%起</w:t>
            </w:r>
          </w:p>
        </w:tc>
        <w:tc>
          <w:tcPr>
            <w:tcW w:w="160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王晓波</w:t>
            </w:r>
          </w:p>
        </w:tc>
        <w:tc>
          <w:tcPr>
            <w:tcW w:w="288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平安银行台州分行</w:t>
            </w:r>
          </w:p>
        </w:tc>
        <w:tc>
          <w:tcPr>
            <w:tcW w:w="1417"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6.53%起</w:t>
            </w:r>
          </w:p>
        </w:tc>
        <w:tc>
          <w:tcPr>
            <w:tcW w:w="160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李俊丽</w:t>
            </w:r>
          </w:p>
        </w:tc>
        <w:tc>
          <w:tcPr>
            <w:tcW w:w="288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宁波银行台州分行</w:t>
            </w:r>
          </w:p>
        </w:tc>
        <w:tc>
          <w:tcPr>
            <w:tcW w:w="1417"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4.35%起</w:t>
            </w:r>
          </w:p>
        </w:tc>
        <w:tc>
          <w:tcPr>
            <w:tcW w:w="160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戴莉丽</w:t>
            </w:r>
          </w:p>
        </w:tc>
        <w:tc>
          <w:tcPr>
            <w:tcW w:w="288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金华银行台州分行</w:t>
            </w:r>
          </w:p>
        </w:tc>
        <w:tc>
          <w:tcPr>
            <w:tcW w:w="1417"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4.05%起</w:t>
            </w:r>
          </w:p>
        </w:tc>
        <w:tc>
          <w:tcPr>
            <w:tcW w:w="160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金雪婷</w:t>
            </w:r>
          </w:p>
        </w:tc>
        <w:tc>
          <w:tcPr>
            <w:tcW w:w="288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台州银行</w:t>
            </w:r>
          </w:p>
        </w:tc>
        <w:tc>
          <w:tcPr>
            <w:tcW w:w="1417"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5.6%起</w:t>
            </w:r>
          </w:p>
        </w:tc>
        <w:tc>
          <w:tcPr>
            <w:tcW w:w="160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洪婷</w:t>
            </w:r>
          </w:p>
        </w:tc>
        <w:tc>
          <w:tcPr>
            <w:tcW w:w="288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邮储银行台州分行</w:t>
            </w:r>
          </w:p>
        </w:tc>
        <w:tc>
          <w:tcPr>
            <w:tcW w:w="1417"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3.85%起</w:t>
            </w:r>
          </w:p>
        </w:tc>
        <w:tc>
          <w:tcPr>
            <w:tcW w:w="160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董庆</w:t>
            </w:r>
          </w:p>
        </w:tc>
        <w:tc>
          <w:tcPr>
            <w:tcW w:w="288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8188898218957683735</w:t>
            </w:r>
          </w:p>
        </w:tc>
      </w:tr>
    </w:tbl>
    <w:p>
      <w:pPr>
        <w:pStyle w:val="13"/>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合同履约保函联系方式</w:t>
      </w:r>
    </w:p>
    <w:tbl>
      <w:tblPr>
        <w:tblStyle w:val="22"/>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0"/>
        <w:gridCol w:w="1635"/>
        <w:gridCol w:w="145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65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保险公司名称</w:t>
            </w:r>
          </w:p>
        </w:tc>
        <w:tc>
          <w:tcPr>
            <w:tcW w:w="163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保费率</w:t>
            </w:r>
          </w:p>
        </w:tc>
        <w:tc>
          <w:tcPr>
            <w:tcW w:w="145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联系人</w:t>
            </w:r>
          </w:p>
        </w:tc>
        <w:tc>
          <w:tcPr>
            <w:tcW w:w="145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中国人寿财产保险股份有限公司台州中心支公司</w:t>
            </w:r>
          </w:p>
        </w:tc>
        <w:tc>
          <w:tcPr>
            <w:tcW w:w="163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年费率1%，最低保费500元</w:t>
            </w:r>
          </w:p>
        </w:tc>
        <w:tc>
          <w:tcPr>
            <w:tcW w:w="145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徐凌</w:t>
            </w:r>
          </w:p>
        </w:tc>
        <w:tc>
          <w:tcPr>
            <w:tcW w:w="145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永诚财产保险股份有限公司台州分公司</w:t>
            </w:r>
          </w:p>
        </w:tc>
        <w:tc>
          <w:tcPr>
            <w:tcW w:w="163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年费率1%，最低保费1000元</w:t>
            </w:r>
          </w:p>
        </w:tc>
        <w:tc>
          <w:tcPr>
            <w:tcW w:w="145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尹刚强</w:t>
            </w:r>
          </w:p>
        </w:tc>
        <w:tc>
          <w:tcPr>
            <w:tcW w:w="145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13750668184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华泰财产保险有限公司台州中心支公司</w:t>
            </w:r>
          </w:p>
        </w:tc>
        <w:tc>
          <w:tcPr>
            <w:tcW w:w="163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年费率0.5%，最低保费1000元</w:t>
            </w:r>
          </w:p>
        </w:tc>
        <w:tc>
          <w:tcPr>
            <w:tcW w:w="145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王灵芳</w:t>
            </w:r>
          </w:p>
        </w:tc>
        <w:tc>
          <w:tcPr>
            <w:tcW w:w="145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88869818 13586123199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中国大地财产保险股份有限公司台州中心支公司</w:t>
            </w:r>
          </w:p>
        </w:tc>
        <w:tc>
          <w:tcPr>
            <w:tcW w:w="163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年费率1.5%，最低保费1000元</w:t>
            </w:r>
          </w:p>
        </w:tc>
        <w:tc>
          <w:tcPr>
            <w:tcW w:w="145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徐小明</w:t>
            </w:r>
          </w:p>
        </w:tc>
        <w:tc>
          <w:tcPr>
            <w:tcW w:w="145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88552788      13968603112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阳光保险台州中心支公司</w:t>
            </w:r>
          </w:p>
        </w:tc>
        <w:tc>
          <w:tcPr>
            <w:tcW w:w="163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年费率1%，最低保费500元</w:t>
            </w:r>
          </w:p>
        </w:tc>
        <w:tc>
          <w:tcPr>
            <w:tcW w:w="145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林高明</w:t>
            </w:r>
          </w:p>
        </w:tc>
        <w:tc>
          <w:tcPr>
            <w:tcW w:w="145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中华联合财产保险股份有限公司台州中心支公司</w:t>
            </w:r>
          </w:p>
        </w:tc>
        <w:tc>
          <w:tcPr>
            <w:tcW w:w="163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年费率2%，最低保费500元</w:t>
            </w:r>
          </w:p>
        </w:tc>
        <w:tc>
          <w:tcPr>
            <w:tcW w:w="145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王仙高</w:t>
            </w:r>
          </w:p>
        </w:tc>
        <w:tc>
          <w:tcPr>
            <w:tcW w:w="145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13858600221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中国人民财产保险股份有限公司台州中心支公司</w:t>
            </w:r>
          </w:p>
        </w:tc>
        <w:tc>
          <w:tcPr>
            <w:tcW w:w="163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年费率0.3%，最低保费1000元</w:t>
            </w:r>
          </w:p>
        </w:tc>
        <w:tc>
          <w:tcPr>
            <w:tcW w:w="145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王仙春</w:t>
            </w:r>
          </w:p>
        </w:tc>
        <w:tc>
          <w:tcPr>
            <w:tcW w:w="145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13515769179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永安财产保险股份有限公司台州中心支公司</w:t>
            </w:r>
          </w:p>
        </w:tc>
        <w:tc>
          <w:tcPr>
            <w:tcW w:w="163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年费率0.3%，最低保费1000元</w:t>
            </w:r>
          </w:p>
        </w:tc>
        <w:tc>
          <w:tcPr>
            <w:tcW w:w="145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王春宇</w:t>
            </w:r>
          </w:p>
        </w:tc>
        <w:tc>
          <w:tcPr>
            <w:tcW w:w="1455" w:type="dxa"/>
            <w:noWrap/>
            <w:vAlign w:val="center"/>
          </w:tcPr>
          <w:p>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13676675331</w:t>
            </w:r>
          </w:p>
        </w:tc>
      </w:tr>
    </w:tbl>
    <w:p>
      <w:pPr>
        <w:pStyle w:val="13"/>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预付款保函联系方式</w:t>
      </w:r>
    </w:p>
    <w:tbl>
      <w:tblPr>
        <w:tblStyle w:val="22"/>
        <w:tblW w:w="921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0"/>
        <w:gridCol w:w="1650"/>
        <w:gridCol w:w="144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650" w:type="dxa"/>
            <w:noWrap/>
            <w:vAlign w:val="center"/>
          </w:tcPr>
          <w:p>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保险公司名称</w:t>
            </w:r>
          </w:p>
        </w:tc>
        <w:tc>
          <w:tcPr>
            <w:tcW w:w="1650" w:type="dxa"/>
            <w:noWrap/>
            <w:vAlign w:val="center"/>
          </w:tcPr>
          <w:p>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保费率</w:t>
            </w:r>
          </w:p>
        </w:tc>
        <w:tc>
          <w:tcPr>
            <w:tcW w:w="1440" w:type="dxa"/>
            <w:noWrap/>
            <w:vAlign w:val="center"/>
          </w:tcPr>
          <w:p>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联系人</w:t>
            </w:r>
          </w:p>
        </w:tc>
        <w:tc>
          <w:tcPr>
            <w:tcW w:w="1470" w:type="dxa"/>
            <w:noWrap/>
            <w:vAlign w:val="center"/>
          </w:tcPr>
          <w:p>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4650" w:type="dxa"/>
            <w:noWrap/>
          </w:tcPr>
          <w:p>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中国人寿财产保险股份有限公司台州中心支公司</w:t>
            </w:r>
          </w:p>
        </w:tc>
        <w:tc>
          <w:tcPr>
            <w:tcW w:w="1650" w:type="dxa"/>
            <w:noWrap/>
          </w:tcPr>
          <w:p>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年费率3%，最低保费500元</w:t>
            </w:r>
          </w:p>
        </w:tc>
        <w:tc>
          <w:tcPr>
            <w:tcW w:w="1440" w:type="dxa"/>
            <w:noWrap/>
          </w:tcPr>
          <w:p>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徐凌</w:t>
            </w:r>
          </w:p>
        </w:tc>
        <w:tc>
          <w:tcPr>
            <w:tcW w:w="1470" w:type="dxa"/>
            <w:noWrap/>
          </w:tcPr>
          <w:p>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650" w:type="dxa"/>
            <w:noWrap/>
          </w:tcPr>
          <w:p>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阳光保险台州中心支公司</w:t>
            </w:r>
          </w:p>
        </w:tc>
        <w:tc>
          <w:tcPr>
            <w:tcW w:w="1650" w:type="dxa"/>
            <w:noWrap/>
          </w:tcPr>
          <w:p>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年费率1%，最低保费500元</w:t>
            </w:r>
          </w:p>
        </w:tc>
        <w:tc>
          <w:tcPr>
            <w:tcW w:w="1440" w:type="dxa"/>
            <w:noWrap/>
          </w:tcPr>
          <w:p>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林高明</w:t>
            </w:r>
          </w:p>
        </w:tc>
        <w:tc>
          <w:tcPr>
            <w:tcW w:w="1470" w:type="dxa"/>
            <w:noWrap/>
          </w:tcPr>
          <w:p>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650" w:type="dxa"/>
            <w:noWrap/>
          </w:tcPr>
          <w:p>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天安财产保险股份有限公司台州中心支公司</w:t>
            </w:r>
          </w:p>
        </w:tc>
        <w:tc>
          <w:tcPr>
            <w:tcW w:w="1650" w:type="dxa"/>
            <w:noWrap/>
          </w:tcPr>
          <w:p>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年费率1%-2%，最低保费500元</w:t>
            </w:r>
          </w:p>
        </w:tc>
        <w:tc>
          <w:tcPr>
            <w:tcW w:w="1440" w:type="dxa"/>
            <w:noWrap/>
          </w:tcPr>
          <w:p>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罗赛</w:t>
            </w:r>
          </w:p>
        </w:tc>
        <w:tc>
          <w:tcPr>
            <w:tcW w:w="1470" w:type="dxa"/>
            <w:noWrap/>
          </w:tcPr>
          <w:p>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13736605643</w:t>
            </w:r>
          </w:p>
        </w:tc>
      </w:tr>
    </w:tbl>
    <w:p>
      <w:pPr>
        <w:pStyle w:val="13"/>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pPr>
        <w:pStyle w:val="14"/>
        <w:numPr>
          <w:ilvl w:val="0"/>
          <w:numId w:val="6"/>
        </w:numPr>
        <w:spacing w:line="360" w:lineRule="auto"/>
        <w:ind w:left="0" w:leftChars="0"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总则</w:t>
      </w:r>
    </w:p>
    <w:p>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文件依据《中华人民共和国政府采购法》、《中华人民共和国政府采购法实施条例》（国务院令第658号）和</w:t>
      </w:r>
      <w:r>
        <w:rPr>
          <w:rFonts w:hAnsi="宋体"/>
          <w:color w:val="auto"/>
          <w:sz w:val="24"/>
          <w:highlight w:val="none"/>
        </w:rPr>
        <w:t>《政府采购竞争性磋商采购方式管理暂行办法》</w:t>
      </w:r>
      <w:r>
        <w:rPr>
          <w:rFonts w:asciiTheme="minorEastAsia" w:hAnsiTheme="minorEastAsia" w:eastAsiaTheme="minorEastAsia"/>
          <w:color w:val="auto"/>
          <w:sz w:val="24"/>
          <w:highlight w:val="none"/>
        </w:rPr>
        <w:t>（</w:t>
      </w:r>
      <w:r>
        <w:rPr>
          <w:rFonts w:hAnsi="宋体"/>
          <w:color w:val="auto"/>
          <w:sz w:val="24"/>
          <w:highlight w:val="none"/>
        </w:rPr>
        <w:t>财库〔</w:t>
      </w:r>
      <w:r>
        <w:rPr>
          <w:color w:val="auto"/>
          <w:sz w:val="24"/>
          <w:highlight w:val="none"/>
        </w:rPr>
        <w:t>2014</w:t>
      </w:r>
      <w:r>
        <w:rPr>
          <w:rFonts w:hAnsi="宋体"/>
          <w:color w:val="auto"/>
          <w:sz w:val="24"/>
          <w:highlight w:val="none"/>
        </w:rPr>
        <w:t>〕</w:t>
      </w:r>
      <w:r>
        <w:rPr>
          <w:color w:val="auto"/>
          <w:sz w:val="24"/>
          <w:highlight w:val="none"/>
        </w:rPr>
        <w:t>214</w:t>
      </w:r>
      <w:r>
        <w:rPr>
          <w:rFonts w:hAnsi="宋体"/>
          <w:color w:val="auto"/>
          <w:sz w:val="24"/>
          <w:highlight w:val="none"/>
        </w:rPr>
        <w:t>号</w:t>
      </w:r>
      <w:r>
        <w:rPr>
          <w:rFonts w:asciiTheme="minorEastAsia" w:hAnsiTheme="minorEastAsia" w:eastAsiaTheme="minorEastAsia"/>
          <w:color w:val="auto"/>
          <w:sz w:val="24"/>
          <w:highlight w:val="none"/>
        </w:rPr>
        <w:t>）及国家和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供应商应仔细阅读本项目</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公告及</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文件的所有内容（包括变更、补充、澄清以及修改等，均为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文件的组成部分），按照</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文件要求以及格式编制</w:t>
      </w:r>
      <w:r>
        <w:rPr>
          <w:rFonts w:hint="eastAsia" w:asciiTheme="minorEastAsia" w:hAnsiTheme="minorEastAsia" w:eastAsiaTheme="minorEastAsia"/>
          <w:color w:val="auto"/>
          <w:sz w:val="24"/>
          <w:highlight w:val="none"/>
        </w:rPr>
        <w:t>磋商响应</w:t>
      </w:r>
      <w:r>
        <w:rPr>
          <w:rFonts w:asciiTheme="minorEastAsia" w:hAnsiTheme="minorEastAsia" w:eastAsiaTheme="minorEastAsia"/>
          <w:color w:val="auto"/>
          <w:sz w:val="24"/>
          <w:highlight w:val="none"/>
        </w:rPr>
        <w:t>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投标供应商</w:t>
      </w:r>
      <w:r>
        <w:rPr>
          <w:rFonts w:hint="eastAsia"/>
          <w:color w:val="auto"/>
          <w:sz w:val="24"/>
          <w:highlight w:val="none"/>
        </w:rPr>
        <w:t>承担</w:t>
      </w:r>
      <w:r>
        <w:rPr>
          <w:rFonts w:asciiTheme="minorEastAsia" w:hAnsiTheme="minorEastAsia" w:eastAsiaTheme="minorEastAsia"/>
          <w:color w:val="auto"/>
          <w:sz w:val="24"/>
          <w:highlight w:val="none"/>
        </w:rPr>
        <w:t>。</w:t>
      </w:r>
    </w:p>
    <w:p>
      <w:pPr>
        <w:numPr>
          <w:ilvl w:val="0"/>
          <w:numId w:val="6"/>
        </w:numPr>
        <w:snapToGrid w:val="0"/>
        <w:spacing w:line="360" w:lineRule="auto"/>
        <w:ind w:firstLine="482" w:firstLineChars="200"/>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w:t>
      </w:r>
      <w:r>
        <w:rPr>
          <w:rFonts w:hint="eastAsia" w:ascii="宋体" w:hAnsi="宋体"/>
          <w:color w:val="auto"/>
          <w:sz w:val="24"/>
          <w:highlight w:val="none"/>
        </w:rPr>
        <w:t>磋商、</w:t>
      </w:r>
      <w:r>
        <w:rPr>
          <w:rFonts w:hint="eastAsia" w:ascii="宋体" w:hAnsi="宋体"/>
          <w:bCs/>
          <w:color w:val="auto"/>
          <w:sz w:val="24"/>
          <w:highlight w:val="none"/>
        </w:rPr>
        <w:t>评审、确定成交供应商</w:t>
      </w:r>
      <w:r>
        <w:rPr>
          <w:rFonts w:hint="eastAsia" w:asciiTheme="minorEastAsia" w:hAnsiTheme="minorEastAsia" w:eastAsiaTheme="minorEastAsia"/>
          <w:color w:val="auto"/>
          <w:sz w:val="24"/>
          <w:highlight w:val="none"/>
        </w:rPr>
        <w:t>、验收、合同履约、付款等行为（法律、法规另有规定的，从其规定）。</w:t>
      </w:r>
    </w:p>
    <w:p>
      <w:pPr>
        <w:pStyle w:val="10"/>
        <w:spacing w:line="360" w:lineRule="auto"/>
        <w:ind w:firstLine="480" w:firstLineChars="200"/>
        <w:rPr>
          <w:color w:val="auto"/>
          <w:highlight w:val="none"/>
        </w:rPr>
      </w:pPr>
      <w:r>
        <w:rPr>
          <w:color w:val="auto"/>
          <w:highlight w:val="none"/>
        </w:rPr>
        <w:t>本</w:t>
      </w:r>
      <w:r>
        <w:rPr>
          <w:rFonts w:hint="eastAsia"/>
          <w:color w:val="auto"/>
          <w:highlight w:val="none"/>
        </w:rPr>
        <w:t>磋商</w:t>
      </w:r>
      <w:r>
        <w:rPr>
          <w:color w:val="auto"/>
          <w:highlight w:val="none"/>
        </w:rPr>
        <w:t>文件仅适用于本次</w:t>
      </w:r>
      <w:r>
        <w:rPr>
          <w:rFonts w:hint="eastAsia"/>
          <w:color w:val="auto"/>
          <w:highlight w:val="none"/>
        </w:rPr>
        <w:t>采购</w:t>
      </w:r>
      <w:r>
        <w:rPr>
          <w:color w:val="auto"/>
          <w:highlight w:val="none"/>
        </w:rPr>
        <w:t>公告中所涉及的项目和内容。</w:t>
      </w:r>
    </w:p>
    <w:p>
      <w:pPr>
        <w:snapToGrid w:val="0"/>
        <w:spacing w:line="360" w:lineRule="auto"/>
        <w:ind w:firstLine="482" w:firstLineChars="200"/>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highlight w:val="none"/>
        </w:rPr>
        <w:t>采购人：是指依法进行政府采购的国家机关、事业单位和团体组织。</w:t>
      </w:r>
    </w:p>
    <w:p>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bCs w:val="0"/>
          <w:color w:val="auto"/>
          <w:sz w:val="24"/>
          <w:szCs w:val="24"/>
          <w:highlight w:val="none"/>
          <w:lang w:val="zh-CN"/>
        </w:rPr>
        <w:t>采购组织机构：</w:t>
      </w:r>
      <w:r>
        <w:rPr>
          <w:rFonts w:hint="eastAsia"/>
          <w:bCs w:val="0"/>
          <w:color w:val="auto"/>
          <w:sz w:val="24"/>
          <w:szCs w:val="24"/>
          <w:highlight w:val="none"/>
        </w:rPr>
        <w:t>是</w:t>
      </w:r>
      <w:r>
        <w:rPr>
          <w:rFonts w:hint="eastAsia"/>
          <w:bCs w:val="0"/>
          <w:color w:val="auto"/>
          <w:sz w:val="24"/>
          <w:szCs w:val="24"/>
          <w:highlight w:val="none"/>
          <w:lang w:val="zh-CN"/>
        </w:rPr>
        <w:t>指采购人委托组织</w:t>
      </w:r>
      <w:r>
        <w:rPr>
          <w:rFonts w:hint="eastAsia"/>
          <w:bCs w:val="0"/>
          <w:color w:val="auto"/>
          <w:sz w:val="24"/>
          <w:szCs w:val="24"/>
          <w:highlight w:val="none"/>
        </w:rPr>
        <w:t>磋商</w:t>
      </w:r>
      <w:r>
        <w:rPr>
          <w:rFonts w:hint="eastAsia"/>
          <w:bCs w:val="0"/>
          <w:color w:val="auto"/>
          <w:sz w:val="24"/>
          <w:szCs w:val="24"/>
          <w:highlight w:val="none"/>
          <w:lang w:val="zh-CN"/>
        </w:rPr>
        <w:t>的集中采购机构</w:t>
      </w:r>
      <w:r>
        <w:rPr>
          <w:rFonts w:hint="eastAsia" w:cs="Arial"/>
          <w:bCs w:val="0"/>
          <w:color w:val="auto"/>
          <w:sz w:val="24"/>
          <w:szCs w:val="24"/>
          <w:highlight w:val="none"/>
        </w:rPr>
        <w:t>/</w:t>
      </w:r>
      <w:r>
        <w:rPr>
          <w:rFonts w:hint="eastAsia"/>
          <w:bCs w:val="0"/>
          <w:color w:val="auto"/>
          <w:sz w:val="24"/>
          <w:szCs w:val="24"/>
          <w:highlight w:val="none"/>
          <w:lang w:val="zh-CN"/>
        </w:rPr>
        <w:t>采购代理机构。</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3.供应商：是指向采购人提供货物、工程或者服务的法人、其他组织或者自然人</w:t>
      </w:r>
      <w:r>
        <w:rPr>
          <w:rFonts w:asciiTheme="minorEastAsia" w:hAnsiTheme="minorEastAsia" w:eastAsiaTheme="minorEastAsia"/>
          <w:color w:val="auto"/>
          <w:sz w:val="24"/>
          <w:highlight w:val="none"/>
        </w:rPr>
        <w:t>。</w:t>
      </w:r>
    </w:p>
    <w:p>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4.成交</w:t>
      </w:r>
      <w:r>
        <w:rPr>
          <w:rFonts w:hint="eastAsia" w:ascii="宋体" w:hAnsi="宋体"/>
          <w:color w:val="auto"/>
          <w:sz w:val="24"/>
          <w:highlight w:val="none"/>
          <w:lang w:val="zh-CN"/>
        </w:rPr>
        <w:t>供应商：是指经</w:t>
      </w:r>
      <w:r>
        <w:rPr>
          <w:rFonts w:hint="eastAsia" w:asciiTheme="minorEastAsia" w:hAnsiTheme="minorEastAsia" w:eastAsiaTheme="minorEastAsia" w:cstheme="minorBidi"/>
          <w:color w:val="auto"/>
          <w:sz w:val="24"/>
          <w:highlight w:val="none"/>
        </w:rPr>
        <w:t>磋商小组</w:t>
      </w:r>
      <w:r>
        <w:rPr>
          <w:rFonts w:hint="eastAsia" w:ascii="宋体" w:hAnsi="宋体"/>
          <w:color w:val="auto"/>
          <w:sz w:val="24"/>
          <w:highlight w:val="none"/>
          <w:lang w:val="zh-CN"/>
        </w:rPr>
        <w:t>评审确定的对</w:t>
      </w:r>
      <w:r>
        <w:rPr>
          <w:rFonts w:hint="eastAsia" w:ascii="宋体" w:hAnsi="宋体"/>
          <w:color w:val="auto"/>
          <w:sz w:val="24"/>
          <w:highlight w:val="none"/>
        </w:rPr>
        <w:t>磋商</w:t>
      </w:r>
      <w:r>
        <w:rPr>
          <w:rFonts w:hint="eastAsia" w:ascii="宋体" w:hAnsi="宋体"/>
          <w:color w:val="auto"/>
          <w:sz w:val="24"/>
          <w:highlight w:val="none"/>
          <w:lang w:val="zh-CN"/>
        </w:rPr>
        <w:t>文件作出实质性响应，经采购人按照规定在</w:t>
      </w:r>
      <w:r>
        <w:rPr>
          <w:rFonts w:hint="eastAsia" w:asciiTheme="minorEastAsia" w:hAnsiTheme="minorEastAsia" w:eastAsiaTheme="minorEastAsia" w:cstheme="minorBidi"/>
          <w:color w:val="auto"/>
          <w:sz w:val="24"/>
          <w:highlight w:val="none"/>
        </w:rPr>
        <w:t>磋商小组</w:t>
      </w:r>
      <w:r>
        <w:rPr>
          <w:rFonts w:hint="eastAsia" w:ascii="宋体" w:hAnsi="宋体"/>
          <w:color w:val="auto"/>
          <w:sz w:val="24"/>
          <w:highlight w:val="none"/>
          <w:lang w:val="zh-CN"/>
        </w:rPr>
        <w:t>推荐的</w:t>
      </w:r>
      <w:r>
        <w:rPr>
          <w:rFonts w:hint="eastAsia" w:ascii="宋体" w:hAnsi="宋体"/>
          <w:color w:val="auto"/>
          <w:sz w:val="24"/>
          <w:highlight w:val="none"/>
        </w:rPr>
        <w:t>成交</w:t>
      </w:r>
      <w:r>
        <w:rPr>
          <w:rFonts w:hint="eastAsia" w:ascii="宋体" w:hAnsi="宋体"/>
          <w:color w:val="auto"/>
          <w:sz w:val="24"/>
          <w:highlight w:val="none"/>
          <w:lang w:val="zh-CN"/>
        </w:rPr>
        <w:t>候选人中确定的或受采购人委托直接确认的，与采购人签订合同资格的供应商。</w:t>
      </w:r>
    </w:p>
    <w:p>
      <w:pPr>
        <w:pStyle w:val="21"/>
        <w:spacing w:after="0" w:line="360" w:lineRule="auto"/>
        <w:ind w:left="0" w:leftChars="0" w:firstLine="480" w:firstLineChars="200"/>
        <w:rPr>
          <w:color w:val="auto"/>
          <w:highlight w:val="none"/>
        </w:rPr>
      </w:pPr>
      <w:r>
        <w:rPr>
          <w:rFonts w:hint="eastAsia" w:ascii="宋体" w:hAnsi="宋体"/>
          <w:color w:val="auto"/>
          <w:sz w:val="24"/>
          <w:highlight w:val="none"/>
        </w:rPr>
        <w:t>5.联合体：</w:t>
      </w:r>
      <w:r>
        <w:rPr>
          <w:rFonts w:hint="eastAsia"/>
          <w:color w:val="auto"/>
          <w:sz w:val="24"/>
          <w:highlight w:val="none"/>
        </w:rPr>
        <w:t>两个或两个以上法人或者其他组织可以组成一个联合体，以一个供应商的身份共同参与磋商。</w:t>
      </w:r>
    </w:p>
    <w:p>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w:t>
      </w:r>
      <w:r>
        <w:rPr>
          <w:rFonts w:hint="eastAsia"/>
          <w:b/>
          <w:bCs/>
          <w:color w:val="auto"/>
          <w:sz w:val="24"/>
          <w:highlight w:val="none"/>
        </w:rPr>
        <w:t>磋商</w:t>
      </w:r>
      <w:r>
        <w:rPr>
          <w:b/>
          <w:bCs/>
          <w:color w:val="auto"/>
          <w:sz w:val="24"/>
          <w:highlight w:val="none"/>
        </w:rPr>
        <w:t>的，应符合以下规定：</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w:t>
      </w:r>
      <w:r>
        <w:rPr>
          <w:rFonts w:hint="eastAsia"/>
          <w:color w:val="auto"/>
          <w:sz w:val="24"/>
          <w:highlight w:val="none"/>
        </w:rPr>
        <w:t>磋商响应</w:t>
      </w:r>
      <w:r>
        <w:rPr>
          <w:color w:val="auto"/>
          <w:sz w:val="24"/>
          <w:highlight w:val="none"/>
        </w:rPr>
        <w:t>文件组成分部分。</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w:t>
      </w:r>
      <w:r>
        <w:rPr>
          <w:rFonts w:hint="eastAsia"/>
          <w:color w:val="auto"/>
          <w:sz w:val="24"/>
          <w:highlight w:val="none"/>
        </w:rPr>
        <w:t>响应</w:t>
      </w:r>
      <w:r>
        <w:rPr>
          <w:color w:val="auto"/>
          <w:sz w:val="24"/>
          <w:highlight w:val="none"/>
        </w:rPr>
        <w:t>文件中提供联合体各方的相关证明材料。</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4.联合体各方中至少应当有一方符合采购人规定的资格要求。由同一资质条件的供应商组成的联合体，应当按照资质等级较低的供应商确定联合体资质等级。</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5.联合体各方不得再以自己名义单独参加同一</w:t>
      </w:r>
      <w:r>
        <w:rPr>
          <w:rFonts w:hint="eastAsia" w:ascii="宋体" w:hAnsi="宋体" w:cs="宋体"/>
          <w:color w:val="auto"/>
          <w:sz w:val="24"/>
          <w:highlight w:val="none"/>
        </w:rPr>
        <w:t>合同项</w:t>
      </w:r>
      <w:r>
        <w:rPr>
          <w:rFonts w:hint="eastAsia" w:asciiTheme="minorEastAsia" w:hAnsiTheme="minorEastAsia" w:eastAsiaTheme="minorEastAsia"/>
          <w:color w:val="auto"/>
          <w:sz w:val="24"/>
          <w:highlight w:val="none"/>
        </w:rPr>
        <w:t>，也不得组成新的联合体参加同一项目。</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7.磋商</w:t>
      </w:r>
      <w:r>
        <w:rPr>
          <w:color w:val="auto"/>
          <w:sz w:val="24"/>
          <w:highlight w:val="none"/>
        </w:rPr>
        <w:t>时，应以联合体协议中确定的主体方名义</w:t>
      </w:r>
      <w:r>
        <w:rPr>
          <w:rFonts w:hint="eastAsia" w:asciiTheme="minorEastAsia" w:hAnsiTheme="minorEastAsia" w:eastAsiaTheme="minorEastAsia"/>
          <w:color w:val="auto"/>
          <w:sz w:val="24"/>
          <w:highlight w:val="none"/>
        </w:rPr>
        <w:t>磋商</w:t>
      </w:r>
      <w:r>
        <w:rPr>
          <w:color w:val="auto"/>
          <w:sz w:val="24"/>
          <w:highlight w:val="none"/>
        </w:rPr>
        <w:t>，对联合体各方均具有约束力。</w:t>
      </w:r>
    </w:p>
    <w:p>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w:t>
      </w:r>
      <w:r>
        <w:rPr>
          <w:rFonts w:hint="eastAsia"/>
          <w:color w:val="auto"/>
          <w:sz w:val="24"/>
          <w:highlight w:val="none"/>
        </w:rPr>
        <w:t>.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pPr>
        <w:pStyle w:val="29"/>
        <w:tabs>
          <w:tab w:val="left" w:pos="437"/>
        </w:tabs>
        <w:spacing w:line="360" w:lineRule="auto"/>
        <w:ind w:firstLine="482"/>
        <w:rPr>
          <w:b/>
          <w:bCs/>
          <w:color w:val="auto"/>
          <w:sz w:val="24"/>
          <w:szCs w:val="24"/>
          <w:highlight w:val="none"/>
        </w:rPr>
      </w:pPr>
      <w:r>
        <w:rPr>
          <w:rFonts w:hint="eastAsia"/>
          <w:b/>
          <w:bCs/>
          <w:color w:val="auto"/>
          <w:sz w:val="24"/>
          <w:szCs w:val="24"/>
          <w:highlight w:val="none"/>
        </w:rPr>
        <w:t>（六）</w:t>
      </w:r>
      <w:r>
        <w:rPr>
          <w:b/>
          <w:bCs/>
          <w:color w:val="auto"/>
          <w:sz w:val="24"/>
          <w:szCs w:val="24"/>
          <w:highlight w:val="none"/>
        </w:rPr>
        <w:t>现场踏勘</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1.磋商文件规定组织踏勘现场的，采购人按磋商文件规定的时间、地点组织供应商踏勘项目现场。</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2.供应商自行承担踏勘现场发生的责任、风险和自身费用。</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w:t>
      </w:r>
      <w:r>
        <w:rPr>
          <w:rFonts w:hint="eastAsia"/>
          <w:color w:val="auto"/>
          <w:sz w:val="24"/>
          <w:highlight w:val="none"/>
        </w:rPr>
        <w:t>磋商</w:t>
      </w:r>
      <w:r>
        <w:rPr>
          <w:color w:val="auto"/>
          <w:sz w:val="24"/>
          <w:highlight w:val="none"/>
        </w:rPr>
        <w:t>文件的修改或不作为</w:t>
      </w:r>
      <w:r>
        <w:rPr>
          <w:rFonts w:hint="eastAsia"/>
          <w:color w:val="auto"/>
          <w:sz w:val="24"/>
          <w:highlight w:val="none"/>
        </w:rPr>
        <w:t>供应商</w:t>
      </w:r>
      <w:r>
        <w:rPr>
          <w:color w:val="auto"/>
          <w:sz w:val="24"/>
          <w:highlight w:val="none"/>
        </w:rPr>
        <w:t>编制</w:t>
      </w:r>
      <w:r>
        <w:rPr>
          <w:rFonts w:hint="eastAsia"/>
          <w:color w:val="auto"/>
          <w:sz w:val="24"/>
          <w:highlight w:val="none"/>
        </w:rPr>
        <w:t>磋商响应</w:t>
      </w:r>
      <w:r>
        <w:rPr>
          <w:color w:val="auto"/>
          <w:sz w:val="24"/>
          <w:highlight w:val="none"/>
        </w:rPr>
        <w:t>文件的依据。</w:t>
      </w:r>
    </w:p>
    <w:p>
      <w:pPr>
        <w:pStyle w:val="13"/>
        <w:snapToGrid w:val="0"/>
        <w:spacing w:line="360" w:lineRule="auto"/>
        <w:ind w:firstLine="482" w:firstLineChars="200"/>
        <w:rPr>
          <w:rFonts w:hAnsi="宋体"/>
          <w:b/>
          <w:color w:val="auto"/>
          <w:sz w:val="24"/>
          <w:highlight w:val="none"/>
        </w:rPr>
      </w:pPr>
      <w:r>
        <w:rPr>
          <w:rFonts w:hint="eastAsia" w:hAnsi="宋体"/>
          <w:b/>
          <w:color w:val="auto"/>
          <w:sz w:val="24"/>
          <w:highlight w:val="none"/>
        </w:rPr>
        <w:t>（七）特别说明</w:t>
      </w:r>
    </w:p>
    <w:p>
      <w:pPr>
        <w:pStyle w:val="13"/>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1.供应商磋商</w:t>
      </w:r>
      <w:r>
        <w:rPr>
          <w:rFonts w:asciiTheme="minorEastAsia" w:hAnsiTheme="minorEastAsia" w:eastAsiaTheme="minorEastAsia"/>
          <w:color w:val="auto"/>
          <w:sz w:val="24"/>
          <w:highlight w:val="none"/>
        </w:rPr>
        <w:t>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供应商磋商</w:t>
      </w:r>
      <w:r>
        <w:rPr>
          <w:rFonts w:asciiTheme="minorEastAsia" w:hAnsiTheme="minorEastAsia" w:eastAsiaTheme="minorEastAsia"/>
          <w:color w:val="auto"/>
          <w:sz w:val="24"/>
          <w:highlight w:val="none"/>
        </w:rPr>
        <w:t>所使用的采购项目实施人员必须为本法人员工。</w:t>
      </w:r>
    </w:p>
    <w:p>
      <w:pPr>
        <w:pStyle w:val="29"/>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2.供应商所投产品除磋商文件中明确规定要求“提供官网截图或相应检测报告的证明材料”以外，所有技术参数描述均以响应文件为准。供应商对所投产品技术参数的真实性承担法律责任。项目磋商结束后、质疑期限内，如有质疑供应商认为成交供应商所投产品、响应文件技术参数与采购需求存在重大偏离、错误、甚至造假的情况，如采购文件中未明确规定要求“提供官网截图或相应检测报告的证明材料”的，应提供其他具体有效的证明材料。</w:t>
      </w:r>
    </w:p>
    <w:p>
      <w:pPr>
        <w:pStyle w:val="29"/>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3.本磋商文件中关于电子磋商、响应内容、流程如与政采云系统中最新的内容、操作不一致的，以政采云系统中的要求为准。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二、磋商文件</w:t>
      </w:r>
    </w:p>
    <w:p>
      <w:pPr>
        <w:pStyle w:val="29"/>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（一）磋商文件由磋商文件总目录所列内容组成。</w:t>
      </w:r>
    </w:p>
    <w:p>
      <w:pPr>
        <w:pStyle w:val="29"/>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（二）供应商在规定的时间内未对磋商文件提出疑问、质疑或要求澄清的，将视其为无异议。</w:t>
      </w:r>
    </w:p>
    <w:p>
      <w:pPr>
        <w:pStyle w:val="29"/>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（三）对磋商文件中描述有歧义或前后不一致的地方，磋商小组有权进行评判，但对同一条款的评判应适用于每个供应商。</w:t>
      </w:r>
    </w:p>
    <w:p>
      <w:pPr>
        <w:pStyle w:val="29"/>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stheme="minorBidi"/>
          <w:color w:val="auto"/>
          <w:sz w:val="24"/>
          <w:highlight w:val="none"/>
        </w:rPr>
        <w:t>（四）采购组织机构对磋商文件进行必要的澄清更正的，澄清或者修改的内容可能影响磋商文件编制的，于磋商截止时间的5日前在浙江省政府采购网上以更正公告的形式通知各潜在的投标人。不足5日的，采购人或者采购组织机构应当顺延提交响应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三、响应文件</w:t>
      </w:r>
    </w:p>
    <w:p>
      <w:pPr>
        <w:pStyle w:val="7"/>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（一）响应文件的编制</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供应商接到磋商文件后，按照采购组织机构的要求提供：磋商响应文件</w:t>
      </w:r>
      <w:r>
        <w:rPr>
          <w:rFonts w:hint="eastAsia" w:asciiTheme="minorEastAsia" w:hAnsiTheme="minorEastAsia" w:eastAsiaTheme="minorEastAsia"/>
          <w:color w:val="auto"/>
          <w:kern w:val="0"/>
          <w:sz w:val="24"/>
          <w:highlight w:val="none"/>
          <w:lang w:val="zh-CN"/>
        </w:rPr>
        <w:t>。【特别提示：如在磋商响应时有要求提供资料原件的，将原件扫描放入投标文件。】</w:t>
      </w:r>
      <w:r>
        <w:rPr>
          <w:rFonts w:hint="eastAsia" w:asciiTheme="minorEastAsia" w:hAnsiTheme="minorEastAsia" w:eastAsiaTheme="minorEastAsia"/>
          <w:bCs/>
          <w:color w:val="auto"/>
          <w:kern w:val="0"/>
          <w:sz w:val="24"/>
          <w:highlight w:val="none"/>
        </w:rPr>
        <w:t>本磋商文件中若有多标项的，若参与多标项投标的，则按每个标项分别独立编制磋商响应文件。</w:t>
      </w:r>
    </w:p>
    <w:p>
      <w:pPr>
        <w:snapToGrid w:val="0"/>
        <w:spacing w:line="360" w:lineRule="auto"/>
        <w:ind w:firstLine="482" w:firstLineChars="200"/>
        <w:rPr>
          <w:rFonts w:ascii="宋体" w:hAnsi="宋体"/>
          <w:color w:val="auto"/>
          <w:kern w:val="0"/>
          <w:sz w:val="24"/>
          <w:highlight w:val="none"/>
        </w:rPr>
      </w:pPr>
      <w:r>
        <w:rPr>
          <w:rFonts w:hint="eastAsia" w:ascii="宋体" w:hAnsi="宋体" w:cs="宋体"/>
          <w:b/>
          <w:color w:val="auto"/>
          <w:sz w:val="24"/>
          <w:highlight w:val="none"/>
        </w:rPr>
        <w:t>▲</w:t>
      </w:r>
      <w:r>
        <w:rPr>
          <w:rFonts w:hint="eastAsia" w:ascii="宋体" w:hAnsi="宋体"/>
          <w:b/>
          <w:color w:val="auto"/>
          <w:sz w:val="24"/>
          <w:highlight w:val="none"/>
        </w:rPr>
        <w:t>1、资格证明内容的组成：</w:t>
      </w:r>
    </w:p>
    <w:p>
      <w:pPr>
        <w:pStyle w:val="18"/>
        <w:ind w:left="0" w:leftChars="0" w:firstLine="470"/>
        <w:rPr>
          <w:rStyle w:val="26"/>
          <w:b w:val="0"/>
          <w:color w:val="auto"/>
          <w:highlight w:val="none"/>
          <w:u w:val="none"/>
        </w:rPr>
      </w:pPr>
      <w:r>
        <w:rPr>
          <w:rStyle w:val="26"/>
          <w:rFonts w:hint="eastAsia"/>
          <w:b w:val="0"/>
          <w:color w:val="auto"/>
          <w:highlight w:val="none"/>
          <w:u w:val="none"/>
        </w:rPr>
        <w:t>（1）磋商声明书（附件1）；</w:t>
      </w:r>
    </w:p>
    <w:p>
      <w:pPr>
        <w:widowControl/>
        <w:spacing w:line="360" w:lineRule="auto"/>
        <w:ind w:right="60"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（2）授权委托书（法定代表人亲自办理磋商响应事宜的，则无需提交，附件2)；</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pPr>
        <w:widowControl/>
        <w:spacing w:line="360" w:lineRule="auto"/>
        <w:ind w:right="60" w:firstLine="480" w:firstLineChars="200"/>
        <w:jc w:val="left"/>
        <w:outlineLvl w:val="0"/>
        <w:rPr>
          <w:rFonts w:hint="eastAsia" w:ascii="宋体" w:hAnsi="宋体" w:cs="宋体"/>
          <w:color w:val="auto"/>
          <w:sz w:val="24"/>
          <w:highlight w:val="none"/>
          <w:lang w:val="en-US" w:eastAsia="zh-CN"/>
        </w:rPr>
      </w:pPr>
      <w:r>
        <w:rPr>
          <w:rFonts w:hint="eastAsia" w:ascii="宋体" w:hAnsi="宋体" w:cs="宋体"/>
          <w:color w:val="auto"/>
          <w:sz w:val="24"/>
          <w:highlight w:val="none"/>
        </w:rPr>
        <w:t>（7）城乡规划</w:t>
      </w:r>
      <w:r>
        <w:rPr>
          <w:rFonts w:hint="eastAsia" w:ascii="宋体" w:hAnsi="宋体" w:cs="宋体"/>
          <w:color w:val="auto"/>
          <w:sz w:val="24"/>
          <w:highlight w:val="none"/>
          <w:lang w:val="en-US" w:eastAsia="zh-CN"/>
        </w:rPr>
        <w:t>编制乙</w:t>
      </w:r>
      <w:r>
        <w:rPr>
          <w:rFonts w:hint="eastAsia" w:ascii="宋体" w:hAnsi="宋体" w:cs="宋体"/>
          <w:color w:val="auto"/>
          <w:sz w:val="24"/>
          <w:highlight w:val="none"/>
        </w:rPr>
        <w:t>级资质</w:t>
      </w:r>
      <w:r>
        <w:rPr>
          <w:rFonts w:hint="eastAsia" w:ascii="宋体" w:hAnsi="宋体" w:cs="宋体"/>
          <w:color w:val="auto"/>
          <w:sz w:val="24"/>
          <w:highlight w:val="none"/>
          <w:lang w:val="en-US" w:eastAsia="zh-CN"/>
        </w:rPr>
        <w:t>及以上证书；</w:t>
      </w:r>
    </w:p>
    <w:p>
      <w:pPr>
        <w:widowControl/>
        <w:spacing w:line="360" w:lineRule="auto"/>
        <w:ind w:right="60"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需要说明的其他资料。</w:t>
      </w:r>
    </w:p>
    <w:p>
      <w:pPr>
        <w:snapToGrid w:val="0"/>
        <w:spacing w:line="360" w:lineRule="auto"/>
        <w:ind w:firstLine="482" w:firstLineChars="200"/>
        <w:rPr>
          <w:rFonts w:ascii="宋体" w:hAnsi="宋体" w:cs="宋体"/>
          <w:color w:val="auto"/>
          <w:sz w:val="24"/>
          <w:highlight w:val="none"/>
          <w:u w:val="single"/>
        </w:rPr>
      </w:pPr>
      <w:r>
        <w:rPr>
          <w:rFonts w:hint="eastAsia" w:ascii="宋体" w:hAnsi="宋体"/>
          <w:b/>
          <w:color w:val="auto"/>
          <w:sz w:val="24"/>
          <w:highlight w:val="none"/>
        </w:rPr>
        <w:t>2、商务与技术内容的组成：</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投标人情况介绍（附件6）；</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（2）项目方案（</w:t>
      </w:r>
      <w:r>
        <w:rPr>
          <w:rFonts w:hint="eastAsia" w:ascii="宋体" w:hAnsi="宋体"/>
          <w:bCs/>
          <w:color w:val="auto"/>
          <w:sz w:val="24"/>
          <w:highlight w:val="none"/>
          <w:lang w:val="en-US" w:eastAsia="zh-CN"/>
        </w:rPr>
        <w:t>由供应商根据招标文件和评标办法自行拟定</w:t>
      </w:r>
      <w:r>
        <w:rPr>
          <w:rFonts w:hint="eastAsia" w:ascii="宋体" w:hAnsi="宋体"/>
          <w:bCs/>
          <w:color w:val="auto"/>
          <w:sz w:val="24"/>
          <w:highlight w:val="none"/>
        </w:rPr>
        <w:t>），项目方案章节页数</w:t>
      </w:r>
      <w:r>
        <w:rPr>
          <w:rFonts w:hint="eastAsia" w:ascii="宋体" w:hAnsi="宋体"/>
          <w:bCs/>
          <w:color w:val="auto"/>
          <w:sz w:val="24"/>
          <w:highlight w:val="none"/>
          <w:lang w:val="en-US" w:eastAsia="zh-CN"/>
        </w:rPr>
        <w:t>建议</w:t>
      </w:r>
      <w:r>
        <w:rPr>
          <w:rFonts w:hint="eastAsia" w:ascii="宋体" w:hAnsi="宋体"/>
          <w:bCs/>
          <w:color w:val="auto"/>
          <w:sz w:val="24"/>
          <w:highlight w:val="none"/>
        </w:rPr>
        <w:t>三十页；</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（3）项目负责人资格情况表（附件7）；</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（4）项目实施人员一览表（附件8）；</w:t>
      </w:r>
    </w:p>
    <w:p>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服务条款响应表（附件9）；</w:t>
      </w:r>
    </w:p>
    <w:p>
      <w:pPr>
        <w:pStyle w:val="7"/>
        <w:widowControl/>
        <w:numPr>
          <w:ilvl w:val="255"/>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（6）证书一览表（与本项目相关的认证证书或文件；附件10）；</w:t>
      </w:r>
    </w:p>
    <w:p>
      <w:pPr>
        <w:pStyle w:val="7"/>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（7）同类业绩证明（如有，需提供合同复印件；附件11）；</w:t>
      </w:r>
    </w:p>
    <w:p>
      <w:pPr>
        <w:pStyle w:val="7"/>
        <w:widowControl/>
        <w:numPr>
          <w:ilvl w:val="255"/>
          <w:numId w:val="0"/>
        </w:numPr>
        <w:snapToGrid w:val="0"/>
        <w:spacing w:line="360" w:lineRule="auto"/>
        <w:ind w:firstLine="480" w:firstLineChars="200"/>
        <w:rPr>
          <w:rFonts w:ascii="宋体" w:hAnsi="宋体" w:cs="宋体"/>
          <w:color w:val="auto"/>
          <w:sz w:val="24"/>
          <w:szCs w:val="24"/>
          <w:highlight w:val="none"/>
        </w:rPr>
      </w:pPr>
      <w:r>
        <w:rPr>
          <w:rFonts w:hint="eastAsia" w:ascii="宋体" w:hAnsi="宋体"/>
          <w:bCs/>
          <w:color w:val="auto"/>
          <w:sz w:val="24"/>
          <w:highlight w:val="none"/>
        </w:rPr>
        <w:t>（8）符合招标文件规定的其他证明文件及评分标准中涉及的其他材料</w:t>
      </w:r>
      <w:r>
        <w:rPr>
          <w:rFonts w:hint="eastAsia"/>
          <w:color w:val="auto"/>
          <w:sz w:val="24"/>
          <w:szCs w:val="24"/>
          <w:highlight w:val="none"/>
        </w:rPr>
        <w:t>。</w:t>
      </w:r>
    </w:p>
    <w:p>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3、报价内容的组成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（1）首次磋商一览表（附件12）；</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lang w:val="en-GB"/>
        </w:rPr>
      </w:pPr>
      <w:r>
        <w:rPr>
          <w:rFonts w:hint="eastAsia" w:asciiTheme="minorEastAsia" w:hAnsiTheme="minorEastAsia" w:eastAsiaTheme="minorEastAsia"/>
          <w:color w:val="auto"/>
          <w:kern w:val="0"/>
          <w:sz w:val="24"/>
          <w:highlight w:val="none"/>
        </w:rPr>
        <w:t>（2）中小企业、</w:t>
      </w:r>
      <w:r>
        <w:rPr>
          <w:rFonts w:hint="eastAsia" w:asciiTheme="minorEastAsia" w:hAnsiTheme="minorEastAsia" w:eastAsiaTheme="minorEastAsia"/>
          <w:color w:val="auto"/>
          <w:kern w:val="0"/>
          <w:sz w:val="24"/>
          <w:highlight w:val="none"/>
          <w:lang w:val="en-GB"/>
        </w:rPr>
        <w:t>残疾人福利性单位、监狱企业</w:t>
      </w:r>
      <w:r>
        <w:rPr>
          <w:rFonts w:hint="eastAsia" w:asciiTheme="minorEastAsia" w:hAnsiTheme="minorEastAsia" w:eastAsiaTheme="minorEastAsia"/>
          <w:color w:val="auto"/>
          <w:kern w:val="0"/>
          <w:sz w:val="24"/>
          <w:highlight w:val="none"/>
        </w:rPr>
        <w:t>等声明函（附件13）；</w:t>
      </w:r>
    </w:p>
    <w:p>
      <w:pPr>
        <w:autoSpaceDE w:val="0"/>
        <w:autoSpaceDN w:val="0"/>
        <w:adjustRightInd w:val="0"/>
        <w:spacing w:line="360" w:lineRule="auto"/>
        <w:ind w:firstLine="480"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color w:val="auto"/>
          <w:kern w:val="0"/>
          <w:sz w:val="24"/>
          <w:highlight w:val="none"/>
        </w:rPr>
        <w:t>（3）针对报价投标人认为其他需要说明的。</w:t>
      </w:r>
    </w:p>
    <w:p>
      <w:pPr>
        <w:pStyle w:val="7"/>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（二）报价</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1.供应商应按照采购需求内容、责任范围以及合同条款进行报价。并按“首次磋商一览表”规定的格式报出总价和分项价格。总价中不得包含磋商文件要求以外的内容，否则，在评审时不予核减。</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2.磋商报价包括本项目采购需求和投入使用的所有费用，</w:t>
      </w:r>
      <w:r>
        <w:rPr>
          <w:rFonts w:hint="eastAsia" w:asciiTheme="minorEastAsia" w:hAnsiTheme="minorEastAsia" w:eastAsiaTheme="minorEastAsia"/>
          <w:bCs/>
          <w:color w:val="auto"/>
          <w:kern w:val="0"/>
          <w:sz w:val="24"/>
          <w:highlight w:val="none"/>
          <w:lang w:eastAsia="zh-CN"/>
        </w:rPr>
        <w:t>包含地形测量、设计以及成果各项内容、前期沟通、后续服务（含调研、踏勘、成果印刷、邮寄等费用）、各阶段成果评审、税金、管理费用等所有费用</w:t>
      </w:r>
      <w:r>
        <w:rPr>
          <w:rFonts w:hint="eastAsia" w:asciiTheme="minorEastAsia" w:hAnsiTheme="minorEastAsia" w:eastAsiaTheme="minorEastAsia"/>
          <w:bCs/>
          <w:color w:val="auto"/>
          <w:kern w:val="0"/>
          <w:sz w:val="24"/>
          <w:highlight w:val="none"/>
        </w:rPr>
        <w:t>。各投标人应根据招标人提供的技术资料、工程量清单，以及本工程实际情况和自身的综合实力，竞报投标报价。总报价以人民币元计。知识产权等由投标人在投标报价时综合考虑，以后不作任何调整。</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3.磋商报价不得为选择性报价和附有条件的报价。</w:t>
      </w:r>
    </w:p>
    <w:p>
      <w:pPr>
        <w:pStyle w:val="7"/>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（三）响应文件的有效期</w:t>
      </w:r>
    </w:p>
    <w:p>
      <w:pPr>
        <w:pStyle w:val="7"/>
        <w:spacing w:line="360" w:lineRule="auto"/>
        <w:ind w:firstLine="480" w:firstLineChars="200"/>
        <w:rPr>
          <w:rFonts w:ascii="宋体" w:hAnsi="宋体"/>
          <w:color w:val="auto"/>
          <w:sz w:val="24"/>
          <w:highlight w:val="none"/>
          <w:lang w:val="en-GB"/>
        </w:rPr>
      </w:pPr>
      <w:r>
        <w:rPr>
          <w:rFonts w:hint="eastAsia" w:ascii="宋体" w:hAnsi="宋体"/>
          <w:color w:val="auto"/>
          <w:sz w:val="24"/>
          <w:highlight w:val="none"/>
        </w:rPr>
        <w:t>1.响应文件有效期为磋商</w:t>
      </w:r>
      <w:r>
        <w:rPr>
          <w:rFonts w:hint="eastAsia" w:ascii="宋体" w:hAnsi="宋体"/>
          <w:color w:val="auto"/>
          <w:sz w:val="24"/>
          <w:highlight w:val="none"/>
          <w:lang w:val="en-GB"/>
        </w:rPr>
        <w:t>截止日起90天。</w:t>
      </w:r>
    </w:p>
    <w:p>
      <w:pPr>
        <w:pStyle w:val="7"/>
        <w:spacing w:line="360" w:lineRule="auto"/>
        <w:ind w:firstLine="480" w:firstLineChars="200"/>
        <w:rPr>
          <w:rFonts w:ascii="宋体" w:hAnsi="宋体"/>
          <w:color w:val="auto"/>
          <w:sz w:val="24"/>
          <w:highlight w:val="none"/>
          <w:lang w:val="en-GB"/>
        </w:rPr>
      </w:pPr>
      <w:r>
        <w:rPr>
          <w:rFonts w:hint="eastAsia" w:ascii="宋体" w:hAnsi="宋体"/>
          <w:color w:val="auto"/>
          <w:sz w:val="24"/>
          <w:highlight w:val="none"/>
        </w:rPr>
        <w:t>2.</w:t>
      </w:r>
      <w:r>
        <w:rPr>
          <w:rFonts w:hint="eastAsia" w:ascii="宋体" w:hAnsi="宋体"/>
          <w:color w:val="auto"/>
          <w:sz w:val="24"/>
          <w:highlight w:val="none"/>
          <w:lang w:val="en-GB"/>
        </w:rPr>
        <w:t>在特殊情况下，采购人可与</w:t>
      </w:r>
      <w:r>
        <w:rPr>
          <w:rFonts w:hint="eastAsia" w:ascii="宋体" w:hAnsi="宋体"/>
          <w:color w:val="auto"/>
          <w:sz w:val="24"/>
          <w:highlight w:val="none"/>
        </w:rPr>
        <w:t>供应商</w:t>
      </w:r>
      <w:r>
        <w:rPr>
          <w:rFonts w:hint="eastAsia" w:ascii="宋体" w:hAnsi="宋体"/>
          <w:color w:val="auto"/>
          <w:sz w:val="24"/>
          <w:highlight w:val="none"/>
          <w:lang w:val="en-GB"/>
        </w:rPr>
        <w:t>协商延长</w:t>
      </w:r>
      <w:r>
        <w:rPr>
          <w:rFonts w:hint="eastAsia" w:ascii="宋体" w:hAnsi="宋体"/>
          <w:color w:val="auto"/>
          <w:sz w:val="24"/>
          <w:highlight w:val="none"/>
        </w:rPr>
        <w:t>响应</w:t>
      </w:r>
      <w:r>
        <w:rPr>
          <w:rFonts w:hint="eastAsia" w:ascii="宋体" w:hAnsi="宋体"/>
          <w:color w:val="auto"/>
          <w:sz w:val="24"/>
          <w:highlight w:val="none"/>
          <w:lang w:val="en-GB"/>
        </w:rPr>
        <w:t>文件的有效期，这种要求和答复均以书面形式进行。</w:t>
      </w:r>
    </w:p>
    <w:p>
      <w:pPr>
        <w:snapToGrid w:val="0"/>
        <w:spacing w:line="360" w:lineRule="auto"/>
        <w:ind w:firstLine="480" w:firstLineChars="200"/>
        <w:outlineLvl w:val="0"/>
        <w:rPr>
          <w:rFonts w:asciiTheme="minorEastAsia" w:hAnsiTheme="minorEastAsia" w:eastAsiaTheme="minorEastAsia"/>
          <w:color w:val="auto"/>
          <w:sz w:val="24"/>
          <w:highlight w:val="none"/>
        </w:rPr>
      </w:pPr>
      <w:bookmarkStart w:id="33" w:name="_Toc8754"/>
      <w:r>
        <w:rPr>
          <w:rFonts w:hint="eastAsia" w:ascii="宋体" w:hAnsi="宋体"/>
          <w:color w:val="auto"/>
          <w:sz w:val="24"/>
          <w:highlight w:val="none"/>
        </w:rPr>
        <w:t>3.成交供应商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磋商响应文件</w:t>
      </w:r>
      <w:r>
        <w:rPr>
          <w:rFonts w:asciiTheme="minorEastAsia" w:hAnsiTheme="minorEastAsia" w:eastAsiaTheme="minorEastAsia"/>
          <w:color w:val="auto"/>
          <w:sz w:val="24"/>
          <w:highlight w:val="none"/>
        </w:rPr>
        <w:t>自开标之日起至合同履行完毕均应保持有效。</w:t>
      </w:r>
      <w:bookmarkEnd w:id="33"/>
    </w:p>
    <w:p>
      <w:pPr>
        <w:snapToGrid w:val="0"/>
        <w:spacing w:line="360" w:lineRule="auto"/>
        <w:ind w:firstLine="482" w:firstLineChars="200"/>
        <w:outlineLvl w:val="0"/>
        <w:rPr>
          <w:rFonts w:asciiTheme="minorEastAsia" w:hAnsiTheme="minorEastAsia" w:eastAsiaTheme="minorEastAsia"/>
          <w:b/>
          <w:color w:val="auto"/>
          <w:kern w:val="0"/>
          <w:sz w:val="24"/>
          <w:highlight w:val="none"/>
        </w:rPr>
      </w:pPr>
      <w:bookmarkStart w:id="34" w:name="_Toc14235"/>
      <w:r>
        <w:rPr>
          <w:rFonts w:hint="eastAsia" w:asciiTheme="minorEastAsia" w:hAnsiTheme="minorEastAsia" w:eastAsiaTheme="minorEastAsia"/>
          <w:b/>
          <w:color w:val="auto"/>
          <w:kern w:val="0"/>
          <w:sz w:val="24"/>
          <w:highlight w:val="none"/>
        </w:rPr>
        <w:t>（四）响应文件的签署</w:t>
      </w:r>
      <w:bookmarkEnd w:id="34"/>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2.响应文件中所有的插字、涂改和增删，必须由法定代表人或经其正式授权的代表在旁边签字或盖章才有效。</w:t>
      </w:r>
    </w:p>
    <w:p>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color w:val="auto"/>
          <w:kern w:val="0"/>
          <w:sz w:val="24"/>
          <w:highlight w:val="none"/>
        </w:rPr>
        <w:t>响应</w:t>
      </w:r>
      <w:r>
        <w:rPr>
          <w:rFonts w:hint="eastAsia" w:asciiTheme="minorEastAsia" w:hAnsiTheme="minorEastAsia" w:eastAsiaTheme="minorEastAsia"/>
          <w:b/>
          <w:bCs/>
          <w:color w:val="auto"/>
          <w:sz w:val="24"/>
          <w:highlight w:val="none"/>
        </w:rPr>
        <w:t>文件</w:t>
      </w:r>
      <w:r>
        <w:rPr>
          <w:rFonts w:hint="eastAsia" w:asciiTheme="minorEastAsia" w:hAnsiTheme="minorEastAsia"/>
          <w:b/>
          <w:bCs/>
          <w:color w:val="auto"/>
          <w:sz w:val="24"/>
          <w:highlight w:val="none"/>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如采购组织机构延长截止时间和开标时间，采购组织机构和供应商的权利和义务将受到新的截止时间和开标时间的约束。</w:t>
      </w:r>
    </w:p>
    <w:p>
      <w:p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kern w:val="0"/>
          <w:sz w:val="24"/>
          <w:highlight w:val="none"/>
        </w:rPr>
        <w:t>四、</w:t>
      </w:r>
      <w:r>
        <w:rPr>
          <w:rFonts w:hint="eastAsia" w:asciiTheme="minorEastAsia" w:hAnsiTheme="minorEastAsia" w:eastAsiaTheme="minorEastAsia"/>
          <w:b/>
          <w:color w:val="auto"/>
          <w:sz w:val="24"/>
          <w:highlight w:val="none"/>
        </w:rPr>
        <w:t>磋商</w:t>
      </w:r>
      <w:r>
        <w:rPr>
          <w:rFonts w:asciiTheme="minorEastAsia" w:hAnsiTheme="minorEastAsia" w:eastAsiaTheme="minorEastAsia"/>
          <w:b/>
          <w:color w:val="auto"/>
          <w:sz w:val="24"/>
          <w:highlight w:val="none"/>
        </w:rPr>
        <w:t>程序</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（一）磋商开始时间到后，主持人准时组织磋商；</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（二）宣布磋商纪律；</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（三）宣布采购组织机构工作人员；</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（四）供应商登录政采云平台，用“项目采购-开标评标”功能对响应文件进行在线解密。在线解密</w:t>
      </w:r>
      <w:r>
        <w:rPr>
          <w:rFonts w:hint="eastAsia" w:ascii="宋体" w:hAnsi="宋体" w:cs="宋体"/>
          <w:bCs/>
          <w:color w:val="auto"/>
          <w:kern w:val="0"/>
          <w:sz w:val="24"/>
          <w:szCs w:val="24"/>
          <w:highlight w:val="none"/>
        </w:rPr>
        <w:t>响应文件</w:t>
      </w:r>
      <w:r>
        <w:rPr>
          <w:rFonts w:hint="eastAsia" w:ascii="宋体" w:hAnsi="宋体" w:cs="宋体"/>
          <w:color w:val="auto"/>
          <w:sz w:val="24"/>
          <w:szCs w:val="24"/>
          <w:highlight w:val="none"/>
        </w:rPr>
        <w:t>时间为磋商时间起半个小时内；</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（五）采购组织机构工作人员当众宣布磋商响应供应商名称和磋商文件规定的需要宣布的其他内容；</w:t>
      </w:r>
    </w:p>
    <w:p>
      <w:pPr>
        <w:pStyle w:val="13"/>
        <w:snapToGrid w:val="0"/>
        <w:spacing w:line="360" w:lineRule="auto"/>
        <w:ind w:firstLine="480" w:firstLineChars="200"/>
        <w:outlineLvl w:val="1"/>
        <w:rPr>
          <w:rFonts w:hAnsi="宋体" w:cs="宋体"/>
          <w:bCs/>
          <w:color w:val="auto"/>
          <w:sz w:val="24"/>
          <w:highlight w:val="none"/>
        </w:rPr>
      </w:pPr>
      <w:r>
        <w:rPr>
          <w:rFonts w:hint="eastAsia" w:hAnsi="宋体" w:cs="宋体"/>
          <w:bCs/>
          <w:color w:val="auto"/>
          <w:sz w:val="24"/>
          <w:highlight w:val="none"/>
        </w:rPr>
        <w:t>（六）磋商(详见第四章)；</w:t>
      </w:r>
    </w:p>
    <w:p>
      <w:pPr>
        <w:pStyle w:val="13"/>
        <w:snapToGrid w:val="0"/>
        <w:spacing w:line="360" w:lineRule="auto"/>
        <w:ind w:firstLine="480" w:firstLineChars="200"/>
        <w:rPr>
          <w:rFonts w:hAnsi="宋体" w:cs="宋体"/>
          <w:color w:val="auto"/>
          <w:sz w:val="24"/>
          <w:highlight w:val="none"/>
        </w:rPr>
      </w:pPr>
      <w:r>
        <w:rPr>
          <w:rFonts w:hint="eastAsia" w:hAnsi="宋体" w:cs="宋体"/>
          <w:bCs/>
          <w:color w:val="auto"/>
          <w:sz w:val="24"/>
          <w:highlight w:val="none"/>
        </w:rPr>
        <w:t>（七）磋商结果公告。</w:t>
      </w:r>
    </w:p>
    <w:p>
      <w:pPr>
        <w:pStyle w:val="7"/>
        <w:spacing w:line="360" w:lineRule="auto"/>
        <w:ind w:firstLine="482" w:firstLineChars="200"/>
        <w:rPr>
          <w:b/>
          <w:bCs/>
          <w:color w:val="auto"/>
          <w:sz w:val="24"/>
          <w:szCs w:val="24"/>
          <w:highlight w:val="none"/>
        </w:rPr>
      </w:pPr>
      <w:r>
        <w:rPr>
          <w:rFonts w:hint="eastAsia"/>
          <w:b/>
          <w:bCs/>
          <w:color w:val="auto"/>
          <w:sz w:val="24"/>
          <w:szCs w:val="24"/>
          <w:highlight w:val="none"/>
        </w:rPr>
        <w:t>五、磋商异议</w:t>
      </w:r>
    </w:p>
    <w:p>
      <w:pPr>
        <w:pStyle w:val="7"/>
        <w:spacing w:line="360" w:lineRule="auto"/>
        <w:ind w:firstLine="480" w:firstLineChars="200"/>
        <w:rPr>
          <w:color w:val="auto"/>
          <w:sz w:val="24"/>
          <w:szCs w:val="24"/>
          <w:highlight w:val="none"/>
        </w:rPr>
      </w:pPr>
      <w:r>
        <w:rPr>
          <w:rFonts w:hint="eastAsia"/>
          <w:color w:val="auto"/>
          <w:sz w:val="24"/>
          <w:szCs w:val="24"/>
          <w:highlight w:val="none"/>
        </w:rPr>
        <w:t>供应商代表对磋商过程和磋商记录有疑义，以及认为采购人、采购</w:t>
      </w:r>
      <w:r>
        <w:rPr>
          <w:rFonts w:hint="eastAsia" w:asciiTheme="minorEastAsia" w:hAnsiTheme="minorEastAsia" w:eastAsiaTheme="minorEastAsia" w:cstheme="minorBidi"/>
          <w:color w:val="auto"/>
          <w:sz w:val="24"/>
          <w:szCs w:val="24"/>
          <w:highlight w:val="none"/>
        </w:rPr>
        <w:t>组织</w:t>
      </w:r>
      <w:r>
        <w:rPr>
          <w:rFonts w:hint="eastAsia"/>
          <w:color w:val="auto"/>
          <w:sz w:val="24"/>
          <w:szCs w:val="24"/>
          <w:highlight w:val="none"/>
        </w:rPr>
        <w:t>机构相关工作人员有需要回避的情形的，应当场提出询问或者回避申请，磋商会议结束后不再接受相关询问、质疑或者回避申请。</w:t>
      </w:r>
    </w:p>
    <w:p>
      <w:pPr>
        <w:pStyle w:val="19"/>
        <w:spacing w:before="0" w:beforeAutospacing="0" w:after="0" w:afterAutospacing="0" w:line="360" w:lineRule="auto"/>
        <w:ind w:firstLine="482" w:firstLineChars="200"/>
        <w:jc w:val="both"/>
        <w:rPr>
          <w:rFonts w:hint="default" w:asciiTheme="minorEastAsia" w:hAnsiTheme="minorEastAsia"/>
          <w:b/>
          <w:color w:val="auto"/>
          <w:highlight w:val="none"/>
        </w:rPr>
      </w:pPr>
      <w:r>
        <w:rPr>
          <w:rFonts w:asciiTheme="minorEastAsia" w:hAnsiTheme="minorEastAsia" w:eastAsiaTheme="minorEastAsia"/>
          <w:b/>
          <w:color w:val="auto"/>
          <w:highlight w:val="none"/>
        </w:rPr>
        <w:t>六、</w:t>
      </w:r>
      <w:r>
        <w:rPr>
          <w:b/>
          <w:color w:val="auto"/>
          <w:highlight w:val="none"/>
        </w:rPr>
        <w:t>磋商结果确定</w:t>
      </w:r>
    </w:p>
    <w:p>
      <w:pPr>
        <w:pStyle w:val="19"/>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（一）</w:t>
      </w:r>
      <w:r>
        <w:rPr>
          <w:color w:val="auto"/>
          <w:highlight w:val="none"/>
        </w:rPr>
        <w:t>确定成交供应商。</w:t>
      </w:r>
      <w:r>
        <w:rPr>
          <w:rFonts w:asciiTheme="minorEastAsia" w:hAnsiTheme="minorEastAsia" w:eastAsiaTheme="minorEastAsia"/>
          <w:color w:val="auto"/>
          <w:highlight w:val="none"/>
        </w:rPr>
        <w:t>磋商小组根据采购单位的</w:t>
      </w:r>
      <w:r>
        <w:rPr>
          <w:color w:val="auto"/>
          <w:highlight w:val="none"/>
        </w:rPr>
        <w:t>《授权意见确认书》</w:t>
      </w:r>
      <w:r>
        <w:rPr>
          <w:rFonts w:asciiTheme="minorEastAsia" w:hAnsiTheme="minorEastAsia" w:eastAsiaTheme="minorEastAsia"/>
          <w:color w:val="auto"/>
          <w:highlight w:val="none"/>
        </w:rPr>
        <w:t>，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pPr>
        <w:spacing w:line="360" w:lineRule="auto"/>
        <w:ind w:firstLine="480" w:firstLineChars="200"/>
        <w:rPr>
          <w:rFonts w:ascii="宋体" w:hAnsi="宋体"/>
          <w:color w:val="auto"/>
          <w:kern w:val="0"/>
          <w:sz w:val="24"/>
          <w:highlight w:val="none"/>
        </w:rPr>
      </w:pPr>
      <w:r>
        <w:rPr>
          <w:rFonts w:hint="eastAsia" w:asciiTheme="minorEastAsia" w:hAnsiTheme="minorEastAsia" w:eastAsiaTheme="minorEastAsia"/>
          <w:color w:val="auto"/>
          <w:sz w:val="24"/>
          <w:highlight w:val="none"/>
        </w:rPr>
        <w:t>（二）</w:t>
      </w:r>
      <w:r>
        <w:rPr>
          <w:rFonts w:hint="eastAsia" w:ascii="宋体" w:hAnsi="宋体"/>
          <w:color w:val="auto"/>
          <w:kern w:val="0"/>
          <w:sz w:val="24"/>
          <w:highlight w:val="none"/>
        </w:rPr>
        <w:t>发布成交结果公告。采购组织机构自成交供应商</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和台州市公共资源交易网上</w:t>
      </w:r>
      <w:r>
        <w:rPr>
          <w:rFonts w:ascii="宋体" w:hAnsi="宋体"/>
          <w:color w:val="auto"/>
          <w:kern w:val="0"/>
          <w:sz w:val="24"/>
          <w:highlight w:val="none"/>
        </w:rPr>
        <w:t>公告</w:t>
      </w:r>
      <w:r>
        <w:rPr>
          <w:rFonts w:hint="eastAsia" w:ascii="宋体" w:hAnsi="宋体"/>
          <w:color w:val="auto"/>
          <w:kern w:val="0"/>
          <w:sz w:val="24"/>
          <w:highlight w:val="none"/>
        </w:rPr>
        <w:t>成交结果，成交</w:t>
      </w:r>
      <w:r>
        <w:rPr>
          <w:color w:val="auto"/>
          <w:sz w:val="24"/>
          <w:highlight w:val="none"/>
        </w:rPr>
        <w:t>结果公告期为 1 个工作日</w:t>
      </w:r>
      <w:r>
        <w:rPr>
          <w:rFonts w:hint="eastAsia" w:ascii="宋体" w:hAnsi="宋体"/>
          <w:color w:val="auto"/>
          <w:kern w:val="0"/>
          <w:sz w:val="24"/>
          <w:highlight w:val="none"/>
        </w:rPr>
        <w:t>。</w:t>
      </w:r>
    </w:p>
    <w:p>
      <w:pPr>
        <w:pStyle w:val="8"/>
        <w:spacing w:line="360" w:lineRule="auto"/>
        <w:ind w:firstLine="480" w:firstLineChars="200"/>
        <w:jc w:val="both"/>
        <w:rPr>
          <w:color w:val="auto"/>
          <w:highlight w:val="none"/>
        </w:rPr>
      </w:pPr>
      <w:r>
        <w:rPr>
          <w:rFonts w:hint="eastAsia" w:ascii="宋体" w:hAnsi="宋体"/>
          <w:color w:val="auto"/>
          <w:kern w:val="0"/>
          <w:sz w:val="24"/>
          <w:highlight w:val="none"/>
        </w:rPr>
        <w:t>（三）发放成交通知书。采购组织机构在发布成交结果公告的同时，</w:t>
      </w:r>
      <w:r>
        <w:rPr>
          <w:rFonts w:hint="eastAsia"/>
          <w:color w:val="auto"/>
          <w:sz w:val="24"/>
          <w:highlight w:val="none"/>
        </w:rPr>
        <w:t>通过政采云平台向成交供应商发放成交通知书</w:t>
      </w:r>
      <w:r>
        <w:rPr>
          <w:rFonts w:hint="eastAsia" w:ascii="宋体" w:hAnsi="宋体"/>
          <w:color w:val="auto"/>
          <w:kern w:val="0"/>
          <w:sz w:val="24"/>
          <w:highlight w:val="none"/>
        </w:rPr>
        <w:t>。</w:t>
      </w:r>
    </w:p>
    <w:p>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19"/>
        <w:spacing w:before="0" w:beforeAutospacing="0" w:after="0" w:afterAutospacing="0" w:line="360" w:lineRule="auto"/>
        <w:ind w:firstLine="480" w:firstLineChars="200"/>
        <w:jc w:val="both"/>
        <w:rPr>
          <w:rFonts w:hint="default"/>
          <w:color w:val="auto"/>
          <w:highlight w:val="none"/>
        </w:rPr>
      </w:pPr>
      <w:r>
        <w:rPr>
          <w:color w:val="auto"/>
          <w:highlight w:val="none"/>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pPr>
        <w:pStyle w:val="19"/>
        <w:spacing w:before="0" w:beforeAutospacing="0" w:after="0" w:afterAutospacing="0" w:line="360" w:lineRule="auto"/>
        <w:ind w:firstLine="480" w:firstLineChars="200"/>
        <w:jc w:val="both"/>
        <w:rPr>
          <w:rFonts w:hint="default"/>
          <w:color w:val="auto"/>
          <w:highlight w:val="none"/>
        </w:rPr>
      </w:pPr>
      <w:r>
        <w:rPr>
          <w:color w:val="auto"/>
          <w:highlight w:val="none"/>
        </w:rPr>
        <w:t>2.采购人不得向成交供应商提出任何不合理的要求作为签订合同的条件。</w:t>
      </w:r>
    </w:p>
    <w:p>
      <w:pPr>
        <w:pStyle w:val="19"/>
        <w:spacing w:before="0" w:beforeAutospacing="0" w:after="0" w:afterAutospacing="0" w:line="360" w:lineRule="auto"/>
        <w:ind w:firstLine="480" w:firstLineChars="200"/>
        <w:jc w:val="both"/>
        <w:rPr>
          <w:rFonts w:hint="default"/>
          <w:color w:val="auto"/>
          <w:highlight w:val="none"/>
        </w:rPr>
      </w:pPr>
      <w:r>
        <w:rPr>
          <w:color w:val="auto"/>
          <w:highlight w:val="none"/>
        </w:rPr>
        <w:t>3.成交供应商无故拖延、拒签合同的,将取消成交资格。</w:t>
      </w:r>
    </w:p>
    <w:p>
      <w:pPr>
        <w:pStyle w:val="19"/>
        <w:spacing w:before="0" w:beforeAutospacing="0" w:after="0" w:afterAutospacing="0" w:line="360" w:lineRule="auto"/>
        <w:ind w:firstLine="480" w:firstLineChars="200"/>
        <w:jc w:val="both"/>
        <w:rPr>
          <w:rFonts w:hint="default"/>
          <w:color w:val="auto"/>
          <w:highlight w:val="none"/>
        </w:rPr>
      </w:pPr>
      <w:r>
        <w:rPr>
          <w:color w:val="auto"/>
          <w:highlight w:val="none"/>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pStyle w:val="19"/>
        <w:spacing w:before="0" w:beforeAutospacing="0" w:after="0" w:afterAutospacing="0" w:line="360" w:lineRule="auto"/>
        <w:ind w:firstLine="480" w:firstLineChars="200"/>
        <w:jc w:val="both"/>
        <w:rPr>
          <w:rFonts w:hint="default"/>
          <w:color w:val="auto"/>
          <w:highlight w:val="none"/>
        </w:rPr>
      </w:pPr>
      <w:r>
        <w:rPr>
          <w:color w:val="auto"/>
          <w:highlight w:val="none"/>
        </w:rPr>
        <w:t>5.询问或者质疑事项可能影响成交结果的，采购人应当暂停签订合同，已经签订合同的，应当中止履行合同。</w:t>
      </w:r>
    </w:p>
    <w:p>
      <w:pPr>
        <w:pStyle w:val="19"/>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pPr>
        <w:pStyle w:val="2"/>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1.采购人应当自政府采购合同签订之日起2个工作日内，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2.采购人应当自政府采购合同签订之日起7个工作日内，</w:t>
      </w:r>
      <w:r>
        <w:rPr>
          <w:rFonts w:hint="eastAsia"/>
          <w:color w:val="auto"/>
          <w:sz w:val="24"/>
          <w:highlight w:val="none"/>
        </w:rPr>
        <w:t>将政府采购合同通过政采云平台提交至</w:t>
      </w:r>
      <w:r>
        <w:rPr>
          <w:rFonts w:hint="eastAsia" w:ascii="宋体" w:hAnsi="宋体"/>
          <w:color w:val="auto"/>
          <w:sz w:val="24"/>
          <w:highlight w:val="none"/>
        </w:rPr>
        <w:t>同级人民政府财政部门备案存档。</w:t>
      </w:r>
    </w:p>
    <w:p>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磋商供应商对政府采购活动事项（磋商文件、采购过程和成交结果）有疑问的，可以向采购人或采购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机构提出询问，采购人或采购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机构将及时作出答复，但答复的内容不涉及商业秘密。询问可以口头方式提出，也可以书面方式提出。联系方式见第一章“磋商邀请”中“采购人、采购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机构的名称、地址和联系方式”。</w:t>
      </w:r>
    </w:p>
    <w:p>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1.报名本项目的供应商认为磋商文件、采购过程和成交结果使自己的权益受到损害的，以书面形式或政采云平台的质疑系统一次性向采购人或采购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机构书面提出质疑：</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（1）供应商认为磋商文件的内容损害其权益的，应当自获取之日起（获取截止日之后收到磋商文件的，以获取截止日为准）7个工作日内提出质疑；</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（2）供应商对采购过程提出质疑的，应当在各采购程序环节结束之日起7个工作日内提出质疑；</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（3）供应商对成交结果提出质疑的，应当在成交结果公告期限届满之日起7个工作日内提出质疑；</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机构在收到磋商供应商的书面质疑后7个工作日内作出答复，并以书面形式通知质疑磋商供应商和其他有关磋商供应商，但答复内容不涉及商业秘密。</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磋商供应商对采购人或采购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机构的质疑答复不满意或在规定时间内未得到答复的，可以在答复期满后15个工作日内，向同级政府采购监督管理机构投诉。</w:t>
      </w:r>
    </w:p>
    <w:p>
      <w:pPr>
        <w:pStyle w:val="8"/>
        <w:spacing w:line="360" w:lineRule="auto"/>
        <w:ind w:firstLine="480" w:firstLineChars="200"/>
        <w:jc w:val="both"/>
        <w:rPr>
          <w:rFonts w:ascii="宋体" w:hAnsi="宋体"/>
          <w:color w:val="auto"/>
          <w:sz w:val="24"/>
          <w:highlight w:val="none"/>
        </w:rPr>
      </w:pPr>
    </w:p>
    <w:p>
      <w:pPr>
        <w:pStyle w:val="8"/>
        <w:spacing w:line="360" w:lineRule="auto"/>
        <w:ind w:firstLine="480" w:firstLineChars="200"/>
        <w:jc w:val="both"/>
        <w:rPr>
          <w:rFonts w:ascii="宋体" w:hAnsi="宋体"/>
          <w:color w:val="auto"/>
          <w:sz w:val="24"/>
          <w:highlight w:val="none"/>
        </w:rPr>
      </w:pPr>
    </w:p>
    <w:p>
      <w:pPr>
        <w:pStyle w:val="8"/>
        <w:spacing w:line="360" w:lineRule="auto"/>
        <w:ind w:firstLine="480" w:firstLineChars="200"/>
        <w:jc w:val="both"/>
        <w:rPr>
          <w:rFonts w:ascii="宋体" w:hAnsi="宋体"/>
          <w:color w:val="auto"/>
          <w:sz w:val="24"/>
          <w:highlight w:val="none"/>
        </w:rPr>
      </w:pPr>
    </w:p>
    <w:p>
      <w:pPr>
        <w:pStyle w:val="8"/>
        <w:spacing w:line="360" w:lineRule="auto"/>
        <w:ind w:firstLine="480" w:firstLineChars="200"/>
        <w:jc w:val="both"/>
        <w:rPr>
          <w:rFonts w:ascii="宋体" w:hAnsi="宋体"/>
          <w:color w:val="auto"/>
          <w:sz w:val="24"/>
          <w:highlight w:val="none"/>
        </w:rPr>
      </w:pPr>
    </w:p>
    <w:p>
      <w:pPr>
        <w:pStyle w:val="8"/>
        <w:spacing w:line="360" w:lineRule="auto"/>
        <w:ind w:firstLine="480" w:firstLineChars="200"/>
        <w:jc w:val="both"/>
        <w:rPr>
          <w:rFonts w:ascii="宋体" w:hAnsi="宋体"/>
          <w:color w:val="auto"/>
          <w:sz w:val="24"/>
          <w:highlight w:val="none"/>
        </w:rPr>
      </w:pPr>
    </w:p>
    <w:p>
      <w:pPr>
        <w:pStyle w:val="8"/>
        <w:spacing w:line="360" w:lineRule="auto"/>
        <w:ind w:firstLine="480" w:firstLineChars="200"/>
        <w:jc w:val="both"/>
        <w:rPr>
          <w:rFonts w:ascii="宋体" w:hAnsi="宋体"/>
          <w:color w:val="auto"/>
          <w:sz w:val="24"/>
          <w:highlight w:val="none"/>
        </w:rPr>
      </w:pPr>
    </w:p>
    <w:p>
      <w:pPr>
        <w:pStyle w:val="8"/>
        <w:spacing w:line="360" w:lineRule="auto"/>
        <w:ind w:firstLine="480" w:firstLineChars="200"/>
        <w:jc w:val="both"/>
        <w:rPr>
          <w:rFonts w:ascii="宋体" w:hAnsi="宋体"/>
          <w:color w:val="auto"/>
          <w:sz w:val="24"/>
          <w:highlight w:val="none"/>
        </w:rPr>
      </w:pPr>
    </w:p>
    <w:p>
      <w:pPr>
        <w:pStyle w:val="8"/>
        <w:spacing w:line="360" w:lineRule="auto"/>
        <w:ind w:firstLine="480" w:firstLineChars="200"/>
        <w:jc w:val="both"/>
        <w:rPr>
          <w:rFonts w:ascii="宋体" w:hAnsi="宋体"/>
          <w:color w:val="auto"/>
          <w:sz w:val="24"/>
          <w:highlight w:val="none"/>
        </w:rPr>
      </w:pPr>
    </w:p>
    <w:p>
      <w:pPr>
        <w:pStyle w:val="8"/>
        <w:spacing w:line="360" w:lineRule="auto"/>
        <w:ind w:firstLine="480" w:firstLineChars="200"/>
        <w:jc w:val="both"/>
        <w:rPr>
          <w:rFonts w:ascii="宋体" w:hAnsi="宋体"/>
          <w:color w:val="auto"/>
          <w:sz w:val="24"/>
          <w:highlight w:val="none"/>
        </w:rPr>
      </w:pPr>
    </w:p>
    <w:p>
      <w:pPr>
        <w:pStyle w:val="8"/>
        <w:spacing w:line="360" w:lineRule="auto"/>
        <w:ind w:firstLine="480" w:firstLineChars="200"/>
        <w:jc w:val="both"/>
        <w:rPr>
          <w:rFonts w:ascii="宋体" w:hAnsi="宋体"/>
          <w:color w:val="auto"/>
          <w:sz w:val="24"/>
          <w:highlight w:val="none"/>
        </w:rPr>
      </w:pPr>
    </w:p>
    <w:p>
      <w:pPr>
        <w:pStyle w:val="8"/>
        <w:spacing w:line="360" w:lineRule="auto"/>
        <w:ind w:firstLine="480" w:firstLineChars="200"/>
        <w:jc w:val="both"/>
        <w:rPr>
          <w:rFonts w:ascii="宋体" w:hAnsi="宋体"/>
          <w:color w:val="auto"/>
          <w:sz w:val="24"/>
          <w:highlight w:val="none"/>
        </w:rPr>
      </w:pPr>
    </w:p>
    <w:p>
      <w:pPr>
        <w:pStyle w:val="8"/>
        <w:spacing w:line="360" w:lineRule="auto"/>
        <w:ind w:firstLine="480" w:firstLineChars="200"/>
        <w:jc w:val="both"/>
        <w:rPr>
          <w:rFonts w:ascii="宋体" w:hAnsi="宋体"/>
          <w:color w:val="auto"/>
          <w:sz w:val="24"/>
          <w:highlight w:val="none"/>
        </w:rPr>
      </w:pPr>
    </w:p>
    <w:p>
      <w:pPr>
        <w:pStyle w:val="8"/>
        <w:spacing w:line="360" w:lineRule="auto"/>
        <w:ind w:firstLine="480" w:firstLineChars="200"/>
        <w:jc w:val="both"/>
        <w:rPr>
          <w:rFonts w:ascii="宋体" w:hAnsi="宋体"/>
          <w:color w:val="auto"/>
          <w:sz w:val="24"/>
          <w:highlight w:val="none"/>
        </w:rPr>
      </w:pPr>
    </w:p>
    <w:p>
      <w:pPr>
        <w:pStyle w:val="8"/>
        <w:spacing w:line="360" w:lineRule="auto"/>
        <w:ind w:firstLine="480" w:firstLineChars="200"/>
        <w:jc w:val="both"/>
        <w:rPr>
          <w:rFonts w:ascii="宋体" w:hAnsi="宋体"/>
          <w:color w:val="auto"/>
          <w:sz w:val="24"/>
          <w:highlight w:val="none"/>
        </w:rPr>
      </w:pPr>
    </w:p>
    <w:p>
      <w:pPr>
        <w:pStyle w:val="8"/>
        <w:spacing w:line="360" w:lineRule="auto"/>
        <w:ind w:firstLine="480" w:firstLineChars="200"/>
        <w:jc w:val="both"/>
        <w:rPr>
          <w:rFonts w:ascii="宋体" w:hAnsi="宋体"/>
          <w:color w:val="auto"/>
          <w:sz w:val="24"/>
          <w:highlight w:val="none"/>
        </w:rPr>
      </w:pPr>
    </w:p>
    <w:p>
      <w:pPr>
        <w:pStyle w:val="8"/>
        <w:spacing w:line="360" w:lineRule="auto"/>
        <w:ind w:firstLine="480" w:firstLineChars="200"/>
        <w:jc w:val="both"/>
        <w:rPr>
          <w:rFonts w:ascii="宋体" w:hAnsi="宋体"/>
          <w:color w:val="auto"/>
          <w:sz w:val="24"/>
          <w:highlight w:val="none"/>
        </w:rPr>
      </w:pPr>
    </w:p>
    <w:p>
      <w:pPr>
        <w:pStyle w:val="8"/>
        <w:spacing w:line="360" w:lineRule="auto"/>
        <w:ind w:firstLine="480" w:firstLineChars="200"/>
        <w:jc w:val="both"/>
        <w:rPr>
          <w:rFonts w:ascii="宋体" w:hAnsi="宋体"/>
          <w:color w:val="auto"/>
          <w:sz w:val="24"/>
          <w:highlight w:val="none"/>
        </w:rPr>
      </w:pPr>
    </w:p>
    <w:p>
      <w:pPr>
        <w:pStyle w:val="8"/>
        <w:spacing w:line="360" w:lineRule="auto"/>
        <w:ind w:firstLine="480" w:firstLineChars="200"/>
        <w:jc w:val="both"/>
        <w:rPr>
          <w:rFonts w:ascii="宋体" w:hAnsi="宋体"/>
          <w:color w:val="auto"/>
          <w:sz w:val="24"/>
          <w:highlight w:val="none"/>
        </w:rPr>
      </w:pPr>
    </w:p>
    <w:p>
      <w:pPr>
        <w:pStyle w:val="8"/>
        <w:spacing w:line="360" w:lineRule="auto"/>
        <w:ind w:firstLine="480" w:firstLineChars="200"/>
        <w:jc w:val="both"/>
        <w:rPr>
          <w:rFonts w:ascii="宋体" w:hAnsi="宋体"/>
          <w:color w:val="auto"/>
          <w:sz w:val="24"/>
          <w:highlight w:val="none"/>
        </w:rPr>
      </w:pPr>
    </w:p>
    <w:p>
      <w:pPr>
        <w:pStyle w:val="8"/>
        <w:spacing w:line="360" w:lineRule="auto"/>
        <w:ind w:firstLine="480" w:firstLineChars="200"/>
        <w:jc w:val="both"/>
        <w:rPr>
          <w:rFonts w:ascii="宋体" w:hAnsi="宋体"/>
          <w:color w:val="auto"/>
          <w:sz w:val="24"/>
          <w:highlight w:val="none"/>
        </w:rPr>
      </w:pPr>
    </w:p>
    <w:p>
      <w:pPr>
        <w:pStyle w:val="8"/>
        <w:spacing w:line="360" w:lineRule="auto"/>
        <w:ind w:firstLine="480" w:firstLineChars="200"/>
        <w:jc w:val="both"/>
        <w:rPr>
          <w:rFonts w:ascii="宋体" w:hAnsi="宋体"/>
          <w:color w:val="auto"/>
          <w:sz w:val="24"/>
          <w:highlight w:val="none"/>
        </w:rPr>
      </w:pPr>
    </w:p>
    <w:p>
      <w:pPr>
        <w:pStyle w:val="8"/>
        <w:spacing w:line="360" w:lineRule="auto"/>
        <w:ind w:firstLine="480" w:firstLineChars="200"/>
        <w:jc w:val="both"/>
        <w:rPr>
          <w:rFonts w:ascii="宋体" w:hAnsi="宋体"/>
          <w:color w:val="auto"/>
          <w:sz w:val="24"/>
          <w:highlight w:val="none"/>
        </w:rPr>
      </w:pPr>
    </w:p>
    <w:p>
      <w:pPr>
        <w:pStyle w:val="8"/>
        <w:spacing w:line="360" w:lineRule="auto"/>
        <w:ind w:firstLine="480" w:firstLineChars="200"/>
        <w:jc w:val="both"/>
        <w:rPr>
          <w:rFonts w:ascii="宋体" w:hAnsi="宋体"/>
          <w:color w:val="auto"/>
          <w:sz w:val="24"/>
          <w:highlight w:val="none"/>
        </w:rPr>
      </w:pPr>
    </w:p>
    <w:p>
      <w:pPr>
        <w:pStyle w:val="8"/>
        <w:spacing w:line="360" w:lineRule="auto"/>
        <w:ind w:firstLine="480" w:firstLineChars="200"/>
        <w:jc w:val="both"/>
        <w:rPr>
          <w:rFonts w:ascii="宋体" w:hAnsi="宋体"/>
          <w:color w:val="auto"/>
          <w:sz w:val="24"/>
          <w:highlight w:val="none"/>
        </w:rPr>
      </w:pPr>
    </w:p>
    <w:p>
      <w:pPr>
        <w:pStyle w:val="8"/>
        <w:spacing w:line="360" w:lineRule="auto"/>
        <w:ind w:firstLine="480" w:firstLineChars="200"/>
        <w:jc w:val="both"/>
        <w:rPr>
          <w:rFonts w:ascii="宋体" w:hAnsi="宋体"/>
          <w:color w:val="auto"/>
          <w:sz w:val="24"/>
          <w:highlight w:val="none"/>
        </w:rPr>
      </w:pPr>
    </w:p>
    <w:p>
      <w:pPr>
        <w:numPr>
          <w:ilvl w:val="0"/>
          <w:numId w:val="4"/>
        </w:numPr>
        <w:spacing w:line="360" w:lineRule="auto"/>
        <w:jc w:val="center"/>
        <w:outlineLvl w:val="0"/>
        <w:rPr>
          <w:rFonts w:asciiTheme="minorEastAsia" w:hAnsiTheme="minorEastAsia" w:eastAsiaTheme="minorEastAsia"/>
          <w:b/>
          <w:color w:val="auto"/>
          <w:sz w:val="36"/>
          <w:szCs w:val="36"/>
          <w:highlight w:val="none"/>
        </w:rPr>
      </w:pPr>
      <w:bookmarkStart w:id="35" w:name="_Toc29935"/>
      <w:r>
        <w:rPr>
          <w:rFonts w:hint="eastAsia" w:asciiTheme="minorEastAsia" w:hAnsiTheme="minorEastAsia" w:eastAsiaTheme="minorEastAsia"/>
          <w:b/>
          <w:color w:val="auto"/>
          <w:sz w:val="36"/>
          <w:szCs w:val="36"/>
          <w:highlight w:val="none"/>
        </w:rPr>
        <w:t>项目需求</w:t>
      </w:r>
      <w:bookmarkEnd w:id="35"/>
    </w:p>
    <w:p>
      <w:pPr>
        <w:tabs>
          <w:tab w:val="left" w:pos="8280"/>
        </w:tabs>
        <w:autoSpaceDE w:val="0"/>
        <w:autoSpaceDN w:val="0"/>
        <w:adjustRightInd w:val="0"/>
        <w:spacing w:line="360" w:lineRule="auto"/>
        <w:ind w:right="25"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一、项目一览表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本次磋商共</w:t>
      </w:r>
      <w:r>
        <w:rPr>
          <w:rFonts w:hint="eastAsia" w:asciiTheme="minorEastAsia" w:hAnsiTheme="minorEastAsia" w:eastAsiaTheme="minorEastAsia"/>
          <w:color w:val="auto"/>
          <w:sz w:val="24"/>
          <w:highlight w:val="none"/>
          <w:u w:val="single"/>
        </w:rPr>
        <w:t>1</w:t>
      </w:r>
      <w:r>
        <w:rPr>
          <w:rFonts w:hint="eastAsia" w:asciiTheme="minorEastAsia" w:hAnsiTheme="minorEastAsia" w:eastAsiaTheme="minorEastAsia"/>
          <w:color w:val="auto"/>
          <w:sz w:val="24"/>
          <w:highlight w:val="none"/>
        </w:rPr>
        <w:t>个标项，具体内容如下表：</w:t>
      </w:r>
    </w:p>
    <w:tbl>
      <w:tblPr>
        <w:tblStyle w:val="22"/>
        <w:tblW w:w="8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917"/>
        <w:gridCol w:w="1150"/>
        <w:gridCol w:w="500"/>
        <w:gridCol w:w="550"/>
        <w:gridCol w:w="1083"/>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92" w:type="dxa"/>
            <w:vAlign w:val="center"/>
          </w:tcPr>
          <w:p>
            <w:pPr>
              <w:tabs>
                <w:tab w:val="left" w:pos="8280"/>
              </w:tabs>
              <w:autoSpaceDE w:val="0"/>
              <w:autoSpaceDN w:val="0"/>
              <w:adjustRightInd w:val="0"/>
              <w:jc w:val="center"/>
              <w:rPr>
                <w:rFonts w:ascii="宋体"/>
                <w:b/>
                <w:color w:val="auto"/>
                <w:sz w:val="24"/>
                <w:highlight w:val="none"/>
              </w:rPr>
            </w:pPr>
            <w:r>
              <w:rPr>
                <w:rFonts w:hint="eastAsia" w:ascii="宋体" w:hAnsi="宋体"/>
                <w:b/>
                <w:color w:val="auto"/>
                <w:sz w:val="24"/>
                <w:highlight w:val="none"/>
              </w:rPr>
              <w:t>标项号</w:t>
            </w:r>
          </w:p>
        </w:tc>
        <w:tc>
          <w:tcPr>
            <w:tcW w:w="2917" w:type="dxa"/>
            <w:vAlign w:val="center"/>
          </w:tcPr>
          <w:p>
            <w:pPr>
              <w:tabs>
                <w:tab w:val="left" w:pos="8280"/>
              </w:tabs>
              <w:autoSpaceDE w:val="0"/>
              <w:autoSpaceDN w:val="0"/>
              <w:adjustRightInd w:val="0"/>
              <w:ind w:firstLine="120" w:firstLineChars="50"/>
              <w:jc w:val="center"/>
              <w:rPr>
                <w:rFonts w:ascii="宋体"/>
                <w:b/>
                <w:color w:val="auto"/>
                <w:sz w:val="24"/>
                <w:highlight w:val="none"/>
              </w:rPr>
            </w:pPr>
            <w:r>
              <w:rPr>
                <w:rFonts w:hint="eastAsia" w:ascii="宋体" w:hAnsi="宋体"/>
                <w:b/>
                <w:color w:val="auto"/>
                <w:sz w:val="24"/>
                <w:highlight w:val="none"/>
              </w:rPr>
              <w:t>项目名称</w:t>
            </w:r>
          </w:p>
        </w:tc>
        <w:tc>
          <w:tcPr>
            <w:tcW w:w="1150" w:type="dxa"/>
            <w:vAlign w:val="center"/>
          </w:tcPr>
          <w:p>
            <w:pPr>
              <w:tabs>
                <w:tab w:val="left" w:pos="8280"/>
              </w:tabs>
              <w:autoSpaceDE w:val="0"/>
              <w:autoSpaceDN w:val="0"/>
              <w:adjustRightInd w:val="0"/>
              <w:jc w:val="center"/>
              <w:rPr>
                <w:rFonts w:ascii="宋体"/>
                <w:b/>
                <w:color w:val="auto"/>
                <w:sz w:val="24"/>
                <w:highlight w:val="none"/>
              </w:rPr>
            </w:pPr>
            <w:r>
              <w:rPr>
                <w:rFonts w:hint="eastAsia" w:ascii="宋体" w:hAnsi="宋体" w:cs="宋体"/>
                <w:b/>
                <w:color w:val="auto"/>
                <w:kern w:val="0"/>
                <w:sz w:val="24"/>
                <w:highlight w:val="none"/>
              </w:rPr>
              <w:t>简要服务要求</w:t>
            </w:r>
          </w:p>
        </w:tc>
        <w:tc>
          <w:tcPr>
            <w:tcW w:w="500" w:type="dxa"/>
            <w:vAlign w:val="center"/>
          </w:tcPr>
          <w:p>
            <w:pPr>
              <w:tabs>
                <w:tab w:val="left" w:pos="8280"/>
              </w:tabs>
              <w:autoSpaceDE w:val="0"/>
              <w:autoSpaceDN w:val="0"/>
              <w:adjustRightInd w:val="0"/>
              <w:jc w:val="center"/>
              <w:rPr>
                <w:rFonts w:ascii="宋体"/>
                <w:b/>
                <w:color w:val="auto"/>
                <w:sz w:val="24"/>
                <w:highlight w:val="none"/>
              </w:rPr>
            </w:pPr>
            <w:r>
              <w:rPr>
                <w:rFonts w:hint="eastAsia" w:ascii="宋体" w:hAnsi="宋体"/>
                <w:b/>
                <w:color w:val="auto"/>
                <w:sz w:val="24"/>
                <w:highlight w:val="none"/>
              </w:rPr>
              <w:t>数量</w:t>
            </w:r>
          </w:p>
        </w:tc>
        <w:tc>
          <w:tcPr>
            <w:tcW w:w="550" w:type="dxa"/>
            <w:vAlign w:val="center"/>
          </w:tcPr>
          <w:p>
            <w:pPr>
              <w:tabs>
                <w:tab w:val="left" w:pos="8280"/>
              </w:tabs>
              <w:autoSpaceDE w:val="0"/>
              <w:autoSpaceDN w:val="0"/>
              <w:adjustRightInd w:val="0"/>
              <w:jc w:val="center"/>
              <w:rPr>
                <w:rFonts w:ascii="宋体"/>
                <w:b/>
                <w:color w:val="auto"/>
                <w:sz w:val="24"/>
                <w:highlight w:val="none"/>
              </w:rPr>
            </w:pPr>
            <w:r>
              <w:rPr>
                <w:rFonts w:hint="eastAsia" w:ascii="宋体" w:hAnsi="宋体"/>
                <w:b/>
                <w:color w:val="auto"/>
                <w:sz w:val="24"/>
                <w:highlight w:val="none"/>
              </w:rPr>
              <w:t>单位</w:t>
            </w:r>
          </w:p>
        </w:tc>
        <w:tc>
          <w:tcPr>
            <w:tcW w:w="1083" w:type="dxa"/>
            <w:vAlign w:val="center"/>
          </w:tcPr>
          <w:p>
            <w:pPr>
              <w:tabs>
                <w:tab w:val="left" w:pos="8280"/>
              </w:tabs>
              <w:autoSpaceDE w:val="0"/>
              <w:autoSpaceDN w:val="0"/>
              <w:adjustRightIn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预算</w:t>
            </w:r>
          </w:p>
          <w:p>
            <w:pPr>
              <w:tabs>
                <w:tab w:val="left" w:pos="8280"/>
              </w:tabs>
              <w:autoSpaceDE w:val="0"/>
              <w:autoSpaceDN w:val="0"/>
              <w:adjustRightInd w:val="0"/>
              <w:jc w:val="center"/>
              <w:rPr>
                <w:rFonts w:ascii="宋体"/>
                <w:b/>
                <w:color w:val="auto"/>
                <w:sz w:val="24"/>
                <w:highlight w:val="none"/>
              </w:rPr>
            </w:pPr>
            <w:r>
              <w:rPr>
                <w:rFonts w:hint="eastAsia" w:asciiTheme="minorEastAsia" w:hAnsiTheme="minorEastAsia" w:eastAsiaTheme="minorEastAsia" w:cstheme="minorEastAsia"/>
                <w:b/>
                <w:color w:val="auto"/>
                <w:sz w:val="24"/>
                <w:highlight w:val="none"/>
              </w:rPr>
              <w:t>（万元）</w:t>
            </w:r>
          </w:p>
        </w:tc>
        <w:tc>
          <w:tcPr>
            <w:tcW w:w="1476" w:type="dxa"/>
            <w:vAlign w:val="center"/>
          </w:tcPr>
          <w:p>
            <w:pPr>
              <w:jc w:val="center"/>
              <w:rPr>
                <w:rFonts w:ascii="宋体" w:hAnsi="宋体"/>
                <w:b/>
                <w:color w:val="auto"/>
                <w:sz w:val="24"/>
                <w:highlight w:val="none"/>
              </w:rPr>
            </w:pPr>
            <w:r>
              <w:rPr>
                <w:rFonts w:hint="eastAsia" w:ascii="宋体" w:hAnsi="宋体"/>
                <w:b/>
                <w:color w:val="auto"/>
                <w:sz w:val="24"/>
                <w:highlight w:val="none"/>
              </w:rPr>
              <w:t>投标</w:t>
            </w:r>
            <w:r>
              <w:rPr>
                <w:rFonts w:ascii="宋体" w:hAnsi="宋体"/>
                <w:b/>
                <w:color w:val="auto"/>
                <w:sz w:val="24"/>
                <w:highlight w:val="none"/>
              </w:rPr>
              <w:t>上限</w:t>
            </w:r>
            <w:r>
              <w:rPr>
                <w:rFonts w:hint="eastAsia" w:ascii="宋体" w:hAnsi="宋体"/>
                <w:b/>
                <w:color w:val="auto"/>
                <w:sz w:val="24"/>
                <w:highlight w:val="none"/>
              </w:rPr>
              <w:t>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792" w:type="dxa"/>
            <w:vAlign w:val="center"/>
          </w:tcPr>
          <w:p>
            <w:pPr>
              <w:tabs>
                <w:tab w:val="left" w:pos="8280"/>
              </w:tabs>
              <w:autoSpaceDE w:val="0"/>
              <w:autoSpaceDN w:val="0"/>
              <w:adjustRightInd w:val="0"/>
              <w:jc w:val="center"/>
              <w:rPr>
                <w:rFonts w:ascii="宋体" w:hAnsi="宋体"/>
                <w:color w:val="auto"/>
                <w:sz w:val="24"/>
                <w:highlight w:val="none"/>
              </w:rPr>
            </w:pPr>
            <w:r>
              <w:rPr>
                <w:rFonts w:hint="eastAsia" w:ascii="宋体" w:hAnsi="宋体"/>
                <w:color w:val="auto"/>
                <w:sz w:val="24"/>
                <w:highlight w:val="none"/>
              </w:rPr>
              <w:t>1</w:t>
            </w:r>
          </w:p>
        </w:tc>
        <w:tc>
          <w:tcPr>
            <w:tcW w:w="2917" w:type="dxa"/>
            <w:vAlign w:val="center"/>
          </w:tcPr>
          <w:p>
            <w:pPr>
              <w:tabs>
                <w:tab w:val="left" w:pos="8280"/>
              </w:tabs>
              <w:autoSpaceDE w:val="0"/>
              <w:autoSpaceDN w:val="0"/>
              <w:adjustRightInd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主干道路风貌整治攻坚项目（方案设计）</w:t>
            </w:r>
          </w:p>
        </w:tc>
        <w:tc>
          <w:tcPr>
            <w:tcW w:w="1150" w:type="dxa"/>
            <w:vAlign w:val="center"/>
          </w:tcPr>
          <w:p>
            <w:pPr>
              <w:tabs>
                <w:tab w:val="left" w:pos="8280"/>
              </w:tabs>
              <w:autoSpaceDE w:val="0"/>
              <w:autoSpaceDN w:val="0"/>
              <w:adjustRightIn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olor w:val="auto"/>
                <w:sz w:val="24"/>
                <w:highlight w:val="none"/>
              </w:rPr>
              <w:t>详见服务需求</w:t>
            </w:r>
          </w:p>
        </w:tc>
        <w:tc>
          <w:tcPr>
            <w:tcW w:w="500" w:type="dxa"/>
            <w:vAlign w:val="center"/>
          </w:tcPr>
          <w:p>
            <w:pPr>
              <w:tabs>
                <w:tab w:val="left" w:pos="8280"/>
              </w:tabs>
              <w:autoSpaceDE w:val="0"/>
              <w:autoSpaceDN w:val="0"/>
              <w:adjustRightInd w:val="0"/>
              <w:ind w:firstLine="24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p>
        </w:tc>
        <w:tc>
          <w:tcPr>
            <w:tcW w:w="550" w:type="dxa"/>
            <w:vAlign w:val="center"/>
          </w:tcPr>
          <w:p>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w:t>
            </w:r>
          </w:p>
        </w:tc>
        <w:tc>
          <w:tcPr>
            <w:tcW w:w="1083" w:type="dxa"/>
            <w:vAlign w:val="center"/>
          </w:tcPr>
          <w:p>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330</w:t>
            </w:r>
          </w:p>
        </w:tc>
        <w:tc>
          <w:tcPr>
            <w:tcW w:w="1476" w:type="dxa"/>
            <w:vAlign w:val="center"/>
          </w:tcPr>
          <w:p>
            <w:pPr>
              <w:tabs>
                <w:tab w:val="left" w:pos="8280"/>
              </w:tabs>
              <w:autoSpaceDE w:val="0"/>
              <w:autoSpaceDN w:val="0"/>
              <w:adjustRightInd w:val="0"/>
              <w:jc w:val="center"/>
              <w:rPr>
                <w:rFonts w:ascii="宋体" w:hAnsi="宋体"/>
                <w:color w:val="auto"/>
                <w:sz w:val="24"/>
                <w:highlight w:val="none"/>
              </w:rPr>
            </w:pPr>
            <w:r>
              <w:rPr>
                <w:rFonts w:hint="eastAsia" w:ascii="宋体" w:hAnsi="宋体"/>
                <w:color w:val="auto"/>
                <w:sz w:val="24"/>
                <w:highlight w:val="none"/>
              </w:rPr>
              <w:t>330</w:t>
            </w:r>
          </w:p>
        </w:tc>
      </w:tr>
    </w:tbl>
    <w:p>
      <w:pPr>
        <w:pStyle w:val="7"/>
        <w:rPr>
          <w:rFonts w:asciiTheme="minorEastAsia" w:hAnsiTheme="minorEastAsia" w:eastAsiaTheme="minorEastAsia"/>
          <w:color w:val="auto"/>
          <w:sz w:val="24"/>
          <w:szCs w:val="24"/>
          <w:highlight w:val="none"/>
        </w:rPr>
      </w:pPr>
    </w:p>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sz w:val="24"/>
          <w:highlight w:val="none"/>
        </w:rPr>
        <w:t>二、</w:t>
      </w:r>
      <w:r>
        <w:rPr>
          <w:rFonts w:hint="eastAsia" w:asciiTheme="minorEastAsia" w:hAnsiTheme="minorEastAsia" w:eastAsiaTheme="minorEastAsia"/>
          <w:b/>
          <w:color w:val="auto"/>
          <w:kern w:val="0"/>
          <w:sz w:val="24"/>
          <w:highlight w:val="none"/>
        </w:rPr>
        <w:t>采购内容：</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1、项目地址：椒江区、黄岩区、路桥区、台州湾新区</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2、项目具体内容：</w:t>
      </w:r>
      <w:r>
        <w:rPr>
          <w:rFonts w:asciiTheme="minorEastAsia" w:hAnsiTheme="minorEastAsia" w:eastAsiaTheme="minorEastAsia"/>
          <w:color w:val="auto"/>
          <w:sz w:val="24"/>
          <w:highlight w:val="none"/>
        </w:rPr>
        <w:t xml:space="preserve"> </w:t>
      </w:r>
    </w:p>
    <w:tbl>
      <w:tblPr>
        <w:tblStyle w:val="23"/>
        <w:tblW w:w="0" w:type="auto"/>
        <w:tblInd w:w="42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5788"/>
        <w:gridCol w:w="25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3" w:type="dxa"/>
            <w:vAlign w:val="center"/>
          </w:tcPr>
          <w:p>
            <w:pPr>
              <w:tabs>
                <w:tab w:val="left" w:pos="8280"/>
              </w:tabs>
              <w:autoSpaceDE w:val="0"/>
              <w:autoSpaceDN w:val="0"/>
              <w:adjustRightInd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序号</w:t>
            </w:r>
          </w:p>
        </w:tc>
        <w:tc>
          <w:tcPr>
            <w:tcW w:w="5788" w:type="dxa"/>
            <w:vAlign w:val="center"/>
          </w:tcPr>
          <w:p>
            <w:pPr>
              <w:tabs>
                <w:tab w:val="left" w:pos="8280"/>
              </w:tabs>
              <w:autoSpaceDE w:val="0"/>
              <w:autoSpaceDN w:val="0"/>
              <w:adjustRightInd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区块项目名称</w:t>
            </w:r>
          </w:p>
        </w:tc>
        <w:tc>
          <w:tcPr>
            <w:tcW w:w="2515" w:type="dxa"/>
            <w:vAlign w:val="center"/>
          </w:tcPr>
          <w:p>
            <w:pPr>
              <w:tabs>
                <w:tab w:val="left" w:pos="8280"/>
              </w:tabs>
              <w:autoSpaceDE w:val="0"/>
              <w:autoSpaceDN w:val="0"/>
              <w:adjustRightInd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规模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3" w:type="dxa"/>
            <w:vAlign w:val="bottom"/>
          </w:tcPr>
          <w:p>
            <w:pPr>
              <w:tabs>
                <w:tab w:val="left" w:pos="8280"/>
              </w:tabs>
              <w:autoSpaceDE w:val="0"/>
              <w:autoSpaceDN w:val="0"/>
              <w:adjustRightInd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01</w:t>
            </w:r>
          </w:p>
        </w:tc>
        <w:tc>
          <w:tcPr>
            <w:tcW w:w="5788" w:type="dxa"/>
            <w:vAlign w:val="bottom"/>
          </w:tcPr>
          <w:p>
            <w:pPr>
              <w:tabs>
                <w:tab w:val="left" w:pos="8280"/>
              </w:tabs>
              <w:autoSpaceDE w:val="0"/>
              <w:autoSpaceDN w:val="0"/>
              <w:adjustRightInd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路桥南入城口改造提升工程</w:t>
            </w:r>
          </w:p>
        </w:tc>
        <w:tc>
          <w:tcPr>
            <w:tcW w:w="2515" w:type="dxa"/>
            <w:vAlign w:val="bottom"/>
          </w:tcPr>
          <w:p>
            <w:pPr>
              <w:tabs>
                <w:tab w:val="left" w:pos="8280"/>
              </w:tabs>
              <w:autoSpaceDE w:val="0"/>
              <w:autoSpaceDN w:val="0"/>
              <w:adjustRightInd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面积约0.17平方公里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3" w:type="dxa"/>
            <w:vAlign w:val="bottom"/>
          </w:tcPr>
          <w:p>
            <w:pPr>
              <w:tabs>
                <w:tab w:val="left" w:pos="8280"/>
              </w:tabs>
              <w:autoSpaceDE w:val="0"/>
              <w:autoSpaceDN w:val="0"/>
              <w:adjustRightInd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02</w:t>
            </w:r>
          </w:p>
        </w:tc>
        <w:tc>
          <w:tcPr>
            <w:tcW w:w="5788" w:type="dxa"/>
            <w:vAlign w:val="bottom"/>
          </w:tcPr>
          <w:p>
            <w:pPr>
              <w:tabs>
                <w:tab w:val="left" w:pos="8280"/>
              </w:tabs>
              <w:autoSpaceDE w:val="0"/>
              <w:autoSpaceDN w:val="0"/>
              <w:adjustRightInd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甬莞高速路桥入城口改造提升工程</w:t>
            </w:r>
          </w:p>
        </w:tc>
        <w:tc>
          <w:tcPr>
            <w:tcW w:w="2515" w:type="dxa"/>
            <w:vAlign w:val="bottom"/>
          </w:tcPr>
          <w:p>
            <w:pPr>
              <w:tabs>
                <w:tab w:val="left" w:pos="8280"/>
              </w:tabs>
              <w:autoSpaceDE w:val="0"/>
              <w:autoSpaceDN w:val="0"/>
              <w:adjustRightInd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面积约0.04平方公里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3" w:type="dxa"/>
            <w:vAlign w:val="bottom"/>
          </w:tcPr>
          <w:p>
            <w:pPr>
              <w:tabs>
                <w:tab w:val="left" w:pos="8280"/>
              </w:tabs>
              <w:autoSpaceDE w:val="0"/>
              <w:autoSpaceDN w:val="0"/>
              <w:adjustRightInd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03</w:t>
            </w:r>
          </w:p>
        </w:tc>
        <w:tc>
          <w:tcPr>
            <w:tcW w:w="5788" w:type="dxa"/>
            <w:vAlign w:val="bottom"/>
          </w:tcPr>
          <w:p>
            <w:pPr>
              <w:tabs>
                <w:tab w:val="left" w:pos="8280"/>
              </w:tabs>
              <w:autoSpaceDE w:val="0"/>
              <w:autoSpaceDN w:val="0"/>
              <w:adjustRightInd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甬莞高速台州东入城口改造提升工程</w:t>
            </w:r>
          </w:p>
        </w:tc>
        <w:tc>
          <w:tcPr>
            <w:tcW w:w="2515" w:type="dxa"/>
            <w:vAlign w:val="bottom"/>
          </w:tcPr>
          <w:p>
            <w:pPr>
              <w:tabs>
                <w:tab w:val="left" w:pos="8280"/>
              </w:tabs>
              <w:autoSpaceDE w:val="0"/>
              <w:autoSpaceDN w:val="0"/>
              <w:adjustRightInd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面积约0.13平方公里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3" w:type="dxa"/>
            <w:vAlign w:val="bottom"/>
          </w:tcPr>
          <w:p>
            <w:pPr>
              <w:tabs>
                <w:tab w:val="left" w:pos="8280"/>
              </w:tabs>
              <w:autoSpaceDE w:val="0"/>
              <w:autoSpaceDN w:val="0"/>
              <w:adjustRightInd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04</w:t>
            </w:r>
          </w:p>
        </w:tc>
        <w:tc>
          <w:tcPr>
            <w:tcW w:w="5788" w:type="dxa"/>
            <w:vAlign w:val="bottom"/>
          </w:tcPr>
          <w:p>
            <w:pPr>
              <w:tabs>
                <w:tab w:val="left" w:pos="8280"/>
              </w:tabs>
              <w:autoSpaceDE w:val="0"/>
              <w:autoSpaceDN w:val="0"/>
              <w:adjustRightInd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体育场路（内环路～白云山南路）风貌改造提升工程</w:t>
            </w:r>
          </w:p>
        </w:tc>
        <w:tc>
          <w:tcPr>
            <w:tcW w:w="2515" w:type="dxa"/>
            <w:vAlign w:val="bottom"/>
          </w:tcPr>
          <w:p>
            <w:pPr>
              <w:tabs>
                <w:tab w:val="left" w:pos="8280"/>
              </w:tabs>
              <w:autoSpaceDE w:val="0"/>
              <w:autoSpaceDN w:val="0"/>
              <w:adjustRightInd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面积约0.5平方公里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3" w:type="dxa"/>
            <w:vAlign w:val="bottom"/>
          </w:tcPr>
          <w:p>
            <w:pPr>
              <w:tabs>
                <w:tab w:val="left" w:pos="8280"/>
              </w:tabs>
              <w:autoSpaceDE w:val="0"/>
              <w:autoSpaceDN w:val="0"/>
              <w:adjustRightInd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05</w:t>
            </w:r>
          </w:p>
        </w:tc>
        <w:tc>
          <w:tcPr>
            <w:tcW w:w="5788" w:type="dxa"/>
            <w:vAlign w:val="bottom"/>
          </w:tcPr>
          <w:p>
            <w:pPr>
              <w:tabs>
                <w:tab w:val="left" w:pos="8280"/>
              </w:tabs>
              <w:autoSpaceDE w:val="0"/>
              <w:autoSpaceDN w:val="0"/>
              <w:adjustRightInd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内环线（九澄大道~一江山大道）改造提升工程</w:t>
            </w:r>
          </w:p>
        </w:tc>
        <w:tc>
          <w:tcPr>
            <w:tcW w:w="2515" w:type="dxa"/>
            <w:vAlign w:val="bottom"/>
          </w:tcPr>
          <w:p>
            <w:pPr>
              <w:tabs>
                <w:tab w:val="left" w:pos="8280"/>
              </w:tabs>
              <w:autoSpaceDE w:val="0"/>
              <w:autoSpaceDN w:val="0"/>
              <w:adjustRightInd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面积约3.5平方公里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3" w:type="dxa"/>
            <w:vAlign w:val="bottom"/>
          </w:tcPr>
          <w:p>
            <w:pPr>
              <w:tabs>
                <w:tab w:val="left" w:pos="8280"/>
              </w:tabs>
              <w:autoSpaceDE w:val="0"/>
              <w:autoSpaceDN w:val="0"/>
              <w:adjustRightInd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06</w:t>
            </w:r>
          </w:p>
        </w:tc>
        <w:tc>
          <w:tcPr>
            <w:tcW w:w="5788" w:type="dxa"/>
            <w:vAlign w:val="bottom"/>
          </w:tcPr>
          <w:p>
            <w:pPr>
              <w:tabs>
                <w:tab w:val="left" w:pos="8280"/>
              </w:tabs>
              <w:autoSpaceDE w:val="0"/>
              <w:autoSpaceDN w:val="0"/>
              <w:adjustRightInd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台州市城市家具导则编制</w:t>
            </w:r>
          </w:p>
        </w:tc>
        <w:tc>
          <w:tcPr>
            <w:tcW w:w="2515" w:type="dxa"/>
            <w:vAlign w:val="bottom"/>
          </w:tcPr>
          <w:p>
            <w:pPr>
              <w:tabs>
                <w:tab w:val="left" w:pos="8280"/>
              </w:tabs>
              <w:autoSpaceDE w:val="0"/>
              <w:autoSpaceDN w:val="0"/>
              <w:adjustRightInd w:val="0"/>
              <w:rPr>
                <w:rFonts w:hint="eastAsia" w:asciiTheme="minorEastAsia" w:hAnsiTheme="minorEastAsia" w:eastAsiaTheme="minorEastAsia" w:cstheme="minorEastAsia"/>
                <w:bCs/>
                <w:color w:val="auto"/>
                <w:sz w:val="24"/>
                <w:highlight w:val="none"/>
              </w:rPr>
            </w:pPr>
          </w:p>
        </w:tc>
      </w:tr>
    </w:tbl>
    <w:p>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p>
    <w:p>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3、服务需求：对项目各区块内容做现状地形测绘（1：5</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地形图测量）并进行方案设计，方案设计内容包括绿化景致装扮、文化内涵提升等，</w:t>
      </w:r>
      <w:r>
        <w:rPr>
          <w:rFonts w:hint="eastAsia" w:asciiTheme="minorEastAsia" w:hAnsiTheme="minorEastAsia" w:eastAsiaTheme="minorEastAsia"/>
          <w:color w:val="auto"/>
          <w:sz w:val="24"/>
          <w:highlight w:val="none"/>
        </w:rPr>
        <w:t>城市家具导则内容包括城市户外环境设施建设的总体指导方针和原则的编制。</w:t>
      </w:r>
    </w:p>
    <w:p>
      <w:pPr>
        <w:pStyle w:val="2"/>
        <w:ind w:left="0" w:leftChars="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4、节点时间：</w:t>
      </w:r>
    </w:p>
    <w:p>
      <w:pPr>
        <w:pStyle w:val="2"/>
        <w:ind w:left="0" w:leftChars="0"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收到</w:t>
      </w:r>
      <w:r>
        <w:rPr>
          <w:rFonts w:hint="eastAsia" w:asciiTheme="minorEastAsia" w:hAnsiTheme="minorEastAsia" w:eastAsiaTheme="minorEastAsia"/>
          <w:color w:val="auto"/>
          <w:sz w:val="24"/>
          <w:highlight w:val="none"/>
        </w:rPr>
        <w:t>中标通知书</w:t>
      </w:r>
      <w:r>
        <w:rPr>
          <w:rFonts w:hint="eastAsia" w:asciiTheme="minorEastAsia" w:hAnsiTheme="minorEastAsia" w:eastAsiaTheme="minorEastAsia"/>
          <w:color w:val="auto"/>
          <w:sz w:val="24"/>
          <w:highlight w:val="none"/>
          <w:lang w:val="en-US" w:eastAsia="zh-CN"/>
        </w:rPr>
        <w:t>并签订合同</w:t>
      </w:r>
      <w:r>
        <w:rPr>
          <w:rFonts w:hint="eastAsia" w:asciiTheme="minorEastAsia" w:hAnsiTheme="minorEastAsia" w:eastAsiaTheme="minorEastAsia"/>
          <w:color w:val="auto"/>
          <w:sz w:val="24"/>
          <w:highlight w:val="none"/>
        </w:rPr>
        <w:t>后15日历天内，提交方案设计评审稿。</w:t>
      </w:r>
    </w:p>
    <w:p>
      <w:pPr>
        <w:pStyle w:val="2"/>
        <w:ind w:left="0" w:leftChars="0"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2）评审通过后10日历天内，提交方案设计成果稿。</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5、支付方式</w:t>
      </w:r>
    </w:p>
    <w:p>
      <w:pPr>
        <w:pStyle w:val="2"/>
        <w:ind w:left="0" w:leftChars="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（1）签订正式合同10个工作日内，委托方支付合同款总金额的20%；</w:t>
      </w:r>
    </w:p>
    <w:p>
      <w:pPr>
        <w:pStyle w:val="2"/>
        <w:ind w:left="0" w:leftChars="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（2）提交评审稿后三日内，委托方支付合同款总金额的</w:t>
      </w:r>
      <w:r>
        <w:rPr>
          <w:rFonts w:hint="eastAsia" w:asciiTheme="minorEastAsia" w:hAnsiTheme="minorEastAsia" w:eastAsiaTheme="minorEastAsia"/>
          <w:color w:val="auto"/>
          <w:sz w:val="24"/>
          <w:highlight w:val="none"/>
          <w:lang w:val="en-US" w:eastAsia="zh-CN"/>
        </w:rPr>
        <w:t>50</w:t>
      </w:r>
      <w:r>
        <w:rPr>
          <w:rFonts w:hint="eastAsia" w:asciiTheme="minorEastAsia" w:hAnsiTheme="minorEastAsia" w:eastAsiaTheme="minorEastAsia"/>
          <w:color w:val="auto"/>
          <w:sz w:val="24"/>
          <w:highlight w:val="none"/>
        </w:rPr>
        <w:t>%；</w:t>
      </w:r>
    </w:p>
    <w:p>
      <w:pPr>
        <w:pStyle w:val="2"/>
        <w:ind w:left="0" w:leftChars="0"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（3）完成成果稿后三日内，委托方支付合同款总金额的</w:t>
      </w:r>
      <w:r>
        <w:rPr>
          <w:rFonts w:hint="eastAsia" w:asciiTheme="minorEastAsia" w:hAnsiTheme="minorEastAsia" w:eastAsiaTheme="minorEastAsia"/>
          <w:color w:val="auto"/>
          <w:sz w:val="24"/>
          <w:highlight w:val="none"/>
          <w:lang w:val="en-US" w:eastAsia="zh-CN"/>
        </w:rPr>
        <w:t>30</w:t>
      </w:r>
      <w:r>
        <w:rPr>
          <w:rFonts w:hint="eastAsia" w:asciiTheme="minorEastAsia" w:hAnsiTheme="minorEastAsia" w:eastAsiaTheme="minorEastAsia"/>
          <w:color w:val="auto"/>
          <w:sz w:val="24"/>
          <w:highlight w:val="none"/>
        </w:rPr>
        <w:t>%。</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6、资金来源：财政拨款。</w:t>
      </w:r>
    </w:p>
    <w:p>
      <w:pPr>
        <w:tabs>
          <w:tab w:val="left" w:pos="8280"/>
        </w:tabs>
        <w:autoSpaceDE w:val="0"/>
        <w:autoSpaceDN w:val="0"/>
        <w:adjustRightInd w:val="0"/>
        <w:spacing w:line="360" w:lineRule="auto"/>
        <w:ind w:right="25" w:firstLine="480" w:firstLineChars="200"/>
        <w:rPr>
          <w:rFonts w:eastAsiaTheme="minorEastAsia"/>
          <w:color w:val="auto"/>
          <w:highlight w:val="none"/>
        </w:rPr>
      </w:pPr>
      <w:r>
        <w:rPr>
          <w:rFonts w:hint="eastAsia" w:asciiTheme="minorEastAsia" w:hAnsiTheme="minorEastAsia" w:eastAsiaTheme="minorEastAsia"/>
          <w:color w:val="auto"/>
          <w:sz w:val="24"/>
          <w:highlight w:val="none"/>
        </w:rPr>
        <w:t>7、本项目无设计补偿费用。</w:t>
      </w:r>
    </w:p>
    <w:p>
      <w:pPr>
        <w:widowControl/>
        <w:jc w:val="left"/>
        <w:rPr>
          <w:color w:val="auto"/>
          <w:highlight w:val="none"/>
        </w:rPr>
      </w:pPr>
      <w:r>
        <w:rPr>
          <w:color w:val="auto"/>
          <w:highlight w:val="none"/>
        </w:rPr>
        <w:br w:type="page"/>
      </w:r>
    </w:p>
    <w:p>
      <w:pPr>
        <w:numPr>
          <w:ilvl w:val="0"/>
          <w:numId w:val="4"/>
        </w:numPr>
        <w:spacing w:line="360" w:lineRule="auto"/>
        <w:jc w:val="center"/>
        <w:outlineLvl w:val="0"/>
        <w:rPr>
          <w:rFonts w:asciiTheme="minorEastAsia" w:hAnsiTheme="minorEastAsia" w:eastAsiaTheme="minorEastAsia"/>
          <w:b/>
          <w:color w:val="auto"/>
          <w:sz w:val="36"/>
          <w:szCs w:val="36"/>
          <w:highlight w:val="none"/>
        </w:rPr>
      </w:pPr>
      <w:bookmarkStart w:id="36" w:name="_Toc19531"/>
      <w:r>
        <w:rPr>
          <w:rFonts w:hint="eastAsia" w:asciiTheme="minorEastAsia" w:hAnsiTheme="minorEastAsia" w:eastAsiaTheme="minorEastAsia"/>
          <w:b/>
          <w:color w:val="auto"/>
          <w:sz w:val="36"/>
          <w:szCs w:val="36"/>
          <w:highlight w:val="none"/>
        </w:rPr>
        <w:t>磋商</w:t>
      </w:r>
      <w:bookmarkEnd w:id="36"/>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一、磋商原则</w:t>
      </w:r>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二、评审方法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综合评分法,是指响应文件满足磋商文件全部实质性要求且按照评审因素的量化指标评审得分最高的供应商为成交候选人的评标方法。</w:t>
      </w:r>
    </w:p>
    <w:p>
      <w:pPr>
        <w:pStyle w:val="13"/>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三、磋商小组</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hint="eastAsia" w:asciiTheme="minorEastAsia" w:hAnsiTheme="minorEastAsia" w:eastAsiaTheme="minorEastAsia" w:cstheme="minorBidi"/>
          <w:color w:val="auto"/>
          <w:sz w:val="24"/>
          <w:highlight w:val="none"/>
        </w:rPr>
        <w:t>磋商小组</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rPr>
        <w:t>采购人代表和评审专家共3人以上单数</w:t>
      </w:r>
      <w:r>
        <w:rPr>
          <w:rFonts w:asciiTheme="minorEastAsia" w:hAnsiTheme="minorEastAsia" w:eastAsiaTheme="minorEastAsia"/>
          <w:color w:val="auto"/>
          <w:sz w:val="24"/>
          <w:highlight w:val="none"/>
        </w:rPr>
        <w:t>组成</w:t>
      </w:r>
      <w:r>
        <w:rPr>
          <w:rFonts w:hint="eastAsia" w:asciiTheme="minorEastAsia" w:hAnsiTheme="minorEastAsia" w:eastAsiaTheme="minorEastAsia"/>
          <w:color w:val="auto"/>
          <w:sz w:val="24"/>
          <w:highlight w:val="none"/>
        </w:rPr>
        <w:t>。</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hint="eastAsia" w:asciiTheme="minorEastAsia" w:hAnsiTheme="minorEastAsia" w:eastAsiaTheme="minorEastAsia" w:cstheme="minorBidi"/>
          <w:color w:val="auto"/>
          <w:sz w:val="24"/>
          <w:highlight w:val="none"/>
        </w:rPr>
        <w:t>磋商小组</w:t>
      </w:r>
      <w:r>
        <w:rPr>
          <w:rFonts w:hint="eastAsia" w:asciiTheme="minorEastAsia" w:hAnsiTheme="minorEastAsia" w:eastAsiaTheme="minorEastAsia"/>
          <w:color w:val="auto"/>
          <w:sz w:val="24"/>
          <w:highlight w:val="none"/>
        </w:rPr>
        <w:t>成员</w:t>
      </w:r>
      <w:r>
        <w:rPr>
          <w:rFonts w:hint="eastAsia" w:ascii="宋体" w:hAnsi="宋体" w:cs="宋体"/>
          <w:color w:val="auto"/>
          <w:sz w:val="24"/>
          <w:szCs w:val="24"/>
          <w:highlight w:val="none"/>
        </w:rPr>
        <w:t>与参与磋商的供应商</w:t>
      </w:r>
      <w:r>
        <w:rPr>
          <w:rFonts w:hint="eastAsia" w:asciiTheme="minorEastAsia" w:hAnsiTheme="minorEastAsia" w:eastAsiaTheme="minorEastAsia"/>
          <w:color w:val="auto"/>
          <w:sz w:val="24"/>
          <w:highlight w:val="none"/>
        </w:rPr>
        <w:t>有下列情形之一的，应当回避：</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w:t>
      </w:r>
      <w:r>
        <w:rPr>
          <w:rFonts w:hint="eastAsia" w:asciiTheme="minorEastAsia" w:hAnsiTheme="minorEastAsia" w:eastAsiaTheme="minorEastAsia" w:cstheme="minorBidi"/>
          <w:color w:val="auto"/>
          <w:sz w:val="24"/>
          <w:highlight w:val="none"/>
        </w:rPr>
        <w:t>磋商小组</w:t>
      </w:r>
      <w:r>
        <w:rPr>
          <w:rFonts w:hint="eastAsia" w:asciiTheme="minorEastAsia" w:hAnsiTheme="minorEastAsia" w:eastAsiaTheme="minorEastAsia"/>
          <w:color w:val="auto"/>
          <w:sz w:val="24"/>
          <w:highlight w:val="none"/>
        </w:rPr>
        <w:t>负责具体评审事务，并独立履行下列职责：</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1.审查、评价响应文件是否符合磋商文件的商务、技术等实质性要求；</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2.要求供应商对响应文件有关事项作出澄清或者说明；</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3.对响应文件进行比较和评价；</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4.确定成交候选人名单，以及根据采购人委托直接确定成交供应商；</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w:t>
      </w:r>
      <w:r>
        <w:rPr>
          <w:rFonts w:hint="eastAsia" w:asciiTheme="minorEastAsia" w:hAnsiTheme="minorEastAsia" w:eastAsiaTheme="minorEastAsia" w:cstheme="minorBidi"/>
          <w:color w:val="auto"/>
          <w:sz w:val="24"/>
          <w:highlight w:val="none"/>
        </w:rPr>
        <w:t>组织</w:t>
      </w:r>
      <w:r>
        <w:rPr>
          <w:rFonts w:hint="eastAsia" w:asciiTheme="minorEastAsia" w:hAnsiTheme="minorEastAsia" w:eastAsiaTheme="minorEastAsia"/>
          <w:color w:val="auto"/>
          <w:sz w:val="24"/>
          <w:highlight w:val="none"/>
        </w:rPr>
        <w:t>机构或者有关部门报告评审中发现的违法行为；</w:t>
      </w:r>
    </w:p>
    <w:p>
      <w:pPr>
        <w:pStyle w:val="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四、磋商要求</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（一）采购人、采购代理机构不得对磋商小组中的评审专家作倾向性、误导性的解释或者说明。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（二）磋商小组所有成员应当集中与单一供应商分别进行磋商，并给予所有参加磋商的供应商平等的磋商机会。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（四）对磋商文件作出的实质性变动是磋商文件的有效组成部分，磋商小组应当及时以书面形式同时通知所有参加磋商的供应商。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（五）供应商应当按照磋商文件的变动情况和磋商小组的要求重新提交响应文件，并由其法定代表人或授权代表签字或者加盖公章。</w:t>
      </w:r>
    </w:p>
    <w:p>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（六）已提交响应文件的供应商，在提交最后报价之前，可以根据磋商情况退出磋商。</w:t>
      </w:r>
    </w:p>
    <w:p>
      <w:pPr>
        <w:pStyle w:val="19"/>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五、无效响应情形</w:t>
      </w:r>
    </w:p>
    <w:p>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szCs w:val="32"/>
          <w:highlight w:val="none"/>
        </w:rPr>
        <w:t>（一）</w:t>
      </w:r>
      <w:r>
        <w:rPr>
          <w:rFonts w:hint="eastAsia" w:asciiTheme="minorEastAsia" w:hAnsiTheme="minorEastAsia" w:eastAsiaTheme="minorEastAsia"/>
          <w:color w:val="auto"/>
          <w:kern w:val="0"/>
          <w:sz w:val="24"/>
          <w:highlight w:val="none"/>
        </w:rPr>
        <w:t>在资格证明文件或商务与技术文件中出现响应报价的，或者报价文件中报价的货物跟商务与技术文件中的供应货物出现重大偏差的；</w:t>
      </w:r>
    </w:p>
    <w:p>
      <w:pPr>
        <w:pStyle w:val="19"/>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（二）</w:t>
      </w:r>
      <w:r>
        <w:rPr>
          <w:rFonts w:asciiTheme="minorEastAsia" w:hAnsiTheme="minorEastAsia" w:eastAsiaTheme="minorEastAsia"/>
          <w:color w:val="auto"/>
          <w:highlight w:val="none"/>
        </w:rPr>
        <w:t>不具备磋商文件中规定的资格要求的；</w:t>
      </w:r>
      <w:r>
        <w:rPr>
          <w:rFonts w:hint="default" w:asciiTheme="minorEastAsia" w:hAnsiTheme="minorEastAsia" w:eastAsiaTheme="minorEastAsia"/>
          <w:color w:val="auto"/>
          <w:highlight w:val="none"/>
        </w:rPr>
        <w:tab/>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（三）</w:t>
      </w:r>
      <w:r>
        <w:rPr>
          <w:rFonts w:asciiTheme="minorEastAsia" w:hAnsiTheme="minorEastAsia" w:eastAsiaTheme="minorEastAsia"/>
          <w:color w:val="auto"/>
          <w:highlight w:val="none"/>
        </w:rPr>
        <w:t>响应文件含有采购人不能接受的附加条件的；</w:t>
      </w:r>
    </w:p>
    <w:p>
      <w:pPr>
        <w:pStyle w:val="8"/>
        <w:spacing w:line="360" w:lineRule="auto"/>
        <w:ind w:firstLine="480" w:firstLineChars="200"/>
        <w:jc w:val="both"/>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szCs w:val="32"/>
          <w:highlight w:val="none"/>
        </w:rPr>
        <w:t>（四）</w:t>
      </w:r>
      <w:r>
        <w:rPr>
          <w:rFonts w:hint="eastAsia" w:asciiTheme="minorEastAsia" w:hAnsiTheme="minorEastAsia" w:eastAsiaTheme="minorEastAsia"/>
          <w:color w:val="auto"/>
          <w:kern w:val="0"/>
          <w:sz w:val="24"/>
          <w:highlight w:val="none"/>
        </w:rPr>
        <w:t>磋商小组认为供应商的报价明显低于其他通过符合性审查供应商的报价，有可能影响产品质量或者不能诚信履约的，供应商在限定的时间内不能证明其报价合理性的，磋商小组应当将其作为无效投标处理；</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（五）</w:t>
      </w:r>
      <w:r>
        <w:rPr>
          <w:rFonts w:asciiTheme="minorEastAsia" w:hAnsiTheme="minorEastAsia" w:eastAsiaTheme="minorEastAsia"/>
          <w:color w:val="auto"/>
          <w:highlight w:val="none"/>
        </w:rPr>
        <w:t xml:space="preserve">报价超过磋商文件中规定的预算金额/最高限价；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szCs w:val="32"/>
          <w:highlight w:val="none"/>
        </w:rPr>
        <w:t>（六）</w:t>
      </w:r>
      <w:r>
        <w:rPr>
          <w:rFonts w:hint="eastAsia" w:asciiTheme="minorEastAsia" w:hAnsiTheme="minorEastAsia" w:eastAsiaTheme="minorEastAsia"/>
          <w:color w:val="auto"/>
          <w:kern w:val="0"/>
          <w:sz w:val="24"/>
          <w:highlight w:val="none"/>
        </w:rPr>
        <w:t>响应参数未如实填写；</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szCs w:val="32"/>
          <w:highlight w:val="none"/>
        </w:rPr>
        <w:t>（七）</w:t>
      </w:r>
      <w:r>
        <w:rPr>
          <w:rFonts w:hint="eastAsia" w:asciiTheme="minorEastAsia" w:hAnsiTheme="minorEastAsia" w:eastAsiaTheme="minorEastAsia"/>
          <w:color w:val="auto"/>
          <w:sz w:val="24"/>
          <w:highlight w:val="none"/>
        </w:rPr>
        <w:t>响应文件</w:t>
      </w:r>
      <w:r>
        <w:rPr>
          <w:rFonts w:hint="eastAsia" w:asciiTheme="minorEastAsia" w:hAnsiTheme="minorEastAsia" w:eastAsiaTheme="minorEastAsia"/>
          <w:color w:val="auto"/>
          <w:kern w:val="0"/>
          <w:sz w:val="24"/>
          <w:highlight w:val="none"/>
        </w:rPr>
        <w:t xml:space="preserve">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32"/>
          <w:highlight w:val="none"/>
        </w:rPr>
        <w:t>（八）</w:t>
      </w:r>
      <w:r>
        <w:rPr>
          <w:rFonts w:asciiTheme="minorEastAsia" w:hAnsiTheme="minorEastAsia" w:eastAsiaTheme="minorEastAsia"/>
          <w:color w:val="auto"/>
          <w:sz w:val="24"/>
          <w:highlight w:val="none"/>
        </w:rPr>
        <w:t>不同</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由同一单位或者个人编制</w:t>
      </w:r>
      <w:r>
        <w:rPr>
          <w:rFonts w:hint="eastAsia" w:asciiTheme="minorEastAsia" w:hAnsiTheme="minorEastAsia" w:eastAsiaTheme="minorEastAsia"/>
          <w:color w:val="auto"/>
          <w:sz w:val="24"/>
          <w:highlight w:val="none"/>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九</w:t>
      </w:r>
      <w:r>
        <w:rPr>
          <w:rFonts w:asciiTheme="minorEastAsia" w:hAnsiTheme="minorEastAsia" w:eastAsiaTheme="minorEastAsia"/>
          <w:color w:val="auto"/>
          <w:sz w:val="24"/>
          <w:highlight w:val="none"/>
        </w:rPr>
        <w:t>）不同供应商委托同一单位或者个人办理磋商事宜；</w:t>
      </w:r>
    </w:p>
    <w:p>
      <w:pPr>
        <w:pStyle w:val="19"/>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（十）</w:t>
      </w:r>
      <w:r>
        <w:rPr>
          <w:rFonts w:asciiTheme="minorEastAsia" w:hAnsiTheme="minorEastAsia" w:eastAsiaTheme="minorEastAsia"/>
          <w:color w:val="auto"/>
          <w:highlight w:val="none"/>
        </w:rPr>
        <w:t>不同供应商的响应文件载明的项目管理成员或者联系人员为同一人；</w:t>
      </w:r>
    </w:p>
    <w:p>
      <w:pPr>
        <w:pStyle w:val="19"/>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（十一）</w:t>
      </w:r>
      <w:r>
        <w:rPr>
          <w:rFonts w:asciiTheme="minorEastAsia" w:hAnsiTheme="minorEastAsia" w:eastAsiaTheme="minorEastAsia"/>
          <w:color w:val="auto"/>
          <w:highlight w:val="none"/>
        </w:rPr>
        <w:t>不同供应商的响应文件异常一致或者磋商报价呈规律性差异；</w:t>
      </w:r>
    </w:p>
    <w:p>
      <w:pPr>
        <w:pStyle w:val="19"/>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（十二）不同供应商的响应文件相互混装；</w:t>
      </w:r>
    </w:p>
    <w:p>
      <w:pPr>
        <w:pStyle w:val="19"/>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（十三）</w:t>
      </w:r>
      <w:r>
        <w:rPr>
          <w:rFonts w:cs="宋体"/>
          <w:color w:val="auto"/>
          <w:highlight w:val="none"/>
        </w:rPr>
        <w:t>实质性要求（磋商文件中打“▲”内容）不响应的；</w:t>
      </w:r>
    </w:p>
    <w:p>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32"/>
          <w:highlight w:val="none"/>
        </w:rPr>
        <w:t>（十四）</w:t>
      </w:r>
      <w:r>
        <w:rPr>
          <w:rFonts w:hint="eastAsia" w:asciiTheme="minorEastAsia" w:hAnsiTheme="minorEastAsia" w:eastAsiaTheme="minorEastAsia"/>
          <w:color w:val="auto"/>
          <w:kern w:val="0"/>
          <w:sz w:val="24"/>
          <w:szCs w:val="24"/>
          <w:highlight w:val="none"/>
        </w:rPr>
        <w:t>商务条款不响应；</w:t>
      </w:r>
    </w:p>
    <w:p>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32"/>
          <w:highlight w:val="none"/>
        </w:rPr>
        <w:t>（十五）</w:t>
      </w:r>
      <w:r>
        <w:rPr>
          <w:rFonts w:hint="eastAsia" w:cs="宋体"/>
          <w:color w:val="auto"/>
          <w:sz w:val="24"/>
          <w:szCs w:val="24"/>
          <w:highlight w:val="none"/>
        </w:rPr>
        <w:t>响应</w:t>
      </w:r>
      <w:r>
        <w:rPr>
          <w:rFonts w:hint="eastAsia" w:asciiTheme="minorEastAsia" w:hAnsiTheme="minorEastAsia" w:eastAsiaTheme="minorEastAsia"/>
          <w:color w:val="auto"/>
          <w:kern w:val="0"/>
          <w:sz w:val="24"/>
          <w:szCs w:val="24"/>
          <w:highlight w:val="none"/>
        </w:rPr>
        <w:t>文件有效期不足的；</w:t>
      </w:r>
    </w:p>
    <w:p>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32"/>
          <w:highlight w:val="none"/>
        </w:rPr>
        <w:t>（十六）</w:t>
      </w:r>
      <w:r>
        <w:rPr>
          <w:rFonts w:hint="eastAsia" w:asciiTheme="minorEastAsia" w:hAnsiTheme="minorEastAsia" w:eastAsiaTheme="minorEastAsia"/>
          <w:color w:val="auto"/>
          <w:kern w:val="0"/>
          <w:sz w:val="24"/>
          <w:szCs w:val="24"/>
          <w:highlight w:val="none"/>
        </w:rPr>
        <w:t>逾期或未按要求提交</w:t>
      </w:r>
      <w:r>
        <w:rPr>
          <w:rFonts w:hint="eastAsia" w:cs="宋体"/>
          <w:color w:val="auto"/>
          <w:sz w:val="24"/>
          <w:szCs w:val="24"/>
          <w:highlight w:val="none"/>
        </w:rPr>
        <w:t>响应</w:t>
      </w:r>
      <w:r>
        <w:rPr>
          <w:rFonts w:hint="eastAsia" w:asciiTheme="minorEastAsia" w:hAnsiTheme="minorEastAsia" w:eastAsiaTheme="minorEastAsia"/>
          <w:color w:val="auto"/>
          <w:kern w:val="0"/>
          <w:sz w:val="24"/>
          <w:szCs w:val="24"/>
          <w:highlight w:val="none"/>
        </w:rPr>
        <w:t>文件的。</w:t>
      </w:r>
    </w:p>
    <w:p>
      <w:pPr>
        <w:pStyle w:val="7"/>
        <w:spacing w:line="360" w:lineRule="auto"/>
        <w:ind w:firstLine="480" w:firstLineChars="200"/>
        <w:rPr>
          <w:rFonts w:asciiTheme="minorEastAsia" w:hAnsiTheme="minorEastAsia"/>
          <w:color w:val="auto"/>
          <w:kern w:val="0"/>
          <w:sz w:val="24"/>
          <w:szCs w:val="24"/>
          <w:highlight w:val="none"/>
        </w:rPr>
      </w:pPr>
      <w:r>
        <w:rPr>
          <w:rFonts w:hint="eastAsia" w:asciiTheme="minorEastAsia" w:hAnsiTheme="minorEastAsia" w:eastAsiaTheme="minorEastAsia"/>
          <w:color w:val="auto"/>
          <w:sz w:val="24"/>
          <w:szCs w:val="32"/>
          <w:highlight w:val="none"/>
        </w:rPr>
        <w:t>（十七）</w:t>
      </w:r>
      <w:r>
        <w:rPr>
          <w:rFonts w:hint="eastAsia" w:asciiTheme="minorEastAsia" w:hAnsiTheme="minorEastAsia" w:eastAsiaTheme="minorEastAsia"/>
          <w:color w:val="auto"/>
          <w:kern w:val="0"/>
          <w:sz w:val="24"/>
          <w:szCs w:val="24"/>
          <w:highlight w:val="none"/>
        </w:rPr>
        <w:t>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pPr>
        <w:autoSpaceDE w:val="0"/>
        <w:autoSpaceDN w:val="0"/>
        <w:adjustRightInd w:val="0"/>
        <w:spacing w:line="360" w:lineRule="auto"/>
        <w:ind w:firstLine="482"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六、终止磋商情形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（一）出现影响采购公正的违法、违规行为的；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（二）磋商小组发现磋商文件存在歧义、重大缺陷导致评审工作无法进行，或者磋商文件内容违反国家有关强制性规定的；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（三）因重大变故，采购任务取消的；</w:t>
      </w:r>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（四）在采购过程中符合磋商要求的供应商或者提交最后报价的供应商不足3家的（市场竞争不充分的科研项目，以及需要扶持的科技成果转化项目，提交最后报价的供应商可以为2家）；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（五）法律、法规和磋商文件规定的其他导致评审结果无效的。</w:t>
      </w:r>
    </w:p>
    <w:p>
      <w:pPr>
        <w:pStyle w:val="13"/>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七、磋商</w:t>
      </w:r>
      <w:r>
        <w:rPr>
          <w:rFonts w:asciiTheme="minorEastAsia" w:hAnsiTheme="minorEastAsia" w:eastAsiaTheme="minorEastAsia"/>
          <w:b/>
          <w:color w:val="auto"/>
          <w:sz w:val="24"/>
          <w:highlight w:val="none"/>
        </w:rPr>
        <w:t>过程的监控</w:t>
      </w:r>
    </w:p>
    <w:p>
      <w:pPr>
        <w:pStyle w:val="19"/>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本项目磋商过程实行全程录音、录像监控，政府采购监管部门视情进行现场监督，供应商在磋商过程中所进行的试图影响磋商结果的不公正活动，可能导致其磋商响应被拒绝。</w:t>
      </w:r>
    </w:p>
    <w:p>
      <w:pPr>
        <w:pStyle w:val="19"/>
        <w:spacing w:before="0" w:beforeAutospacing="0" w:after="0" w:afterAutospacing="0" w:line="360" w:lineRule="auto"/>
        <w:ind w:firstLine="482" w:firstLineChars="200"/>
        <w:jc w:val="both"/>
        <w:rPr>
          <w:rFonts w:hint="default"/>
          <w:b/>
          <w:bCs/>
          <w:color w:val="auto"/>
          <w:highlight w:val="none"/>
        </w:rPr>
      </w:pPr>
      <w:r>
        <w:rPr>
          <w:rFonts w:asciiTheme="minorEastAsia" w:hAnsiTheme="minorEastAsia" w:eastAsiaTheme="minorEastAsia"/>
          <w:b/>
          <w:bCs/>
          <w:color w:val="auto"/>
          <w:highlight w:val="none"/>
        </w:rPr>
        <w:t>八、</w:t>
      </w:r>
      <w:r>
        <w:rPr>
          <w:b/>
          <w:bCs/>
          <w:color w:val="auto"/>
          <w:highlight w:val="none"/>
        </w:rPr>
        <w:t>政府采购政策落实</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（一）</w:t>
      </w:r>
      <w:r>
        <w:rPr>
          <w:rFonts w:hint="eastAsia" w:ascii="宋体"/>
          <w:color w:val="auto"/>
          <w:sz w:val="24"/>
          <w:highlight w:val="none"/>
          <w:lang w:val="zh-CN"/>
        </w:rPr>
        <w:t>政府采购政策及优惠：</w:t>
      </w:r>
    </w:p>
    <w:p>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w:t>
      </w:r>
      <w:r>
        <w:rPr>
          <w:rFonts w:hint="eastAsia" w:ascii="宋体"/>
          <w:color w:val="auto"/>
          <w:sz w:val="24"/>
          <w:highlight w:val="none"/>
        </w:rPr>
        <w:t>参与磋商</w:t>
      </w:r>
      <w:r>
        <w:rPr>
          <w:rFonts w:hint="eastAsia" w:ascii="宋体"/>
          <w:color w:val="auto"/>
          <w:sz w:val="24"/>
          <w:highlight w:val="none"/>
          <w:lang w:val="zh-CN"/>
        </w:rPr>
        <w:t>：小微企业</w:t>
      </w:r>
      <w:r>
        <w:rPr>
          <w:rFonts w:hint="eastAsia" w:ascii="宋体"/>
          <w:color w:val="auto"/>
          <w:sz w:val="24"/>
          <w:highlight w:val="none"/>
        </w:rPr>
        <w:t>参与磋商</w:t>
      </w:r>
      <w:r>
        <w:rPr>
          <w:rFonts w:hint="eastAsia" w:ascii="宋体"/>
          <w:color w:val="auto"/>
          <w:sz w:val="24"/>
          <w:highlight w:val="none"/>
          <w:lang w:val="zh-CN"/>
        </w:rPr>
        <w:t>是指符合《中小企业划型标准规定》的</w:t>
      </w:r>
      <w:r>
        <w:rPr>
          <w:rFonts w:hint="eastAsia" w:ascii="宋体"/>
          <w:color w:val="auto"/>
          <w:sz w:val="24"/>
          <w:highlight w:val="none"/>
        </w:rPr>
        <w:t>供应商</w:t>
      </w:r>
      <w:r>
        <w:rPr>
          <w:rFonts w:hint="eastAsia" w:ascii="宋体"/>
          <w:color w:val="auto"/>
          <w:sz w:val="24"/>
          <w:highlight w:val="none"/>
          <w:lang w:val="zh-CN"/>
        </w:rPr>
        <w:t>，通过</w:t>
      </w:r>
      <w:r>
        <w:rPr>
          <w:rFonts w:hint="eastAsia" w:ascii="宋体"/>
          <w:color w:val="auto"/>
          <w:sz w:val="24"/>
          <w:highlight w:val="none"/>
        </w:rPr>
        <w:t>磋商</w:t>
      </w:r>
      <w:r>
        <w:rPr>
          <w:rFonts w:hint="eastAsia" w:ascii="宋体"/>
          <w:color w:val="auto"/>
          <w:sz w:val="24"/>
          <w:highlight w:val="none"/>
          <w:lang w:val="zh-CN"/>
        </w:rPr>
        <w:t>提供本企业制造的货物、承担的工程或者服务，或者提供其他小微企业制造的货物。本项所指货物不包括使用大、中型企业注册商标的货物。小微企业应提供《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见附件13</w:t>
      </w:r>
      <w:r>
        <w:rPr>
          <w:rFonts w:hint="eastAsia" w:ascii="宋体"/>
          <w:color w:val="auto"/>
          <w:sz w:val="24"/>
          <w:highlight w:val="none"/>
          <w:lang w:val="zh-CN"/>
        </w:rPr>
        <w:t>），</w:t>
      </w:r>
      <w:r>
        <w:rPr>
          <w:rFonts w:hint="eastAsia" w:ascii="宋体"/>
          <w:color w:val="auto"/>
          <w:sz w:val="24"/>
          <w:highlight w:val="none"/>
        </w:rPr>
        <w:t>供应商未提供以上资料或者经</w:t>
      </w:r>
      <w:r>
        <w:rPr>
          <w:rFonts w:hint="eastAsia" w:asciiTheme="minorEastAsia" w:hAnsiTheme="minorEastAsia" w:eastAsiaTheme="minorEastAsia" w:cstheme="minorBidi"/>
          <w:color w:val="auto"/>
          <w:sz w:val="24"/>
          <w:highlight w:val="none"/>
        </w:rPr>
        <w:t>磋商小组</w:t>
      </w:r>
      <w:r>
        <w:rPr>
          <w:rFonts w:hint="eastAsia" w:ascii="宋体"/>
          <w:color w:val="auto"/>
          <w:sz w:val="24"/>
          <w:highlight w:val="none"/>
          <w:lang w:val="zh-CN"/>
        </w:rPr>
        <w:t>核查不符的</w:t>
      </w:r>
      <w:r>
        <w:rPr>
          <w:rFonts w:hint="eastAsia" w:ascii="宋体"/>
          <w:color w:val="auto"/>
          <w:sz w:val="24"/>
          <w:highlight w:val="none"/>
        </w:rPr>
        <w:t>，将不能享受</w:t>
      </w:r>
      <w:r>
        <w:rPr>
          <w:rFonts w:hint="eastAsia"/>
          <w:color w:val="auto"/>
          <w:highlight w:val="none"/>
        </w:rPr>
        <w:t>相应的</w:t>
      </w:r>
      <w:r>
        <w:rPr>
          <w:rFonts w:hint="eastAsia" w:ascii="宋体"/>
          <w:color w:val="auto"/>
          <w:sz w:val="24"/>
          <w:highlight w:val="none"/>
        </w:rPr>
        <w:t>小微企业优惠政策。</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残疾人福利性单位在参加政府采购活动时，应提供《残疾人福利性单位声明函》（见附件</w:t>
      </w:r>
      <w:r>
        <w:rPr>
          <w:rFonts w:hint="eastAsia" w:ascii="宋体"/>
          <w:color w:val="auto"/>
          <w:sz w:val="24"/>
          <w:highlight w:val="none"/>
        </w:rPr>
        <w:t>13</w:t>
      </w:r>
      <w:r>
        <w:rPr>
          <w:rFonts w:hint="eastAsia" w:ascii="宋体"/>
          <w:color w:val="auto"/>
          <w:sz w:val="24"/>
          <w:highlight w:val="none"/>
          <w:lang w:val="zh-CN"/>
        </w:rPr>
        <w:t>），视同小型、微型企业，享受小微企业政府采购优惠政策。</w:t>
      </w:r>
    </w:p>
    <w:p>
      <w:pPr>
        <w:autoSpaceDE w:val="0"/>
        <w:autoSpaceDN w:val="0"/>
        <w:adjustRightInd w:val="0"/>
        <w:spacing w:line="360" w:lineRule="auto"/>
        <w:ind w:firstLine="480" w:firstLineChars="200"/>
        <w:rPr>
          <w:color w:val="auto"/>
          <w:highlight w:val="none"/>
          <w:lang w:val="zh-CN"/>
        </w:rPr>
      </w:pPr>
      <w:r>
        <w:rPr>
          <w:rFonts w:hint="eastAsia" w:ascii="宋体"/>
          <w:color w:val="auto"/>
          <w:sz w:val="24"/>
          <w:highlight w:val="none"/>
        </w:rPr>
        <w:t>（二）价格扣除相关要求</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经主管预算单位统筹后未预留份额专门面向中小企业采购的采购项目，以及预留份额项目中的非预留部分：</w:t>
      </w:r>
      <w:r>
        <w:rPr>
          <w:rFonts w:hint="eastAsia" w:ascii="宋体"/>
          <w:color w:val="auto"/>
          <w:sz w:val="24"/>
          <w:highlight w:val="none"/>
        </w:rPr>
        <w:t>对</w:t>
      </w:r>
      <w:r>
        <w:rPr>
          <w:rFonts w:hint="eastAsia" w:ascii="宋体"/>
          <w:color w:val="auto"/>
          <w:sz w:val="24"/>
          <w:highlight w:val="none"/>
          <w:lang w:val="zh-CN"/>
        </w:rPr>
        <w:t>小微企业</w:t>
      </w:r>
      <w:r>
        <w:rPr>
          <w:rFonts w:hint="eastAsia" w:ascii="宋体"/>
          <w:color w:val="auto"/>
          <w:sz w:val="24"/>
          <w:highlight w:val="none"/>
        </w:rPr>
        <w:t>报价</w:t>
      </w:r>
      <w:r>
        <w:rPr>
          <w:rFonts w:hint="eastAsia" w:ascii="宋体"/>
          <w:color w:val="auto"/>
          <w:sz w:val="24"/>
          <w:highlight w:val="none"/>
          <w:lang w:val="zh-CN"/>
        </w:rPr>
        <w:t>给予</w:t>
      </w:r>
      <w:r>
        <w:rPr>
          <w:rFonts w:hint="eastAsia" w:ascii="宋体"/>
          <w:color w:val="auto"/>
          <w:sz w:val="24"/>
          <w:highlight w:val="none"/>
          <w:lang w:val="en-US" w:eastAsia="zh-CN"/>
        </w:rPr>
        <w:t>20</w:t>
      </w:r>
      <w:r>
        <w:rPr>
          <w:rFonts w:hint="eastAsia" w:ascii="宋体"/>
          <w:color w:val="auto"/>
          <w:sz w:val="24"/>
          <w:highlight w:val="none"/>
          <w:lang w:val="zh-CN"/>
        </w:rPr>
        <w:t>%的扣除，用扣除后的价格计算评标基准价和投标报价。联合体各方均为小微企业的，联合体视同为小微企业，</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20</w:t>
      </w:r>
      <w:r>
        <w:rPr>
          <w:rFonts w:hint="eastAsia" w:ascii="宋体"/>
          <w:color w:val="auto"/>
          <w:sz w:val="24"/>
          <w:highlight w:val="none"/>
          <w:lang w:val="zh-CN"/>
        </w:rPr>
        <w:t>%的扣除；联合协议或者分包意向协议约定小微企业的合同份额占到合同总金额30%以上的，</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6</w:t>
      </w:r>
      <w:r>
        <w:rPr>
          <w:rFonts w:hint="eastAsia" w:ascii="宋体"/>
          <w:color w:val="auto"/>
          <w:sz w:val="24"/>
          <w:highlight w:val="none"/>
        </w:rPr>
        <w:t>%</w:t>
      </w:r>
      <w:r>
        <w:rPr>
          <w:rFonts w:hint="eastAsia" w:ascii="宋体"/>
          <w:color w:val="auto"/>
          <w:sz w:val="24"/>
          <w:highlight w:val="none"/>
          <w:lang w:val="zh-CN"/>
        </w:rPr>
        <w:t>的价格扣除，用扣除后的价格计算评标基准价和响应报价。同一投标人（包括联合体），小微企业、监狱企业、残疾人福利性单位价格扣除优惠只享受一次，不得重复享受。</w:t>
      </w:r>
    </w:p>
    <w:p>
      <w:pPr>
        <w:pStyle w:val="13"/>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九、评审</w:t>
      </w:r>
      <w:r>
        <w:rPr>
          <w:rFonts w:asciiTheme="minorEastAsia" w:hAnsiTheme="minorEastAsia" w:eastAsiaTheme="minorEastAsia"/>
          <w:b/>
          <w:bCs/>
          <w:color w:val="auto"/>
          <w:sz w:val="24"/>
          <w:highlight w:val="none"/>
        </w:rPr>
        <w:t>程序</w:t>
      </w:r>
    </w:p>
    <w:p>
      <w:pPr>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pPr>
        <w:pStyle w:val="8"/>
        <w:spacing w:line="360" w:lineRule="auto"/>
        <w:ind w:firstLine="480" w:firstLineChars="200"/>
        <w:jc w:val="both"/>
        <w:rPr>
          <w:rFonts w:asciiTheme="minorEastAsia" w:hAnsiTheme="minorEastAsia" w:eastAsiaTheme="minorEastAsia"/>
          <w:color w:val="auto"/>
          <w:sz w:val="24"/>
          <w:highlight w:val="none"/>
        </w:rPr>
      </w:pPr>
      <w:r>
        <w:rPr>
          <w:rFonts w:hint="eastAsia" w:ascii="宋体" w:hAnsi="宋体" w:cs="宋体"/>
          <w:color w:val="auto"/>
          <w:sz w:val="24"/>
          <w:highlight w:val="none"/>
        </w:rPr>
        <w:t>响应文件解密后</w:t>
      </w:r>
      <w:r>
        <w:rPr>
          <w:rFonts w:asciiTheme="minorEastAsia" w:hAnsiTheme="minorEastAsia" w:eastAsiaTheme="minorEastAsia"/>
          <w:color w:val="auto"/>
          <w:sz w:val="24"/>
          <w:highlight w:val="none"/>
        </w:rPr>
        <w:t>，采购人</w:t>
      </w:r>
      <w:r>
        <w:rPr>
          <w:rFonts w:hint="eastAsia" w:asciiTheme="minorEastAsia" w:hAnsiTheme="minorEastAsia" w:eastAsiaTheme="minorEastAsia"/>
          <w:color w:val="auto"/>
          <w:sz w:val="24"/>
          <w:highlight w:val="none"/>
        </w:rPr>
        <w:t>或</w:t>
      </w:r>
      <w:r>
        <w:rPr>
          <w:rFonts w:asciiTheme="minorEastAsia" w:hAnsiTheme="minorEastAsia" w:eastAsiaTheme="minorEastAsia"/>
          <w:color w:val="auto"/>
          <w:sz w:val="24"/>
          <w:highlight w:val="none"/>
        </w:rPr>
        <w:t>采购组织机构依法对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的资格进行审查，对审查发现无效的进行必要的询标，</w:t>
      </w:r>
      <w:r>
        <w:rPr>
          <w:rFonts w:hint="eastAsia"/>
          <w:color w:val="auto"/>
          <w:sz w:val="24"/>
          <w:highlight w:val="none"/>
        </w:rPr>
        <w:t>在政采云平台公布</w:t>
      </w:r>
      <w:r>
        <w:rPr>
          <w:rFonts w:asciiTheme="minorEastAsia" w:hAnsiTheme="minorEastAsia" w:eastAsiaTheme="minorEastAsia"/>
          <w:color w:val="auto"/>
          <w:sz w:val="24"/>
          <w:highlight w:val="none"/>
        </w:rPr>
        <w:t>无效</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名单、</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无效的原因。</w:t>
      </w:r>
    </w:p>
    <w:tbl>
      <w:tblPr>
        <w:tblStyle w:val="2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vAlign w:val="center"/>
          </w:tcPr>
          <w:p>
            <w:pPr>
              <w:pStyle w:val="48"/>
              <w:spacing w:before="1" w:line="360" w:lineRule="auto"/>
              <w:ind w:right="146"/>
              <w:rPr>
                <w:color w:val="auto"/>
                <w:szCs w:val="21"/>
                <w:highlight w:val="none"/>
              </w:rPr>
            </w:pPr>
            <w:r>
              <w:rPr>
                <w:rFonts w:hint="eastAsia"/>
                <w:color w:val="auto"/>
                <w:szCs w:val="21"/>
                <w:highlight w:val="none"/>
              </w:rPr>
              <w:t>具有独立承担民事责任的能力</w:t>
            </w:r>
          </w:p>
        </w:tc>
        <w:tc>
          <w:tcPr>
            <w:tcW w:w="7423" w:type="dxa"/>
            <w:vAlign w:val="center"/>
          </w:tcPr>
          <w:p>
            <w:pPr>
              <w:pStyle w:val="48"/>
              <w:spacing w:line="360" w:lineRule="auto"/>
              <w:ind w:left="64" w:right="63" w:firstLine="420" w:firstLineChars="200"/>
              <w:rPr>
                <w:color w:val="auto"/>
                <w:szCs w:val="21"/>
                <w:highlight w:val="none"/>
              </w:rPr>
            </w:pPr>
            <w:r>
              <w:rPr>
                <w:rFonts w:hint="eastAsia"/>
                <w:color w:val="auto"/>
                <w:szCs w:val="21"/>
                <w:highlight w:val="none"/>
              </w:rPr>
              <w:t>在中华人民共和国境内注册的法人或其他组织或自然人，磋商时提交有效的营业执照（或事业法人登记证或身份证等相关证明）副本扫描件。（以联合体形式参与磋商时，联合体各方均须满足该条款）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94" w:type="dxa"/>
            <w:shd w:val="clear" w:color="auto" w:fill="F6F6F6"/>
            <w:vAlign w:val="center"/>
          </w:tcPr>
          <w:p>
            <w:pPr>
              <w:pStyle w:val="48"/>
              <w:spacing w:before="1" w:line="360" w:lineRule="auto"/>
              <w:ind w:right="146"/>
              <w:rPr>
                <w:color w:val="auto"/>
                <w:szCs w:val="21"/>
                <w:highlight w:val="none"/>
              </w:rPr>
            </w:pPr>
            <w:r>
              <w:rPr>
                <w:rFonts w:hint="eastAsia"/>
                <w:color w:val="auto"/>
                <w:szCs w:val="21"/>
                <w:highlight w:val="none"/>
              </w:rPr>
              <w:t>有依法缴纳税收和社会保障资金的良好记录</w:t>
            </w:r>
          </w:p>
        </w:tc>
        <w:tc>
          <w:tcPr>
            <w:tcW w:w="7423" w:type="dxa"/>
            <w:shd w:val="clear" w:color="auto" w:fill="F6F6F6"/>
            <w:vAlign w:val="center"/>
          </w:tcPr>
          <w:p>
            <w:pPr>
              <w:pStyle w:val="48"/>
              <w:spacing w:line="360" w:lineRule="auto"/>
              <w:ind w:left="64" w:right="63" w:firstLine="420" w:firstLineChars="200"/>
              <w:rPr>
                <w:color w:val="auto"/>
                <w:szCs w:val="21"/>
                <w:highlight w:val="none"/>
              </w:rPr>
            </w:pPr>
            <w:r>
              <w:rPr>
                <w:rFonts w:hint="eastAsia"/>
                <w:color w:val="auto"/>
                <w:szCs w:val="21"/>
                <w:highlight w:val="none"/>
              </w:rPr>
              <w:t>提供具有依法缴纳税收和</w:t>
            </w:r>
            <w:r>
              <w:rPr>
                <w:rFonts w:hint="eastAsia"/>
                <w:color w:val="auto"/>
                <w:sz w:val="24"/>
                <w:highlight w:val="none"/>
              </w:rPr>
              <w:t>社会保障资金证明</w:t>
            </w:r>
            <w:r>
              <w:rPr>
                <w:rFonts w:hint="eastAsia"/>
                <w:color w:val="auto"/>
                <w:szCs w:val="21"/>
                <w:highlight w:val="none"/>
              </w:rPr>
              <w:t>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vAlign w:val="center"/>
          </w:tcPr>
          <w:p>
            <w:pPr>
              <w:pStyle w:val="48"/>
              <w:spacing w:before="1" w:line="360" w:lineRule="auto"/>
              <w:ind w:right="146"/>
              <w:rPr>
                <w:color w:val="auto"/>
                <w:szCs w:val="21"/>
                <w:highlight w:val="none"/>
              </w:rPr>
            </w:pPr>
            <w:r>
              <w:rPr>
                <w:rFonts w:hint="eastAsia"/>
                <w:color w:val="auto"/>
                <w:szCs w:val="21"/>
                <w:highlight w:val="none"/>
              </w:rPr>
              <w:t>具有良好的商业信誉和健全的财务会计制度</w:t>
            </w:r>
          </w:p>
        </w:tc>
        <w:tc>
          <w:tcPr>
            <w:tcW w:w="7423" w:type="dxa"/>
            <w:vAlign w:val="center"/>
          </w:tcPr>
          <w:p>
            <w:pPr>
              <w:pStyle w:val="48"/>
              <w:spacing w:before="117" w:line="360" w:lineRule="auto"/>
              <w:ind w:firstLine="420" w:firstLineChars="200"/>
              <w:rPr>
                <w:color w:val="auto"/>
                <w:szCs w:val="21"/>
                <w:highlight w:val="none"/>
              </w:rPr>
            </w:pPr>
            <w:r>
              <w:rPr>
                <w:rFonts w:hint="eastAsia"/>
                <w:color w:val="auto"/>
                <w:szCs w:val="21"/>
                <w:highlight w:val="none"/>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F6F6F6"/>
            <w:vAlign w:val="center"/>
          </w:tcPr>
          <w:p>
            <w:pPr>
              <w:pStyle w:val="48"/>
              <w:spacing w:before="1" w:line="360" w:lineRule="auto"/>
              <w:ind w:right="146"/>
              <w:rPr>
                <w:color w:val="auto"/>
                <w:szCs w:val="21"/>
                <w:highlight w:val="none"/>
              </w:rPr>
            </w:pPr>
            <w:r>
              <w:rPr>
                <w:rFonts w:hint="eastAsia"/>
                <w:color w:val="auto"/>
                <w:szCs w:val="21"/>
                <w:highlight w:val="none"/>
              </w:rPr>
              <w:t>履行合同所必需的设备和专业技术能力</w:t>
            </w:r>
          </w:p>
        </w:tc>
        <w:tc>
          <w:tcPr>
            <w:tcW w:w="7423" w:type="dxa"/>
            <w:shd w:val="clear" w:color="auto" w:fill="F6F6F6"/>
            <w:vAlign w:val="center"/>
          </w:tcPr>
          <w:p>
            <w:pPr>
              <w:pStyle w:val="48"/>
              <w:spacing w:before="1" w:line="360" w:lineRule="auto"/>
              <w:ind w:left="64" w:firstLine="420" w:firstLineChars="200"/>
              <w:rPr>
                <w:color w:val="auto"/>
                <w:szCs w:val="21"/>
                <w:highlight w:val="none"/>
              </w:rPr>
            </w:pPr>
            <w:r>
              <w:rPr>
                <w:rFonts w:hint="eastAsia"/>
                <w:color w:val="auto"/>
                <w:szCs w:val="21"/>
                <w:highlight w:val="none"/>
              </w:rPr>
              <w:t>提供具有履行合同所必须的设备和专业技术能力的承诺函。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694" w:type="dxa"/>
            <w:vAlign w:val="center"/>
          </w:tcPr>
          <w:p>
            <w:pPr>
              <w:pStyle w:val="48"/>
              <w:spacing w:line="360" w:lineRule="auto"/>
              <w:ind w:right="146"/>
              <w:rPr>
                <w:color w:val="auto"/>
                <w:szCs w:val="21"/>
                <w:highlight w:val="none"/>
              </w:rPr>
            </w:pPr>
            <w:r>
              <w:rPr>
                <w:rFonts w:hint="eastAsia"/>
                <w:color w:val="auto"/>
                <w:szCs w:val="21"/>
                <w:highlight w:val="none"/>
              </w:rPr>
              <w:t>参加采购活动前</w:t>
            </w:r>
            <w:r>
              <w:rPr>
                <w:rFonts w:hint="eastAsia"/>
                <w:color w:val="auto"/>
                <w:w w:val="110"/>
                <w:szCs w:val="21"/>
                <w:highlight w:val="none"/>
              </w:rPr>
              <w:t>3</w:t>
            </w:r>
            <w:r>
              <w:rPr>
                <w:rFonts w:hint="eastAsia"/>
                <w:color w:val="auto"/>
                <w:szCs w:val="21"/>
                <w:highlight w:val="none"/>
              </w:rPr>
              <w:t>年内，在经营活动中没有重大违法记录</w:t>
            </w:r>
          </w:p>
        </w:tc>
        <w:tc>
          <w:tcPr>
            <w:tcW w:w="7423" w:type="dxa"/>
            <w:vAlign w:val="center"/>
          </w:tcPr>
          <w:p>
            <w:pPr>
              <w:pStyle w:val="48"/>
              <w:spacing w:before="48" w:line="360" w:lineRule="auto"/>
              <w:ind w:left="64" w:right="63" w:firstLine="420" w:firstLineChars="200"/>
              <w:rPr>
                <w:color w:val="auto"/>
                <w:szCs w:val="21"/>
                <w:highlight w:val="none"/>
              </w:rPr>
            </w:pPr>
            <w:r>
              <w:rPr>
                <w:rFonts w:hint="eastAsia"/>
                <w:color w:val="auto"/>
                <w:szCs w:val="21"/>
                <w:highlight w:val="none"/>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参与磋商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694" w:type="dxa"/>
            <w:vAlign w:val="center"/>
          </w:tcPr>
          <w:p>
            <w:pPr>
              <w:pStyle w:val="48"/>
              <w:spacing w:line="360" w:lineRule="auto"/>
              <w:ind w:right="146"/>
              <w:rPr>
                <w:color w:val="auto"/>
                <w:szCs w:val="21"/>
                <w:highlight w:val="none"/>
              </w:rPr>
            </w:pPr>
            <w:r>
              <w:rPr>
                <w:rFonts w:hint="eastAsia"/>
                <w:color w:val="auto"/>
                <w:szCs w:val="21"/>
                <w:highlight w:val="none"/>
              </w:rPr>
              <w:t>供应商必须符合法律、行政法规规定的其他条件</w:t>
            </w:r>
          </w:p>
        </w:tc>
        <w:tc>
          <w:tcPr>
            <w:tcW w:w="7423" w:type="dxa"/>
            <w:vAlign w:val="center"/>
          </w:tcPr>
          <w:p>
            <w:pPr>
              <w:pStyle w:val="48"/>
              <w:spacing w:before="48" w:line="360" w:lineRule="auto"/>
              <w:ind w:right="63" w:firstLine="420" w:firstLineChars="200"/>
              <w:rPr>
                <w:color w:val="auto"/>
                <w:spacing w:val="-3"/>
                <w:szCs w:val="21"/>
                <w:highlight w:val="none"/>
              </w:rPr>
            </w:pPr>
            <w:r>
              <w:rPr>
                <w:rFonts w:hint="eastAsia"/>
                <w:color w:val="auto"/>
                <w:szCs w:val="21"/>
                <w:highlight w:val="none"/>
              </w:rPr>
              <w:t>1.单位负责人为同一人或者存在直接控股、管理关系的不同供应商，不得参加同一合同项下的政府采购活动</w:t>
            </w:r>
            <w:r>
              <w:rPr>
                <w:rFonts w:hint="eastAsia"/>
                <w:color w:val="auto"/>
                <w:spacing w:val="-3"/>
                <w:szCs w:val="21"/>
                <w:highlight w:val="none"/>
              </w:rPr>
              <w:t>。</w:t>
            </w:r>
          </w:p>
          <w:p>
            <w:pPr>
              <w:pStyle w:val="48"/>
              <w:spacing w:before="48" w:line="360" w:lineRule="auto"/>
              <w:ind w:right="63" w:firstLine="408" w:firstLineChars="200"/>
              <w:rPr>
                <w:color w:val="auto"/>
                <w:szCs w:val="21"/>
                <w:highlight w:val="none"/>
              </w:rPr>
            </w:pPr>
            <w:r>
              <w:rPr>
                <w:rFonts w:hint="eastAsia"/>
                <w:color w:val="auto"/>
                <w:spacing w:val="-3"/>
                <w:szCs w:val="21"/>
                <w:highlight w:val="none"/>
              </w:rPr>
              <w:t>2.为本项目提供整体设计、规范编制或者项目管理、监理、检测等服务的供应商</w:t>
            </w:r>
            <w:r>
              <w:rPr>
                <w:rFonts w:hint="eastAsia"/>
                <w:color w:val="auto"/>
                <w:spacing w:val="1"/>
                <w:szCs w:val="21"/>
                <w:highlight w:val="none"/>
              </w:rPr>
              <w:t>，不得再参与本项目磋商。</w:t>
            </w:r>
          </w:p>
          <w:p>
            <w:pPr>
              <w:pStyle w:val="48"/>
              <w:spacing w:before="48" w:line="360" w:lineRule="auto"/>
              <w:ind w:left="64" w:right="63" w:firstLine="424" w:firstLineChars="200"/>
              <w:rPr>
                <w:color w:val="auto"/>
                <w:szCs w:val="21"/>
                <w:highlight w:val="none"/>
              </w:rPr>
            </w:pPr>
            <w:r>
              <w:rPr>
                <w:rFonts w:hint="eastAsia"/>
                <w:color w:val="auto"/>
                <w:spacing w:val="1"/>
                <w:szCs w:val="21"/>
                <w:highlight w:val="none"/>
              </w:rPr>
              <w:t>3.</w:t>
            </w:r>
            <w:r>
              <w:rPr>
                <w:rFonts w:hint="eastAsia"/>
                <w:color w:val="auto"/>
                <w:szCs w:val="21"/>
                <w:highlight w:val="none"/>
              </w:rPr>
              <w:t>相关承诺要求内容。（以联合体形式参与磋商时，联合体各方均须满足该条款）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694" w:type="dxa"/>
            <w:shd w:val="clear" w:color="auto" w:fill="F6F6F6"/>
            <w:vAlign w:val="center"/>
          </w:tcPr>
          <w:p>
            <w:pPr>
              <w:pStyle w:val="48"/>
              <w:spacing w:before="48" w:line="360" w:lineRule="auto"/>
              <w:ind w:left="64"/>
              <w:rPr>
                <w:color w:val="auto"/>
                <w:szCs w:val="21"/>
                <w:highlight w:val="none"/>
              </w:rPr>
            </w:pPr>
            <w:r>
              <w:rPr>
                <w:rFonts w:hint="eastAsia"/>
                <w:color w:val="auto"/>
                <w:szCs w:val="21"/>
                <w:highlight w:val="none"/>
              </w:rPr>
              <w:t>联合体参与磋商</w:t>
            </w:r>
          </w:p>
        </w:tc>
        <w:tc>
          <w:tcPr>
            <w:tcW w:w="7423" w:type="dxa"/>
            <w:shd w:val="clear" w:color="auto" w:fill="F6F6F6"/>
            <w:vAlign w:val="center"/>
          </w:tcPr>
          <w:p>
            <w:pPr>
              <w:pStyle w:val="48"/>
              <w:spacing w:before="48" w:line="360" w:lineRule="auto"/>
              <w:ind w:left="64" w:firstLine="420" w:firstLineChars="200"/>
              <w:rPr>
                <w:color w:val="auto"/>
                <w:szCs w:val="21"/>
                <w:highlight w:val="none"/>
              </w:rPr>
            </w:pPr>
            <w:r>
              <w:rPr>
                <w:rFonts w:hint="eastAsia"/>
                <w:color w:val="auto"/>
                <w:szCs w:val="21"/>
                <w:highlight w:val="none"/>
              </w:rPr>
              <w:t>本项目不接受联合体参与磋商。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vAlign w:val="center"/>
          </w:tcPr>
          <w:p>
            <w:pPr>
              <w:pStyle w:val="48"/>
              <w:spacing w:line="360" w:lineRule="auto"/>
              <w:ind w:right="146"/>
              <w:rPr>
                <w:color w:val="auto"/>
                <w:szCs w:val="21"/>
                <w:highlight w:val="none"/>
              </w:rPr>
            </w:pPr>
            <w:r>
              <w:rPr>
                <w:rFonts w:hint="eastAsia"/>
                <w:color w:val="auto"/>
                <w:szCs w:val="21"/>
                <w:highlight w:val="none"/>
              </w:rPr>
              <w:t>资质</w:t>
            </w:r>
          </w:p>
        </w:tc>
        <w:tc>
          <w:tcPr>
            <w:tcW w:w="7423" w:type="dxa"/>
            <w:vAlign w:val="center"/>
          </w:tcPr>
          <w:p>
            <w:pPr>
              <w:pStyle w:val="48"/>
              <w:spacing w:before="48" w:line="360" w:lineRule="auto"/>
              <w:ind w:firstLine="420" w:firstLineChars="200"/>
              <w:rPr>
                <w:color w:val="auto"/>
                <w:szCs w:val="21"/>
                <w:highlight w:val="none"/>
              </w:rPr>
            </w:pPr>
            <w:r>
              <w:rPr>
                <w:rFonts w:hint="eastAsia"/>
                <w:color w:val="auto"/>
                <w:szCs w:val="21"/>
                <w:highlight w:val="none"/>
              </w:rPr>
              <w:t>城乡规划</w:t>
            </w:r>
            <w:r>
              <w:rPr>
                <w:rFonts w:hint="eastAsia"/>
                <w:color w:val="auto"/>
                <w:szCs w:val="21"/>
                <w:highlight w:val="none"/>
                <w:lang w:val="en-US" w:eastAsia="zh-CN"/>
              </w:rPr>
              <w:t>编制乙</w:t>
            </w:r>
            <w:r>
              <w:rPr>
                <w:rFonts w:hint="eastAsia"/>
                <w:color w:val="auto"/>
                <w:szCs w:val="21"/>
                <w:highlight w:val="none"/>
              </w:rPr>
              <w:t>级资质</w:t>
            </w:r>
            <w:r>
              <w:rPr>
                <w:rFonts w:hint="eastAsia"/>
                <w:color w:val="auto"/>
                <w:szCs w:val="21"/>
                <w:highlight w:val="none"/>
                <w:lang w:val="en-US" w:eastAsia="zh-CN"/>
              </w:rPr>
              <w:t>及以上证书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F6F6F6"/>
            <w:vAlign w:val="center"/>
          </w:tcPr>
          <w:p>
            <w:pPr>
              <w:pStyle w:val="48"/>
              <w:spacing w:line="360" w:lineRule="auto"/>
              <w:ind w:right="146"/>
              <w:rPr>
                <w:color w:val="auto"/>
                <w:szCs w:val="21"/>
                <w:highlight w:val="none"/>
              </w:rPr>
            </w:pPr>
            <w:r>
              <w:rPr>
                <w:rFonts w:hint="eastAsia"/>
                <w:color w:val="auto"/>
                <w:szCs w:val="21"/>
                <w:highlight w:val="none"/>
              </w:rPr>
              <w:t>落实政府采购政策需满足的资格要求</w:t>
            </w:r>
          </w:p>
        </w:tc>
        <w:tc>
          <w:tcPr>
            <w:tcW w:w="7423" w:type="dxa"/>
            <w:shd w:val="clear" w:color="auto" w:fill="F6F6F6"/>
            <w:vAlign w:val="center"/>
          </w:tcPr>
          <w:p>
            <w:pPr>
              <w:pStyle w:val="48"/>
              <w:spacing w:before="10" w:line="360" w:lineRule="auto"/>
              <w:rPr>
                <w:color w:val="auto"/>
                <w:szCs w:val="21"/>
                <w:highlight w:val="none"/>
              </w:rPr>
            </w:pPr>
          </w:p>
          <w:p>
            <w:pPr>
              <w:pStyle w:val="48"/>
              <w:spacing w:before="1" w:line="360" w:lineRule="auto"/>
              <w:ind w:left="64"/>
              <w:rPr>
                <w:rFonts w:hint="eastAsia" w:eastAsia="宋体"/>
                <w:color w:val="auto"/>
                <w:szCs w:val="21"/>
                <w:highlight w:val="none"/>
                <w:lang w:eastAsia="zh-CN"/>
              </w:rPr>
            </w:pPr>
            <w:r>
              <w:rPr>
                <w:rFonts w:hint="eastAsia"/>
                <w:color w:val="auto"/>
                <w:highlight w:val="none"/>
                <w:lang w:val="en-US" w:eastAsia="zh-CN"/>
              </w:rPr>
              <w:t>/</w:t>
            </w:r>
          </w:p>
        </w:tc>
      </w:tr>
    </w:tbl>
    <w:p>
      <w:pPr>
        <w:pStyle w:val="8"/>
        <w:spacing w:line="360" w:lineRule="auto"/>
        <w:ind w:firstLine="422" w:firstLineChars="200"/>
        <w:jc w:val="both"/>
        <w:rPr>
          <w:rFonts w:asciiTheme="minorEastAsia" w:hAnsiTheme="minorEastAsia" w:eastAsiaTheme="minorEastAsia"/>
          <w:b/>
          <w:bCs/>
          <w:color w:val="auto"/>
          <w:highlight w:val="none"/>
        </w:rPr>
      </w:pPr>
    </w:p>
    <w:p>
      <w:pPr>
        <w:pStyle w:val="8"/>
        <w:spacing w:line="360" w:lineRule="auto"/>
        <w:ind w:firstLine="422" w:firstLineChars="200"/>
        <w:jc w:val="both"/>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（二）</w:t>
      </w:r>
      <w:r>
        <w:rPr>
          <w:rFonts w:asciiTheme="minorEastAsia" w:hAnsiTheme="minorEastAsia" w:eastAsiaTheme="minorEastAsia"/>
          <w:b/>
          <w:bCs/>
          <w:color w:val="auto"/>
          <w:highlight w:val="none"/>
        </w:rPr>
        <w:t>符合性审查</w:t>
      </w:r>
    </w:p>
    <w:p>
      <w:pPr>
        <w:pStyle w:val="8"/>
        <w:spacing w:line="360" w:lineRule="auto"/>
        <w:ind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stheme="minorBidi"/>
          <w:color w:val="auto"/>
          <w:sz w:val="24"/>
          <w:highlight w:val="none"/>
        </w:rPr>
        <w:t>磋商小组</w:t>
      </w:r>
      <w:r>
        <w:rPr>
          <w:rFonts w:asciiTheme="minorEastAsia" w:hAnsiTheme="minorEastAsia" w:eastAsiaTheme="minorEastAsia"/>
          <w:color w:val="auto"/>
          <w:sz w:val="24"/>
          <w:highlight w:val="none"/>
        </w:rPr>
        <w:t>应当对符合资格的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磋商响应</w:t>
      </w:r>
      <w:r>
        <w:rPr>
          <w:rFonts w:asciiTheme="minorEastAsia" w:hAnsiTheme="minorEastAsia" w:eastAsiaTheme="minorEastAsia"/>
          <w:color w:val="auto"/>
          <w:sz w:val="24"/>
          <w:highlight w:val="none"/>
        </w:rPr>
        <w:t>文件进行符合性审查，以确定其是否满足</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文件的实质性要求，对审查发现无效的进行必要的询标，</w:t>
      </w:r>
      <w:r>
        <w:rPr>
          <w:rFonts w:hint="eastAsia"/>
          <w:color w:val="auto"/>
          <w:sz w:val="24"/>
          <w:highlight w:val="none"/>
        </w:rPr>
        <w:t>对</w:t>
      </w:r>
      <w:r>
        <w:rPr>
          <w:rFonts w:asciiTheme="minorEastAsia" w:hAnsiTheme="minorEastAsia" w:eastAsiaTheme="minorEastAsia"/>
          <w:color w:val="auto"/>
          <w:sz w:val="24"/>
          <w:highlight w:val="none"/>
        </w:rPr>
        <w:t>无效</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名单</w:t>
      </w:r>
      <w:r>
        <w:rPr>
          <w:rFonts w:hint="eastAsia" w:asciiTheme="minorEastAsia" w:hAnsiTheme="minorEastAsia" w:eastAsiaTheme="minorEastAsia"/>
          <w:color w:val="auto"/>
          <w:sz w:val="24"/>
          <w:highlight w:val="none"/>
        </w:rPr>
        <w:t>及响应</w:t>
      </w:r>
      <w:r>
        <w:rPr>
          <w:rFonts w:asciiTheme="minorEastAsia" w:hAnsiTheme="minorEastAsia" w:eastAsiaTheme="minorEastAsia"/>
          <w:color w:val="auto"/>
          <w:sz w:val="24"/>
          <w:highlight w:val="none"/>
        </w:rPr>
        <w:t>无效原因</w:t>
      </w:r>
      <w:r>
        <w:rPr>
          <w:rFonts w:hint="eastAsia" w:asciiTheme="minorEastAsia" w:hAnsiTheme="minorEastAsia" w:eastAsiaTheme="minorEastAsia"/>
          <w:color w:val="auto"/>
          <w:sz w:val="24"/>
          <w:highlight w:val="none"/>
        </w:rPr>
        <w:t>的公布方式同上。</w:t>
      </w:r>
    </w:p>
    <w:tbl>
      <w:tblPr>
        <w:tblStyle w:val="22"/>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vAlign w:val="center"/>
          </w:tcPr>
          <w:p>
            <w:pPr>
              <w:pStyle w:val="48"/>
              <w:spacing w:line="360" w:lineRule="auto"/>
              <w:ind w:right="146"/>
              <w:rPr>
                <w:color w:val="auto"/>
                <w:szCs w:val="21"/>
                <w:highlight w:val="none"/>
              </w:rPr>
            </w:pPr>
            <w:r>
              <w:rPr>
                <w:rFonts w:hint="eastAsia"/>
                <w:color w:val="auto"/>
                <w:szCs w:val="21"/>
                <w:highlight w:val="none"/>
              </w:rPr>
              <w:t>磋商响应文件</w:t>
            </w:r>
          </w:p>
        </w:tc>
        <w:tc>
          <w:tcPr>
            <w:tcW w:w="7476" w:type="dxa"/>
            <w:vAlign w:val="center"/>
          </w:tcPr>
          <w:p>
            <w:pPr>
              <w:pStyle w:val="48"/>
              <w:spacing w:before="48" w:line="360" w:lineRule="auto"/>
              <w:rPr>
                <w:color w:val="auto"/>
                <w:szCs w:val="21"/>
                <w:highlight w:val="none"/>
              </w:rPr>
            </w:pPr>
            <w:r>
              <w:rPr>
                <w:rFonts w:hint="eastAsia"/>
                <w:color w:val="auto"/>
                <w:szCs w:val="21"/>
                <w:highlight w:val="none"/>
              </w:rPr>
              <w:t>磋商响应文件完整且编排有序，磋商内容基本完整，无重大错漏，并按要求签署、盖章。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shd w:val="clear" w:color="auto" w:fill="F6F6F6"/>
            <w:vAlign w:val="center"/>
          </w:tcPr>
          <w:p>
            <w:pPr>
              <w:pStyle w:val="48"/>
              <w:spacing w:line="360" w:lineRule="auto"/>
              <w:ind w:right="146"/>
              <w:rPr>
                <w:color w:val="auto"/>
                <w:szCs w:val="21"/>
                <w:highlight w:val="none"/>
              </w:rPr>
            </w:pPr>
            <w:r>
              <w:rPr>
                <w:rFonts w:hint="eastAsia"/>
                <w:color w:val="auto"/>
                <w:szCs w:val="21"/>
                <w:highlight w:val="none"/>
              </w:rPr>
              <w:t>法定代表人/负责人资格证明书及授权委托书</w:t>
            </w:r>
          </w:p>
        </w:tc>
        <w:tc>
          <w:tcPr>
            <w:tcW w:w="7476" w:type="dxa"/>
            <w:shd w:val="clear" w:color="auto" w:fill="F6F6F6"/>
            <w:vAlign w:val="center"/>
          </w:tcPr>
          <w:p>
            <w:pPr>
              <w:pStyle w:val="48"/>
              <w:spacing w:before="48" w:line="360" w:lineRule="auto"/>
              <w:rPr>
                <w:color w:val="auto"/>
                <w:szCs w:val="21"/>
                <w:highlight w:val="none"/>
              </w:rPr>
            </w:pPr>
            <w:r>
              <w:rPr>
                <w:rFonts w:hint="eastAsia"/>
                <w:color w:val="auto"/>
                <w:szCs w:val="21"/>
                <w:highlight w:val="none"/>
              </w:rPr>
              <w:t>法定代表人/负责人资格证明书及授权委托书，按对应格式文件签署、盖章。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pPr>
              <w:pStyle w:val="48"/>
              <w:spacing w:line="360" w:lineRule="auto"/>
              <w:ind w:right="146"/>
              <w:rPr>
                <w:color w:val="auto"/>
                <w:szCs w:val="21"/>
                <w:highlight w:val="none"/>
              </w:rPr>
            </w:pPr>
            <w:r>
              <w:rPr>
                <w:rFonts w:hint="eastAsia"/>
                <w:color w:val="auto"/>
                <w:szCs w:val="21"/>
                <w:highlight w:val="none"/>
              </w:rPr>
              <w:t>“▲”实质性条款</w:t>
            </w:r>
          </w:p>
        </w:tc>
        <w:tc>
          <w:tcPr>
            <w:tcW w:w="7476" w:type="dxa"/>
            <w:vAlign w:val="center"/>
          </w:tcPr>
          <w:p>
            <w:pPr>
              <w:pStyle w:val="48"/>
              <w:spacing w:before="48" w:line="360" w:lineRule="auto"/>
              <w:rPr>
                <w:color w:val="auto"/>
                <w:szCs w:val="21"/>
                <w:highlight w:val="none"/>
              </w:rPr>
            </w:pPr>
            <w:r>
              <w:rPr>
                <w:rFonts w:hint="eastAsia"/>
                <w:color w:val="auto"/>
                <w:szCs w:val="21"/>
                <w:highlight w:val="none"/>
              </w:rPr>
              <w:t>“▲”实质性条款满足磋商文件要求。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F6F6F6"/>
            <w:vAlign w:val="center"/>
          </w:tcPr>
          <w:p>
            <w:pPr>
              <w:pStyle w:val="48"/>
              <w:spacing w:line="360" w:lineRule="auto"/>
              <w:ind w:right="146"/>
              <w:rPr>
                <w:color w:val="auto"/>
                <w:szCs w:val="21"/>
                <w:highlight w:val="none"/>
              </w:rPr>
            </w:pPr>
            <w:r>
              <w:rPr>
                <w:rFonts w:hint="eastAsia"/>
                <w:color w:val="auto"/>
                <w:szCs w:val="21"/>
                <w:highlight w:val="none"/>
              </w:rPr>
              <w:t>磋商响应有效期</w:t>
            </w:r>
          </w:p>
        </w:tc>
        <w:tc>
          <w:tcPr>
            <w:tcW w:w="7476" w:type="dxa"/>
            <w:shd w:val="clear" w:color="auto" w:fill="F6F6F6"/>
            <w:vAlign w:val="center"/>
          </w:tcPr>
          <w:p>
            <w:pPr>
              <w:pStyle w:val="48"/>
              <w:spacing w:before="48" w:line="360" w:lineRule="auto"/>
              <w:rPr>
                <w:color w:val="auto"/>
                <w:szCs w:val="21"/>
                <w:highlight w:val="none"/>
              </w:rPr>
            </w:pPr>
            <w:r>
              <w:rPr>
                <w:rFonts w:hint="eastAsia"/>
                <w:color w:val="auto"/>
                <w:szCs w:val="21"/>
                <w:highlight w:val="none"/>
              </w:rPr>
              <w:t>磋商有效期为磋商截止日起至少90天。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pPr>
              <w:pStyle w:val="48"/>
              <w:spacing w:line="360" w:lineRule="auto"/>
              <w:ind w:right="146"/>
              <w:rPr>
                <w:color w:val="auto"/>
                <w:szCs w:val="21"/>
                <w:highlight w:val="none"/>
              </w:rPr>
            </w:pPr>
            <w:r>
              <w:rPr>
                <w:rFonts w:hint="eastAsia"/>
                <w:color w:val="auto"/>
                <w:szCs w:val="21"/>
                <w:highlight w:val="none"/>
              </w:rPr>
              <w:t>附加条件</w:t>
            </w:r>
          </w:p>
        </w:tc>
        <w:tc>
          <w:tcPr>
            <w:tcW w:w="7476" w:type="dxa"/>
            <w:vAlign w:val="center"/>
          </w:tcPr>
          <w:p>
            <w:pPr>
              <w:pStyle w:val="48"/>
              <w:spacing w:before="48" w:line="360" w:lineRule="auto"/>
              <w:rPr>
                <w:color w:val="auto"/>
                <w:szCs w:val="21"/>
                <w:highlight w:val="none"/>
              </w:rPr>
            </w:pPr>
            <w:r>
              <w:rPr>
                <w:rFonts w:hint="eastAsia"/>
                <w:color w:val="auto"/>
                <w:szCs w:val="21"/>
                <w:highlight w:val="none"/>
              </w:rPr>
              <w:t>磋商响应文件未含有采购人不可接受的附加条件。</w:t>
            </w:r>
          </w:p>
        </w:tc>
      </w:tr>
    </w:tbl>
    <w:p>
      <w:pPr>
        <w:autoSpaceDE w:val="0"/>
        <w:autoSpaceDN w:val="0"/>
        <w:spacing w:line="360" w:lineRule="auto"/>
        <w:rPr>
          <w:rFonts w:asciiTheme="minorEastAsia" w:hAnsiTheme="minorEastAsia" w:eastAsiaTheme="minorEastAsia"/>
          <w:b/>
          <w:bCs/>
          <w:color w:val="auto"/>
          <w:kern w:val="0"/>
          <w:sz w:val="24"/>
          <w:highlight w:val="none"/>
        </w:rPr>
      </w:pPr>
    </w:p>
    <w:p>
      <w:pPr>
        <w:autoSpaceDE w:val="0"/>
        <w:autoSpaceDN w:val="0"/>
        <w:spacing w:line="360" w:lineRule="auto"/>
        <w:ind w:firstLine="482"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（三）</w:t>
      </w:r>
      <w:r>
        <w:rPr>
          <w:rFonts w:hint="eastAsia" w:asciiTheme="minorEastAsia" w:hAnsiTheme="minorEastAsia" w:eastAsiaTheme="minorEastAsia"/>
          <w:b/>
          <w:bCs/>
          <w:color w:val="auto"/>
          <w:sz w:val="24"/>
          <w:highlight w:val="none"/>
        </w:rPr>
        <w:t>商务技术及价格评审</w:t>
      </w:r>
    </w:p>
    <w:p>
      <w:pPr>
        <w:autoSpaceDE w:val="0"/>
        <w:autoSpaceDN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项目评审方法为综合评分法，总计100分，评</w:t>
      </w:r>
      <w:r>
        <w:rPr>
          <w:rFonts w:hint="eastAsia" w:asciiTheme="minorEastAsia" w:hAnsiTheme="minorEastAsia" w:eastAsiaTheme="minorEastAsia"/>
          <w:color w:val="auto"/>
          <w:sz w:val="24"/>
          <w:highlight w:val="none"/>
        </w:rPr>
        <w:t>审</w:t>
      </w:r>
      <w:r>
        <w:rPr>
          <w:rFonts w:hint="eastAsia" w:asciiTheme="minorEastAsia" w:hAnsiTheme="minorEastAsia" w:eastAsiaTheme="minorEastAsia"/>
          <w:color w:val="auto"/>
          <w:kern w:val="0"/>
          <w:sz w:val="24"/>
          <w:highlight w:val="none"/>
        </w:rPr>
        <w:t>按以下标准及要求进行：</w:t>
      </w:r>
    </w:p>
    <w:p>
      <w:pPr>
        <w:autoSpaceDE w:val="0"/>
        <w:autoSpaceDN w:val="0"/>
        <w:adjustRightInd w:val="0"/>
        <w:spacing w:line="360" w:lineRule="auto"/>
        <w:ind w:right="85" w:firstLine="482" w:firstLineChars="200"/>
        <w:rPr>
          <w:color w:val="auto"/>
          <w:sz w:val="24"/>
          <w:highlight w:val="none"/>
        </w:rPr>
      </w:pPr>
      <w:r>
        <w:rPr>
          <w:rFonts w:hint="eastAsia" w:ascii="宋体"/>
          <w:b/>
          <w:bCs/>
          <w:color w:val="auto"/>
          <w:sz w:val="24"/>
          <w:highlight w:val="none"/>
        </w:rPr>
        <w:t>1.评分标准</w:t>
      </w:r>
    </w:p>
    <w:tbl>
      <w:tblPr>
        <w:tblStyle w:val="22"/>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7068"/>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86" w:type="dxa"/>
            <w:shd w:val="clear" w:color="auto" w:fill="BEBEBE" w:themeFill="background1" w:themeFillShade="BF"/>
            <w:vAlign w:val="center"/>
          </w:tcPr>
          <w:p>
            <w:pPr>
              <w:jc w:val="center"/>
              <w:rPr>
                <w:b/>
                <w:color w:val="auto"/>
                <w:szCs w:val="18"/>
                <w:highlight w:val="none"/>
              </w:rPr>
            </w:pPr>
            <w:r>
              <w:rPr>
                <w:rFonts w:hint="eastAsia"/>
                <w:b/>
                <w:color w:val="auto"/>
                <w:szCs w:val="18"/>
                <w:highlight w:val="none"/>
              </w:rPr>
              <w:t>评分项目</w:t>
            </w:r>
          </w:p>
        </w:tc>
        <w:tc>
          <w:tcPr>
            <w:tcW w:w="7068" w:type="dxa"/>
            <w:shd w:val="clear" w:color="auto" w:fill="BEBEBE" w:themeFill="background1" w:themeFillShade="BF"/>
            <w:vAlign w:val="center"/>
          </w:tcPr>
          <w:p>
            <w:pPr>
              <w:jc w:val="center"/>
              <w:rPr>
                <w:b/>
                <w:color w:val="auto"/>
                <w:szCs w:val="18"/>
                <w:highlight w:val="none"/>
              </w:rPr>
            </w:pPr>
            <w:r>
              <w:rPr>
                <w:rFonts w:hint="eastAsia"/>
                <w:b/>
                <w:color w:val="auto"/>
                <w:szCs w:val="18"/>
                <w:highlight w:val="none"/>
              </w:rPr>
              <w:t>评分细则</w:t>
            </w:r>
          </w:p>
        </w:tc>
        <w:tc>
          <w:tcPr>
            <w:tcW w:w="664" w:type="dxa"/>
            <w:shd w:val="clear" w:color="auto" w:fill="BEBEBE" w:themeFill="background1" w:themeFillShade="BF"/>
            <w:vAlign w:val="center"/>
          </w:tcPr>
          <w:p>
            <w:pPr>
              <w:jc w:val="center"/>
              <w:rPr>
                <w:b/>
                <w:color w:val="auto"/>
                <w:szCs w:val="18"/>
                <w:highlight w:val="none"/>
              </w:rPr>
            </w:pPr>
            <w:r>
              <w:rPr>
                <w:rFonts w:hint="eastAsia"/>
                <w:b/>
                <w:color w:val="auto"/>
                <w:szCs w:val="1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286" w:type="dxa"/>
            <w:vAlign w:val="center"/>
          </w:tcPr>
          <w:p>
            <w:pPr>
              <w:jc w:val="center"/>
              <w:rPr>
                <w:rFonts w:asciiTheme="minorEastAsia" w:hAnsiTheme="minorEastAsia" w:eastAsiaTheme="minorEastAsia"/>
                <w:color w:val="auto"/>
                <w:szCs w:val="21"/>
                <w:highlight w:val="none"/>
              </w:rPr>
            </w:pPr>
            <w:r>
              <w:rPr>
                <w:rFonts w:hint="eastAsia" w:ascii="宋体" w:hAnsi="宋体" w:cs="宋体"/>
                <w:color w:val="auto"/>
                <w:szCs w:val="21"/>
                <w:highlight w:val="none"/>
              </w:rPr>
              <w:t>磋商供应商业绩</w:t>
            </w:r>
          </w:p>
        </w:tc>
        <w:tc>
          <w:tcPr>
            <w:tcW w:w="7068" w:type="dxa"/>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磋商供应商自2017年1月1日以来承接过类似项目（道路改造提升类）设计业绩，每提供一个业绩得0.5分，本项最高得1分。</w:t>
            </w:r>
          </w:p>
          <w:p>
            <w:pPr>
              <w:jc w:val="lef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val="en-US" w:eastAsia="zh-CN"/>
              </w:rPr>
              <w:t>（须上传</w:t>
            </w:r>
            <w:r>
              <w:rPr>
                <w:rFonts w:hint="eastAsia" w:asciiTheme="minorEastAsia" w:hAnsiTheme="minorEastAsia" w:eastAsiaTheme="minorEastAsia"/>
                <w:color w:val="auto"/>
                <w:szCs w:val="21"/>
                <w:highlight w:val="none"/>
              </w:rPr>
              <w:t>合同或中标通知书的</w:t>
            </w:r>
            <w:r>
              <w:rPr>
                <w:rFonts w:hint="eastAsia" w:asciiTheme="minorEastAsia" w:hAnsiTheme="minorEastAsia" w:eastAsiaTheme="minorEastAsia"/>
                <w:color w:val="auto"/>
                <w:szCs w:val="21"/>
                <w:highlight w:val="none"/>
                <w:lang w:val="en-US" w:eastAsia="zh-CN"/>
              </w:rPr>
              <w:t>清晰</w:t>
            </w:r>
            <w:r>
              <w:rPr>
                <w:rFonts w:hint="eastAsia" w:asciiTheme="minorEastAsia" w:hAnsiTheme="minorEastAsia" w:eastAsiaTheme="minorEastAsia"/>
                <w:color w:val="auto"/>
                <w:szCs w:val="21"/>
                <w:highlight w:val="none"/>
              </w:rPr>
              <w:t>扫描件，业绩时间以签订合同或中标通知书时间为准。</w:t>
            </w:r>
            <w:r>
              <w:rPr>
                <w:rFonts w:hint="eastAsia" w:asciiTheme="minorEastAsia" w:hAnsiTheme="minorEastAsia" w:eastAsiaTheme="minorEastAsia"/>
                <w:color w:val="auto"/>
                <w:szCs w:val="21"/>
                <w:highlight w:val="none"/>
                <w:lang w:eastAsia="zh-CN"/>
              </w:rPr>
              <w:t>）</w:t>
            </w:r>
          </w:p>
        </w:tc>
        <w:tc>
          <w:tcPr>
            <w:tcW w:w="664"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286" w:type="dxa"/>
            <w:vMerge w:val="restart"/>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项目组人员素质和经验</w:t>
            </w:r>
          </w:p>
        </w:tc>
        <w:tc>
          <w:tcPr>
            <w:tcW w:w="7068" w:type="dxa"/>
            <w:vAlign w:val="center"/>
          </w:tcPr>
          <w:p>
            <w:pPr>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投入的项目负责人同时具备国家</w:t>
            </w:r>
            <w:r>
              <w:rPr>
                <w:rFonts w:hint="eastAsia" w:ascii="宋体" w:hAnsi="宋体" w:cs="宋体"/>
                <w:color w:val="auto"/>
                <w:szCs w:val="21"/>
                <w:highlight w:val="none"/>
              </w:rPr>
              <w:t>注册土木工程师（道路工程）</w:t>
            </w:r>
            <w:r>
              <w:rPr>
                <w:rFonts w:hint="eastAsia" w:asciiTheme="minorEastAsia" w:hAnsiTheme="minorEastAsia" w:eastAsiaTheme="minorEastAsia"/>
                <w:color w:val="auto"/>
                <w:szCs w:val="21"/>
                <w:highlight w:val="none"/>
              </w:rPr>
              <w:t>资格和高级工程师职称</w:t>
            </w:r>
            <w:r>
              <w:rPr>
                <w:rFonts w:hint="eastAsia" w:ascii="宋体" w:hAnsi="宋体" w:cs="宋体"/>
                <w:color w:val="auto"/>
                <w:szCs w:val="21"/>
                <w:highlight w:val="none"/>
              </w:rPr>
              <w:t>（道路或道桥专业）</w:t>
            </w:r>
            <w:r>
              <w:rPr>
                <w:rFonts w:hint="eastAsia" w:ascii="宋体" w:hAnsi="宋体" w:cs="宋体"/>
                <w:color w:val="auto"/>
                <w:szCs w:val="21"/>
                <w:highlight w:val="none"/>
                <w:lang w:val="en-US" w:eastAsia="zh-CN"/>
              </w:rPr>
              <w:t>及以上</w:t>
            </w:r>
            <w:r>
              <w:rPr>
                <w:rFonts w:hint="eastAsia" w:asciiTheme="minorEastAsia" w:hAnsiTheme="minorEastAsia" w:eastAsiaTheme="minorEastAsia"/>
                <w:color w:val="auto"/>
                <w:szCs w:val="21"/>
                <w:highlight w:val="none"/>
              </w:rPr>
              <w:t>的，得5分；否则不得分。</w:t>
            </w:r>
          </w:p>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（须上传</w:t>
            </w:r>
            <w:r>
              <w:rPr>
                <w:rFonts w:hint="eastAsia" w:asciiTheme="minorEastAsia" w:hAnsiTheme="minorEastAsia" w:eastAsiaTheme="minorEastAsia"/>
                <w:color w:val="auto"/>
                <w:szCs w:val="21"/>
                <w:highlight w:val="none"/>
              </w:rPr>
              <w:t>人员相关证书的</w:t>
            </w:r>
            <w:r>
              <w:rPr>
                <w:rFonts w:hint="eastAsia" w:asciiTheme="minorEastAsia" w:hAnsiTheme="minorEastAsia" w:eastAsiaTheme="minorEastAsia"/>
                <w:color w:val="auto"/>
                <w:szCs w:val="21"/>
                <w:highlight w:val="none"/>
                <w:lang w:val="en-US" w:eastAsia="zh-CN"/>
              </w:rPr>
              <w:t>清晰</w:t>
            </w:r>
            <w:r>
              <w:rPr>
                <w:rFonts w:hint="eastAsia" w:asciiTheme="minorEastAsia" w:hAnsiTheme="minorEastAsia" w:eastAsiaTheme="minorEastAsia"/>
                <w:color w:val="auto"/>
                <w:szCs w:val="21"/>
                <w:highlight w:val="none"/>
              </w:rPr>
              <w:t>扫描件及</w:t>
            </w:r>
            <w:r>
              <w:rPr>
                <w:rFonts w:hint="eastAsia" w:asciiTheme="minorEastAsia" w:hAnsiTheme="minorEastAsia" w:eastAsiaTheme="minorEastAsia"/>
                <w:color w:val="auto"/>
                <w:szCs w:val="21"/>
                <w:highlight w:val="none"/>
                <w:lang w:val="en-US" w:eastAsia="zh-CN"/>
              </w:rPr>
              <w:t>在供应商缴纳的</w:t>
            </w:r>
            <w:r>
              <w:rPr>
                <w:rFonts w:hint="eastAsia" w:asciiTheme="minorEastAsia" w:hAnsiTheme="minorEastAsia" w:eastAsiaTheme="minorEastAsia"/>
                <w:color w:val="auto"/>
                <w:szCs w:val="21"/>
                <w:highlight w:val="none"/>
              </w:rPr>
              <w:t>近三个月其中一个月的社保证明</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w:t>
            </w:r>
          </w:p>
        </w:tc>
        <w:tc>
          <w:tcPr>
            <w:tcW w:w="664"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286" w:type="dxa"/>
            <w:vMerge w:val="continue"/>
            <w:vAlign w:val="center"/>
          </w:tcPr>
          <w:p>
            <w:pPr>
              <w:jc w:val="center"/>
              <w:rPr>
                <w:rFonts w:asciiTheme="minorEastAsia" w:hAnsiTheme="minorEastAsia" w:eastAsiaTheme="minorEastAsia"/>
                <w:color w:val="auto"/>
                <w:szCs w:val="21"/>
                <w:highlight w:val="none"/>
              </w:rPr>
            </w:pPr>
          </w:p>
        </w:tc>
        <w:tc>
          <w:tcPr>
            <w:tcW w:w="7068" w:type="dxa"/>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项目组成员（除项目负责人外）中[道路、给排水、风景园林、造价工程]专业人员配备为：具有高级职称</w:t>
            </w:r>
            <w:r>
              <w:rPr>
                <w:rFonts w:hint="eastAsia" w:asciiTheme="minorEastAsia" w:hAnsiTheme="minorEastAsia" w:eastAsiaTheme="minorEastAsia"/>
                <w:color w:val="auto"/>
                <w:szCs w:val="21"/>
                <w:highlight w:val="none"/>
                <w:lang w:val="en-US" w:eastAsia="zh-CN"/>
              </w:rPr>
              <w:t>及以上</w:t>
            </w:r>
            <w:r>
              <w:rPr>
                <w:rFonts w:hint="eastAsia" w:asciiTheme="minorEastAsia" w:hAnsiTheme="minorEastAsia" w:eastAsiaTheme="minorEastAsia"/>
                <w:color w:val="auto"/>
                <w:szCs w:val="21"/>
                <w:highlight w:val="none"/>
              </w:rPr>
              <w:t>或相关专业注册类证书的</w:t>
            </w:r>
            <w:r>
              <w:rPr>
                <w:rFonts w:hint="eastAsia" w:asciiTheme="minorEastAsia" w:hAnsiTheme="minorEastAsia" w:eastAsiaTheme="minorEastAsia"/>
                <w:color w:val="auto"/>
                <w:szCs w:val="21"/>
                <w:highlight w:val="none"/>
                <w:lang w:val="en-US" w:eastAsia="zh-CN"/>
              </w:rPr>
              <w:t>每人得2分</w:t>
            </w:r>
            <w:r>
              <w:rPr>
                <w:rFonts w:hint="eastAsia" w:asciiTheme="minorEastAsia" w:hAnsiTheme="minorEastAsia" w:eastAsiaTheme="minorEastAsia"/>
                <w:color w:val="auto"/>
                <w:szCs w:val="21"/>
                <w:highlight w:val="none"/>
              </w:rPr>
              <w:t>，中级职称的</w:t>
            </w:r>
            <w:r>
              <w:rPr>
                <w:rFonts w:hint="eastAsia" w:asciiTheme="minorEastAsia" w:hAnsiTheme="minorEastAsia" w:eastAsiaTheme="minorEastAsia"/>
                <w:color w:val="auto"/>
                <w:szCs w:val="21"/>
                <w:highlight w:val="none"/>
                <w:lang w:val="en-US" w:eastAsia="zh-CN"/>
              </w:rPr>
              <w:t>每人得</w:t>
            </w: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分</w:t>
            </w:r>
            <w:r>
              <w:rPr>
                <w:rFonts w:hint="eastAsia" w:asciiTheme="minorEastAsia" w:hAnsiTheme="minorEastAsia" w:eastAsiaTheme="minorEastAsia"/>
                <w:color w:val="auto"/>
                <w:szCs w:val="21"/>
                <w:highlight w:val="none"/>
              </w:rPr>
              <w:t>（为同一人的仅计最高分）,本项最高得8分。（</w:t>
            </w:r>
            <w:r>
              <w:rPr>
                <w:rFonts w:hint="eastAsia" w:asciiTheme="minorEastAsia" w:hAnsiTheme="minorEastAsia" w:eastAsiaTheme="minorEastAsia"/>
                <w:color w:val="auto"/>
                <w:szCs w:val="21"/>
                <w:highlight w:val="none"/>
                <w:lang w:val="en-US" w:eastAsia="zh-CN"/>
              </w:rPr>
              <w:t>须上传</w:t>
            </w:r>
            <w:r>
              <w:rPr>
                <w:rFonts w:hint="eastAsia" w:asciiTheme="minorEastAsia" w:hAnsiTheme="minorEastAsia" w:eastAsiaTheme="minorEastAsia"/>
                <w:color w:val="auto"/>
                <w:szCs w:val="21"/>
                <w:highlight w:val="none"/>
              </w:rPr>
              <w:t>人员相关证书扫描件及</w:t>
            </w:r>
            <w:r>
              <w:rPr>
                <w:rFonts w:hint="eastAsia" w:asciiTheme="minorEastAsia" w:hAnsiTheme="minorEastAsia" w:eastAsiaTheme="minorEastAsia"/>
                <w:color w:val="auto"/>
                <w:szCs w:val="21"/>
                <w:highlight w:val="none"/>
                <w:lang w:val="en-US" w:eastAsia="zh-CN"/>
              </w:rPr>
              <w:t>在供应商缴纳的近</w:t>
            </w:r>
            <w:r>
              <w:rPr>
                <w:rFonts w:hint="eastAsia" w:asciiTheme="minorEastAsia" w:hAnsiTheme="minorEastAsia" w:eastAsiaTheme="minorEastAsia"/>
                <w:color w:val="auto"/>
                <w:szCs w:val="21"/>
                <w:highlight w:val="none"/>
              </w:rPr>
              <w:t>三个月其中一个月</w:t>
            </w:r>
            <w:r>
              <w:rPr>
                <w:rFonts w:hint="eastAsia" w:asciiTheme="minorEastAsia" w:hAnsiTheme="minorEastAsia" w:eastAsiaTheme="minorEastAsia"/>
                <w:color w:val="auto"/>
                <w:szCs w:val="21"/>
                <w:highlight w:val="none"/>
                <w:lang w:val="en-US" w:eastAsia="zh-CN"/>
              </w:rPr>
              <w:t>的</w:t>
            </w:r>
            <w:r>
              <w:rPr>
                <w:rFonts w:hint="eastAsia" w:asciiTheme="minorEastAsia" w:hAnsiTheme="minorEastAsia" w:eastAsiaTheme="minorEastAsia"/>
                <w:color w:val="auto"/>
                <w:szCs w:val="21"/>
                <w:highlight w:val="none"/>
              </w:rPr>
              <w:t>社保证明</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w:t>
            </w:r>
          </w:p>
        </w:tc>
        <w:tc>
          <w:tcPr>
            <w:tcW w:w="664"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86" w:type="dxa"/>
            <w:vMerge w:val="restart"/>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项目方案</w:t>
            </w:r>
          </w:p>
        </w:tc>
        <w:tc>
          <w:tcPr>
            <w:tcW w:w="7068" w:type="dxa"/>
            <w:vAlign w:val="center"/>
          </w:tcPr>
          <w:p>
            <w:pPr>
              <w:spacing w:line="400" w:lineRule="exact"/>
              <w:jc w:val="left"/>
              <w:rPr>
                <w:color w:val="auto"/>
                <w:highlight w:val="none"/>
              </w:rPr>
            </w:pPr>
            <w:r>
              <w:rPr>
                <w:rFonts w:hint="eastAsia" w:ascii="宋体" w:hAnsi="宋体" w:cs="宋体"/>
                <w:color w:val="auto"/>
                <w:highlight w:val="none"/>
              </w:rPr>
              <w:t>针对甬莞高速台州东入城口改造提升工程进行</w:t>
            </w:r>
            <w:r>
              <w:rPr>
                <w:rFonts w:hint="eastAsia"/>
                <w:color w:val="auto"/>
                <w:highlight w:val="none"/>
              </w:rPr>
              <w:t>现场情况分析：</w:t>
            </w:r>
          </w:p>
          <w:p>
            <w:pPr>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对项目现场情况分析深刻透彻，过程完整的得11-15分；</w:t>
            </w:r>
          </w:p>
          <w:p>
            <w:pPr>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对项目现场情况分析基本到位，过程基本完整的得6-10分；</w:t>
            </w:r>
          </w:p>
          <w:p>
            <w:pPr>
              <w:jc w:val="left"/>
              <w:rPr>
                <w:color w:val="auto"/>
                <w:highlight w:val="none"/>
              </w:rPr>
            </w:pPr>
            <w:r>
              <w:rPr>
                <w:rFonts w:hint="eastAsia" w:asciiTheme="minorEastAsia" w:hAnsiTheme="minorEastAsia" w:eastAsiaTheme="minorEastAsia"/>
                <w:color w:val="auto"/>
                <w:szCs w:val="21"/>
                <w:highlight w:val="none"/>
              </w:rPr>
              <w:t>对项目现场情况分析不到位，过程不完整的，得0-5分。</w:t>
            </w:r>
          </w:p>
        </w:tc>
        <w:tc>
          <w:tcPr>
            <w:tcW w:w="664"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86" w:type="dxa"/>
            <w:vMerge w:val="continue"/>
            <w:vAlign w:val="center"/>
          </w:tcPr>
          <w:p>
            <w:pPr>
              <w:jc w:val="center"/>
              <w:rPr>
                <w:rFonts w:asciiTheme="minorEastAsia" w:hAnsiTheme="minorEastAsia" w:eastAsiaTheme="minorEastAsia"/>
                <w:color w:val="auto"/>
                <w:szCs w:val="21"/>
                <w:highlight w:val="none"/>
              </w:rPr>
            </w:pPr>
          </w:p>
        </w:tc>
        <w:tc>
          <w:tcPr>
            <w:tcW w:w="7068" w:type="dxa"/>
            <w:vAlign w:val="center"/>
          </w:tcPr>
          <w:p>
            <w:pPr>
              <w:spacing w:line="400" w:lineRule="exact"/>
              <w:jc w:val="left"/>
              <w:rPr>
                <w:color w:val="auto"/>
                <w:highlight w:val="none"/>
              </w:rPr>
            </w:pPr>
            <w:r>
              <w:rPr>
                <w:rFonts w:hint="eastAsia" w:ascii="宋体" w:hAnsi="宋体" w:cs="宋体"/>
                <w:color w:val="auto"/>
                <w:highlight w:val="none"/>
              </w:rPr>
              <w:t>针对甬莞高速台州东入城口改造提升工程的</w:t>
            </w:r>
            <w:r>
              <w:rPr>
                <w:rFonts w:hint="eastAsia"/>
                <w:color w:val="auto"/>
                <w:highlight w:val="none"/>
              </w:rPr>
              <w:t>总体设计思路：</w:t>
            </w:r>
          </w:p>
          <w:p>
            <w:pPr>
              <w:pStyle w:val="48"/>
              <w:widowControl/>
              <w:spacing w:line="320" w:lineRule="atLeast"/>
              <w:rPr>
                <w:rFonts w:hint="eastAsia"/>
                <w:color w:val="auto"/>
                <w:highlight w:val="none"/>
              </w:rPr>
            </w:pPr>
            <w:r>
              <w:rPr>
                <w:rFonts w:hint="eastAsia"/>
                <w:color w:val="auto"/>
                <w:highlight w:val="none"/>
              </w:rPr>
              <w:t>总体设计思路清晰完善，富有新意的得10-13分；</w:t>
            </w:r>
          </w:p>
          <w:p>
            <w:pPr>
              <w:pStyle w:val="48"/>
              <w:widowControl/>
              <w:spacing w:line="320" w:lineRule="atLeast"/>
              <w:rPr>
                <w:rFonts w:hint="eastAsia"/>
                <w:color w:val="auto"/>
                <w:highlight w:val="none"/>
              </w:rPr>
            </w:pPr>
            <w:r>
              <w:rPr>
                <w:rFonts w:hint="eastAsia"/>
                <w:color w:val="auto"/>
                <w:highlight w:val="none"/>
              </w:rPr>
              <w:t>总体设计思路较为完善的得6-9分；</w:t>
            </w:r>
          </w:p>
          <w:p>
            <w:pPr>
              <w:pStyle w:val="48"/>
              <w:widowControl/>
              <w:spacing w:line="320" w:lineRule="atLeast"/>
              <w:rPr>
                <w:rFonts w:asciiTheme="minorEastAsia" w:hAnsiTheme="minorEastAsia" w:eastAsiaTheme="minorEastAsia"/>
                <w:color w:val="auto"/>
                <w:szCs w:val="21"/>
                <w:highlight w:val="none"/>
              </w:rPr>
            </w:pPr>
            <w:r>
              <w:rPr>
                <w:rFonts w:hint="eastAsia"/>
                <w:color w:val="auto"/>
                <w:highlight w:val="none"/>
              </w:rPr>
              <w:t>总体设计思路不完善、模糊的，得0-5分。</w:t>
            </w:r>
          </w:p>
        </w:tc>
        <w:tc>
          <w:tcPr>
            <w:tcW w:w="664"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286" w:type="dxa"/>
            <w:vMerge w:val="continue"/>
            <w:vAlign w:val="center"/>
          </w:tcPr>
          <w:p>
            <w:pPr>
              <w:jc w:val="center"/>
              <w:rPr>
                <w:rFonts w:asciiTheme="minorEastAsia" w:hAnsiTheme="minorEastAsia" w:eastAsiaTheme="minorEastAsia"/>
                <w:color w:val="auto"/>
                <w:szCs w:val="21"/>
                <w:highlight w:val="none"/>
              </w:rPr>
            </w:pPr>
          </w:p>
        </w:tc>
        <w:tc>
          <w:tcPr>
            <w:tcW w:w="7068" w:type="dxa"/>
            <w:vAlign w:val="center"/>
          </w:tcPr>
          <w:p>
            <w:pPr>
              <w:spacing w:line="400" w:lineRule="exact"/>
              <w:jc w:val="left"/>
              <w:rPr>
                <w:color w:val="auto"/>
                <w:highlight w:val="none"/>
              </w:rPr>
            </w:pPr>
            <w:r>
              <w:rPr>
                <w:rFonts w:hint="eastAsia"/>
                <w:color w:val="auto"/>
                <w:highlight w:val="none"/>
              </w:rPr>
              <w:t>提供</w:t>
            </w:r>
            <w:r>
              <w:rPr>
                <w:rFonts w:hint="eastAsia" w:ascii="宋体" w:hAnsi="宋体" w:cs="宋体"/>
                <w:color w:val="auto"/>
                <w:highlight w:val="none"/>
              </w:rPr>
              <w:t>甬莞高速台州东入城口改造提升工程</w:t>
            </w:r>
            <w:r>
              <w:rPr>
                <w:rFonts w:hint="eastAsia"/>
                <w:color w:val="auto"/>
                <w:highlight w:val="none"/>
              </w:rPr>
              <w:t>的具体设计方案进行展示：</w:t>
            </w:r>
          </w:p>
          <w:p>
            <w:pPr>
              <w:pStyle w:val="48"/>
              <w:widowControl/>
              <w:spacing w:line="320" w:lineRule="atLeast"/>
              <w:ind w:right="3"/>
              <w:rPr>
                <w:color w:val="auto"/>
                <w:highlight w:val="none"/>
              </w:rPr>
            </w:pPr>
            <w:r>
              <w:rPr>
                <w:rFonts w:hint="eastAsia"/>
                <w:color w:val="auto"/>
                <w:highlight w:val="none"/>
              </w:rPr>
              <w:t>设计方案特点突出，对项目关键技术分析到位，并提出对策措施的，效果图展示清晰的，得15-30分；</w:t>
            </w:r>
          </w:p>
          <w:p>
            <w:pPr>
              <w:pStyle w:val="48"/>
              <w:widowControl/>
              <w:spacing w:line="320" w:lineRule="atLeast"/>
              <w:ind w:right="3"/>
              <w:rPr>
                <w:color w:val="auto"/>
                <w:highlight w:val="none"/>
              </w:rPr>
            </w:pPr>
            <w:r>
              <w:rPr>
                <w:rFonts w:hint="eastAsia"/>
                <w:color w:val="auto"/>
                <w:highlight w:val="none"/>
              </w:rPr>
              <w:t>设计方案无明显特点，对项目关键技术问题观点普通，对策措施分析不够完善的，得9-14分；</w:t>
            </w:r>
          </w:p>
          <w:p>
            <w:pPr>
              <w:pStyle w:val="48"/>
              <w:widowControl/>
              <w:spacing w:line="320" w:lineRule="atLeast"/>
              <w:ind w:right="3"/>
              <w:rPr>
                <w:rFonts w:asciiTheme="minorEastAsia" w:hAnsiTheme="minorEastAsia" w:eastAsiaTheme="minorEastAsia"/>
                <w:color w:val="auto"/>
                <w:szCs w:val="21"/>
                <w:highlight w:val="none"/>
              </w:rPr>
            </w:pPr>
            <w:r>
              <w:rPr>
                <w:rFonts w:hint="eastAsia"/>
                <w:color w:val="auto"/>
                <w:highlight w:val="none"/>
              </w:rPr>
              <w:t>设计方案无特点，关键技术问题认识不清晰，无对策措施的，得0-8分。</w:t>
            </w:r>
          </w:p>
        </w:tc>
        <w:tc>
          <w:tcPr>
            <w:tcW w:w="664"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8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项目进度安排</w:t>
            </w:r>
          </w:p>
        </w:tc>
        <w:tc>
          <w:tcPr>
            <w:tcW w:w="7068" w:type="dxa"/>
            <w:vAlign w:val="center"/>
          </w:tcPr>
          <w:p>
            <w:pPr>
              <w:jc w:val="left"/>
              <w:rPr>
                <w:rFonts w:asciiTheme="minorEastAsia" w:hAnsiTheme="minorEastAsia" w:eastAsiaTheme="minorEastAsia"/>
                <w:color w:val="auto"/>
                <w:szCs w:val="21"/>
                <w:highlight w:val="none"/>
              </w:rPr>
            </w:pPr>
            <w:r>
              <w:rPr>
                <w:rFonts w:hint="eastAsia" w:ascii="宋体" w:hAnsi="宋体" w:cs="宋体"/>
                <w:color w:val="auto"/>
                <w:kern w:val="28"/>
                <w:szCs w:val="21"/>
                <w:highlight w:val="none"/>
              </w:rPr>
              <w:t>针对本工程设计进度要求合理安排项目进度计划及相应的保证措施，</w:t>
            </w:r>
            <w:r>
              <w:rPr>
                <w:rFonts w:hint="eastAsia" w:asciiTheme="minorEastAsia" w:hAnsiTheme="minorEastAsia" w:eastAsiaTheme="minorEastAsia"/>
                <w:color w:val="auto"/>
                <w:szCs w:val="21"/>
                <w:highlight w:val="none"/>
              </w:rPr>
              <w:t>由评委在0-5分值范围内酌情打分</w:t>
            </w:r>
            <w:r>
              <w:rPr>
                <w:rFonts w:hint="eastAsia"/>
                <w:color w:val="auto"/>
                <w:szCs w:val="21"/>
                <w:highlight w:val="none"/>
              </w:rPr>
              <w:t>。</w:t>
            </w:r>
          </w:p>
        </w:tc>
        <w:tc>
          <w:tcPr>
            <w:tcW w:w="664"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86" w:type="dxa"/>
            <w:vAlign w:val="center"/>
          </w:tcPr>
          <w:p>
            <w:pPr>
              <w:jc w:val="center"/>
              <w:rPr>
                <w:rFonts w:asciiTheme="minorEastAsia" w:hAnsiTheme="minorEastAsia" w:eastAsiaTheme="minorEastAsia"/>
                <w:color w:val="auto"/>
                <w:szCs w:val="21"/>
                <w:highlight w:val="none"/>
              </w:rPr>
            </w:pPr>
            <w:r>
              <w:rPr>
                <w:rFonts w:hint="eastAsia" w:ascii="宋体" w:hAnsi="宋体" w:cs="宋体"/>
                <w:color w:val="auto"/>
                <w:kern w:val="28"/>
                <w:szCs w:val="21"/>
                <w:highlight w:val="none"/>
              </w:rPr>
              <w:t>设计的质量</w:t>
            </w:r>
          </w:p>
        </w:tc>
        <w:tc>
          <w:tcPr>
            <w:tcW w:w="7068" w:type="dxa"/>
            <w:vAlign w:val="center"/>
          </w:tcPr>
          <w:p>
            <w:pPr>
              <w:jc w:val="left"/>
              <w:rPr>
                <w:rFonts w:asciiTheme="minorEastAsia" w:hAnsiTheme="minorEastAsia" w:eastAsiaTheme="minorEastAsia"/>
                <w:color w:val="auto"/>
                <w:szCs w:val="21"/>
                <w:highlight w:val="none"/>
              </w:rPr>
            </w:pPr>
            <w:r>
              <w:rPr>
                <w:rFonts w:hint="eastAsia" w:ascii="宋体" w:hAnsi="宋体" w:cs="宋体"/>
                <w:color w:val="auto"/>
                <w:kern w:val="28"/>
                <w:szCs w:val="21"/>
                <w:highlight w:val="none"/>
              </w:rPr>
              <w:t>根据设计质量控制措施的合理性，</w:t>
            </w:r>
            <w:r>
              <w:rPr>
                <w:rFonts w:hint="eastAsia" w:asciiTheme="minorEastAsia" w:hAnsiTheme="minorEastAsia" w:eastAsiaTheme="minorEastAsia"/>
                <w:color w:val="auto"/>
                <w:szCs w:val="21"/>
                <w:highlight w:val="none"/>
              </w:rPr>
              <w:t>由评委在0-5分值范围内酌情打分</w:t>
            </w:r>
            <w:r>
              <w:rPr>
                <w:rFonts w:hint="eastAsia"/>
                <w:color w:val="auto"/>
                <w:szCs w:val="21"/>
                <w:highlight w:val="none"/>
              </w:rPr>
              <w:t>。</w:t>
            </w:r>
          </w:p>
        </w:tc>
        <w:tc>
          <w:tcPr>
            <w:tcW w:w="664"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86" w:type="dxa"/>
            <w:vMerge w:val="restart"/>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服务保障</w:t>
            </w:r>
          </w:p>
        </w:tc>
        <w:tc>
          <w:tcPr>
            <w:tcW w:w="7068" w:type="dxa"/>
            <w:vAlign w:val="center"/>
          </w:tcPr>
          <w:p>
            <w:pPr>
              <w:jc w:val="left"/>
              <w:rPr>
                <w:rFonts w:asciiTheme="minorEastAsia" w:hAnsiTheme="minorEastAsia" w:eastAsiaTheme="minorEastAsia"/>
                <w:color w:val="auto"/>
                <w:szCs w:val="21"/>
                <w:highlight w:val="none"/>
              </w:rPr>
            </w:pPr>
            <w:r>
              <w:rPr>
                <w:rFonts w:hint="eastAsia" w:ascii="宋体" w:hAnsi="宋体" w:cs="宋体"/>
                <w:color w:val="auto"/>
                <w:szCs w:val="21"/>
                <w:highlight w:val="none"/>
              </w:rPr>
              <w:t>根据对本项目设计的后续服务安排及措施，</w:t>
            </w:r>
            <w:r>
              <w:rPr>
                <w:rFonts w:hint="eastAsia" w:asciiTheme="minorEastAsia" w:hAnsiTheme="minorEastAsia" w:eastAsiaTheme="minorEastAsia"/>
                <w:color w:val="auto"/>
                <w:szCs w:val="21"/>
                <w:highlight w:val="none"/>
              </w:rPr>
              <w:t>由评委在0-5分值范围内酌情打分</w:t>
            </w:r>
            <w:r>
              <w:rPr>
                <w:rFonts w:hint="eastAsia"/>
                <w:color w:val="auto"/>
                <w:szCs w:val="21"/>
                <w:highlight w:val="none"/>
              </w:rPr>
              <w:t>。</w:t>
            </w:r>
          </w:p>
        </w:tc>
        <w:tc>
          <w:tcPr>
            <w:tcW w:w="664"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86" w:type="dxa"/>
            <w:vMerge w:val="continue"/>
            <w:vAlign w:val="center"/>
          </w:tcPr>
          <w:p>
            <w:pPr>
              <w:jc w:val="center"/>
              <w:rPr>
                <w:rFonts w:asciiTheme="minorEastAsia" w:hAnsiTheme="minorEastAsia" w:eastAsiaTheme="minorEastAsia"/>
                <w:color w:val="auto"/>
                <w:szCs w:val="21"/>
                <w:highlight w:val="none"/>
              </w:rPr>
            </w:pPr>
          </w:p>
        </w:tc>
        <w:tc>
          <w:tcPr>
            <w:tcW w:w="7068" w:type="dxa"/>
            <w:vAlign w:val="center"/>
          </w:tcPr>
          <w:p>
            <w:pPr>
              <w:jc w:val="left"/>
              <w:rPr>
                <w:rFonts w:asciiTheme="minorEastAsia" w:hAnsiTheme="minorEastAsia" w:eastAsiaTheme="minorEastAsia"/>
                <w:color w:val="auto"/>
                <w:szCs w:val="21"/>
                <w:highlight w:val="none"/>
              </w:rPr>
            </w:pPr>
            <w:r>
              <w:rPr>
                <w:rFonts w:hint="eastAsia"/>
                <w:snapToGrid w:val="0"/>
                <w:color w:val="auto"/>
                <w:szCs w:val="21"/>
                <w:highlight w:val="none"/>
              </w:rPr>
              <w:t>根据供应商承诺的服务响应时间及便捷性进行评审，</w:t>
            </w:r>
            <w:r>
              <w:rPr>
                <w:rFonts w:hint="eastAsia" w:asciiTheme="minorEastAsia" w:hAnsiTheme="minorEastAsia" w:eastAsiaTheme="minorEastAsia"/>
                <w:color w:val="auto"/>
                <w:szCs w:val="21"/>
                <w:highlight w:val="none"/>
              </w:rPr>
              <w:t>由评委在0-3分值范围内酌情打分</w:t>
            </w:r>
            <w:r>
              <w:rPr>
                <w:rFonts w:hint="eastAsia"/>
                <w:snapToGrid w:val="0"/>
                <w:color w:val="auto"/>
                <w:szCs w:val="21"/>
                <w:highlight w:val="none"/>
              </w:rPr>
              <w:t>。未做出承诺的不得分。</w:t>
            </w:r>
          </w:p>
        </w:tc>
        <w:tc>
          <w:tcPr>
            <w:tcW w:w="664"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286" w:type="dxa"/>
            <w:vAlign w:val="center"/>
          </w:tcPr>
          <w:p>
            <w:pPr>
              <w:widowControl/>
              <w:jc w:val="center"/>
              <w:rPr>
                <w:rFonts w:ascii="宋体" w:hAnsi="宋体" w:cs="Arial"/>
                <w:color w:val="auto"/>
                <w:sz w:val="24"/>
                <w:highlight w:val="none"/>
              </w:rPr>
            </w:pPr>
            <w:r>
              <w:rPr>
                <w:rFonts w:hint="eastAsia" w:ascii="宋体" w:hAnsi="宋体" w:cs="Arial"/>
                <w:color w:val="auto"/>
                <w:sz w:val="24"/>
                <w:highlight w:val="none"/>
              </w:rPr>
              <w:t>报价得分</w:t>
            </w:r>
          </w:p>
        </w:tc>
        <w:tc>
          <w:tcPr>
            <w:tcW w:w="7068"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以合格供应商有效总报价中的最低价为基准价，基准价为10分。报价得分＝（评标基准价/最终投标报价）×10</w:t>
            </w:r>
            <w:r>
              <w:rPr>
                <w:rFonts w:hint="eastAsia" w:ascii="宋体" w:hAnsi="宋体" w:cs="宋体"/>
                <w:color w:val="auto"/>
                <w:kern w:val="0"/>
                <w:szCs w:val="21"/>
                <w:highlight w:val="none"/>
              </w:rPr>
              <w:t>%</w:t>
            </w:r>
            <w:r>
              <w:rPr>
                <w:rFonts w:hint="eastAsia" w:ascii="宋体" w:hAnsi="宋体" w:cs="宋体"/>
                <w:color w:val="auto"/>
                <w:szCs w:val="21"/>
                <w:highlight w:val="none"/>
              </w:rPr>
              <w:t>×</w:t>
            </w:r>
            <w:r>
              <w:rPr>
                <w:rFonts w:hint="eastAsia" w:ascii="宋体" w:hAnsi="宋体" w:cs="宋体"/>
                <w:color w:val="auto"/>
                <w:kern w:val="0"/>
                <w:szCs w:val="21"/>
                <w:highlight w:val="none"/>
              </w:rPr>
              <w:t>100</w:t>
            </w:r>
            <w:r>
              <w:rPr>
                <w:rFonts w:hint="eastAsia" w:asciiTheme="minorEastAsia" w:hAnsiTheme="minorEastAsia" w:eastAsiaTheme="minorEastAsia" w:cstheme="minorEastAsia"/>
                <w:color w:val="auto"/>
                <w:szCs w:val="21"/>
                <w:highlight w:val="none"/>
              </w:rPr>
              <w:t>（小数点后保留2位小数）。</w:t>
            </w:r>
            <w:r>
              <w:rPr>
                <w:rFonts w:hint="eastAsia" w:asciiTheme="minorEastAsia" w:hAnsiTheme="minorEastAsia" w:eastAsiaTheme="minorEastAsia"/>
                <w:color w:val="auto"/>
                <w:szCs w:val="21"/>
                <w:highlight w:val="none"/>
              </w:rPr>
              <w:t>（注：对于</w:t>
            </w:r>
            <w:r>
              <w:rPr>
                <w:rFonts w:asciiTheme="minorEastAsia" w:hAnsiTheme="minorEastAsia" w:eastAsiaTheme="minorEastAsia"/>
                <w:color w:val="auto"/>
                <w:szCs w:val="21"/>
                <w:highlight w:val="none"/>
              </w:rPr>
              <w:t>小型和微型企业</w:t>
            </w:r>
            <w:r>
              <w:rPr>
                <w:rFonts w:hint="eastAsia" w:asciiTheme="minorEastAsia" w:hAnsiTheme="minorEastAsia" w:eastAsiaTheme="minorEastAsia"/>
                <w:color w:val="auto"/>
                <w:szCs w:val="21"/>
                <w:highlight w:val="none"/>
              </w:rPr>
              <w:t>产品</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价格</w:t>
            </w:r>
            <w:r>
              <w:rPr>
                <w:rFonts w:asciiTheme="minorEastAsia" w:hAnsiTheme="minorEastAsia" w:eastAsiaTheme="minorEastAsia"/>
                <w:color w:val="auto"/>
                <w:szCs w:val="21"/>
                <w:highlight w:val="none"/>
              </w:rPr>
              <w:t>给予</w:t>
            </w:r>
            <w:r>
              <w:rPr>
                <w:rFonts w:hint="eastAsia" w:asciiTheme="minorEastAsia" w:hAnsiTheme="minorEastAsia" w:eastAsiaTheme="minorEastAsia"/>
                <w:color w:val="auto"/>
                <w:szCs w:val="21"/>
                <w:highlight w:val="none"/>
                <w:lang w:val="en-US" w:eastAsia="zh-CN"/>
              </w:rPr>
              <w:t>20</w:t>
            </w:r>
            <w:r>
              <w:rPr>
                <w:rFonts w:asciiTheme="minorEastAsia" w:hAnsiTheme="minorEastAsia" w:eastAsiaTheme="minorEastAsia"/>
                <w:color w:val="auto"/>
                <w:szCs w:val="21"/>
                <w:highlight w:val="none"/>
              </w:rPr>
              <w:t>%的扣除，用扣除后的价</w:t>
            </w:r>
            <w:r>
              <w:rPr>
                <w:rFonts w:hint="eastAsia" w:asciiTheme="minorEastAsia" w:hAnsiTheme="minorEastAsia" w:eastAsiaTheme="minorEastAsia"/>
                <w:color w:val="auto"/>
                <w:szCs w:val="21"/>
                <w:highlight w:val="none"/>
              </w:rPr>
              <w:t>格</w:t>
            </w:r>
            <w:r>
              <w:rPr>
                <w:rFonts w:asciiTheme="minorEastAsia" w:hAnsiTheme="minorEastAsia" w:eastAsiaTheme="minorEastAsia"/>
                <w:color w:val="auto"/>
                <w:szCs w:val="21"/>
                <w:highlight w:val="none"/>
              </w:rPr>
              <w:t>参与评审</w:t>
            </w:r>
            <w:r>
              <w:rPr>
                <w:rFonts w:hint="eastAsia" w:asciiTheme="minorEastAsia" w:hAnsiTheme="minorEastAsia" w:eastAsiaTheme="minorEastAsia"/>
                <w:color w:val="auto"/>
                <w:szCs w:val="21"/>
                <w:highlight w:val="none"/>
              </w:rPr>
              <w:t>)</w:t>
            </w:r>
          </w:p>
        </w:tc>
        <w:tc>
          <w:tcPr>
            <w:tcW w:w="664" w:type="dxa"/>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10</w:t>
            </w:r>
          </w:p>
        </w:tc>
      </w:tr>
    </w:tbl>
    <w:p>
      <w:pPr>
        <w:rPr>
          <w:rFonts w:ascii="宋体"/>
          <w:b/>
          <w:color w:val="auto"/>
          <w:sz w:val="24"/>
          <w:highlight w:val="none"/>
        </w:rPr>
      </w:pPr>
      <w:r>
        <w:rPr>
          <w:rFonts w:hint="eastAsia"/>
          <w:b/>
          <w:color w:val="auto"/>
          <w:highlight w:val="none"/>
        </w:rPr>
        <w:t>注：</w:t>
      </w:r>
    </w:p>
    <w:p>
      <w:pPr>
        <w:ind w:firstLine="420" w:firstLineChars="200"/>
        <w:rPr>
          <w:rFonts w:hint="eastAsia"/>
          <w:color w:val="auto"/>
          <w:highlight w:val="none"/>
        </w:rPr>
      </w:pPr>
      <w:r>
        <w:rPr>
          <w:rFonts w:hint="eastAsia"/>
          <w:color w:val="auto"/>
          <w:highlight w:val="none"/>
        </w:rPr>
        <w:t>①合同、证书、报告及其他相关证明材料，将原件扫描上传至响应文件，并加盖电子印章。</w:t>
      </w:r>
    </w:p>
    <w:p>
      <w:pPr>
        <w:pStyle w:val="2"/>
        <w:rPr>
          <w:rFonts w:hint="default" w:eastAsia="宋体"/>
          <w:color w:val="auto"/>
          <w:highlight w:val="none"/>
          <w:lang w:val="en-US" w:eastAsia="zh-CN"/>
        </w:rPr>
      </w:pPr>
      <w:r>
        <w:rPr>
          <w:rFonts w:hint="eastAsia"/>
          <w:color w:val="auto"/>
          <w:highlight w:val="none"/>
          <w:lang w:val="en-US" w:eastAsia="zh-CN"/>
        </w:rPr>
        <w:t>②以上内容，缺项得0分。</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2.最后报价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（1）磋商文件能够详细列明采购标的的技术、服务要求的，磋商结束后，磋商小组将要求所有实质性响应的供应商在规定时间内提交最后报价，最后报价是供应商响应文件的有效组成部分。</w:t>
      </w:r>
    </w:p>
    <w:p>
      <w:pPr>
        <w:pStyle w:val="28"/>
        <w:spacing w:line="360" w:lineRule="auto"/>
        <w:ind w:firstLine="480" w:firstLineChars="200"/>
        <w:jc w:val="both"/>
        <w:rPr>
          <w:color w:val="auto"/>
          <w:highlight w:val="none"/>
        </w:rPr>
      </w:pPr>
      <w:r>
        <w:rPr>
          <w:rFonts w:hint="eastAsia" w:ascii="宋体" w:hAnsi="宋体" w:eastAsia="宋体" w:cs="宋体"/>
          <w:color w:val="auto"/>
          <w:sz w:val="24"/>
          <w:szCs w:val="24"/>
          <w:highlight w:val="none"/>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pPr>
        <w:pStyle w:val="13"/>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3.评审要求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(1)磋商小组应当按照磋商文件中规定的评标方法和标准，对符合性审查合格的响应文件的商务部分和技术部分进行综合比较与评价，其中</w:t>
      </w:r>
      <w:r>
        <w:rPr>
          <w:rFonts w:hint="eastAsia" w:ascii="宋体"/>
          <w:bCs/>
          <w:color w:val="auto"/>
          <w:sz w:val="24"/>
          <w:highlight w:val="none"/>
          <w:lang w:val="zh-CN"/>
        </w:rPr>
        <w:t>客观</w:t>
      </w:r>
      <w:r>
        <w:rPr>
          <w:rFonts w:hint="eastAsia" w:ascii="宋体"/>
          <w:bCs/>
          <w:color w:val="auto"/>
          <w:sz w:val="24"/>
          <w:highlight w:val="none"/>
        </w:rPr>
        <w:t>评分项的分值</w:t>
      </w:r>
      <w:r>
        <w:rPr>
          <w:rFonts w:hint="eastAsia" w:ascii="宋体"/>
          <w:bCs/>
          <w:color w:val="auto"/>
          <w:sz w:val="24"/>
          <w:highlight w:val="none"/>
          <w:lang w:val="zh-CN"/>
        </w:rPr>
        <w:t>应当一致。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（2）对于磋商响应文件中含义不明确、同类问题表述不一致或者有明显文字和计算错误的内容，磋商小组应当要求投标人作出必要的澄清、说明或者补正。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（3）供应商的澄清（说明或者补正）采用书面形式，并加盖公章（电子印章）或者由法定代表人或授权代表签字，且不得超出磋商响应文件的范围或者改变磋商响应文件的实质性内容。</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（四）结果汇总及排序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经磋商确定最终采购需求和提交最后报价的供应商后，由磋商小组采用综合评分法对提交最后报价的供应商的响应文件和最后报价进行综合比较与评价。根据综合评分情况，按评审得分由高到低顺序推荐1名成交候选供应商。评审得分相同的，按照最后报价由高到低的顺序推荐。评审得分且最后投标报价相同的，按照技术指标优劣顺序推荐。</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（五）编写评审报告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磋商小组根据全体评审人员签字的原始记录和得分情况编写评审报告。</w:t>
      </w:r>
    </w:p>
    <w:p>
      <w:pPr>
        <w:spacing w:line="360" w:lineRule="auto"/>
        <w:jc w:val="center"/>
        <w:outlineLvl w:val="0"/>
        <w:rPr>
          <w:rFonts w:asciiTheme="minorEastAsia" w:hAnsiTheme="minorEastAsia" w:eastAsiaTheme="minorEastAsia"/>
          <w:b/>
          <w:color w:val="auto"/>
          <w:sz w:val="36"/>
          <w:szCs w:val="36"/>
          <w:highlight w:val="none"/>
        </w:rPr>
      </w:pPr>
      <w:bookmarkStart w:id="37" w:name="_Toc21781"/>
    </w:p>
    <w:p>
      <w:pPr>
        <w:pStyle w:val="2"/>
        <w:rPr>
          <w:rFonts w:asciiTheme="minorEastAsia" w:hAnsiTheme="minorEastAsia" w:eastAsiaTheme="minorEastAsia"/>
          <w:b/>
          <w:color w:val="auto"/>
          <w:sz w:val="36"/>
          <w:szCs w:val="36"/>
          <w:highlight w:val="none"/>
        </w:rPr>
      </w:pPr>
    </w:p>
    <w:p>
      <w:pPr>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rPr>
          <w:color w:val="auto"/>
          <w:highlight w:val="none"/>
        </w:rPr>
      </w:pPr>
    </w:p>
    <w:p>
      <w:pPr>
        <w:rPr>
          <w:rFonts w:asciiTheme="minorEastAsia" w:hAnsiTheme="minorEastAsia" w:eastAsiaTheme="minorEastAsia"/>
          <w:b/>
          <w:color w:val="auto"/>
          <w:sz w:val="36"/>
          <w:szCs w:val="36"/>
          <w:highlight w:val="none"/>
        </w:rPr>
      </w:pPr>
    </w:p>
    <w:p>
      <w:pPr>
        <w:pStyle w:val="2"/>
        <w:rPr>
          <w:rFonts w:asciiTheme="minorEastAsia" w:hAnsiTheme="minorEastAsia" w:eastAsiaTheme="minorEastAsia"/>
          <w:b/>
          <w:color w:val="auto"/>
          <w:sz w:val="36"/>
          <w:szCs w:val="36"/>
          <w:highlight w:val="none"/>
        </w:rPr>
      </w:pPr>
    </w:p>
    <w:p>
      <w:pPr>
        <w:rPr>
          <w:color w:val="auto"/>
          <w:highlight w:val="none"/>
        </w:rPr>
      </w:pPr>
    </w:p>
    <w:p>
      <w:pPr>
        <w:pStyle w:val="2"/>
        <w:rPr>
          <w:color w:val="auto"/>
          <w:highlight w:val="none"/>
        </w:rPr>
      </w:pPr>
    </w:p>
    <w:p>
      <w:pPr>
        <w:spacing w:line="360" w:lineRule="auto"/>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 xml:space="preserve">第五章  </w:t>
      </w:r>
      <w:bookmarkEnd w:id="37"/>
      <w:r>
        <w:rPr>
          <w:rFonts w:hint="eastAsia" w:asciiTheme="minorEastAsia" w:hAnsiTheme="minorEastAsia" w:eastAsiaTheme="minorEastAsia"/>
          <w:b/>
          <w:color w:val="auto"/>
          <w:sz w:val="36"/>
          <w:szCs w:val="36"/>
          <w:highlight w:val="none"/>
        </w:rPr>
        <w:t>拟签订的合同文本</w:t>
      </w:r>
    </w:p>
    <w:p>
      <w:pPr>
        <w:widowControl/>
        <w:snapToGrid w:val="0"/>
        <w:spacing w:before="100" w:beforeAutospacing="1" w:after="100" w:afterAutospacing="1" w:line="320" w:lineRule="atLeast"/>
        <w:jc w:val="left"/>
        <w:rPr>
          <w:rFonts w:ascii="宋体" w:hAnsi="宋体" w:cs="Arial"/>
          <w:b/>
          <w:color w:val="auto"/>
          <w:kern w:val="0"/>
          <w:sz w:val="28"/>
          <w:szCs w:val="28"/>
          <w:highlight w:val="none"/>
        </w:rPr>
      </w:pPr>
      <w:bookmarkStart w:id="38" w:name="_Toc179632789"/>
      <w:bookmarkStart w:id="39" w:name="_Toc152042554"/>
      <w:bookmarkStart w:id="40" w:name="_Toc228163250"/>
      <w:bookmarkStart w:id="41" w:name="_Toc144974834"/>
      <w:bookmarkStart w:id="42" w:name="_Toc152045772"/>
      <w:r>
        <w:rPr>
          <w:rFonts w:hint="eastAsia" w:ascii="宋体" w:hAnsi="宋体" w:cs="Arial"/>
          <w:b/>
          <w:color w:val="auto"/>
          <w:kern w:val="0"/>
          <w:sz w:val="28"/>
          <w:szCs w:val="28"/>
          <w:highlight w:val="none"/>
        </w:rPr>
        <w:t>一、建设工程设计合同</w:t>
      </w:r>
    </w:p>
    <w:p>
      <w:pPr>
        <w:widowControl/>
        <w:snapToGrid w:val="0"/>
        <w:spacing w:before="100" w:beforeAutospacing="1" w:after="100" w:afterAutospacing="1" w:line="320" w:lineRule="atLeast"/>
        <w:ind w:firstLine="480"/>
        <w:jc w:val="left"/>
        <w:rPr>
          <w:rFonts w:ascii="宋体" w:hAnsi="宋体" w:cs="Arial"/>
          <w:color w:val="auto"/>
          <w:kern w:val="0"/>
          <w:sz w:val="28"/>
          <w:szCs w:val="28"/>
          <w:highlight w:val="none"/>
        </w:rPr>
      </w:pPr>
    </w:p>
    <w:p>
      <w:pPr>
        <w:widowControl/>
        <w:snapToGrid w:val="0"/>
        <w:spacing w:before="100" w:beforeAutospacing="1" w:after="100" w:afterAutospacing="1" w:line="320" w:lineRule="atLeast"/>
        <w:ind w:firstLine="480"/>
        <w:jc w:val="left"/>
        <w:rPr>
          <w:rFonts w:ascii="宋体" w:hAnsi="宋体" w:cs="Arial"/>
          <w:color w:val="auto"/>
          <w:kern w:val="0"/>
          <w:sz w:val="28"/>
          <w:szCs w:val="28"/>
          <w:highlight w:val="none"/>
        </w:rPr>
      </w:pPr>
    </w:p>
    <w:p>
      <w:pPr>
        <w:widowControl/>
        <w:snapToGrid w:val="0"/>
        <w:spacing w:before="100" w:beforeAutospacing="1" w:after="100" w:afterAutospacing="1" w:line="320" w:lineRule="atLeast"/>
        <w:ind w:firstLine="480"/>
        <w:jc w:val="left"/>
        <w:rPr>
          <w:rFonts w:ascii="宋体" w:hAnsi="宋体" w:cs="Arial"/>
          <w:color w:val="auto"/>
          <w:kern w:val="0"/>
          <w:sz w:val="28"/>
          <w:szCs w:val="28"/>
          <w:highlight w:val="none"/>
        </w:rPr>
      </w:pPr>
    </w:p>
    <w:p>
      <w:pPr>
        <w:widowControl/>
        <w:snapToGrid w:val="0"/>
        <w:spacing w:before="100" w:beforeAutospacing="1" w:after="100" w:afterAutospacing="1" w:line="320" w:lineRule="atLeast"/>
        <w:jc w:val="center"/>
        <w:rPr>
          <w:rFonts w:ascii="宋体" w:hAnsi="宋体" w:cs="Arial"/>
          <w:color w:val="auto"/>
          <w:kern w:val="0"/>
          <w:sz w:val="48"/>
          <w:szCs w:val="48"/>
          <w:highlight w:val="none"/>
        </w:rPr>
      </w:pPr>
      <w:r>
        <w:rPr>
          <w:rFonts w:hint="eastAsia" w:ascii="宋体" w:hAnsi="宋体" w:cs="Arial"/>
          <w:color w:val="auto"/>
          <w:kern w:val="0"/>
          <w:sz w:val="48"/>
          <w:szCs w:val="48"/>
          <w:highlight w:val="none"/>
        </w:rPr>
        <w:t>建设工程设计合同（一）</w:t>
      </w:r>
    </w:p>
    <w:p>
      <w:pPr>
        <w:widowControl/>
        <w:snapToGrid w:val="0"/>
        <w:spacing w:before="100" w:beforeAutospacing="1" w:after="100" w:afterAutospacing="1" w:line="320" w:lineRule="atLeast"/>
        <w:ind w:firstLine="480"/>
        <w:jc w:val="center"/>
        <w:rPr>
          <w:rFonts w:ascii="宋体" w:hAnsi="宋体" w:cs="Arial"/>
          <w:color w:val="auto"/>
          <w:kern w:val="0"/>
          <w:sz w:val="28"/>
          <w:szCs w:val="28"/>
          <w:highlight w:val="none"/>
        </w:rPr>
      </w:pPr>
    </w:p>
    <w:p>
      <w:pPr>
        <w:widowControl/>
        <w:snapToGrid w:val="0"/>
        <w:spacing w:before="100" w:beforeAutospacing="1" w:after="100" w:afterAutospacing="1" w:line="320" w:lineRule="atLeast"/>
        <w:ind w:firstLine="480"/>
        <w:jc w:val="left"/>
        <w:rPr>
          <w:rFonts w:ascii="宋体" w:hAnsi="宋体" w:cs="Arial"/>
          <w:color w:val="auto"/>
          <w:kern w:val="0"/>
          <w:sz w:val="28"/>
          <w:szCs w:val="28"/>
          <w:highlight w:val="none"/>
        </w:rPr>
      </w:pPr>
      <w:r>
        <w:rPr>
          <w:rFonts w:ascii="宋体" w:hAnsi="宋体" w:cs="Arial"/>
          <w:color w:val="auto"/>
          <w:kern w:val="0"/>
          <w:sz w:val="28"/>
          <w:szCs w:val="28"/>
          <w:highlight w:val="none"/>
        </w:rPr>
        <w:t xml:space="preserve">        </w:t>
      </w:r>
    </w:p>
    <w:p>
      <w:pPr>
        <w:widowControl/>
        <w:snapToGrid w:val="0"/>
        <w:spacing w:before="100" w:beforeAutospacing="1" w:after="100" w:afterAutospacing="1" w:line="320" w:lineRule="atLeast"/>
        <w:ind w:firstLine="1318" w:firstLineChars="471"/>
        <w:jc w:val="left"/>
        <w:rPr>
          <w:rFonts w:ascii="宋体" w:hAnsi="宋体" w:cs="Arial"/>
          <w:color w:val="auto"/>
          <w:kern w:val="0"/>
          <w:sz w:val="28"/>
          <w:szCs w:val="28"/>
          <w:highlight w:val="none"/>
        </w:rPr>
      </w:pPr>
    </w:p>
    <w:p>
      <w:pPr>
        <w:widowControl/>
        <w:snapToGrid w:val="0"/>
        <w:spacing w:before="100" w:beforeAutospacing="1" w:after="100" w:afterAutospacing="1" w:line="320" w:lineRule="atLeast"/>
        <w:ind w:firstLine="420" w:firstLineChars="150"/>
        <w:jc w:val="left"/>
        <w:rPr>
          <w:rFonts w:ascii="宋体" w:hAnsi="宋体" w:cs="Arial"/>
          <w:color w:val="auto"/>
          <w:kern w:val="0"/>
          <w:sz w:val="28"/>
          <w:szCs w:val="28"/>
          <w:highlight w:val="none"/>
        </w:rPr>
      </w:pPr>
      <w:r>
        <w:rPr>
          <w:rFonts w:hint="eastAsia" w:ascii="宋体" w:hAnsi="宋体" w:cs="Arial"/>
          <w:color w:val="auto"/>
          <w:kern w:val="0"/>
          <w:sz w:val="28"/>
          <w:szCs w:val="28"/>
          <w:highlight w:val="none"/>
        </w:rPr>
        <w:t>工</w:t>
      </w:r>
      <w:r>
        <w:rPr>
          <w:rFonts w:ascii="宋体" w:hAnsi="宋体" w:cs="Arial"/>
          <w:color w:val="auto"/>
          <w:kern w:val="0"/>
          <w:sz w:val="28"/>
          <w:szCs w:val="28"/>
          <w:highlight w:val="none"/>
        </w:rPr>
        <w:t xml:space="preserve">  </w:t>
      </w:r>
      <w:r>
        <w:rPr>
          <w:rFonts w:hint="eastAsia" w:ascii="宋体" w:hAnsi="宋体" w:cs="Arial"/>
          <w:color w:val="auto"/>
          <w:kern w:val="0"/>
          <w:sz w:val="28"/>
          <w:szCs w:val="28"/>
          <w:highlight w:val="none"/>
        </w:rPr>
        <w:t>程</w:t>
      </w:r>
      <w:r>
        <w:rPr>
          <w:rFonts w:ascii="宋体" w:hAnsi="宋体" w:cs="Arial"/>
          <w:color w:val="auto"/>
          <w:kern w:val="0"/>
          <w:sz w:val="28"/>
          <w:szCs w:val="28"/>
          <w:highlight w:val="none"/>
        </w:rPr>
        <w:t xml:space="preserve">  </w:t>
      </w:r>
      <w:r>
        <w:rPr>
          <w:rFonts w:hint="eastAsia" w:ascii="宋体" w:hAnsi="宋体" w:cs="Arial"/>
          <w:color w:val="auto"/>
          <w:kern w:val="0"/>
          <w:sz w:val="28"/>
          <w:szCs w:val="28"/>
          <w:highlight w:val="none"/>
        </w:rPr>
        <w:t>名</w:t>
      </w:r>
      <w:r>
        <w:rPr>
          <w:rFonts w:ascii="宋体" w:hAnsi="宋体" w:cs="Arial"/>
          <w:color w:val="auto"/>
          <w:kern w:val="0"/>
          <w:sz w:val="28"/>
          <w:szCs w:val="28"/>
          <w:highlight w:val="none"/>
        </w:rPr>
        <w:t xml:space="preserve">  </w:t>
      </w:r>
      <w:r>
        <w:rPr>
          <w:rFonts w:hint="eastAsia" w:ascii="宋体" w:hAnsi="宋体" w:cs="Arial"/>
          <w:color w:val="auto"/>
          <w:kern w:val="0"/>
          <w:sz w:val="28"/>
          <w:szCs w:val="28"/>
          <w:highlight w:val="none"/>
        </w:rPr>
        <w:t>称：</w:t>
      </w:r>
      <w:r>
        <w:rPr>
          <w:rFonts w:hint="eastAsia" w:ascii="宋体" w:hAnsi="宋体" w:cs="Arial"/>
          <w:color w:val="auto"/>
          <w:kern w:val="0"/>
          <w:sz w:val="28"/>
          <w:szCs w:val="28"/>
          <w:highlight w:val="none"/>
          <w:u w:val="single"/>
        </w:rPr>
        <w:t xml:space="preserve">                                 </w:t>
      </w:r>
    </w:p>
    <w:p>
      <w:pPr>
        <w:widowControl/>
        <w:tabs>
          <w:tab w:val="left" w:pos="1442"/>
        </w:tabs>
        <w:snapToGrid w:val="0"/>
        <w:spacing w:before="100" w:beforeAutospacing="1" w:after="100" w:afterAutospacing="1" w:line="320" w:lineRule="atLeast"/>
        <w:ind w:firstLine="420" w:firstLineChars="150"/>
        <w:jc w:val="left"/>
        <w:rPr>
          <w:rFonts w:ascii="宋体" w:hAnsi="宋体" w:cs="Arial"/>
          <w:color w:val="auto"/>
          <w:kern w:val="0"/>
          <w:sz w:val="28"/>
          <w:szCs w:val="28"/>
          <w:highlight w:val="none"/>
        </w:rPr>
      </w:pPr>
      <w:r>
        <w:rPr>
          <w:rFonts w:hint="eastAsia" w:ascii="宋体" w:hAnsi="宋体" w:cs="Arial"/>
          <w:color w:val="auto"/>
          <w:kern w:val="0"/>
          <w:sz w:val="28"/>
          <w:szCs w:val="28"/>
          <w:highlight w:val="none"/>
        </w:rPr>
        <w:t>工</w:t>
      </w:r>
      <w:r>
        <w:rPr>
          <w:rFonts w:ascii="宋体" w:hAnsi="宋体" w:cs="Arial"/>
          <w:color w:val="auto"/>
          <w:kern w:val="0"/>
          <w:sz w:val="28"/>
          <w:szCs w:val="28"/>
          <w:highlight w:val="none"/>
        </w:rPr>
        <w:t xml:space="preserve">  </w:t>
      </w:r>
      <w:r>
        <w:rPr>
          <w:rFonts w:hint="eastAsia" w:ascii="宋体" w:hAnsi="宋体" w:cs="Arial"/>
          <w:color w:val="auto"/>
          <w:kern w:val="0"/>
          <w:sz w:val="28"/>
          <w:szCs w:val="28"/>
          <w:highlight w:val="none"/>
        </w:rPr>
        <w:t>程</w:t>
      </w:r>
      <w:r>
        <w:rPr>
          <w:rFonts w:ascii="宋体" w:hAnsi="宋体" w:cs="Arial"/>
          <w:color w:val="auto"/>
          <w:kern w:val="0"/>
          <w:sz w:val="28"/>
          <w:szCs w:val="28"/>
          <w:highlight w:val="none"/>
        </w:rPr>
        <w:t xml:space="preserve">  </w:t>
      </w:r>
      <w:r>
        <w:rPr>
          <w:rFonts w:hint="eastAsia" w:ascii="宋体" w:hAnsi="宋体" w:cs="Arial"/>
          <w:color w:val="auto"/>
          <w:kern w:val="0"/>
          <w:sz w:val="28"/>
          <w:szCs w:val="28"/>
          <w:highlight w:val="none"/>
        </w:rPr>
        <w:t>地</w:t>
      </w:r>
      <w:r>
        <w:rPr>
          <w:rFonts w:ascii="宋体" w:hAnsi="宋体" w:cs="Arial"/>
          <w:color w:val="auto"/>
          <w:kern w:val="0"/>
          <w:sz w:val="28"/>
          <w:szCs w:val="28"/>
          <w:highlight w:val="none"/>
        </w:rPr>
        <w:t xml:space="preserve">  </w:t>
      </w:r>
      <w:r>
        <w:rPr>
          <w:rFonts w:hint="eastAsia" w:ascii="宋体" w:hAnsi="宋体" w:cs="Arial"/>
          <w:color w:val="auto"/>
          <w:kern w:val="0"/>
          <w:sz w:val="28"/>
          <w:szCs w:val="28"/>
          <w:highlight w:val="none"/>
        </w:rPr>
        <w:t>点：</w:t>
      </w:r>
      <w:r>
        <w:rPr>
          <w:rFonts w:ascii="宋体" w:hAnsi="宋体" w:cs="Arial"/>
          <w:color w:val="auto"/>
          <w:kern w:val="0"/>
          <w:sz w:val="28"/>
          <w:szCs w:val="28"/>
          <w:highlight w:val="none"/>
          <w:u w:val="single"/>
        </w:rPr>
        <w:t xml:space="preserve">                              </w:t>
      </w:r>
      <w:r>
        <w:rPr>
          <w:rFonts w:hint="eastAsia" w:ascii="宋体" w:hAnsi="宋体" w:cs="Arial"/>
          <w:color w:val="auto"/>
          <w:kern w:val="0"/>
          <w:sz w:val="28"/>
          <w:szCs w:val="28"/>
          <w:highlight w:val="none"/>
          <w:u w:val="single"/>
        </w:rPr>
        <w:t xml:space="preserve">  </w:t>
      </w:r>
      <w:r>
        <w:rPr>
          <w:rFonts w:ascii="宋体" w:hAnsi="宋体" w:cs="Arial"/>
          <w:color w:val="auto"/>
          <w:kern w:val="0"/>
          <w:sz w:val="28"/>
          <w:szCs w:val="28"/>
          <w:highlight w:val="none"/>
          <w:u w:val="single"/>
        </w:rPr>
        <w:t xml:space="preserve">    </w:t>
      </w:r>
    </w:p>
    <w:p>
      <w:pPr>
        <w:widowControl/>
        <w:snapToGrid w:val="0"/>
        <w:spacing w:before="100" w:beforeAutospacing="1" w:after="100" w:afterAutospacing="1" w:line="320" w:lineRule="atLeast"/>
        <w:ind w:firstLine="420" w:firstLineChars="150"/>
        <w:jc w:val="left"/>
        <w:rPr>
          <w:rFonts w:ascii="宋体" w:hAnsi="宋体" w:cs="Arial"/>
          <w:color w:val="auto"/>
          <w:kern w:val="0"/>
          <w:sz w:val="28"/>
          <w:szCs w:val="28"/>
          <w:highlight w:val="none"/>
        </w:rPr>
      </w:pPr>
      <w:r>
        <w:rPr>
          <w:rFonts w:hint="eastAsia" w:ascii="宋体" w:hAnsi="宋体" w:cs="Arial"/>
          <w:color w:val="auto"/>
          <w:kern w:val="0"/>
          <w:sz w:val="28"/>
          <w:szCs w:val="28"/>
          <w:highlight w:val="none"/>
        </w:rPr>
        <w:t>合</w:t>
      </w:r>
      <w:r>
        <w:rPr>
          <w:rFonts w:ascii="宋体" w:hAnsi="宋体" w:cs="Arial"/>
          <w:color w:val="auto"/>
          <w:kern w:val="0"/>
          <w:sz w:val="28"/>
          <w:szCs w:val="28"/>
          <w:highlight w:val="none"/>
        </w:rPr>
        <w:t xml:space="preserve">  </w:t>
      </w:r>
      <w:r>
        <w:rPr>
          <w:rFonts w:hint="eastAsia" w:ascii="宋体" w:hAnsi="宋体" w:cs="Arial"/>
          <w:color w:val="auto"/>
          <w:kern w:val="0"/>
          <w:sz w:val="28"/>
          <w:szCs w:val="28"/>
          <w:highlight w:val="none"/>
        </w:rPr>
        <w:t>同</w:t>
      </w:r>
      <w:r>
        <w:rPr>
          <w:rFonts w:ascii="宋体" w:hAnsi="宋体" w:cs="Arial"/>
          <w:color w:val="auto"/>
          <w:kern w:val="0"/>
          <w:sz w:val="28"/>
          <w:szCs w:val="28"/>
          <w:highlight w:val="none"/>
        </w:rPr>
        <w:t xml:space="preserve">  </w:t>
      </w:r>
      <w:r>
        <w:rPr>
          <w:rFonts w:hint="eastAsia" w:ascii="宋体" w:hAnsi="宋体" w:cs="Arial"/>
          <w:color w:val="auto"/>
          <w:kern w:val="0"/>
          <w:sz w:val="28"/>
          <w:szCs w:val="28"/>
          <w:highlight w:val="none"/>
        </w:rPr>
        <w:t>编</w:t>
      </w:r>
      <w:r>
        <w:rPr>
          <w:rFonts w:ascii="宋体" w:hAnsi="宋体" w:cs="Arial"/>
          <w:color w:val="auto"/>
          <w:kern w:val="0"/>
          <w:sz w:val="28"/>
          <w:szCs w:val="28"/>
          <w:highlight w:val="none"/>
        </w:rPr>
        <w:t xml:space="preserve">  </w:t>
      </w:r>
      <w:r>
        <w:rPr>
          <w:rFonts w:hint="eastAsia" w:ascii="宋体" w:hAnsi="宋体" w:cs="Arial"/>
          <w:color w:val="auto"/>
          <w:kern w:val="0"/>
          <w:sz w:val="28"/>
          <w:szCs w:val="28"/>
          <w:highlight w:val="none"/>
        </w:rPr>
        <w:t>号：</w:t>
      </w:r>
      <w:r>
        <w:rPr>
          <w:rFonts w:ascii="宋体" w:hAnsi="宋体" w:cs="Arial"/>
          <w:color w:val="auto"/>
          <w:kern w:val="0"/>
          <w:sz w:val="28"/>
          <w:szCs w:val="28"/>
          <w:highlight w:val="none"/>
          <w:u w:val="single"/>
        </w:rPr>
        <w:t xml:space="preserve">                     </w:t>
      </w:r>
      <w:r>
        <w:rPr>
          <w:rFonts w:hint="eastAsia" w:ascii="宋体" w:hAnsi="宋体" w:cs="Arial"/>
          <w:color w:val="auto"/>
          <w:kern w:val="0"/>
          <w:sz w:val="28"/>
          <w:szCs w:val="28"/>
          <w:highlight w:val="none"/>
        </w:rPr>
        <w:t>（由设计人编填）</w:t>
      </w:r>
    </w:p>
    <w:p>
      <w:pPr>
        <w:widowControl/>
        <w:snapToGrid w:val="0"/>
        <w:spacing w:before="100" w:beforeAutospacing="1" w:after="100" w:afterAutospacing="1" w:line="320" w:lineRule="atLeast"/>
        <w:ind w:firstLine="420" w:firstLineChars="150"/>
        <w:jc w:val="left"/>
        <w:rPr>
          <w:rFonts w:ascii="宋体" w:hAnsi="宋体" w:cs="Arial"/>
          <w:color w:val="auto"/>
          <w:kern w:val="0"/>
          <w:sz w:val="28"/>
          <w:szCs w:val="28"/>
          <w:highlight w:val="none"/>
        </w:rPr>
      </w:pPr>
      <w:r>
        <w:rPr>
          <w:rFonts w:hint="eastAsia" w:ascii="宋体" w:hAnsi="宋体" w:cs="Arial"/>
          <w:color w:val="auto"/>
          <w:kern w:val="0"/>
          <w:sz w:val="28"/>
          <w:szCs w:val="28"/>
          <w:highlight w:val="none"/>
        </w:rPr>
        <w:t>设计证书等级：</w:t>
      </w:r>
      <w:r>
        <w:rPr>
          <w:rFonts w:ascii="宋体" w:hAnsi="宋体" w:cs="Arial"/>
          <w:color w:val="auto"/>
          <w:kern w:val="0"/>
          <w:sz w:val="28"/>
          <w:szCs w:val="28"/>
          <w:highlight w:val="none"/>
          <w:u w:val="single"/>
        </w:rPr>
        <w:t xml:space="preserve">                                      </w:t>
      </w:r>
    </w:p>
    <w:p>
      <w:pPr>
        <w:widowControl/>
        <w:snapToGrid w:val="0"/>
        <w:spacing w:before="100" w:beforeAutospacing="1" w:after="100" w:afterAutospacing="1" w:line="320" w:lineRule="atLeast"/>
        <w:ind w:firstLine="420" w:firstLineChars="150"/>
        <w:jc w:val="left"/>
        <w:rPr>
          <w:rFonts w:ascii="宋体" w:hAnsi="宋体" w:cs="Arial"/>
          <w:color w:val="auto"/>
          <w:kern w:val="0"/>
          <w:sz w:val="28"/>
          <w:szCs w:val="28"/>
          <w:highlight w:val="none"/>
        </w:rPr>
      </w:pPr>
      <w:r>
        <w:rPr>
          <w:rFonts w:hint="eastAsia" w:ascii="宋体" w:hAnsi="宋体" w:cs="Arial"/>
          <w:color w:val="auto"/>
          <w:kern w:val="0"/>
          <w:sz w:val="28"/>
          <w:szCs w:val="28"/>
          <w:highlight w:val="none"/>
        </w:rPr>
        <w:t>发</w:t>
      </w:r>
      <w:r>
        <w:rPr>
          <w:rFonts w:ascii="宋体" w:hAnsi="宋体" w:cs="Arial"/>
          <w:color w:val="auto"/>
          <w:kern w:val="0"/>
          <w:sz w:val="28"/>
          <w:szCs w:val="28"/>
          <w:highlight w:val="none"/>
        </w:rPr>
        <w:t xml:space="preserve">    </w:t>
      </w:r>
      <w:r>
        <w:rPr>
          <w:rFonts w:hint="eastAsia" w:ascii="宋体" w:hAnsi="宋体" w:cs="Arial"/>
          <w:color w:val="auto"/>
          <w:kern w:val="0"/>
          <w:sz w:val="28"/>
          <w:szCs w:val="28"/>
          <w:highlight w:val="none"/>
        </w:rPr>
        <w:t>包</w:t>
      </w:r>
      <w:r>
        <w:rPr>
          <w:rFonts w:ascii="宋体" w:hAnsi="宋体" w:cs="Arial"/>
          <w:color w:val="auto"/>
          <w:kern w:val="0"/>
          <w:sz w:val="28"/>
          <w:szCs w:val="28"/>
          <w:highlight w:val="none"/>
        </w:rPr>
        <w:t xml:space="preserve">    </w:t>
      </w:r>
      <w:r>
        <w:rPr>
          <w:rFonts w:hint="eastAsia" w:ascii="宋体" w:hAnsi="宋体" w:cs="Arial"/>
          <w:color w:val="auto"/>
          <w:kern w:val="0"/>
          <w:sz w:val="28"/>
          <w:szCs w:val="28"/>
          <w:highlight w:val="none"/>
        </w:rPr>
        <w:t>人：</w:t>
      </w:r>
      <w:r>
        <w:rPr>
          <w:rFonts w:hint="eastAsia" w:ascii="宋体" w:hAnsi="宋体" w:cs="Arial"/>
          <w:color w:val="auto"/>
          <w:kern w:val="0"/>
          <w:sz w:val="28"/>
          <w:szCs w:val="28"/>
          <w:highlight w:val="none"/>
          <w:u w:val="single"/>
        </w:rPr>
        <w:t xml:space="preserve">                                        </w:t>
      </w:r>
    </w:p>
    <w:p>
      <w:pPr>
        <w:widowControl/>
        <w:snapToGrid w:val="0"/>
        <w:spacing w:before="100" w:beforeAutospacing="1" w:after="100" w:afterAutospacing="1" w:line="320" w:lineRule="atLeast"/>
        <w:ind w:firstLine="420" w:firstLineChars="150"/>
        <w:jc w:val="left"/>
        <w:rPr>
          <w:rFonts w:ascii="宋体" w:hAnsi="宋体" w:cs="Arial"/>
          <w:color w:val="auto"/>
          <w:kern w:val="0"/>
          <w:sz w:val="28"/>
          <w:szCs w:val="28"/>
          <w:highlight w:val="none"/>
        </w:rPr>
      </w:pPr>
      <w:r>
        <w:rPr>
          <w:rFonts w:hint="eastAsia" w:ascii="宋体" w:hAnsi="宋体" w:cs="Arial"/>
          <w:color w:val="auto"/>
          <w:kern w:val="0"/>
          <w:sz w:val="28"/>
          <w:szCs w:val="28"/>
          <w:highlight w:val="none"/>
        </w:rPr>
        <w:t>设</w:t>
      </w:r>
      <w:r>
        <w:rPr>
          <w:rFonts w:ascii="宋体" w:hAnsi="宋体" w:cs="Arial"/>
          <w:color w:val="auto"/>
          <w:kern w:val="0"/>
          <w:sz w:val="28"/>
          <w:szCs w:val="28"/>
          <w:highlight w:val="none"/>
        </w:rPr>
        <w:t xml:space="preserve">    </w:t>
      </w:r>
      <w:r>
        <w:rPr>
          <w:rFonts w:hint="eastAsia" w:ascii="宋体" w:hAnsi="宋体" w:cs="Arial"/>
          <w:color w:val="auto"/>
          <w:kern w:val="0"/>
          <w:sz w:val="28"/>
          <w:szCs w:val="28"/>
          <w:highlight w:val="none"/>
        </w:rPr>
        <w:t>计</w:t>
      </w:r>
      <w:r>
        <w:rPr>
          <w:rFonts w:ascii="宋体" w:hAnsi="宋体" w:cs="Arial"/>
          <w:color w:val="auto"/>
          <w:kern w:val="0"/>
          <w:sz w:val="28"/>
          <w:szCs w:val="28"/>
          <w:highlight w:val="none"/>
        </w:rPr>
        <w:t xml:space="preserve">    </w:t>
      </w:r>
      <w:r>
        <w:rPr>
          <w:rFonts w:hint="eastAsia" w:ascii="宋体" w:hAnsi="宋体" w:cs="Arial"/>
          <w:color w:val="auto"/>
          <w:kern w:val="0"/>
          <w:sz w:val="28"/>
          <w:szCs w:val="28"/>
          <w:highlight w:val="none"/>
        </w:rPr>
        <w:t>人：</w:t>
      </w:r>
      <w:r>
        <w:rPr>
          <w:rFonts w:ascii="宋体" w:hAnsi="宋体" w:cs="Arial"/>
          <w:color w:val="auto"/>
          <w:kern w:val="0"/>
          <w:sz w:val="28"/>
          <w:szCs w:val="28"/>
          <w:highlight w:val="none"/>
          <w:u w:val="single"/>
        </w:rPr>
        <w:t xml:space="preserve">                                    </w:t>
      </w:r>
    </w:p>
    <w:p>
      <w:pPr>
        <w:widowControl/>
        <w:snapToGrid w:val="0"/>
        <w:spacing w:before="100" w:beforeAutospacing="1" w:after="100" w:afterAutospacing="1" w:line="320" w:lineRule="atLeast"/>
        <w:ind w:firstLine="420" w:firstLineChars="150"/>
        <w:jc w:val="left"/>
        <w:rPr>
          <w:rFonts w:ascii="宋体" w:hAnsi="宋体" w:cs="Arial"/>
          <w:color w:val="auto"/>
          <w:kern w:val="0"/>
          <w:sz w:val="28"/>
          <w:szCs w:val="28"/>
          <w:highlight w:val="none"/>
        </w:rPr>
      </w:pPr>
      <w:r>
        <w:rPr>
          <w:rFonts w:hint="eastAsia" w:ascii="宋体" w:hAnsi="宋体" w:cs="Arial"/>
          <w:color w:val="auto"/>
          <w:kern w:val="0"/>
          <w:sz w:val="28"/>
          <w:szCs w:val="28"/>
          <w:highlight w:val="none"/>
        </w:rPr>
        <w:t>签</w:t>
      </w:r>
      <w:r>
        <w:rPr>
          <w:rFonts w:ascii="宋体" w:hAnsi="宋体" w:cs="Arial"/>
          <w:color w:val="auto"/>
          <w:kern w:val="0"/>
          <w:sz w:val="28"/>
          <w:szCs w:val="28"/>
          <w:highlight w:val="none"/>
        </w:rPr>
        <w:t xml:space="preserve">  </w:t>
      </w:r>
      <w:r>
        <w:rPr>
          <w:rFonts w:hint="eastAsia" w:ascii="宋体" w:hAnsi="宋体" w:cs="Arial"/>
          <w:color w:val="auto"/>
          <w:kern w:val="0"/>
          <w:sz w:val="28"/>
          <w:szCs w:val="28"/>
          <w:highlight w:val="none"/>
        </w:rPr>
        <w:t>订</w:t>
      </w:r>
      <w:r>
        <w:rPr>
          <w:rFonts w:ascii="宋体" w:hAnsi="宋体" w:cs="Arial"/>
          <w:color w:val="auto"/>
          <w:kern w:val="0"/>
          <w:sz w:val="28"/>
          <w:szCs w:val="28"/>
          <w:highlight w:val="none"/>
        </w:rPr>
        <w:t xml:space="preserve">  </w:t>
      </w:r>
      <w:r>
        <w:rPr>
          <w:rFonts w:hint="eastAsia" w:ascii="宋体" w:hAnsi="宋体" w:cs="Arial"/>
          <w:color w:val="auto"/>
          <w:kern w:val="0"/>
          <w:sz w:val="28"/>
          <w:szCs w:val="28"/>
          <w:highlight w:val="none"/>
        </w:rPr>
        <w:t>日</w:t>
      </w:r>
      <w:r>
        <w:rPr>
          <w:rFonts w:ascii="宋体" w:hAnsi="宋体" w:cs="Arial"/>
          <w:color w:val="auto"/>
          <w:kern w:val="0"/>
          <w:sz w:val="28"/>
          <w:szCs w:val="28"/>
          <w:highlight w:val="none"/>
        </w:rPr>
        <w:t xml:space="preserve">  </w:t>
      </w:r>
      <w:r>
        <w:rPr>
          <w:rFonts w:hint="eastAsia" w:ascii="宋体" w:hAnsi="宋体" w:cs="Arial"/>
          <w:color w:val="auto"/>
          <w:kern w:val="0"/>
          <w:sz w:val="28"/>
          <w:szCs w:val="28"/>
          <w:highlight w:val="none"/>
        </w:rPr>
        <w:t>期：</w:t>
      </w:r>
      <w:r>
        <w:rPr>
          <w:rFonts w:ascii="宋体" w:hAnsi="宋体" w:cs="Arial"/>
          <w:color w:val="auto"/>
          <w:kern w:val="0"/>
          <w:sz w:val="28"/>
          <w:szCs w:val="28"/>
          <w:highlight w:val="none"/>
          <w:u w:val="single"/>
        </w:rPr>
        <w:t xml:space="preserve">                                    </w:t>
      </w:r>
    </w:p>
    <w:p>
      <w:pPr>
        <w:widowControl/>
        <w:snapToGrid w:val="0"/>
        <w:spacing w:before="100" w:beforeAutospacing="1" w:after="100" w:afterAutospacing="1" w:line="320" w:lineRule="atLeast"/>
        <w:ind w:left="5250" w:firstLine="480"/>
        <w:jc w:val="left"/>
        <w:rPr>
          <w:rFonts w:ascii="宋体" w:hAnsi="宋体" w:cs="Arial"/>
          <w:color w:val="auto"/>
          <w:kern w:val="0"/>
          <w:sz w:val="28"/>
          <w:szCs w:val="28"/>
          <w:highlight w:val="none"/>
        </w:rPr>
      </w:pPr>
    </w:p>
    <w:p>
      <w:pPr>
        <w:widowControl/>
        <w:snapToGrid w:val="0"/>
        <w:spacing w:before="100" w:beforeAutospacing="1" w:after="100" w:afterAutospacing="1" w:line="320" w:lineRule="atLeast"/>
        <w:ind w:left="5250" w:firstLine="480"/>
        <w:jc w:val="left"/>
        <w:rPr>
          <w:rFonts w:ascii="宋体" w:hAnsi="宋体" w:cs="Arial"/>
          <w:color w:val="auto"/>
          <w:kern w:val="0"/>
          <w:sz w:val="28"/>
          <w:szCs w:val="28"/>
          <w:highlight w:val="none"/>
        </w:rPr>
      </w:pPr>
    </w:p>
    <w:p>
      <w:pPr>
        <w:widowControl/>
        <w:snapToGrid w:val="0"/>
        <w:spacing w:before="100" w:beforeAutospacing="1" w:after="100" w:afterAutospacing="1" w:line="320" w:lineRule="atLeast"/>
        <w:ind w:left="5250" w:firstLine="480"/>
        <w:jc w:val="left"/>
        <w:rPr>
          <w:rFonts w:ascii="宋体" w:hAnsi="宋体" w:cs="Arial"/>
          <w:color w:val="auto"/>
          <w:kern w:val="0"/>
          <w:sz w:val="28"/>
          <w:szCs w:val="28"/>
          <w:highlight w:val="none"/>
        </w:rPr>
      </w:pPr>
    </w:p>
    <w:p>
      <w:pPr>
        <w:widowControl/>
        <w:snapToGrid w:val="0"/>
        <w:spacing w:before="100" w:beforeAutospacing="1" w:after="100" w:afterAutospacing="1" w:line="320" w:lineRule="atLeast"/>
        <w:ind w:left="5250" w:firstLine="480"/>
        <w:jc w:val="left"/>
        <w:rPr>
          <w:rFonts w:ascii="宋体" w:hAnsi="宋体" w:cs="Arial"/>
          <w:color w:val="auto"/>
          <w:kern w:val="0"/>
          <w:sz w:val="28"/>
          <w:szCs w:val="28"/>
          <w:highlight w:val="none"/>
        </w:rPr>
      </w:pPr>
    </w:p>
    <w:p>
      <w:pPr>
        <w:widowControl/>
        <w:snapToGrid w:val="0"/>
        <w:spacing w:before="100" w:beforeAutospacing="1" w:after="100" w:afterAutospacing="1" w:line="320" w:lineRule="atLeast"/>
        <w:ind w:left="2232" w:leftChars="1063" w:firstLine="1540" w:firstLineChars="550"/>
        <w:jc w:val="left"/>
        <w:rPr>
          <w:rFonts w:ascii="宋体" w:hAnsi="宋体" w:cs="Arial"/>
          <w:color w:val="auto"/>
          <w:kern w:val="0"/>
          <w:sz w:val="28"/>
          <w:szCs w:val="28"/>
          <w:highlight w:val="none"/>
        </w:rPr>
      </w:pPr>
      <w:r>
        <w:rPr>
          <w:rFonts w:hint="eastAsia" w:ascii="宋体" w:hAnsi="宋体" w:cs="Arial"/>
          <w:color w:val="auto"/>
          <w:kern w:val="0"/>
          <w:sz w:val="28"/>
          <w:szCs w:val="28"/>
          <w:highlight w:val="none"/>
        </w:rPr>
        <w:t>年    月    日</w:t>
      </w:r>
    </w:p>
    <w:p>
      <w:pPr>
        <w:adjustRightInd w:val="0"/>
        <w:snapToGrid w:val="0"/>
        <w:spacing w:line="380" w:lineRule="exact"/>
        <w:ind w:firstLine="420" w:firstLineChars="200"/>
        <w:rPr>
          <w:color w:val="auto"/>
          <w:highlight w:val="none"/>
        </w:rPr>
      </w:pPr>
      <w:r>
        <w:rPr>
          <w:rFonts w:hint="eastAsia"/>
          <w:color w:val="auto"/>
          <w:highlight w:val="none"/>
        </w:rPr>
        <w:t>发包人：</w:t>
      </w:r>
      <w:r>
        <w:rPr>
          <w:rFonts w:hint="eastAsia"/>
          <w:color w:val="auto"/>
          <w:highlight w:val="none"/>
          <w:u w:val="single"/>
        </w:rPr>
        <w:t xml:space="preserve">                          </w:t>
      </w:r>
      <w:r>
        <w:rPr>
          <w:color w:val="auto"/>
          <w:highlight w:val="none"/>
          <w:u w:val="single"/>
        </w:rPr>
        <w:t>___</w:t>
      </w:r>
      <w:r>
        <w:rPr>
          <w:color w:val="auto"/>
          <w:highlight w:val="none"/>
        </w:rPr>
        <w:t>_</w:t>
      </w:r>
    </w:p>
    <w:p>
      <w:pPr>
        <w:adjustRightInd w:val="0"/>
        <w:snapToGrid w:val="0"/>
        <w:spacing w:line="380" w:lineRule="exact"/>
        <w:ind w:firstLine="420" w:firstLineChars="200"/>
        <w:rPr>
          <w:color w:val="auto"/>
          <w:highlight w:val="none"/>
        </w:rPr>
      </w:pPr>
      <w:r>
        <w:rPr>
          <w:rFonts w:hint="eastAsia"/>
          <w:color w:val="auto"/>
          <w:highlight w:val="none"/>
        </w:rPr>
        <w:t>设计人：</w:t>
      </w:r>
      <w:r>
        <w:rPr>
          <w:color w:val="auto"/>
          <w:highlight w:val="none"/>
        </w:rPr>
        <w:t>__</w:t>
      </w:r>
      <w:r>
        <w:rPr>
          <w:rFonts w:hint="eastAsia"/>
          <w:color w:val="auto"/>
          <w:highlight w:val="none"/>
          <w:u w:val="single"/>
        </w:rPr>
        <w:t xml:space="preserve">                                                 </w:t>
      </w:r>
      <w:r>
        <w:rPr>
          <w:color w:val="auto"/>
          <w:highlight w:val="none"/>
        </w:rPr>
        <w:t>___</w:t>
      </w:r>
    </w:p>
    <w:p>
      <w:pPr>
        <w:adjustRightInd w:val="0"/>
        <w:snapToGrid w:val="0"/>
        <w:spacing w:line="380" w:lineRule="exact"/>
        <w:ind w:firstLine="420" w:firstLineChars="200"/>
        <w:rPr>
          <w:color w:val="auto"/>
          <w:highlight w:val="none"/>
        </w:rPr>
      </w:pPr>
      <w:r>
        <w:rPr>
          <w:rFonts w:hint="eastAsia"/>
          <w:color w:val="auto"/>
          <w:highlight w:val="none"/>
        </w:rPr>
        <w:t>发包人委托设计人承担</w:t>
      </w:r>
      <w:r>
        <w:rPr>
          <w:rFonts w:hint="eastAsia"/>
          <w:color w:val="auto"/>
          <w:highlight w:val="none"/>
          <w:u w:val="single"/>
        </w:rPr>
        <w:t xml:space="preserve">                                </w:t>
      </w:r>
      <w:r>
        <w:rPr>
          <w:rFonts w:hint="eastAsia"/>
          <w:color w:val="auto"/>
          <w:highlight w:val="none"/>
        </w:rPr>
        <w:t>，经双方协商一致，签订本合同。</w:t>
      </w:r>
    </w:p>
    <w:p>
      <w:pPr>
        <w:adjustRightInd w:val="0"/>
        <w:snapToGrid w:val="0"/>
        <w:spacing w:line="380" w:lineRule="exact"/>
        <w:ind w:firstLine="420" w:firstLineChars="200"/>
        <w:rPr>
          <w:color w:val="auto"/>
          <w:highlight w:val="none"/>
        </w:rPr>
      </w:pPr>
      <w:r>
        <w:rPr>
          <w:rFonts w:hint="eastAsia"/>
          <w:color w:val="auto"/>
          <w:highlight w:val="none"/>
        </w:rPr>
        <w:t>第一条</w:t>
      </w:r>
      <w:r>
        <w:rPr>
          <w:color w:val="auto"/>
          <w:highlight w:val="none"/>
        </w:rPr>
        <w:t xml:space="preserve">  </w:t>
      </w:r>
      <w:r>
        <w:rPr>
          <w:rFonts w:hint="eastAsia"/>
          <w:color w:val="auto"/>
          <w:highlight w:val="none"/>
        </w:rPr>
        <w:t>本合同依据下列文件签订：</w:t>
      </w:r>
    </w:p>
    <w:p>
      <w:pPr>
        <w:adjustRightInd w:val="0"/>
        <w:snapToGrid w:val="0"/>
        <w:spacing w:line="380" w:lineRule="exact"/>
        <w:ind w:firstLine="420" w:firstLineChars="200"/>
        <w:rPr>
          <w:color w:val="auto"/>
          <w:highlight w:val="none"/>
        </w:rPr>
      </w:pPr>
      <w:r>
        <w:rPr>
          <w:rFonts w:hint="eastAsia"/>
          <w:color w:val="auto"/>
          <w:highlight w:val="none"/>
        </w:rPr>
        <w:t>1.1《中华人民共和国民法典》、《中华人民共和国建筑法》、《建设工程勘察设计市场管理规定》。</w:t>
      </w:r>
    </w:p>
    <w:p>
      <w:pPr>
        <w:adjustRightInd w:val="0"/>
        <w:snapToGrid w:val="0"/>
        <w:spacing w:line="380" w:lineRule="exact"/>
        <w:ind w:firstLine="420" w:firstLineChars="200"/>
        <w:rPr>
          <w:color w:val="auto"/>
          <w:highlight w:val="none"/>
        </w:rPr>
      </w:pPr>
      <w:r>
        <w:rPr>
          <w:rFonts w:hint="eastAsia"/>
          <w:color w:val="auto"/>
          <w:highlight w:val="none"/>
        </w:rPr>
        <w:t>1.2国家及地方有关建设工程设计管理法规和规章。</w:t>
      </w:r>
    </w:p>
    <w:p>
      <w:pPr>
        <w:adjustRightInd w:val="0"/>
        <w:snapToGrid w:val="0"/>
        <w:spacing w:line="380" w:lineRule="exact"/>
        <w:ind w:firstLine="420" w:firstLineChars="200"/>
        <w:rPr>
          <w:color w:val="auto"/>
          <w:highlight w:val="none"/>
        </w:rPr>
      </w:pPr>
      <w:r>
        <w:rPr>
          <w:rFonts w:hint="eastAsia"/>
          <w:color w:val="auto"/>
          <w:highlight w:val="none"/>
        </w:rPr>
        <w:t>1.3建设工程批准文件。</w:t>
      </w:r>
    </w:p>
    <w:p>
      <w:pPr>
        <w:adjustRightInd w:val="0"/>
        <w:snapToGrid w:val="0"/>
        <w:spacing w:line="380" w:lineRule="exact"/>
        <w:ind w:firstLine="420" w:firstLineChars="200"/>
        <w:rPr>
          <w:color w:val="auto"/>
          <w:highlight w:val="none"/>
        </w:rPr>
      </w:pPr>
      <w:r>
        <w:rPr>
          <w:rFonts w:hint="eastAsia"/>
          <w:color w:val="auto"/>
          <w:highlight w:val="none"/>
        </w:rPr>
        <w:t>第二条</w:t>
      </w:r>
      <w:r>
        <w:rPr>
          <w:color w:val="auto"/>
          <w:highlight w:val="none"/>
        </w:rPr>
        <w:t xml:space="preserve">  </w:t>
      </w:r>
      <w:r>
        <w:rPr>
          <w:rFonts w:hint="eastAsia"/>
          <w:color w:val="auto"/>
          <w:highlight w:val="none"/>
        </w:rPr>
        <w:t>本合同设计项目的内容：名称、规模、阶段、投资及合同价等见下表。</w:t>
      </w:r>
    </w:p>
    <w:tbl>
      <w:tblPr>
        <w:tblStyle w:val="22"/>
        <w:tblW w:w="914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8"/>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088" w:type="dxa"/>
            <w:vAlign w:val="center"/>
          </w:tcPr>
          <w:p>
            <w:pPr>
              <w:spacing w:line="360" w:lineRule="exact"/>
              <w:rPr>
                <w:rFonts w:ascii="宋体" w:hAnsi="宋体"/>
                <w:color w:val="auto"/>
                <w:sz w:val="18"/>
                <w:szCs w:val="18"/>
                <w:highlight w:val="none"/>
              </w:rPr>
            </w:pPr>
            <w:r>
              <w:rPr>
                <w:color w:val="auto"/>
                <w:sz w:val="18"/>
                <w:highlight w:val="none"/>
              </w:rPr>
              <w:t xml:space="preserve">   </w:t>
            </w:r>
            <w:r>
              <w:rPr>
                <w:rFonts w:hint="eastAsia"/>
                <w:color w:val="auto"/>
                <w:sz w:val="18"/>
                <w:highlight w:val="none"/>
              </w:rPr>
              <w:t>承包</w:t>
            </w:r>
            <w:r>
              <w:rPr>
                <w:rFonts w:hint="eastAsia" w:ascii="宋体" w:hAnsi="宋体"/>
                <w:color w:val="auto"/>
                <w:sz w:val="18"/>
                <w:szCs w:val="18"/>
                <w:highlight w:val="none"/>
              </w:rPr>
              <w:t>内容</w:t>
            </w:r>
          </w:p>
        </w:tc>
        <w:tc>
          <w:tcPr>
            <w:tcW w:w="2058" w:type="dxa"/>
            <w:vAlign w:val="center"/>
          </w:tcPr>
          <w:p>
            <w:pPr>
              <w:spacing w:line="360" w:lineRule="exact"/>
              <w:ind w:left="34"/>
              <w:jc w:val="center"/>
              <w:rPr>
                <w:rFonts w:ascii="宋体" w:hAnsi="宋体"/>
                <w:color w:val="auto"/>
                <w:sz w:val="18"/>
                <w:szCs w:val="18"/>
                <w:highlight w:val="none"/>
              </w:rPr>
            </w:pPr>
            <w:r>
              <w:rPr>
                <w:rFonts w:hint="eastAsia" w:ascii="宋体" w:hAnsi="宋体"/>
                <w:color w:val="auto"/>
                <w:sz w:val="18"/>
                <w:szCs w:val="18"/>
                <w:highlight w:val="none"/>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7088" w:type="dxa"/>
          </w:tcPr>
          <w:p>
            <w:pPr>
              <w:spacing w:line="360" w:lineRule="exact"/>
              <w:rPr>
                <w:color w:val="auto"/>
                <w:sz w:val="18"/>
                <w:highlight w:val="none"/>
              </w:rPr>
            </w:pPr>
            <w:r>
              <w:rPr>
                <w:rFonts w:hint="eastAsia"/>
                <w:color w:val="auto"/>
                <w:sz w:val="18"/>
                <w:highlight w:val="none"/>
              </w:rPr>
              <w:t xml:space="preserve">    设计内容：项目主要包含路桥南入城口改造提升工程、甬莞高速路桥入城口改造提升工程、甬莞高速台州东入城口改造提升工程、体育场路（内环路～白云山南路）风貌改造提升工程、内环线（九澄大道~一江山大道）改造提升工程等项目。</w:t>
            </w:r>
          </w:p>
          <w:p>
            <w:pPr>
              <w:spacing w:line="360" w:lineRule="exact"/>
              <w:rPr>
                <w:rFonts w:ascii="宋体" w:hAnsi="宋体"/>
                <w:color w:val="auto"/>
                <w:highlight w:val="none"/>
              </w:rPr>
            </w:pPr>
            <w:r>
              <w:rPr>
                <w:rFonts w:hint="eastAsia"/>
                <w:color w:val="auto"/>
                <w:sz w:val="18"/>
                <w:highlight w:val="none"/>
              </w:rPr>
              <w:t xml:space="preserve">    </w:t>
            </w:r>
            <w:r>
              <w:rPr>
                <w:rFonts w:hint="eastAsia"/>
                <w:color w:val="auto"/>
                <w:sz w:val="18"/>
                <w:highlight w:val="none"/>
              </w:rPr>
              <w:t>对项目各区块内容做现状地形测绘（1：5</w:t>
            </w:r>
            <w:r>
              <w:rPr>
                <w:color w:val="auto"/>
                <w:sz w:val="18"/>
                <w:highlight w:val="none"/>
              </w:rPr>
              <w:t>00</w:t>
            </w:r>
            <w:r>
              <w:rPr>
                <w:rFonts w:hint="eastAsia"/>
                <w:color w:val="auto"/>
                <w:sz w:val="18"/>
                <w:highlight w:val="none"/>
              </w:rPr>
              <w:t>地形图测量）并进行方案设计，方案设计内容包括绿化景致装扮、文化内涵提升等，</w:t>
            </w:r>
            <w:r>
              <w:rPr>
                <w:rFonts w:hint="eastAsia"/>
                <w:color w:val="auto"/>
                <w:sz w:val="18"/>
                <w:highlight w:val="none"/>
              </w:rPr>
              <w:t>城市家具导则内容包括城市户外环境设施建设的总体指导方针和原则的编制。</w:t>
            </w:r>
          </w:p>
        </w:tc>
        <w:tc>
          <w:tcPr>
            <w:tcW w:w="2058" w:type="dxa"/>
          </w:tcPr>
          <w:p>
            <w:pPr>
              <w:spacing w:line="400" w:lineRule="exact"/>
              <w:ind w:left="840"/>
              <w:rPr>
                <w:color w:val="auto"/>
                <w:sz w:val="18"/>
                <w:highlight w:val="none"/>
              </w:rPr>
            </w:pPr>
          </w:p>
        </w:tc>
      </w:tr>
    </w:tbl>
    <w:p>
      <w:pPr>
        <w:spacing w:line="400" w:lineRule="exact"/>
        <w:ind w:firstLine="420" w:firstLineChars="200"/>
        <w:rPr>
          <w:color w:val="auto"/>
          <w:highlight w:val="none"/>
        </w:rPr>
      </w:pPr>
      <w:r>
        <w:rPr>
          <w:rFonts w:hint="eastAsia"/>
          <w:color w:val="auto"/>
          <w:highlight w:val="none"/>
        </w:rPr>
        <w:t>第三条</w:t>
      </w:r>
      <w:r>
        <w:rPr>
          <w:color w:val="auto"/>
          <w:highlight w:val="none"/>
        </w:rPr>
        <w:t xml:space="preserve">  </w:t>
      </w:r>
      <w:r>
        <w:rPr>
          <w:rFonts w:hint="eastAsia"/>
          <w:color w:val="auto"/>
          <w:highlight w:val="none"/>
        </w:rPr>
        <w:t>发包人应向设计人提交的有关资料及文件</w:t>
      </w:r>
    </w:p>
    <w:tbl>
      <w:tblPr>
        <w:tblStyle w:val="22"/>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439"/>
        <w:gridCol w:w="851"/>
        <w:gridCol w:w="2126"/>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38" w:type="dxa"/>
            <w:vAlign w:val="center"/>
          </w:tcPr>
          <w:p>
            <w:pPr>
              <w:snapToGrid w:val="0"/>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439" w:type="dxa"/>
            <w:vAlign w:val="center"/>
          </w:tcPr>
          <w:p>
            <w:pPr>
              <w:snapToGrid w:val="0"/>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资料及文件名称</w:t>
            </w:r>
          </w:p>
        </w:tc>
        <w:tc>
          <w:tcPr>
            <w:tcW w:w="851" w:type="dxa"/>
            <w:vAlign w:val="center"/>
          </w:tcPr>
          <w:p>
            <w:pPr>
              <w:snapToGrid w:val="0"/>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份数</w:t>
            </w:r>
          </w:p>
        </w:tc>
        <w:tc>
          <w:tcPr>
            <w:tcW w:w="2126" w:type="dxa"/>
            <w:vAlign w:val="center"/>
          </w:tcPr>
          <w:p>
            <w:pPr>
              <w:snapToGrid w:val="0"/>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提交日期</w:t>
            </w:r>
          </w:p>
        </w:tc>
        <w:tc>
          <w:tcPr>
            <w:tcW w:w="2061" w:type="dxa"/>
            <w:vAlign w:val="center"/>
          </w:tcPr>
          <w:p>
            <w:pPr>
              <w:snapToGrid w:val="0"/>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439" w:type="dxa"/>
            <w:vAlign w:val="center"/>
          </w:tcPr>
          <w:p>
            <w:pPr>
              <w:snapToGrid w:val="0"/>
              <w:spacing w:line="276" w:lineRule="auto"/>
              <w:rPr>
                <w:rFonts w:ascii="宋体" w:hAnsi="宋体" w:cs="宋体"/>
                <w:color w:val="auto"/>
                <w:szCs w:val="21"/>
                <w:highlight w:val="none"/>
              </w:rPr>
            </w:pPr>
            <w:r>
              <w:rPr>
                <w:rFonts w:hint="eastAsia" w:ascii="宋体" w:hAnsi="宋体"/>
                <w:color w:val="auto"/>
                <w:szCs w:val="18"/>
                <w:highlight w:val="none"/>
              </w:rPr>
              <w:t>其他需要的资料</w:t>
            </w:r>
          </w:p>
        </w:tc>
        <w:tc>
          <w:tcPr>
            <w:tcW w:w="851" w:type="dxa"/>
            <w:vAlign w:val="center"/>
          </w:tcPr>
          <w:p>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126" w:type="dxa"/>
            <w:vAlign w:val="center"/>
          </w:tcPr>
          <w:p>
            <w:pPr>
              <w:snapToGrid w:val="0"/>
              <w:spacing w:line="276" w:lineRule="auto"/>
              <w:jc w:val="center"/>
              <w:rPr>
                <w:rFonts w:ascii="宋体" w:hAnsi="宋体" w:cs="宋体"/>
                <w:color w:val="auto"/>
                <w:szCs w:val="21"/>
                <w:highlight w:val="none"/>
              </w:rPr>
            </w:pPr>
            <w:r>
              <w:rPr>
                <w:rFonts w:hint="eastAsia" w:ascii="宋体" w:hAnsi="宋体"/>
                <w:color w:val="auto"/>
                <w:szCs w:val="18"/>
                <w:highlight w:val="none"/>
              </w:rPr>
              <w:t>及时提供</w:t>
            </w:r>
          </w:p>
        </w:tc>
        <w:tc>
          <w:tcPr>
            <w:tcW w:w="2061" w:type="dxa"/>
            <w:vAlign w:val="center"/>
          </w:tcPr>
          <w:p>
            <w:pPr>
              <w:snapToGrid w:val="0"/>
              <w:spacing w:line="276" w:lineRule="auto"/>
              <w:jc w:val="center"/>
              <w:rPr>
                <w:rFonts w:ascii="宋体" w:hAnsi="宋体" w:cs="宋体"/>
                <w:color w:val="auto"/>
                <w:szCs w:val="21"/>
                <w:highlight w:val="none"/>
              </w:rPr>
            </w:pPr>
          </w:p>
        </w:tc>
      </w:tr>
    </w:tbl>
    <w:p>
      <w:pPr>
        <w:snapToGrid w:val="0"/>
        <w:spacing w:afterLines="50"/>
        <w:ind w:firstLine="420" w:firstLineChars="200"/>
        <w:rPr>
          <w:color w:val="auto"/>
          <w:highlight w:val="none"/>
        </w:rPr>
      </w:pPr>
    </w:p>
    <w:p>
      <w:pPr>
        <w:snapToGrid w:val="0"/>
        <w:spacing w:afterLines="50"/>
        <w:ind w:firstLine="420" w:firstLineChars="200"/>
        <w:rPr>
          <w:color w:val="auto"/>
          <w:highlight w:val="none"/>
        </w:rPr>
      </w:pPr>
      <w:r>
        <w:rPr>
          <w:rFonts w:hint="eastAsia"/>
          <w:color w:val="auto"/>
          <w:highlight w:val="none"/>
        </w:rPr>
        <w:t>第四条</w:t>
      </w:r>
      <w:r>
        <w:rPr>
          <w:color w:val="auto"/>
          <w:highlight w:val="none"/>
        </w:rPr>
        <w:t xml:space="preserve">  </w:t>
      </w:r>
      <w:r>
        <w:rPr>
          <w:rFonts w:hint="eastAsia"/>
          <w:color w:val="auto"/>
          <w:highlight w:val="none"/>
        </w:rPr>
        <w:t>设计人应向发包人交付的设计资料及文件：</w:t>
      </w:r>
    </w:p>
    <w:tbl>
      <w:tblPr>
        <w:tblStyle w:val="22"/>
        <w:tblW w:w="93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2"/>
        <w:gridCol w:w="2392"/>
        <w:gridCol w:w="1450"/>
        <w:gridCol w:w="1271"/>
        <w:gridCol w:w="36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highlight w:val="none"/>
              </w:rPr>
            </w:pPr>
            <w:r>
              <w:rPr>
                <w:rFonts w:hint="eastAsia" w:ascii="宋体" w:hAnsi="宋体" w:cs="宋体"/>
                <w:color w:val="auto"/>
                <w:highlight w:val="none"/>
              </w:rPr>
              <w:t>序号</w:t>
            </w:r>
          </w:p>
        </w:tc>
        <w:tc>
          <w:tcPr>
            <w:tcW w:w="239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center"/>
              <w:rPr>
                <w:rFonts w:ascii="宋体" w:hAnsi="宋体" w:cs="宋体"/>
                <w:color w:val="auto"/>
                <w:highlight w:val="none"/>
              </w:rPr>
            </w:pPr>
            <w:r>
              <w:rPr>
                <w:rFonts w:hint="eastAsia" w:ascii="宋体" w:hAnsi="宋体" w:cs="宋体"/>
                <w:color w:val="auto"/>
                <w:highlight w:val="none"/>
              </w:rPr>
              <w:t>资料及文件名称</w:t>
            </w:r>
          </w:p>
        </w:tc>
        <w:tc>
          <w:tcPr>
            <w:tcW w:w="14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highlight w:val="none"/>
              </w:rPr>
            </w:pPr>
            <w:r>
              <w:rPr>
                <w:rFonts w:hint="eastAsia" w:ascii="宋体" w:hAnsi="宋体" w:cs="宋体"/>
                <w:color w:val="auto"/>
                <w:highlight w:val="none"/>
              </w:rPr>
              <w:t>份数</w:t>
            </w: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highlight w:val="none"/>
              </w:rPr>
            </w:pPr>
            <w:r>
              <w:rPr>
                <w:rFonts w:hint="eastAsia" w:ascii="宋体" w:hAnsi="宋体" w:cs="宋体"/>
                <w:color w:val="auto"/>
                <w:highlight w:val="none"/>
              </w:rPr>
              <w:t>提交日期</w:t>
            </w:r>
          </w:p>
        </w:tc>
        <w:tc>
          <w:tcPr>
            <w:tcW w:w="366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宋体" w:hAnsi="宋体" w:cs="宋体"/>
                <w:color w:val="auto"/>
                <w:highlight w:val="none"/>
              </w:rPr>
            </w:pPr>
            <w:r>
              <w:rPr>
                <w:rFonts w:hint="eastAsia" w:ascii="宋体" w:hAnsi="宋体" w:cs="宋体"/>
                <w:color w:val="auto"/>
                <w:highlight w:val="none"/>
              </w:rPr>
              <w:t>有关事宜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highlight w:val="none"/>
              </w:rPr>
            </w:pPr>
            <w:r>
              <w:rPr>
                <w:rFonts w:hint="eastAsia" w:ascii="宋体" w:hAnsi="宋体" w:cs="宋体"/>
                <w:color w:val="auto"/>
                <w:highlight w:val="none"/>
              </w:rPr>
              <w:t>1</w:t>
            </w:r>
          </w:p>
        </w:tc>
        <w:tc>
          <w:tcPr>
            <w:tcW w:w="23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highlight w:val="none"/>
              </w:rPr>
            </w:pPr>
            <w:r>
              <w:rPr>
                <w:rFonts w:hint="eastAsia" w:ascii="宋体" w:hAnsi="宋体" w:cs="宋体"/>
                <w:color w:val="auto"/>
                <w:highlight w:val="none"/>
              </w:rPr>
              <w:t>1：500地形图</w:t>
            </w:r>
          </w:p>
        </w:tc>
        <w:tc>
          <w:tcPr>
            <w:tcW w:w="14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highlight w:val="none"/>
              </w:rPr>
            </w:pPr>
            <w:r>
              <w:rPr>
                <w:rFonts w:hint="eastAsia" w:ascii="宋体" w:hAnsi="宋体" w:cs="宋体"/>
                <w:color w:val="auto"/>
                <w:szCs w:val="21"/>
                <w:highlight w:val="none"/>
              </w:rPr>
              <w:t>满足发包人要求</w:t>
            </w: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highlight w:val="none"/>
              </w:rPr>
            </w:pPr>
          </w:p>
        </w:tc>
        <w:tc>
          <w:tcPr>
            <w:tcW w:w="3667" w:type="dxa"/>
            <w:vMerge w:val="restart"/>
            <w:tcBorders>
              <w:left w:val="single" w:color="auto" w:sz="4" w:space="0"/>
              <w:right w:val="single" w:color="auto" w:sz="4" w:space="0"/>
            </w:tcBorders>
            <w:vAlign w:val="center"/>
          </w:tcPr>
          <w:p>
            <w:pPr>
              <w:spacing w:line="400" w:lineRule="exact"/>
              <w:ind w:firstLine="210" w:firstLineChars="10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highlight w:val="none"/>
              </w:rPr>
            </w:pPr>
            <w:r>
              <w:rPr>
                <w:rFonts w:hint="eastAsia" w:ascii="宋体" w:hAnsi="宋体" w:cs="宋体"/>
                <w:color w:val="auto"/>
                <w:highlight w:val="none"/>
              </w:rPr>
              <w:t>2</w:t>
            </w:r>
          </w:p>
        </w:tc>
        <w:tc>
          <w:tcPr>
            <w:tcW w:w="23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highlight w:val="none"/>
              </w:rPr>
            </w:pPr>
            <w:r>
              <w:rPr>
                <w:rFonts w:hint="eastAsia" w:ascii="宋体" w:hAnsi="宋体" w:cs="宋体"/>
                <w:color w:val="auto"/>
                <w:highlight w:val="none"/>
              </w:rPr>
              <w:t>方案设计文本（含效果图）（PDF格式）</w:t>
            </w:r>
          </w:p>
        </w:tc>
        <w:tc>
          <w:tcPr>
            <w:tcW w:w="14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18"/>
                <w:highlight w:val="none"/>
              </w:rPr>
            </w:pPr>
            <w:r>
              <w:rPr>
                <w:rFonts w:hint="eastAsia" w:ascii="宋体" w:hAnsi="宋体" w:cs="宋体"/>
                <w:color w:val="auto"/>
                <w:szCs w:val="21"/>
                <w:highlight w:val="none"/>
              </w:rPr>
              <w:t>满足发包人要求</w:t>
            </w:r>
          </w:p>
        </w:tc>
        <w:tc>
          <w:tcPr>
            <w:tcW w:w="127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3667" w:type="dxa"/>
            <w:vMerge w:val="continue"/>
            <w:tcBorders>
              <w:left w:val="single" w:color="auto" w:sz="4" w:space="0"/>
              <w:right w:val="single" w:color="auto" w:sz="4" w:space="0"/>
            </w:tcBorders>
          </w:tcPr>
          <w:p>
            <w:pPr>
              <w:spacing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color w:val="auto"/>
                <w:highlight w:val="none"/>
              </w:rPr>
            </w:pPr>
            <w:r>
              <w:rPr>
                <w:rFonts w:hint="eastAsia" w:ascii="宋体" w:hAnsi="宋体" w:cs="宋体"/>
                <w:color w:val="auto"/>
                <w:highlight w:val="none"/>
              </w:rPr>
              <w:t>3</w:t>
            </w:r>
          </w:p>
        </w:tc>
        <w:tc>
          <w:tcPr>
            <w:tcW w:w="23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color w:val="auto"/>
                <w:highlight w:val="none"/>
              </w:rPr>
            </w:pPr>
            <w:r>
              <w:rPr>
                <w:rFonts w:hint="eastAsia" w:ascii="宋体" w:hAnsi="宋体" w:cs="宋体"/>
                <w:color w:val="auto"/>
                <w:highlight w:val="none"/>
              </w:rPr>
              <w:t>城市家具导则</w:t>
            </w:r>
          </w:p>
          <w:p>
            <w:pPr>
              <w:adjustRightInd w:val="0"/>
              <w:snapToGrid w:val="0"/>
              <w:jc w:val="center"/>
              <w:rPr>
                <w:rFonts w:hint="eastAsia" w:ascii="宋体" w:hAnsi="宋体" w:cs="宋体"/>
                <w:color w:val="auto"/>
                <w:highlight w:val="none"/>
              </w:rPr>
            </w:pPr>
            <w:r>
              <w:rPr>
                <w:rFonts w:hint="eastAsia" w:ascii="宋体" w:hAnsi="宋体" w:cs="宋体"/>
                <w:color w:val="auto"/>
                <w:highlight w:val="none"/>
              </w:rPr>
              <w:t>（PDF格式）</w:t>
            </w:r>
          </w:p>
        </w:tc>
        <w:tc>
          <w:tcPr>
            <w:tcW w:w="14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满足发包人要求</w:t>
            </w:r>
          </w:p>
        </w:tc>
        <w:tc>
          <w:tcPr>
            <w:tcW w:w="127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3667" w:type="dxa"/>
            <w:tcBorders>
              <w:left w:val="single" w:color="auto" w:sz="4" w:space="0"/>
              <w:right w:val="single" w:color="auto" w:sz="4" w:space="0"/>
            </w:tcBorders>
          </w:tcPr>
          <w:p>
            <w:pPr>
              <w:spacing w:line="400" w:lineRule="exact"/>
              <w:rPr>
                <w:rFonts w:ascii="宋体" w:hAnsi="宋体" w:cs="宋体"/>
                <w:color w:val="auto"/>
                <w:highlight w:val="none"/>
              </w:rPr>
            </w:pPr>
          </w:p>
        </w:tc>
      </w:tr>
    </w:tbl>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第五条 合同价及支付</w:t>
      </w:r>
    </w:p>
    <w:p>
      <w:pPr>
        <w:widowControl/>
        <w:ind w:firstLine="422" w:firstLineChars="200"/>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本项目合同总设计费为</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rPr>
        <w:t>万元，一次性包干，不做调整。</w:t>
      </w:r>
    </w:p>
    <w:p>
      <w:pPr>
        <w:spacing w:line="400" w:lineRule="exact"/>
        <w:ind w:firstLine="411" w:firstLineChars="196"/>
        <w:rPr>
          <w:color w:val="auto"/>
          <w:highlight w:val="none"/>
        </w:rPr>
      </w:pPr>
      <w:r>
        <w:rPr>
          <w:rFonts w:hint="eastAsia"/>
          <w:color w:val="auto"/>
          <w:highlight w:val="none"/>
        </w:rPr>
        <w:t xml:space="preserve">5.1 </w:t>
      </w:r>
      <w:r>
        <w:rPr>
          <w:rFonts w:hint="eastAsia" w:ascii="宋体" w:hAnsi="宋体" w:cs="宋体"/>
          <w:color w:val="auto"/>
          <w:highlight w:val="none"/>
        </w:rPr>
        <w:t>合同价</w:t>
      </w:r>
      <w:r>
        <w:rPr>
          <w:rFonts w:hint="eastAsia"/>
          <w:color w:val="auto"/>
          <w:highlight w:val="none"/>
        </w:rPr>
        <w:t>包含的内容：</w:t>
      </w:r>
    </w:p>
    <w:p>
      <w:pPr>
        <w:spacing w:line="400" w:lineRule="exact"/>
        <w:ind w:firstLine="420" w:firstLineChars="200"/>
        <w:rPr>
          <w:color w:val="auto"/>
          <w:highlight w:val="none"/>
        </w:rPr>
      </w:pPr>
      <w:r>
        <w:rPr>
          <w:rFonts w:hint="eastAsia"/>
          <w:color w:val="auto"/>
          <w:highlight w:val="none"/>
        </w:rPr>
        <w:t xml:space="preserve">5.1.1 </w:t>
      </w:r>
      <w:r>
        <w:rPr>
          <w:rFonts w:hint="eastAsia" w:ascii="宋体" w:hAnsi="宋体" w:cs="宋体"/>
          <w:color w:val="auto"/>
          <w:szCs w:val="21"/>
          <w:highlight w:val="none"/>
        </w:rPr>
        <w:t>本项目费用包含地形</w:t>
      </w:r>
      <w:r>
        <w:rPr>
          <w:rFonts w:hint="eastAsia" w:ascii="宋体" w:hAnsi="宋体" w:cs="宋体"/>
          <w:color w:val="auto"/>
          <w:szCs w:val="21"/>
          <w:highlight w:val="none"/>
          <w:lang w:val="zh-CN"/>
        </w:rPr>
        <w:t>测量、设计以及成果各项内容、前期沟通、后续服务（含调研、踏勘、成果印刷、邮寄等费用）、各阶段成果评审、税金、管理费用等所有费用</w:t>
      </w:r>
      <w:r>
        <w:rPr>
          <w:rFonts w:hint="eastAsia" w:ascii="宋体" w:hAnsi="宋体" w:cs="宋体"/>
          <w:color w:val="auto"/>
          <w:szCs w:val="21"/>
          <w:highlight w:val="none"/>
        </w:rPr>
        <w:t>。</w:t>
      </w:r>
    </w:p>
    <w:p>
      <w:pPr>
        <w:spacing w:line="400" w:lineRule="exact"/>
        <w:ind w:firstLine="420" w:firstLineChars="200"/>
        <w:rPr>
          <w:color w:val="auto"/>
          <w:highlight w:val="none"/>
        </w:rPr>
      </w:pPr>
      <w:r>
        <w:rPr>
          <w:rFonts w:hint="eastAsia"/>
          <w:color w:val="auto"/>
          <w:highlight w:val="none"/>
        </w:rPr>
        <w:t>5.1.2 本费用包含设计人方案多次深化的费用；</w:t>
      </w:r>
    </w:p>
    <w:p>
      <w:pPr>
        <w:spacing w:line="400" w:lineRule="exact"/>
        <w:ind w:firstLine="420" w:firstLineChars="200"/>
        <w:rPr>
          <w:color w:val="auto"/>
          <w:highlight w:val="none"/>
        </w:rPr>
      </w:pPr>
      <w:r>
        <w:rPr>
          <w:rFonts w:hint="eastAsia"/>
          <w:color w:val="auto"/>
          <w:highlight w:val="none"/>
        </w:rPr>
        <w:t>5.1.3本项目如涉及到招标范围内某区域功能的局部调整，设计人应无条件配合发包人的工作，并对方案设计作相应调整，其费用不再另行收取。</w:t>
      </w:r>
    </w:p>
    <w:p>
      <w:pPr>
        <w:spacing w:line="400" w:lineRule="exact"/>
        <w:ind w:firstLine="420" w:firstLineChars="200"/>
        <w:rPr>
          <w:color w:val="auto"/>
          <w:highlight w:val="none"/>
        </w:rPr>
      </w:pPr>
      <w:r>
        <w:rPr>
          <w:rFonts w:hint="eastAsia"/>
          <w:color w:val="auto"/>
          <w:highlight w:val="none"/>
        </w:rPr>
        <w:t>5.2.1支付进度详见下表：</w:t>
      </w:r>
    </w:p>
    <w:p>
      <w:pPr>
        <w:spacing w:line="400" w:lineRule="exact"/>
        <w:ind w:firstLine="420" w:firstLineChars="200"/>
        <w:rPr>
          <w:color w:val="auto"/>
          <w:highlight w:val="none"/>
        </w:rPr>
      </w:pPr>
      <w:r>
        <w:rPr>
          <w:rFonts w:hint="eastAsia"/>
          <w:color w:val="auto"/>
          <w:highlight w:val="none"/>
        </w:rPr>
        <w:t>（1）签订正式合同10个工作日内，委托方支付合同款总金额的20%；</w:t>
      </w:r>
    </w:p>
    <w:p>
      <w:pPr>
        <w:spacing w:line="400" w:lineRule="exact"/>
        <w:ind w:firstLine="420" w:firstLineChars="200"/>
        <w:rPr>
          <w:color w:val="auto"/>
          <w:highlight w:val="none"/>
        </w:rPr>
      </w:pPr>
      <w:r>
        <w:rPr>
          <w:rFonts w:hint="eastAsia"/>
          <w:color w:val="auto"/>
          <w:highlight w:val="none"/>
        </w:rPr>
        <w:t>（2）提交评审稿后三日内，委托方支付合同款总金额的</w:t>
      </w:r>
      <w:r>
        <w:rPr>
          <w:rFonts w:hint="eastAsia"/>
          <w:color w:val="auto"/>
          <w:highlight w:val="none"/>
          <w:lang w:val="en-US" w:eastAsia="zh-CN"/>
        </w:rPr>
        <w:t>50</w:t>
      </w:r>
      <w:r>
        <w:rPr>
          <w:rFonts w:hint="eastAsia"/>
          <w:color w:val="auto"/>
          <w:highlight w:val="none"/>
        </w:rPr>
        <w:t>%；</w:t>
      </w:r>
    </w:p>
    <w:p>
      <w:pPr>
        <w:spacing w:line="400" w:lineRule="exact"/>
        <w:ind w:firstLine="420" w:firstLineChars="200"/>
        <w:rPr>
          <w:rFonts w:hint="eastAsia"/>
          <w:color w:val="auto"/>
          <w:highlight w:val="none"/>
        </w:rPr>
      </w:pPr>
      <w:r>
        <w:rPr>
          <w:rFonts w:hint="eastAsia"/>
          <w:color w:val="auto"/>
          <w:highlight w:val="none"/>
        </w:rPr>
        <w:t>（3）完成成果稿后三日内，委托方支付合同款总金额的</w:t>
      </w:r>
      <w:r>
        <w:rPr>
          <w:rFonts w:hint="eastAsia"/>
          <w:color w:val="auto"/>
          <w:highlight w:val="none"/>
          <w:lang w:val="en-US" w:eastAsia="zh-CN"/>
        </w:rPr>
        <w:t>30</w:t>
      </w:r>
      <w:r>
        <w:rPr>
          <w:rFonts w:hint="eastAsia"/>
          <w:color w:val="auto"/>
          <w:highlight w:val="none"/>
        </w:rPr>
        <w:t>%。</w:t>
      </w:r>
    </w:p>
    <w:p>
      <w:pPr>
        <w:pStyle w:val="2"/>
        <w:rPr>
          <w:rFonts w:hint="eastAsia"/>
          <w:color w:val="auto"/>
          <w:highlight w:val="none"/>
          <w:lang w:val="en-US" w:eastAsia="zh-CN"/>
        </w:rPr>
      </w:pPr>
      <w:r>
        <w:rPr>
          <w:rFonts w:hint="eastAsia"/>
          <w:color w:val="auto"/>
          <w:highlight w:val="none"/>
          <w:lang w:val="en-US" w:eastAsia="zh-CN"/>
        </w:rPr>
        <w:t>5.2.2时间节点：</w:t>
      </w:r>
    </w:p>
    <w:p>
      <w:pPr>
        <w:pStyle w:val="2"/>
        <w:ind w:left="0" w:leftChars="0"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收到</w:t>
      </w:r>
      <w:r>
        <w:rPr>
          <w:rFonts w:hint="eastAsia" w:asciiTheme="minorEastAsia" w:hAnsiTheme="minorEastAsia" w:eastAsiaTheme="minorEastAsia"/>
          <w:color w:val="auto"/>
          <w:sz w:val="24"/>
          <w:highlight w:val="none"/>
        </w:rPr>
        <w:t>中标通知书</w:t>
      </w:r>
      <w:r>
        <w:rPr>
          <w:rFonts w:hint="eastAsia" w:asciiTheme="minorEastAsia" w:hAnsiTheme="minorEastAsia" w:eastAsiaTheme="minorEastAsia"/>
          <w:color w:val="auto"/>
          <w:sz w:val="24"/>
          <w:highlight w:val="none"/>
          <w:lang w:val="en-US" w:eastAsia="zh-CN"/>
        </w:rPr>
        <w:t>并签订合同</w:t>
      </w:r>
      <w:r>
        <w:rPr>
          <w:rFonts w:hint="eastAsia" w:asciiTheme="minorEastAsia" w:hAnsiTheme="minorEastAsia" w:eastAsiaTheme="minorEastAsia"/>
          <w:color w:val="auto"/>
          <w:sz w:val="24"/>
          <w:highlight w:val="none"/>
        </w:rPr>
        <w:t>后15日历天内，提交方案设计评审稿。</w:t>
      </w:r>
    </w:p>
    <w:p>
      <w:pPr>
        <w:pStyle w:val="2"/>
        <w:ind w:left="0" w:leftChars="0" w:firstLine="480" w:firstLineChars="200"/>
        <w:rPr>
          <w:rFonts w:hint="default"/>
          <w:color w:val="auto"/>
          <w:highlight w:val="none"/>
          <w:lang w:val="en-US" w:eastAsia="zh-CN"/>
        </w:rPr>
      </w:pPr>
      <w:r>
        <w:rPr>
          <w:rFonts w:hint="eastAsia" w:asciiTheme="minorEastAsia" w:hAnsiTheme="minorEastAsia" w:eastAsiaTheme="minorEastAsia"/>
          <w:color w:val="auto"/>
          <w:sz w:val="24"/>
          <w:highlight w:val="none"/>
        </w:rPr>
        <w:t>2）评审通过后10日历天内，提交方案设计成果稿。</w:t>
      </w:r>
    </w:p>
    <w:p>
      <w:pPr>
        <w:spacing w:line="400" w:lineRule="exact"/>
        <w:ind w:firstLine="420" w:firstLineChars="200"/>
        <w:rPr>
          <w:color w:val="auto"/>
          <w:highlight w:val="none"/>
        </w:rPr>
      </w:pPr>
      <w:r>
        <w:rPr>
          <w:rFonts w:hint="eastAsia"/>
          <w:color w:val="auto"/>
          <w:highlight w:val="none"/>
        </w:rPr>
        <w:t>第六条</w:t>
      </w:r>
      <w:r>
        <w:rPr>
          <w:color w:val="auto"/>
          <w:highlight w:val="none"/>
        </w:rPr>
        <w:t xml:space="preserve">  </w:t>
      </w:r>
      <w:r>
        <w:rPr>
          <w:rFonts w:hint="eastAsia"/>
          <w:color w:val="auto"/>
          <w:highlight w:val="none"/>
        </w:rPr>
        <w:t>双方责任</w:t>
      </w:r>
    </w:p>
    <w:p>
      <w:pPr>
        <w:spacing w:line="400" w:lineRule="exact"/>
        <w:ind w:firstLine="420" w:firstLineChars="200"/>
        <w:rPr>
          <w:color w:val="auto"/>
          <w:highlight w:val="none"/>
        </w:rPr>
      </w:pPr>
      <w:r>
        <w:rPr>
          <w:rFonts w:hint="eastAsia"/>
          <w:color w:val="auto"/>
          <w:highlight w:val="none"/>
        </w:rPr>
        <w:t>6.1发包人责任：</w:t>
      </w:r>
    </w:p>
    <w:p>
      <w:pPr>
        <w:spacing w:line="400" w:lineRule="exact"/>
        <w:ind w:firstLine="420" w:firstLineChars="200"/>
        <w:rPr>
          <w:color w:val="auto"/>
          <w:highlight w:val="none"/>
        </w:rPr>
      </w:pPr>
      <w:r>
        <w:rPr>
          <w:rFonts w:hint="eastAsia"/>
          <w:color w:val="auto"/>
          <w:highlight w:val="none"/>
        </w:rPr>
        <w:t>6.1.1发包人按本合同第三条规定的内容，在规定的时间内向设计人提交资料及文件，并对其完整性、正确性负责，发包人不得要求设计人违反国家有关标准进行设计。</w:t>
      </w:r>
    </w:p>
    <w:p>
      <w:pPr>
        <w:spacing w:line="400" w:lineRule="exact"/>
        <w:ind w:firstLine="420" w:firstLineChars="200"/>
        <w:rPr>
          <w:color w:val="auto"/>
          <w:highlight w:val="none"/>
        </w:rPr>
      </w:pPr>
      <w:r>
        <w:rPr>
          <w:rFonts w:hint="eastAsia"/>
          <w:color w:val="auto"/>
          <w:highlight w:val="none"/>
        </w:rPr>
        <w:t>发包人提交上述资料及文件超过规定期限15天以内，设计人按合同第四条规定交付设计文件时间顺延。</w:t>
      </w:r>
    </w:p>
    <w:p>
      <w:pPr>
        <w:spacing w:line="400" w:lineRule="exact"/>
        <w:ind w:firstLine="420" w:firstLineChars="200"/>
        <w:rPr>
          <w:color w:val="auto"/>
          <w:highlight w:val="none"/>
        </w:rPr>
      </w:pPr>
      <w:r>
        <w:rPr>
          <w:rFonts w:hint="eastAsia"/>
          <w:color w:val="auto"/>
          <w:highlight w:val="none"/>
        </w:rPr>
        <w:t>6.1.2发包人变更委托设计项目、规模、条件或因提交的资料错误，或所提交资料作较大修改，以致造成设计人设计需返工时，所产生的费用，双方另行协商，如本合同另有约定的除外。</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6.1.3发包人要求设计人比合同规定时间提前交付设计资料及文件时，如果设计人能够做到，发包人应根据设计人提前投入的工作量，向设计人支付赶工费。</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6.1.4发包人应配合设计人派赴现场处理有关设计问题的工作人员的工作。</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6.2设计人责任：</w:t>
      </w:r>
    </w:p>
    <w:p>
      <w:pPr>
        <w:spacing w:line="360" w:lineRule="exact"/>
        <w:ind w:left="1" w:firstLine="388" w:firstLineChars="185"/>
        <w:jc w:val="left"/>
        <w:rPr>
          <w:rFonts w:ascii="宋体" w:hAnsi="宋体" w:cs="宋体"/>
          <w:color w:val="auto"/>
          <w:spacing w:val="10"/>
          <w:szCs w:val="21"/>
          <w:highlight w:val="none"/>
        </w:rPr>
      </w:pPr>
      <w:r>
        <w:rPr>
          <w:rFonts w:hint="eastAsia" w:ascii="宋体" w:hAnsi="宋体" w:cs="宋体"/>
          <w:color w:val="auto"/>
          <w:highlight w:val="none"/>
        </w:rPr>
        <w:t>6.2.1</w:t>
      </w:r>
      <w:r>
        <w:rPr>
          <w:rFonts w:hint="eastAsia" w:ascii="宋体" w:hAnsi="宋体" w:cs="宋体"/>
          <w:color w:val="auto"/>
          <w:spacing w:val="10"/>
          <w:szCs w:val="21"/>
          <w:highlight w:val="none"/>
        </w:rPr>
        <w:t xml:space="preserve">  设计人应按国家技术规范、标准、规程及发包人提出的设计要求进行工程设计，按合同规定的进度要求及时提交质量合格的设计资料，并对其负责。</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6.2.2  设计人采用的主要技术方案标准是：</w:t>
      </w:r>
      <w:r>
        <w:rPr>
          <w:rFonts w:hint="eastAsia" w:ascii="宋体" w:hAnsi="宋体" w:cs="宋体"/>
          <w:color w:val="auto"/>
          <w:highlight w:val="none"/>
          <w:u w:val="single"/>
        </w:rPr>
        <w:t>现行国家标准、浙江省标准和台州市等规范、标准或政策性文件</w:t>
      </w:r>
      <w:r>
        <w:rPr>
          <w:rFonts w:hint="eastAsia" w:ascii="宋体" w:hAnsi="宋体" w:cs="宋体"/>
          <w:color w:val="auto"/>
          <w:highlight w:val="none"/>
        </w:rPr>
        <w:t>。</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6.2.3  设计合理使用年限为</w:t>
      </w:r>
      <w:r>
        <w:rPr>
          <w:rFonts w:hint="eastAsia" w:ascii="宋体" w:hAnsi="宋体" w:cs="宋体"/>
          <w:color w:val="auto"/>
          <w:highlight w:val="none"/>
          <w:u w:val="single"/>
        </w:rPr>
        <w:t xml:space="preserve"> / </w:t>
      </w:r>
      <w:r>
        <w:rPr>
          <w:rFonts w:hint="eastAsia" w:ascii="宋体" w:hAnsi="宋体" w:cs="宋体"/>
          <w:color w:val="auto"/>
          <w:highlight w:val="none"/>
        </w:rPr>
        <w:t>年及以上。</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6.2.4  设计人按合同第二条和第四条规定的内容、进度及份数向发包人交付资料及文件。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6.2.5  设计人交付设计资料及文件后，按规定参加有关设计审查，并根据审查结论负责对不超出原定范围的内容做必要调整补充。设计人不得以任何理由拒绝发包人提出对设计内容进行修改调整。</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6.2.6  设计人应保护发包人的知识产权，不得向第三人泄露、转让发包人提交的产品图纸等技术经济资料。如发生以上情况并给发包人造成经济损失，发包人有权向设计人索赔。</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6.2.7 设计人不得擅自转让或以其他方式出让合同或合同的任何权益，设计人须视履行合同为本身的责任。</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第七条  违约责任：</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7.1在合同履行期间，发包人有权终止或解除合同，设计人未开始测量设计工作的，不退还发包人已付的定金；已开始测量设计工作的，发包人应根据设计人已进行的实际工作量，不足一半时，按该阶段设计费（含测绘费）的一半支付；超过一半时，按该阶段设计费（含测绘费）的全部支付。</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7.2发包人应按本合同第五条规定的金额和时间向设计人支付设计费（含测绘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含测绘费）。</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7.3设计人对设计资料及文件出现的遗漏或错误负责修改或补充。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7.4由于设计人自身原因，延误了按本合同第四条规定的设计资料及设计文件的交付时间，每延误一天，应减收该项目应收设计费（含测绘费）的千分之二。</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7.5合同生效后，设计人要求终止或解除合同，设计人应双倍返还定金，并退还已付款项。</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第八条  其他</w:t>
      </w:r>
    </w:p>
    <w:p>
      <w:pPr>
        <w:pStyle w:val="19"/>
        <w:adjustRightInd w:val="0"/>
        <w:snapToGrid w:val="0"/>
        <w:spacing w:before="0" w:beforeAutospacing="0" w:after="0" w:afterAutospacing="0" w:line="400" w:lineRule="exact"/>
        <w:ind w:firstLine="420" w:firstLineChars="200"/>
        <w:rPr>
          <w:rFonts w:hint="default" w:cs="宋体"/>
          <w:color w:val="auto"/>
          <w:kern w:val="2"/>
          <w:sz w:val="21"/>
          <w:highlight w:val="none"/>
        </w:rPr>
      </w:pPr>
      <w:r>
        <w:rPr>
          <w:rFonts w:cs="宋体"/>
          <w:color w:val="auto"/>
          <w:kern w:val="2"/>
          <w:sz w:val="21"/>
          <w:highlight w:val="none"/>
        </w:rPr>
        <w:t>8.1设计人为本合同项目所采用的国家或地方标准图，由设计人自费向有关出版部门购买。本合同第四条规定设计人交付的设计资料及文件份数超过本合同第四条款规定的份数，设计人另收工本费。</w:t>
      </w:r>
    </w:p>
    <w:p>
      <w:p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8.2发包人委托设计人承担本合同内容之外的工作服务，另行支付费用。</w:t>
      </w:r>
    </w:p>
    <w:p>
      <w:p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8.3由于不可抗力因素致使合同无法履行时，双方应及时协商解决。</w:t>
      </w:r>
    </w:p>
    <w:p>
      <w:pPr>
        <w:spacing w:line="400" w:lineRule="exact"/>
        <w:ind w:firstLine="422" w:firstLineChars="200"/>
        <w:rPr>
          <w:rFonts w:ascii="宋体" w:hAnsi="宋体" w:cs="宋体"/>
          <w:b/>
          <w:color w:val="auto"/>
          <w:kern w:val="0"/>
          <w:szCs w:val="18"/>
          <w:highlight w:val="none"/>
        </w:rPr>
      </w:pPr>
      <w:r>
        <w:rPr>
          <w:rFonts w:hint="eastAsia" w:ascii="宋体" w:hAnsi="宋体" w:cs="宋体"/>
          <w:b/>
          <w:color w:val="auto"/>
          <w:kern w:val="0"/>
          <w:szCs w:val="18"/>
          <w:highlight w:val="none"/>
        </w:rPr>
        <w:t>8.4如设计人在本项目有违反廉政规定并被纪检部门或司法机关查处的，则设计人向发包人支付合同价10%的违约金。</w:t>
      </w:r>
    </w:p>
    <w:p>
      <w:pPr>
        <w:spacing w:line="400" w:lineRule="exact"/>
        <w:ind w:firstLine="422" w:firstLineChars="200"/>
        <w:rPr>
          <w:rFonts w:ascii="宋体" w:hAnsi="宋体" w:cs="宋体"/>
          <w:b/>
          <w:color w:val="auto"/>
          <w:kern w:val="0"/>
          <w:szCs w:val="18"/>
          <w:highlight w:val="none"/>
        </w:rPr>
      </w:pPr>
      <w:r>
        <w:rPr>
          <w:rFonts w:hint="eastAsia" w:ascii="宋体" w:hAnsi="宋体" w:cs="宋体"/>
          <w:b/>
          <w:color w:val="auto"/>
          <w:kern w:val="0"/>
          <w:szCs w:val="18"/>
          <w:highlight w:val="none"/>
        </w:rPr>
        <w:t>8.5</w:t>
      </w:r>
      <w:r>
        <w:rPr>
          <w:rFonts w:hint="eastAsia" w:ascii="宋体" w:hAnsi="宋体" w:cs="宋体"/>
          <w:b/>
          <w:color w:val="auto"/>
          <w:kern w:val="0"/>
          <w:szCs w:val="18"/>
          <w:highlight w:val="none"/>
        </w:rPr>
        <w:t>本次设计工作内容涵盖了设计单位交付设计文件时所有必须的工作，如设计人将部分非主体、非关键性工作内容进行分包的，设计人委托的分包工作单位的资质须满足相关规定要求并在发包前经得发包人的书面认可，且该部分的所有费用包含在设计费中，由设计人支付。</w:t>
      </w:r>
    </w:p>
    <w:p>
      <w:pPr>
        <w:adjustRightInd w:val="0"/>
        <w:snapToGrid w:val="0"/>
        <w:spacing w:line="400" w:lineRule="exact"/>
        <w:ind w:left="105" w:leftChars="50" w:firstLine="315" w:firstLineChars="150"/>
        <w:rPr>
          <w:rFonts w:ascii="宋体" w:hAnsi="宋体" w:cs="宋体"/>
          <w:color w:val="auto"/>
          <w:highlight w:val="none"/>
        </w:rPr>
      </w:pPr>
      <w:r>
        <w:rPr>
          <w:rFonts w:hint="eastAsia" w:ascii="宋体" w:hAnsi="宋体" w:cs="宋体"/>
          <w:color w:val="auto"/>
          <w:highlight w:val="none"/>
        </w:rPr>
        <w:t>8.6本合同在履行过程中发生的争议，由双方当事人协商解决，协商不成的，按下列第</w:t>
      </w:r>
      <w:r>
        <w:rPr>
          <w:rFonts w:hint="eastAsia" w:ascii="宋体" w:hAnsi="宋体" w:cs="宋体"/>
          <w:color w:val="auto"/>
          <w:highlight w:val="none"/>
          <w:u w:val="single"/>
        </w:rPr>
        <w:t xml:space="preserve"> （二）</w:t>
      </w:r>
      <w:r>
        <w:rPr>
          <w:rFonts w:hint="eastAsia" w:ascii="宋体" w:hAnsi="宋体" w:cs="宋体"/>
          <w:color w:val="auto"/>
          <w:highlight w:val="none"/>
        </w:rPr>
        <w:t>种方式解决：</w:t>
      </w:r>
    </w:p>
    <w:p>
      <w:p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（一）提交</w:t>
      </w:r>
      <w:r>
        <w:rPr>
          <w:rFonts w:hint="eastAsia" w:ascii="宋体" w:hAnsi="宋体" w:cs="宋体"/>
          <w:color w:val="auto"/>
          <w:highlight w:val="none"/>
          <w:u w:val="single"/>
        </w:rPr>
        <w:t>台州</w:t>
      </w:r>
      <w:r>
        <w:rPr>
          <w:rFonts w:hint="eastAsia" w:ascii="宋体" w:hAnsi="宋体" w:cs="宋体"/>
          <w:color w:val="auto"/>
          <w:highlight w:val="none"/>
        </w:rPr>
        <w:t>仲裁委员会仲裁；</w:t>
      </w:r>
    </w:p>
    <w:p>
      <w:p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（二）依法向项目所在地法院起诉。</w:t>
      </w:r>
    </w:p>
    <w:p>
      <w:p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9.9本合同一式</w:t>
      </w:r>
      <w:r>
        <w:rPr>
          <w:rFonts w:hint="eastAsia" w:ascii="宋体" w:hAnsi="宋体" w:cs="宋体"/>
          <w:color w:val="auto"/>
          <w:highlight w:val="none"/>
          <w:u w:val="single"/>
        </w:rPr>
        <w:t xml:space="preserve">    </w:t>
      </w:r>
      <w:r>
        <w:rPr>
          <w:rFonts w:hint="eastAsia" w:ascii="宋体" w:hAnsi="宋体" w:cs="宋体"/>
          <w:color w:val="auto"/>
          <w:highlight w:val="none"/>
        </w:rPr>
        <w:t>份，发包人</w:t>
      </w:r>
      <w:r>
        <w:rPr>
          <w:rFonts w:hint="eastAsia" w:ascii="宋体" w:hAnsi="宋体" w:cs="宋体"/>
          <w:color w:val="auto"/>
          <w:highlight w:val="none"/>
          <w:u w:val="single"/>
        </w:rPr>
        <w:t xml:space="preserve">    </w:t>
      </w:r>
      <w:r>
        <w:rPr>
          <w:rFonts w:hint="eastAsia" w:ascii="宋体" w:hAnsi="宋体" w:cs="宋体"/>
          <w:color w:val="auto"/>
          <w:highlight w:val="none"/>
        </w:rPr>
        <w:t>份，设计人</w:t>
      </w:r>
      <w:r>
        <w:rPr>
          <w:rFonts w:hint="eastAsia" w:ascii="宋体" w:hAnsi="宋体" w:cs="宋体"/>
          <w:color w:val="auto"/>
          <w:highlight w:val="none"/>
          <w:u w:val="single"/>
        </w:rPr>
        <w:t xml:space="preserve">    </w:t>
      </w:r>
      <w:r>
        <w:rPr>
          <w:rFonts w:hint="eastAsia" w:ascii="宋体" w:hAnsi="宋体" w:cs="宋体"/>
          <w:color w:val="auto"/>
          <w:highlight w:val="none"/>
        </w:rPr>
        <w:t>份。</w:t>
      </w:r>
    </w:p>
    <w:p>
      <w:p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9.10本合同经 </w:t>
      </w:r>
      <w:r>
        <w:rPr>
          <w:rFonts w:hint="eastAsia" w:ascii="宋体" w:hAnsi="宋体" w:cs="宋体"/>
          <w:bCs/>
          <w:color w:val="auto"/>
          <w:szCs w:val="21"/>
          <w:highlight w:val="none"/>
        </w:rPr>
        <w:t>双方法定代表人或委托代理人签字，并加盖公章</w:t>
      </w:r>
      <w:r>
        <w:rPr>
          <w:rFonts w:hint="eastAsia" w:ascii="宋体" w:hAnsi="宋体" w:cs="宋体"/>
          <w:color w:val="auto"/>
          <w:highlight w:val="none"/>
        </w:rPr>
        <w:t>后生效。</w:t>
      </w:r>
    </w:p>
    <w:p>
      <w:p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9.11本合同生效后，双方认为必要时，到项目所在地工商行政管理部门申请鉴证。双方履行完合同规定的义务后，本合同即行终止。</w:t>
      </w:r>
    </w:p>
    <w:p>
      <w:pPr>
        <w:adjustRightInd w:val="0"/>
        <w:snapToGrid w:val="0"/>
        <w:spacing w:line="400" w:lineRule="exact"/>
        <w:ind w:firstLine="420" w:firstLineChars="200"/>
        <w:rPr>
          <w:color w:val="auto"/>
          <w:highlight w:val="none"/>
        </w:rPr>
      </w:pPr>
      <w:r>
        <w:rPr>
          <w:rFonts w:hint="eastAsia" w:ascii="宋体" w:hAnsi="宋体" w:cs="宋体"/>
          <w:color w:val="auto"/>
          <w:highlight w:val="none"/>
        </w:rPr>
        <w:t>9.12本合同未尽事宜，双方可签订补充协议，有关协议及双方认可的来往电报、传真、会议纪要等，均为本合同组成部分，与本合同具有同等法律效力。</w:t>
      </w:r>
    </w:p>
    <w:p>
      <w:pPr>
        <w:rPr>
          <w:rFonts w:ascii="宋体" w:hAnsi="宋体" w:cs="宋体"/>
          <w:color w:val="auto"/>
          <w:kern w:val="0"/>
          <w:szCs w:val="21"/>
          <w:highlight w:val="none"/>
        </w:rPr>
      </w:pPr>
    </w:p>
    <w:p>
      <w:pPr>
        <w:spacing w:line="400" w:lineRule="exact"/>
        <w:ind w:firstLine="420" w:firstLineChars="200"/>
        <w:rPr>
          <w:rFonts w:ascii="宋体" w:hAnsi="宋体" w:cs="Arial"/>
          <w:color w:val="auto"/>
          <w:kern w:val="0"/>
          <w:szCs w:val="21"/>
          <w:highlight w:val="none"/>
        </w:rPr>
      </w:pPr>
      <w:r>
        <w:rPr>
          <w:rFonts w:hint="eastAsia" w:ascii="宋体" w:hAnsi="宋体" w:cs="Arial"/>
          <w:color w:val="auto"/>
          <w:kern w:val="0"/>
          <w:szCs w:val="21"/>
          <w:highlight w:val="none"/>
        </w:rPr>
        <w:t>发包人名称：</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设计人名称：</w:t>
      </w:r>
    </w:p>
    <w:p>
      <w:pPr>
        <w:widowControl/>
        <w:adjustRightInd w:val="0"/>
        <w:snapToGrid w:val="0"/>
        <w:spacing w:before="100" w:beforeAutospacing="1" w:after="100" w:afterAutospacing="1"/>
        <w:ind w:firstLine="315" w:firstLineChars="150"/>
        <w:jc w:val="left"/>
        <w:rPr>
          <w:rFonts w:ascii="宋体" w:hAnsi="宋体" w:cs="Arial"/>
          <w:color w:val="auto"/>
          <w:kern w:val="0"/>
          <w:szCs w:val="21"/>
          <w:highlight w:val="none"/>
        </w:rPr>
      </w:pPr>
      <w:r>
        <w:rPr>
          <w:rFonts w:hint="eastAsia" w:ascii="宋体" w:hAnsi="宋体" w:cs="Arial"/>
          <w:color w:val="auto"/>
          <w:kern w:val="0"/>
          <w:szCs w:val="21"/>
          <w:highlight w:val="none"/>
        </w:rPr>
        <w:t>（盖章）</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（盖章）</w:t>
      </w:r>
    </w:p>
    <w:p>
      <w:pPr>
        <w:widowControl/>
        <w:adjustRightInd w:val="0"/>
        <w:snapToGrid w:val="0"/>
        <w:spacing w:before="100" w:beforeAutospacing="1" w:after="100" w:afterAutospacing="1"/>
        <w:ind w:firstLine="420" w:firstLineChars="200"/>
        <w:jc w:val="left"/>
        <w:rPr>
          <w:rFonts w:ascii="宋体" w:hAnsi="宋体" w:cs="Arial"/>
          <w:color w:val="auto"/>
          <w:kern w:val="0"/>
          <w:szCs w:val="21"/>
          <w:highlight w:val="none"/>
        </w:rPr>
      </w:pPr>
      <w:r>
        <w:rPr>
          <w:rFonts w:hint="eastAsia" w:ascii="宋体" w:hAnsi="宋体" w:cs="Arial"/>
          <w:color w:val="auto"/>
          <w:kern w:val="0"/>
          <w:szCs w:val="21"/>
          <w:highlight w:val="none"/>
        </w:rPr>
        <w:t>法定代表人：（签字）</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法定代表人：（签字）</w:t>
      </w:r>
    </w:p>
    <w:p>
      <w:pPr>
        <w:widowControl/>
        <w:adjustRightInd w:val="0"/>
        <w:snapToGrid w:val="0"/>
        <w:spacing w:before="100" w:beforeAutospacing="1" w:after="100" w:afterAutospacing="1"/>
        <w:ind w:firstLine="420" w:firstLineChars="200"/>
        <w:jc w:val="left"/>
        <w:rPr>
          <w:rFonts w:ascii="宋体" w:hAnsi="宋体" w:cs="Arial"/>
          <w:color w:val="auto"/>
          <w:kern w:val="0"/>
          <w:szCs w:val="21"/>
          <w:highlight w:val="none"/>
        </w:rPr>
      </w:pPr>
      <w:r>
        <w:rPr>
          <w:rFonts w:hint="eastAsia" w:ascii="宋体" w:hAnsi="宋体" w:cs="Arial"/>
          <w:color w:val="auto"/>
          <w:kern w:val="0"/>
          <w:szCs w:val="21"/>
          <w:highlight w:val="none"/>
        </w:rPr>
        <w:t>委托代理人：（签字）</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委托代理人：（签字）</w:t>
      </w:r>
    </w:p>
    <w:p>
      <w:pPr>
        <w:widowControl/>
        <w:adjustRightInd w:val="0"/>
        <w:snapToGrid w:val="0"/>
        <w:spacing w:before="100" w:beforeAutospacing="1" w:after="100" w:afterAutospacing="1"/>
        <w:ind w:firstLine="630" w:firstLineChars="300"/>
        <w:jc w:val="left"/>
        <w:rPr>
          <w:rFonts w:ascii="宋体" w:hAnsi="宋体" w:cs="Arial"/>
          <w:color w:val="auto"/>
          <w:kern w:val="0"/>
          <w:szCs w:val="21"/>
          <w:highlight w:val="none"/>
        </w:rPr>
      </w:pPr>
      <w:r>
        <w:rPr>
          <w:rFonts w:hint="eastAsia" w:ascii="宋体" w:hAnsi="宋体" w:cs="Arial"/>
          <w:color w:val="auto"/>
          <w:kern w:val="0"/>
          <w:szCs w:val="21"/>
          <w:highlight w:val="none"/>
        </w:rPr>
        <w:t>住</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所：</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住</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所：</w:t>
      </w:r>
    </w:p>
    <w:p>
      <w:pPr>
        <w:widowControl/>
        <w:adjustRightInd w:val="0"/>
        <w:snapToGrid w:val="0"/>
        <w:spacing w:before="100" w:beforeAutospacing="1" w:after="100" w:afterAutospacing="1"/>
        <w:ind w:firstLine="630" w:firstLineChars="300"/>
        <w:jc w:val="left"/>
        <w:rPr>
          <w:rFonts w:ascii="宋体" w:hAnsi="宋体" w:cs="Arial"/>
          <w:color w:val="auto"/>
          <w:kern w:val="0"/>
          <w:szCs w:val="21"/>
          <w:highlight w:val="none"/>
        </w:rPr>
      </w:pPr>
      <w:r>
        <w:rPr>
          <w:rFonts w:hint="eastAsia" w:ascii="宋体" w:hAnsi="宋体" w:cs="Arial"/>
          <w:color w:val="auto"/>
          <w:kern w:val="0"/>
          <w:szCs w:val="21"/>
          <w:highlight w:val="none"/>
        </w:rPr>
        <w:t>邮政编码：</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邮政编码：</w:t>
      </w:r>
    </w:p>
    <w:p>
      <w:pPr>
        <w:widowControl/>
        <w:adjustRightInd w:val="0"/>
        <w:snapToGrid w:val="0"/>
        <w:spacing w:before="100" w:beforeAutospacing="1" w:after="100" w:afterAutospacing="1"/>
        <w:ind w:firstLine="630" w:firstLineChars="300"/>
        <w:jc w:val="left"/>
        <w:rPr>
          <w:rFonts w:ascii="宋体" w:hAnsi="宋体" w:cs="Arial"/>
          <w:color w:val="auto"/>
          <w:kern w:val="0"/>
          <w:szCs w:val="21"/>
          <w:highlight w:val="none"/>
        </w:rPr>
      </w:pPr>
      <w:r>
        <w:rPr>
          <w:rFonts w:hint="eastAsia" w:ascii="宋体" w:hAnsi="宋体" w:cs="Arial"/>
          <w:color w:val="auto"/>
          <w:kern w:val="0"/>
          <w:szCs w:val="21"/>
          <w:highlight w:val="none"/>
        </w:rPr>
        <w:t>电</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话：</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电</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话：</w:t>
      </w:r>
    </w:p>
    <w:p>
      <w:pPr>
        <w:widowControl/>
        <w:adjustRightInd w:val="0"/>
        <w:snapToGrid w:val="0"/>
        <w:spacing w:before="100" w:beforeAutospacing="1" w:after="100" w:afterAutospacing="1"/>
        <w:ind w:firstLine="525" w:firstLineChars="250"/>
        <w:jc w:val="left"/>
        <w:rPr>
          <w:rFonts w:ascii="宋体" w:hAnsi="宋体" w:cs="Arial"/>
          <w:color w:val="auto"/>
          <w:kern w:val="0"/>
          <w:szCs w:val="21"/>
          <w:highlight w:val="none"/>
        </w:rPr>
      </w:pPr>
      <w:r>
        <w:rPr>
          <w:rFonts w:hint="eastAsia" w:ascii="宋体" w:hAnsi="宋体" w:cs="Arial"/>
          <w:color w:val="auto"/>
          <w:kern w:val="0"/>
          <w:szCs w:val="21"/>
          <w:highlight w:val="none"/>
        </w:rPr>
        <w:t>传</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真：</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传</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真：</w:t>
      </w:r>
    </w:p>
    <w:p>
      <w:pPr>
        <w:widowControl/>
        <w:adjustRightInd w:val="0"/>
        <w:snapToGrid w:val="0"/>
        <w:spacing w:before="100" w:beforeAutospacing="1" w:after="100" w:afterAutospacing="1"/>
        <w:ind w:firstLine="525" w:firstLineChars="250"/>
        <w:jc w:val="left"/>
        <w:rPr>
          <w:rFonts w:ascii="宋体" w:hAnsi="宋体" w:cs="Arial"/>
          <w:color w:val="auto"/>
          <w:kern w:val="0"/>
          <w:szCs w:val="21"/>
          <w:highlight w:val="none"/>
        </w:rPr>
      </w:pPr>
      <w:r>
        <w:rPr>
          <w:rFonts w:hint="eastAsia" w:ascii="宋体" w:hAnsi="宋体" w:cs="Arial"/>
          <w:color w:val="auto"/>
          <w:kern w:val="0"/>
          <w:szCs w:val="21"/>
          <w:highlight w:val="none"/>
        </w:rPr>
        <w:t>开户银行：</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开户银行：</w:t>
      </w:r>
    </w:p>
    <w:p>
      <w:pPr>
        <w:widowControl/>
        <w:adjustRightInd w:val="0"/>
        <w:snapToGrid w:val="0"/>
        <w:spacing w:before="100" w:beforeAutospacing="1" w:after="100" w:afterAutospacing="1"/>
        <w:ind w:firstLine="525" w:firstLineChars="250"/>
        <w:jc w:val="left"/>
        <w:rPr>
          <w:color w:val="auto"/>
          <w:highlight w:val="none"/>
        </w:rPr>
      </w:pPr>
      <w:r>
        <w:rPr>
          <w:rFonts w:hint="eastAsia" w:ascii="宋体" w:hAnsi="宋体" w:cs="Arial"/>
          <w:color w:val="auto"/>
          <w:kern w:val="0"/>
          <w:szCs w:val="21"/>
          <w:highlight w:val="none"/>
        </w:rPr>
        <w:t>银行帐号：</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银行帐号：</w:t>
      </w:r>
      <w:bookmarkEnd w:id="38"/>
      <w:bookmarkEnd w:id="39"/>
      <w:bookmarkEnd w:id="40"/>
      <w:bookmarkEnd w:id="41"/>
      <w:bookmarkEnd w:id="42"/>
    </w:p>
    <w:p>
      <w:pPr>
        <w:pStyle w:val="27"/>
        <w:spacing w:before="120"/>
        <w:rPr>
          <w:rFonts w:asciiTheme="minorEastAsia" w:hAnsiTheme="minorEastAsia" w:eastAsiaTheme="minorEastAsia"/>
          <w:b/>
          <w:color w:val="auto"/>
          <w:sz w:val="36"/>
          <w:szCs w:val="36"/>
          <w:highlight w:val="none"/>
        </w:rPr>
      </w:pPr>
      <w:r>
        <w:rPr>
          <w:rFonts w:hint="eastAsia" w:ascii="宋体" w:hAnsi="宋体"/>
          <w:b/>
          <w:color w:val="auto"/>
          <w:sz w:val="36"/>
          <w:szCs w:val="36"/>
          <w:highlight w:val="none"/>
        </w:rPr>
        <w:br w:type="page"/>
      </w:r>
      <w:bookmarkStart w:id="43" w:name="_Toc5481_WPSOffice_Level1"/>
      <w:r>
        <w:rPr>
          <w:rFonts w:hint="eastAsia" w:asciiTheme="minorEastAsia" w:hAnsiTheme="minorEastAsia" w:eastAsiaTheme="minorEastAsia"/>
          <w:b/>
          <w:color w:val="auto"/>
          <w:sz w:val="36"/>
          <w:szCs w:val="36"/>
          <w:highlight w:val="none"/>
        </w:rPr>
        <w:t>第六章 投标文件格式</w:t>
      </w:r>
      <w:bookmarkEnd w:id="43"/>
    </w:p>
    <w:p>
      <w:pPr>
        <w:rPr>
          <w:rFonts w:ascii="宋体" w:hAnsi="宋体"/>
          <w:b/>
          <w:color w:val="auto"/>
          <w:kern w:val="0"/>
          <w:sz w:val="28"/>
          <w:szCs w:val="28"/>
          <w:highlight w:val="none"/>
        </w:rPr>
      </w:pPr>
      <w:r>
        <w:rPr>
          <w:rFonts w:hint="eastAsia" w:ascii="宋体" w:hAnsi="宋体"/>
          <w:color w:val="auto"/>
          <w:sz w:val="30"/>
          <w:szCs w:val="30"/>
          <w:highlight w:val="none"/>
        </w:rPr>
        <w:t xml:space="preserve"> 　　　</w:t>
      </w:r>
    </w:p>
    <w:p>
      <w:pPr>
        <w:spacing w:line="360" w:lineRule="auto"/>
        <w:rPr>
          <w:rFonts w:asciiTheme="minorEastAsia" w:hAnsiTheme="minorEastAsia" w:eastAsiaTheme="minorEastAsia"/>
          <w:b/>
          <w:color w:val="auto"/>
          <w:sz w:val="30"/>
          <w:szCs w:val="30"/>
          <w:highlight w:val="none"/>
        </w:rPr>
      </w:pPr>
    </w:p>
    <w:p>
      <w:pPr>
        <w:jc w:val="center"/>
        <w:rPr>
          <w:color w:val="auto"/>
          <w:sz w:val="52"/>
          <w:szCs w:val="52"/>
          <w:highlight w:val="none"/>
        </w:rPr>
      </w:pPr>
      <w:bookmarkStart w:id="44" w:name="_Toc19093_WPSOffice_Level1"/>
      <w:bookmarkStart w:id="45" w:name="_Toc4956_WPSOffice_Level1"/>
      <w:bookmarkStart w:id="46" w:name="_Toc32372_WPSOffice_Level1"/>
      <w:r>
        <w:rPr>
          <w:rFonts w:hint="eastAsia"/>
          <w:color w:val="auto"/>
          <w:sz w:val="52"/>
          <w:szCs w:val="52"/>
          <w:highlight w:val="none"/>
        </w:rPr>
        <w:t>项目名称</w:t>
      </w:r>
      <w:bookmarkEnd w:id="44"/>
      <w:bookmarkEnd w:id="45"/>
      <w:bookmarkEnd w:id="46"/>
    </w:p>
    <w:p>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pPr>
        <w:pStyle w:val="7"/>
        <w:rPr>
          <w:color w:val="auto"/>
          <w:highlight w:val="none"/>
        </w:rPr>
      </w:pPr>
    </w:p>
    <w:p>
      <w:pPr>
        <w:jc w:val="center"/>
        <w:rPr>
          <w:color w:val="auto"/>
          <w:sz w:val="84"/>
          <w:szCs w:val="84"/>
          <w:highlight w:val="none"/>
          <w:lang w:val="zh-CN"/>
        </w:rPr>
      </w:pPr>
      <w:r>
        <w:rPr>
          <w:rFonts w:hint="eastAsia"/>
          <w:color w:val="auto"/>
          <w:sz w:val="84"/>
          <w:szCs w:val="84"/>
          <w:highlight w:val="none"/>
          <w:lang w:val="zh-CN"/>
        </w:rPr>
        <w:t>磋</w:t>
      </w:r>
    </w:p>
    <w:p>
      <w:pPr>
        <w:jc w:val="center"/>
        <w:rPr>
          <w:color w:val="auto"/>
          <w:sz w:val="84"/>
          <w:szCs w:val="84"/>
          <w:highlight w:val="none"/>
          <w:lang w:val="zh-CN"/>
        </w:rPr>
      </w:pPr>
      <w:r>
        <w:rPr>
          <w:rFonts w:hint="eastAsia"/>
          <w:color w:val="auto"/>
          <w:sz w:val="84"/>
          <w:szCs w:val="84"/>
          <w:highlight w:val="none"/>
          <w:lang w:val="zh-CN"/>
        </w:rPr>
        <w:t>商</w:t>
      </w:r>
    </w:p>
    <w:p>
      <w:pPr>
        <w:jc w:val="center"/>
        <w:rPr>
          <w:color w:val="auto"/>
          <w:sz w:val="84"/>
          <w:szCs w:val="84"/>
          <w:highlight w:val="none"/>
          <w:lang w:val="zh-CN"/>
        </w:rPr>
      </w:pPr>
      <w:r>
        <w:rPr>
          <w:rFonts w:hint="eastAsia"/>
          <w:color w:val="auto"/>
          <w:sz w:val="84"/>
          <w:szCs w:val="84"/>
          <w:highlight w:val="none"/>
          <w:lang w:val="zh-CN"/>
        </w:rPr>
        <w:t>响</w:t>
      </w:r>
    </w:p>
    <w:p>
      <w:pPr>
        <w:jc w:val="center"/>
        <w:rPr>
          <w:color w:val="auto"/>
          <w:sz w:val="84"/>
          <w:szCs w:val="84"/>
          <w:highlight w:val="none"/>
          <w:lang w:val="zh-CN"/>
        </w:rPr>
      </w:pPr>
      <w:r>
        <w:rPr>
          <w:rFonts w:hint="eastAsia"/>
          <w:color w:val="auto"/>
          <w:sz w:val="84"/>
          <w:szCs w:val="84"/>
          <w:highlight w:val="none"/>
          <w:lang w:val="zh-CN"/>
        </w:rPr>
        <w:t>应</w:t>
      </w:r>
    </w:p>
    <w:p>
      <w:pPr>
        <w:jc w:val="center"/>
        <w:rPr>
          <w:color w:val="auto"/>
          <w:sz w:val="84"/>
          <w:szCs w:val="84"/>
          <w:highlight w:val="none"/>
        </w:rPr>
      </w:pPr>
      <w:r>
        <w:rPr>
          <w:rFonts w:hint="eastAsia"/>
          <w:color w:val="auto"/>
          <w:sz w:val="84"/>
          <w:szCs w:val="84"/>
          <w:highlight w:val="none"/>
          <w:lang w:val="zh-CN"/>
        </w:rPr>
        <w:t>文</w:t>
      </w:r>
    </w:p>
    <w:p>
      <w:pPr>
        <w:jc w:val="center"/>
        <w:rPr>
          <w:color w:val="auto"/>
          <w:sz w:val="84"/>
          <w:szCs w:val="84"/>
          <w:highlight w:val="none"/>
          <w:lang w:val="zh-CN"/>
        </w:rPr>
      </w:pPr>
      <w:r>
        <w:rPr>
          <w:rFonts w:hint="eastAsia"/>
          <w:color w:val="auto"/>
          <w:sz w:val="84"/>
          <w:szCs w:val="84"/>
          <w:highlight w:val="none"/>
          <w:lang w:val="zh-CN"/>
        </w:rPr>
        <w:t>件</w:t>
      </w:r>
    </w:p>
    <w:p>
      <w:pPr>
        <w:pStyle w:val="7"/>
        <w:rPr>
          <w:rFonts w:ascii="宋体" w:hAnsi="宋体" w:cs="宋体"/>
          <w:color w:val="auto"/>
          <w:sz w:val="28"/>
          <w:szCs w:val="28"/>
          <w:highlight w:val="none"/>
        </w:rPr>
      </w:pPr>
    </w:p>
    <w:p>
      <w:pPr>
        <w:pStyle w:val="7"/>
        <w:rPr>
          <w:rFonts w:ascii="宋体" w:hAnsi="宋体" w:cs="宋体"/>
          <w:color w:val="auto"/>
          <w:sz w:val="28"/>
          <w:szCs w:val="28"/>
          <w:highlight w:val="none"/>
        </w:rPr>
      </w:pP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供应商全称（电子印章）：</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pPr>
        <w:snapToGrid w:val="0"/>
        <w:spacing w:before="50" w:after="50" w:line="360" w:lineRule="auto"/>
        <w:rPr>
          <w:rFonts w:ascii="仿宋_GB2312" w:hAnsi="宋体" w:eastAsia="仿宋_GB2312"/>
          <w:b/>
          <w:color w:val="auto"/>
          <w:sz w:val="36"/>
          <w:szCs w:val="36"/>
          <w:highlight w:val="none"/>
        </w:rPr>
      </w:pPr>
    </w:p>
    <w:p>
      <w:pPr>
        <w:pStyle w:val="7"/>
        <w:rPr>
          <w:rFonts w:ascii="仿宋_GB2312" w:hAnsi="宋体" w:eastAsia="仿宋_GB2312"/>
          <w:b/>
          <w:color w:val="auto"/>
          <w:sz w:val="36"/>
          <w:szCs w:val="36"/>
          <w:highlight w:val="none"/>
        </w:rPr>
      </w:pPr>
    </w:p>
    <w:p>
      <w:pPr>
        <w:pStyle w:val="7"/>
        <w:rPr>
          <w:rFonts w:ascii="仿宋_GB2312" w:hAnsi="宋体" w:eastAsia="仿宋_GB2312"/>
          <w:b/>
          <w:color w:val="auto"/>
          <w:sz w:val="36"/>
          <w:szCs w:val="36"/>
          <w:highlight w:val="none"/>
        </w:rPr>
      </w:pPr>
    </w:p>
    <w:p>
      <w:pPr>
        <w:pStyle w:val="7"/>
        <w:rPr>
          <w:rFonts w:ascii="仿宋_GB2312" w:hAnsi="宋体" w:eastAsia="仿宋_GB2312"/>
          <w:b/>
          <w:color w:val="auto"/>
          <w:sz w:val="36"/>
          <w:szCs w:val="36"/>
          <w:highlight w:val="none"/>
        </w:rPr>
      </w:pPr>
    </w:p>
    <w:p>
      <w:pPr>
        <w:spacing w:line="360" w:lineRule="auto"/>
        <w:jc w:val="center"/>
        <w:rPr>
          <w:b/>
          <w:bCs/>
          <w:color w:val="auto"/>
          <w:sz w:val="32"/>
          <w:szCs w:val="40"/>
          <w:highlight w:val="none"/>
        </w:rPr>
      </w:pPr>
    </w:p>
    <w:p>
      <w:pPr>
        <w:spacing w:line="360" w:lineRule="auto"/>
        <w:jc w:val="center"/>
        <w:rPr>
          <w:b/>
          <w:bCs/>
          <w:color w:val="auto"/>
          <w:sz w:val="32"/>
          <w:szCs w:val="40"/>
          <w:highlight w:val="none"/>
        </w:rPr>
      </w:pPr>
      <w:r>
        <w:rPr>
          <w:rFonts w:hint="eastAsia"/>
          <w:b/>
          <w:bCs/>
          <w:color w:val="auto"/>
          <w:sz w:val="32"/>
          <w:szCs w:val="40"/>
          <w:highlight w:val="none"/>
        </w:rPr>
        <w:t>资格证明内容目录</w:t>
      </w:r>
    </w:p>
    <w:p>
      <w:pPr>
        <w:spacing w:line="360" w:lineRule="auto"/>
        <w:rPr>
          <w:color w:val="auto"/>
          <w:highlight w:val="none"/>
        </w:rPr>
      </w:pPr>
    </w:p>
    <w:p>
      <w:pPr>
        <w:pStyle w:val="18"/>
        <w:ind w:left="0" w:leftChars="0" w:firstLine="470"/>
        <w:rPr>
          <w:rStyle w:val="26"/>
          <w:b w:val="0"/>
          <w:color w:val="auto"/>
          <w:highlight w:val="none"/>
          <w:u w:val="none"/>
        </w:rPr>
      </w:pPr>
      <w:r>
        <w:rPr>
          <w:rStyle w:val="26"/>
          <w:rFonts w:hint="eastAsia"/>
          <w:b w:val="0"/>
          <w:color w:val="auto"/>
          <w:highlight w:val="none"/>
          <w:u w:val="none"/>
        </w:rPr>
        <w:t>（1）磋商声明书（附件1）；</w:t>
      </w:r>
    </w:p>
    <w:p>
      <w:pPr>
        <w:widowControl/>
        <w:spacing w:line="360" w:lineRule="auto"/>
        <w:ind w:right="60"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（2）授权委托书（法定代表人亲自办理磋商响应事宜的，则无需提交，附件2)；</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pPr>
        <w:widowControl/>
        <w:spacing w:line="360" w:lineRule="auto"/>
        <w:ind w:right="60" w:firstLine="480" w:firstLineChars="200"/>
        <w:jc w:val="left"/>
        <w:outlineLvl w:val="0"/>
        <w:rPr>
          <w:rFonts w:hint="eastAsia" w:ascii="宋体" w:hAnsi="宋体" w:cs="宋体"/>
          <w:color w:val="auto"/>
          <w:sz w:val="24"/>
          <w:highlight w:val="none"/>
          <w:lang w:val="en-US" w:eastAsia="zh-CN"/>
        </w:rPr>
      </w:pPr>
      <w:r>
        <w:rPr>
          <w:rFonts w:hint="eastAsia" w:ascii="宋体" w:hAnsi="宋体" w:cs="宋体"/>
          <w:color w:val="auto"/>
          <w:sz w:val="24"/>
          <w:highlight w:val="none"/>
        </w:rPr>
        <w:t>（7）城乡规划</w:t>
      </w:r>
      <w:r>
        <w:rPr>
          <w:rFonts w:hint="eastAsia" w:ascii="宋体" w:hAnsi="宋体" w:cs="宋体"/>
          <w:color w:val="auto"/>
          <w:sz w:val="24"/>
          <w:highlight w:val="none"/>
          <w:lang w:val="en-US" w:eastAsia="zh-CN"/>
        </w:rPr>
        <w:t>编制乙</w:t>
      </w:r>
      <w:r>
        <w:rPr>
          <w:rFonts w:hint="eastAsia" w:ascii="宋体" w:hAnsi="宋体" w:cs="宋体"/>
          <w:color w:val="auto"/>
          <w:sz w:val="24"/>
          <w:highlight w:val="none"/>
        </w:rPr>
        <w:t>级资质</w:t>
      </w:r>
      <w:r>
        <w:rPr>
          <w:rFonts w:hint="eastAsia" w:ascii="宋体" w:hAnsi="宋体" w:cs="宋体"/>
          <w:color w:val="auto"/>
          <w:sz w:val="24"/>
          <w:highlight w:val="none"/>
          <w:lang w:val="en-US" w:eastAsia="zh-CN"/>
        </w:rPr>
        <w:t>及以上证书；</w:t>
      </w:r>
    </w:p>
    <w:p>
      <w:pPr>
        <w:widowControl/>
        <w:spacing w:line="360" w:lineRule="auto"/>
        <w:ind w:right="60"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需要说明的其他资料。</w:t>
      </w:r>
    </w:p>
    <w:p>
      <w:pPr>
        <w:spacing w:line="360" w:lineRule="auto"/>
        <w:rPr>
          <w:rFonts w:ascii="宋体" w:hAnsi="宋体"/>
          <w:b/>
          <w:color w:val="auto"/>
          <w:sz w:val="28"/>
          <w:highlight w:val="none"/>
        </w:rPr>
      </w:pPr>
    </w:p>
    <w:p>
      <w:pPr>
        <w:spacing w:line="360" w:lineRule="auto"/>
        <w:ind w:left="420"/>
        <w:rPr>
          <w:rFonts w:ascii="宋体" w:hAnsi="宋体"/>
          <w:b/>
          <w:color w:val="auto"/>
          <w:sz w:val="28"/>
          <w:highlight w:val="none"/>
        </w:rPr>
      </w:pPr>
    </w:p>
    <w:p>
      <w:pPr>
        <w:pStyle w:val="28"/>
        <w:rPr>
          <w:rFonts w:ascii="宋体" w:hAnsi="宋体"/>
          <w:b/>
          <w:color w:val="auto"/>
          <w:sz w:val="28"/>
          <w:highlight w:val="none"/>
        </w:rPr>
      </w:pPr>
    </w:p>
    <w:p>
      <w:pPr>
        <w:pStyle w:val="28"/>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rPr>
          <w:rFonts w:ascii="宋体" w:hAnsi="宋体"/>
          <w:b/>
          <w:color w:val="auto"/>
          <w:sz w:val="28"/>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spacing w:line="360" w:lineRule="auto"/>
        <w:ind w:left="420"/>
        <w:rPr>
          <w:rFonts w:ascii="宋体" w:hAnsi="宋体"/>
          <w:b/>
          <w:color w:val="auto"/>
          <w:sz w:val="28"/>
          <w:highlight w:val="none"/>
        </w:rPr>
      </w:pPr>
    </w:p>
    <w:p>
      <w:pPr>
        <w:pStyle w:val="7"/>
        <w:rPr>
          <w:rFonts w:ascii="宋体" w:hAnsi="宋体"/>
          <w:b/>
          <w:color w:val="auto"/>
          <w:sz w:val="28"/>
          <w:highlight w:val="none"/>
        </w:rPr>
      </w:pPr>
    </w:p>
    <w:p>
      <w:pPr>
        <w:pStyle w:val="7"/>
        <w:rPr>
          <w:rFonts w:ascii="宋体" w:hAnsi="宋体"/>
          <w:b/>
          <w:color w:val="auto"/>
          <w:sz w:val="28"/>
          <w:highlight w:val="none"/>
        </w:rPr>
      </w:pPr>
    </w:p>
    <w:p>
      <w:pPr>
        <w:pStyle w:val="7"/>
        <w:rPr>
          <w:rFonts w:ascii="宋体" w:hAnsi="宋体"/>
          <w:b/>
          <w:color w:val="auto"/>
          <w:sz w:val="28"/>
          <w:highlight w:val="none"/>
        </w:rPr>
      </w:pPr>
    </w:p>
    <w:p>
      <w:pPr>
        <w:pStyle w:val="7"/>
        <w:rPr>
          <w:rFonts w:ascii="宋体" w:hAnsi="宋体"/>
          <w:b/>
          <w:color w:val="auto"/>
          <w:sz w:val="28"/>
          <w:highlight w:val="none"/>
        </w:rPr>
      </w:pPr>
    </w:p>
    <w:p>
      <w:pPr>
        <w:spacing w:line="360" w:lineRule="auto"/>
        <w:rPr>
          <w:rFonts w:ascii="宋体" w:hAnsi="宋体"/>
          <w:b/>
          <w:color w:val="auto"/>
          <w:sz w:val="28"/>
          <w:highlight w:val="none"/>
        </w:rPr>
      </w:pPr>
    </w:p>
    <w:p>
      <w:pPr>
        <w:spacing w:line="312" w:lineRule="auto"/>
        <w:rPr>
          <w:rFonts w:ascii="宋体" w:hAnsi="宋体"/>
          <w:b/>
          <w:color w:val="auto"/>
          <w:sz w:val="28"/>
          <w:highlight w:val="none"/>
        </w:rPr>
      </w:pPr>
      <w:r>
        <w:rPr>
          <w:rFonts w:hint="eastAsia" w:ascii="宋体" w:hAnsi="宋体"/>
          <w:b/>
          <w:color w:val="auto"/>
          <w:sz w:val="28"/>
          <w:highlight w:val="none"/>
        </w:rPr>
        <w:t>附件1</w:t>
      </w:r>
    </w:p>
    <w:p>
      <w:pPr>
        <w:adjustRightInd w:val="0"/>
        <w:snapToGrid w:val="0"/>
        <w:spacing w:line="312" w:lineRule="auto"/>
        <w:ind w:right="480"/>
        <w:jc w:val="center"/>
        <w:rPr>
          <w:rFonts w:ascii="宋体" w:hAnsi="宋体"/>
          <w:b/>
          <w:color w:val="auto"/>
          <w:kern w:val="0"/>
          <w:sz w:val="32"/>
          <w:szCs w:val="32"/>
          <w:highlight w:val="none"/>
          <w:lang w:val="zh-CN"/>
        </w:rPr>
      </w:pPr>
      <w:bookmarkStart w:id="47" w:name="_Toc30723_WPSOffice_Level1"/>
      <w:bookmarkStart w:id="48" w:name="_Toc31708_WPSOffice_Level1"/>
      <w:r>
        <w:rPr>
          <w:rFonts w:hint="eastAsia" w:ascii="宋体" w:hAnsi="宋体"/>
          <w:b/>
          <w:color w:val="auto"/>
          <w:kern w:val="0"/>
          <w:sz w:val="32"/>
          <w:szCs w:val="32"/>
          <w:highlight w:val="none"/>
        </w:rPr>
        <w:t>磋商</w:t>
      </w:r>
      <w:r>
        <w:rPr>
          <w:rFonts w:hint="eastAsia" w:ascii="宋体" w:hAnsi="宋体"/>
          <w:b/>
          <w:color w:val="auto"/>
          <w:kern w:val="0"/>
          <w:sz w:val="32"/>
          <w:szCs w:val="32"/>
          <w:highlight w:val="none"/>
          <w:lang w:val="zh-CN"/>
        </w:rPr>
        <w:t>声明书</w:t>
      </w:r>
      <w:bookmarkEnd w:id="47"/>
      <w:bookmarkEnd w:id="48"/>
    </w:p>
    <w:p>
      <w:pPr>
        <w:snapToGrid w:val="0"/>
        <w:spacing w:beforeLines="50" w:after="50" w:line="312" w:lineRule="auto"/>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采购代理机构名称</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（供应商名称）系中华人民共和国合法企业，经营地址。</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供应商名称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pPr>
        <w:numPr>
          <w:ilvl w:val="0"/>
          <w:numId w:val="7"/>
        </w:num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7"/>
        </w:num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numPr>
          <w:ilvl w:val="0"/>
          <w:numId w:val="7"/>
        </w:numPr>
        <w:snapToGrid w:val="0"/>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pPr>
        <w:snapToGrid w:val="0"/>
        <w:spacing w:line="360" w:lineRule="auto"/>
        <w:ind w:firstLine="480" w:firstLineChars="200"/>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adjustRightInd w:val="0"/>
        <w:snapToGrid w:val="0"/>
        <w:spacing w:line="360" w:lineRule="auto"/>
        <w:ind w:firstLine="200"/>
        <w:rPr>
          <w:rFonts w:ascii="宋体" w:hAnsi="宋体" w:cs="仿宋_GB2312"/>
          <w:color w:val="auto"/>
          <w:kern w:val="0"/>
          <w:sz w:val="24"/>
          <w:highlight w:val="none"/>
        </w:rPr>
      </w:pPr>
    </w:p>
    <w:p>
      <w:pPr>
        <w:adjustRightInd w:val="0"/>
        <w:snapToGrid w:val="0"/>
        <w:spacing w:line="360" w:lineRule="auto"/>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w:t>
      </w:r>
      <w:r>
        <w:rPr>
          <w:rFonts w:hint="eastAsia" w:ascii="宋体"/>
          <w:color w:val="auto"/>
          <w:sz w:val="24"/>
          <w:highlight w:val="none"/>
        </w:rPr>
        <w:t>供应商全称（电子印章）</w:t>
      </w:r>
      <w:r>
        <w:rPr>
          <w:rFonts w:hint="eastAsia" w:ascii="宋体" w:hAnsi="宋体" w:cs="仿宋_GB2312"/>
          <w:color w:val="auto"/>
          <w:kern w:val="0"/>
          <w:sz w:val="24"/>
          <w:highlight w:val="none"/>
          <w:lang w:val="zh-CN"/>
        </w:rPr>
        <w:t>：</w:t>
      </w:r>
    </w:p>
    <w:p>
      <w:pPr>
        <w:adjustRightInd w:val="0"/>
        <w:snapToGrid w:val="0"/>
        <w:spacing w:line="360" w:lineRule="auto"/>
        <w:ind w:left="5281" w:leftChars="114" w:hanging="5042" w:hangingChars="2101"/>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w:t>
      </w:r>
      <w:r>
        <w:rPr>
          <w:rFonts w:hint="eastAsia" w:ascii="宋体" w:hAnsi="宋体" w:cs="仿宋_GB2312"/>
          <w:color w:val="auto"/>
          <w:kern w:val="0"/>
          <w:sz w:val="24"/>
          <w:highlight w:val="none"/>
          <w:lang w:val="en-US" w:eastAsia="zh-CN"/>
        </w:rPr>
        <w:t>或盖章</w:t>
      </w:r>
      <w:r>
        <w:rPr>
          <w:rFonts w:hint="eastAsia" w:ascii="宋体" w:hAnsi="宋体" w:cs="仿宋_GB2312"/>
          <w:color w:val="auto"/>
          <w:kern w:val="0"/>
          <w:sz w:val="24"/>
          <w:highlight w:val="none"/>
          <w:lang w:val="zh-CN"/>
        </w:rPr>
        <w:t>：                                       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pPr>
        <w:adjustRightInd w:val="0"/>
        <w:snapToGrid w:val="0"/>
        <w:spacing w:line="360" w:lineRule="auto"/>
        <w:ind w:right="480"/>
        <w:rPr>
          <w:rFonts w:ascii="宋体" w:hAnsi="宋体"/>
          <w:b/>
          <w:color w:val="auto"/>
          <w:sz w:val="28"/>
          <w:highlight w:val="none"/>
        </w:rPr>
      </w:pPr>
    </w:p>
    <w:p>
      <w:pPr>
        <w:adjustRightInd w:val="0"/>
        <w:snapToGrid w:val="0"/>
        <w:spacing w:line="360" w:lineRule="auto"/>
        <w:ind w:right="480"/>
        <w:rPr>
          <w:rFonts w:ascii="宋体" w:hAnsi="宋体"/>
          <w:b/>
          <w:color w:val="auto"/>
          <w:sz w:val="28"/>
          <w:highlight w:val="none"/>
        </w:rPr>
      </w:pP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pPr>
        <w:spacing w:line="360" w:lineRule="auto"/>
        <w:ind w:firstLine="321" w:firstLineChars="100"/>
        <w:jc w:val="center"/>
        <w:rPr>
          <w:rFonts w:hAnsi="宋体"/>
          <w:b/>
          <w:color w:val="auto"/>
          <w:sz w:val="32"/>
          <w:szCs w:val="32"/>
          <w:highlight w:val="none"/>
          <w:u w:val="single"/>
        </w:rPr>
      </w:pPr>
      <w:bookmarkStart w:id="49" w:name="_Toc24373_WPSOffice_Level1"/>
      <w:bookmarkStart w:id="50"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49"/>
      <w:bookmarkEnd w:id="50"/>
    </w:p>
    <w:p>
      <w:pPr>
        <w:snapToGrid w:val="0"/>
        <w:spacing w:beforeLines="50" w:after="50" w:line="360" w:lineRule="auto"/>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（采购代理机构名称）：</w:t>
      </w:r>
    </w:p>
    <w:p>
      <w:pPr>
        <w:pStyle w:val="13"/>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Ansi="宋体"/>
          <w:color w:val="auto"/>
          <w:sz w:val="24"/>
          <w:highlight w:val="none"/>
        </w:rPr>
        <w:t>项目的采购活动，并代表我方全权办理针对上述项目的</w:t>
      </w:r>
      <w:r>
        <w:rPr>
          <w:rFonts w:hint="eastAsia" w:hAnsi="宋体"/>
          <w:color w:val="auto"/>
          <w:sz w:val="24"/>
          <w:highlight w:val="none"/>
        </w:rPr>
        <w:t>磋商</w:t>
      </w:r>
      <w:r>
        <w:rPr>
          <w:rFonts w:hAnsi="宋体"/>
          <w:color w:val="auto"/>
          <w:sz w:val="24"/>
          <w:highlight w:val="none"/>
        </w:rPr>
        <w:t>、签约等具体事务和签署相关文件。</w:t>
      </w:r>
      <w:r>
        <w:rPr>
          <w:rFonts w:hint="eastAsia" w:hAnsi="宋体"/>
          <w:color w:val="auto"/>
          <w:sz w:val="24"/>
          <w:highlight w:val="none"/>
        </w:rPr>
        <w:t>我方对全权代表的签字事项负全部责任。</w:t>
      </w:r>
    </w:p>
    <w:p>
      <w:pPr>
        <w:pStyle w:val="13"/>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3"/>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rFonts w:hint="eastAsia" w:ascii="宋体" w:hAnsi="宋体" w:cs="仿宋_GB2312"/>
          <w:color w:val="auto"/>
          <w:kern w:val="0"/>
          <w:sz w:val="24"/>
          <w:highlight w:val="none"/>
          <w:lang w:val="zh-CN"/>
        </w:rPr>
      </w:pPr>
    </w:p>
    <w:p>
      <w:pPr>
        <w:spacing w:line="360" w:lineRule="auto"/>
        <w:rPr>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s="仿宋_GB2312"/>
          <w:color w:val="auto"/>
          <w:kern w:val="0"/>
          <w:sz w:val="24"/>
          <w:highlight w:val="none"/>
          <w:lang w:val="en-US" w:eastAsia="zh-CN"/>
        </w:rPr>
        <w:t>或盖章</w:t>
      </w:r>
      <w:r>
        <w:rPr>
          <w:rFonts w:hint="eastAsia" w:ascii="宋体"/>
          <w:color w:val="auto"/>
          <w:sz w:val="24"/>
          <w:highlight w:val="none"/>
        </w:rPr>
        <w:t>：</w:t>
      </w:r>
    </w:p>
    <w:p>
      <w:pPr>
        <w:spacing w:line="360" w:lineRule="auto"/>
        <w:rPr>
          <w:color w:val="auto"/>
          <w:sz w:val="24"/>
          <w:highlight w:val="none"/>
        </w:rPr>
      </w:pPr>
      <w:r>
        <w:rPr>
          <w:rFonts w:hint="eastAsia" w:ascii="宋体"/>
          <w:color w:val="auto"/>
          <w:sz w:val="24"/>
          <w:highlight w:val="none"/>
        </w:rPr>
        <w:t>供应商全称（电子印章）：                              日期：</w:t>
      </w:r>
    </w:p>
    <w:p>
      <w:pPr>
        <w:spacing w:line="360" w:lineRule="auto"/>
        <w:rPr>
          <w:color w:val="auto"/>
          <w:sz w:val="24"/>
          <w:highlight w:val="none"/>
        </w:rPr>
      </w:pPr>
    </w:p>
    <w:p>
      <w:pPr>
        <w:spacing w:line="360" w:lineRule="auto"/>
        <w:rPr>
          <w:b/>
          <w:color w:val="auto"/>
          <w:sz w:val="24"/>
          <w:highlight w:val="none"/>
        </w:rPr>
      </w:pPr>
      <w:r>
        <w:rPr>
          <w:rFonts w:hint="eastAsia" w:ascii="宋体"/>
          <w:b/>
          <w:color w:val="auto"/>
          <w:sz w:val="24"/>
          <w:highlight w:val="none"/>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法定代表身份证复印件粘贴处</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全权代表身份证复印件粘贴处</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rPr>
          <w:rFonts w:ascii="宋体" w:hAnsi="宋体"/>
          <w:b/>
          <w:color w:val="auto"/>
          <w:sz w:val="28"/>
          <w:highlight w:val="none"/>
        </w:rPr>
      </w:pPr>
    </w:p>
    <w:p>
      <w:pPr>
        <w:rPr>
          <w:rFonts w:ascii="宋体" w:hAnsi="宋体"/>
          <w:b/>
          <w:color w:val="auto"/>
          <w:sz w:val="28"/>
          <w:highlight w:val="none"/>
        </w:rPr>
      </w:pPr>
    </w:p>
    <w:p>
      <w:pPr>
        <w:rPr>
          <w:rFonts w:ascii="宋体" w:hAnsi="宋体"/>
          <w:b/>
          <w:color w:val="auto"/>
          <w:sz w:val="28"/>
          <w:highlight w:val="none"/>
        </w:rPr>
      </w:pPr>
    </w:p>
    <w:p>
      <w:pPr>
        <w:rPr>
          <w:rFonts w:ascii="宋体" w:hAnsi="宋体"/>
          <w:b/>
          <w:color w:val="auto"/>
          <w:sz w:val="28"/>
          <w:highlight w:val="none"/>
        </w:rPr>
      </w:pPr>
      <w:bookmarkStart w:id="51" w:name="_Toc16825_WPSOffice_Level1"/>
      <w:bookmarkStart w:id="52" w:name="_Toc26389_WPSOffice_Level1"/>
      <w:bookmarkStart w:id="53" w:name="_Toc12331_WPSOffice_Level1"/>
      <w:r>
        <w:rPr>
          <w:rFonts w:hint="eastAsia" w:ascii="宋体" w:hAnsi="宋体"/>
          <w:b/>
          <w:color w:val="auto"/>
          <w:sz w:val="28"/>
          <w:highlight w:val="none"/>
        </w:rPr>
        <w:t>附件3</w:t>
      </w:r>
    </w:p>
    <w:p>
      <w:pPr>
        <w:widowControl/>
        <w:adjustRightInd w:val="0"/>
        <w:snapToGrid w:val="0"/>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pPr>
        <w:widowControl/>
        <w:adjustRightInd w:val="0"/>
        <w:snapToGrid w:val="0"/>
        <w:jc w:val="center"/>
        <w:rPr>
          <w:rFonts w:ascii="宋体" w:hAnsi="宋体"/>
          <w:b/>
          <w:color w:val="auto"/>
          <w:kern w:val="0"/>
          <w:sz w:val="32"/>
          <w:szCs w:val="32"/>
          <w:highlight w:val="none"/>
        </w:rPr>
      </w:pPr>
    </w:p>
    <w:p>
      <w:pPr>
        <w:widowControl/>
        <w:adjustRightInd w:val="0"/>
        <w:snapToGrid w:val="0"/>
        <w:jc w:val="left"/>
        <w:rPr>
          <w:rFonts w:ascii="宋体" w:hAnsi="宋体"/>
          <w:color w:val="auto"/>
          <w:kern w:val="0"/>
          <w:sz w:val="28"/>
          <w:szCs w:val="32"/>
          <w:highlight w:val="none"/>
        </w:rPr>
      </w:pPr>
      <w:r>
        <w:rPr>
          <w:rFonts w:hint="eastAsia" w:ascii="宋体" w:hAnsi="宋体"/>
          <w:color w:val="auto"/>
          <w:kern w:val="0"/>
          <w:sz w:val="28"/>
          <w:szCs w:val="32"/>
          <w:highlight w:val="none"/>
        </w:rPr>
        <w:t>（如依法免税的，应提供相应文件证明其依法免税；如依法不需要缴纳社会保障资金的，应提供相应文件证明其依法不需要缴纳社会保障资金。）</w:t>
      </w:r>
    </w:p>
    <w:p>
      <w:pPr>
        <w:adjustRightInd w:val="0"/>
        <w:snapToGrid w:val="0"/>
        <w:jc w:val="left"/>
        <w:rPr>
          <w:rFonts w:ascii="宋体" w:hAnsi="宋体"/>
          <w:b/>
          <w:color w:val="auto"/>
          <w:kern w:val="0"/>
          <w:sz w:val="32"/>
          <w:szCs w:val="32"/>
          <w:highlight w:val="none"/>
        </w:rPr>
      </w:pPr>
    </w:p>
    <w:p>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u w:val="single"/>
        </w:rPr>
        <w:t>台州市住房和城乡建设局</w:t>
      </w:r>
      <w:r>
        <w:rPr>
          <w:rFonts w:ascii="宋体" w:hAnsi="宋体"/>
          <w:color w:val="auto"/>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color w:val="auto"/>
          <w:sz w:val="24"/>
          <w:highlight w:val="none"/>
        </w:rPr>
        <w:t>供应商全称（电子印章）</w:t>
      </w:r>
      <w:r>
        <w:rPr>
          <w:rFonts w:hint="eastAsia" w:ascii="宋体" w:hAnsi="宋体" w:cs="仿宋_GB2312"/>
          <w:color w:val="auto"/>
          <w:kern w:val="0"/>
          <w:sz w:val="24"/>
          <w:highlight w:val="none"/>
          <w:lang w:val="zh-CN"/>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r>
        <w:rPr>
          <w:rFonts w:hint="eastAsia" w:ascii="宋体" w:hAnsi="宋体" w:cs="仿宋_GB2312"/>
          <w:color w:val="auto"/>
          <w:kern w:val="0"/>
          <w:sz w:val="24"/>
          <w:highlight w:val="none"/>
          <w:lang w:val="en-US" w:eastAsia="zh-CN"/>
        </w:rPr>
        <w:t>或盖章</w:t>
      </w:r>
      <w:r>
        <w:rPr>
          <w:rFonts w:hint="eastAsia" w:ascii="宋体" w:hAnsi="宋体" w:cs="仿宋_GB2312"/>
          <w:color w:val="auto"/>
          <w:kern w:val="0"/>
          <w:sz w:val="24"/>
          <w:highlight w:val="none"/>
          <w:lang w:val="zh-CN"/>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pPr>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附件4</w:t>
      </w:r>
    </w:p>
    <w:p>
      <w:pPr>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pPr>
        <w:jc w:val="center"/>
        <w:rPr>
          <w:rFonts w:ascii="宋体" w:hAnsi="宋体"/>
          <w:b/>
          <w:color w:val="auto"/>
          <w:kern w:val="0"/>
          <w:sz w:val="32"/>
          <w:szCs w:val="32"/>
          <w:highlight w:val="none"/>
        </w:rPr>
      </w:pPr>
    </w:p>
    <w:p>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u w:val="single"/>
        </w:rPr>
        <w:t>台州市住房和城乡建设局</w:t>
      </w:r>
      <w:r>
        <w:rPr>
          <w:rFonts w:ascii="宋体" w:hAnsi="宋体"/>
          <w:color w:val="auto"/>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color w:val="auto"/>
          <w:sz w:val="24"/>
          <w:highlight w:val="none"/>
        </w:rPr>
        <w:t>供应商全称（电子印章）</w:t>
      </w:r>
      <w:r>
        <w:rPr>
          <w:rFonts w:hint="eastAsia" w:ascii="宋体" w:hAnsi="宋体" w:cs="仿宋_GB2312"/>
          <w:color w:val="auto"/>
          <w:kern w:val="0"/>
          <w:sz w:val="24"/>
          <w:highlight w:val="none"/>
          <w:lang w:val="zh-CN"/>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r>
        <w:rPr>
          <w:rFonts w:hint="eastAsia" w:ascii="宋体" w:hAnsi="宋体" w:cs="仿宋_GB2312"/>
          <w:color w:val="auto"/>
          <w:kern w:val="0"/>
          <w:sz w:val="24"/>
          <w:highlight w:val="none"/>
          <w:lang w:val="en-US" w:eastAsia="zh-CN"/>
        </w:rPr>
        <w:t>或盖章</w:t>
      </w:r>
      <w:r>
        <w:rPr>
          <w:rFonts w:hint="eastAsia" w:ascii="宋体" w:hAnsi="宋体" w:cs="仿宋_GB2312"/>
          <w:color w:val="auto"/>
          <w:kern w:val="0"/>
          <w:sz w:val="24"/>
          <w:highlight w:val="none"/>
          <w:lang w:val="zh-CN"/>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pPr>
        <w:jc w:val="center"/>
        <w:rPr>
          <w:rFonts w:ascii="宋体" w:hAnsi="宋体"/>
          <w:b/>
          <w:color w:val="auto"/>
          <w:kern w:val="0"/>
          <w:sz w:val="32"/>
          <w:szCs w:val="32"/>
          <w:highlight w:val="none"/>
        </w:rPr>
      </w:pPr>
    </w:p>
    <w:p>
      <w:pPr>
        <w:jc w:val="center"/>
        <w:rPr>
          <w:rFonts w:ascii="宋体" w:hAnsi="宋体"/>
          <w:b/>
          <w:color w:val="auto"/>
          <w:kern w:val="0"/>
          <w:sz w:val="32"/>
          <w:szCs w:val="32"/>
          <w:highlight w:val="none"/>
        </w:rPr>
      </w:pPr>
    </w:p>
    <w:p>
      <w:pPr>
        <w:rPr>
          <w:rFonts w:ascii="宋体" w:hAnsi="宋体"/>
          <w:b/>
          <w:color w:val="auto"/>
          <w:kern w:val="0"/>
          <w:sz w:val="32"/>
          <w:szCs w:val="32"/>
          <w:highlight w:val="none"/>
        </w:rPr>
      </w:pPr>
      <w:r>
        <w:rPr>
          <w:rFonts w:ascii="宋体" w:hAnsi="宋体"/>
          <w:b/>
          <w:color w:val="auto"/>
          <w:kern w:val="0"/>
          <w:sz w:val="32"/>
          <w:szCs w:val="32"/>
          <w:highlight w:val="none"/>
        </w:rPr>
        <w:br w:type="page"/>
      </w:r>
    </w:p>
    <w:p>
      <w:pPr>
        <w:jc w:val="left"/>
        <w:rPr>
          <w:rFonts w:ascii="宋体" w:hAnsi="宋体"/>
          <w:b/>
          <w:color w:val="auto"/>
          <w:kern w:val="0"/>
          <w:sz w:val="32"/>
          <w:szCs w:val="32"/>
          <w:highlight w:val="none"/>
        </w:rPr>
      </w:pPr>
      <w:r>
        <w:rPr>
          <w:rFonts w:hint="eastAsia" w:ascii="宋体" w:hAnsi="宋体"/>
          <w:b/>
          <w:color w:val="auto"/>
          <w:kern w:val="0"/>
          <w:sz w:val="32"/>
          <w:szCs w:val="32"/>
          <w:highlight w:val="none"/>
        </w:rPr>
        <w:t>附件5</w:t>
      </w:r>
    </w:p>
    <w:p>
      <w:pPr>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pPr>
        <w:jc w:val="center"/>
        <w:rPr>
          <w:rFonts w:ascii="宋体" w:hAnsi="宋体"/>
          <w:b/>
          <w:color w:val="auto"/>
          <w:sz w:val="28"/>
          <w:highlight w:val="none"/>
        </w:rPr>
      </w:pPr>
    </w:p>
    <w:p>
      <w:pPr>
        <w:widowControl/>
        <w:shd w:val="clear" w:color="auto" w:fill="FFFFFF"/>
        <w:snapToGrid w:val="0"/>
        <w:spacing w:after="50" w:line="480" w:lineRule="auto"/>
        <w:jc w:val="left"/>
        <w:rPr>
          <w:rFonts w:ascii="宋体" w:hAnsi="宋体"/>
          <w:color w:val="auto"/>
          <w:kern w:val="0"/>
          <w:sz w:val="24"/>
          <w:highlight w:val="none"/>
        </w:rPr>
      </w:pPr>
      <w:r>
        <w:rPr>
          <w:rFonts w:hint="eastAsia" w:ascii="宋体" w:hAnsi="宋体"/>
          <w:color w:val="auto"/>
          <w:kern w:val="0"/>
          <w:sz w:val="24"/>
          <w:highlight w:val="none"/>
          <w:u w:val="single"/>
        </w:rPr>
        <w:t>台州市住房和城乡建设局</w:t>
      </w:r>
      <w:r>
        <w:rPr>
          <w:rFonts w:ascii="宋体" w:hAnsi="宋体"/>
          <w:color w:val="auto"/>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ascii="宋体" w:hAnsi="宋体"/>
          <w:color w:val="auto"/>
          <w:sz w:val="24"/>
          <w:highlight w:val="none"/>
          <w:u w:val="single"/>
        </w:rPr>
        <w:t>主干道路风貌整治攻坚项目（方案设计）</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sz w:val="24"/>
          <w:highlight w:val="none"/>
          <w:u w:val="single"/>
        </w:rPr>
        <w:t>台财采确【2022】号</w:t>
      </w:r>
      <w:r>
        <w:rPr>
          <w:rFonts w:hint="eastAsia" w:hAnsi="宋体" w:cs="宋体"/>
          <w:color w:val="auto"/>
          <w:kern w:val="0"/>
          <w:sz w:val="24"/>
          <w:highlight w:val="none"/>
        </w:rPr>
        <w:t>）</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color w:val="auto"/>
          <w:sz w:val="24"/>
          <w:highlight w:val="none"/>
        </w:rPr>
        <w:t>供应商全称（电子印章）</w:t>
      </w:r>
      <w:r>
        <w:rPr>
          <w:rFonts w:hint="eastAsia" w:ascii="宋体" w:hAnsi="宋体" w:cs="仿宋_GB2312"/>
          <w:color w:val="auto"/>
          <w:kern w:val="0"/>
          <w:sz w:val="24"/>
          <w:highlight w:val="none"/>
          <w:lang w:val="zh-CN"/>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r>
        <w:rPr>
          <w:rFonts w:hint="eastAsia" w:ascii="宋体" w:hAnsi="宋体" w:cs="仿宋_GB2312"/>
          <w:color w:val="auto"/>
          <w:kern w:val="0"/>
          <w:sz w:val="24"/>
          <w:highlight w:val="none"/>
          <w:lang w:val="en-US" w:eastAsia="zh-CN"/>
        </w:rPr>
        <w:t>或盖章</w:t>
      </w:r>
      <w:r>
        <w:rPr>
          <w:rFonts w:hint="eastAsia" w:ascii="宋体" w:hAnsi="宋体" w:cs="仿宋_GB2312"/>
          <w:color w:val="auto"/>
          <w:kern w:val="0"/>
          <w:sz w:val="24"/>
          <w:highlight w:val="none"/>
          <w:lang w:val="zh-CN"/>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pPr>
        <w:jc w:val="center"/>
        <w:rPr>
          <w:color w:val="auto"/>
          <w:sz w:val="52"/>
          <w:szCs w:val="52"/>
          <w:highlight w:val="none"/>
        </w:rPr>
      </w:pPr>
    </w:p>
    <w:p>
      <w:pPr>
        <w:jc w:val="center"/>
        <w:rPr>
          <w:color w:val="auto"/>
          <w:sz w:val="52"/>
          <w:szCs w:val="52"/>
          <w:highlight w:val="none"/>
        </w:rPr>
      </w:pPr>
    </w:p>
    <w:p>
      <w:pPr>
        <w:jc w:val="center"/>
        <w:rPr>
          <w:color w:val="auto"/>
          <w:sz w:val="52"/>
          <w:szCs w:val="52"/>
          <w:highlight w:val="none"/>
        </w:rPr>
      </w:pPr>
    </w:p>
    <w:p>
      <w:pPr>
        <w:rPr>
          <w:color w:val="auto"/>
          <w:sz w:val="52"/>
          <w:szCs w:val="52"/>
          <w:highlight w:val="none"/>
        </w:rPr>
      </w:pPr>
    </w:p>
    <w:p>
      <w:pPr>
        <w:pStyle w:val="3"/>
        <w:numPr>
          <w:ilvl w:val="0"/>
          <w:numId w:val="0"/>
        </w:numPr>
        <w:jc w:val="both"/>
        <w:rPr>
          <w:color w:val="auto"/>
          <w:highlight w:val="none"/>
        </w:rPr>
      </w:pPr>
    </w:p>
    <w:p>
      <w:pPr>
        <w:jc w:val="center"/>
        <w:rPr>
          <w:color w:val="auto"/>
          <w:sz w:val="52"/>
          <w:szCs w:val="52"/>
          <w:highlight w:val="none"/>
        </w:rPr>
      </w:pPr>
    </w:p>
    <w:p>
      <w:pPr>
        <w:pStyle w:val="3"/>
        <w:numPr>
          <w:ilvl w:val="0"/>
          <w:numId w:val="0"/>
        </w:numPr>
        <w:ind w:left="425"/>
        <w:jc w:val="both"/>
        <w:rPr>
          <w:color w:val="auto"/>
          <w:highlight w:val="none"/>
        </w:rPr>
      </w:pPr>
    </w:p>
    <w:p>
      <w:pPr>
        <w:rPr>
          <w:color w:val="auto"/>
          <w:highlight w:val="none"/>
        </w:rPr>
      </w:pPr>
    </w:p>
    <w:p>
      <w:pPr>
        <w:pStyle w:val="3"/>
        <w:numPr>
          <w:ilvl w:val="0"/>
          <w:numId w:val="0"/>
        </w:numPr>
        <w:ind w:left="425"/>
        <w:jc w:val="both"/>
        <w:rPr>
          <w:color w:val="auto"/>
          <w:highlight w:val="none"/>
        </w:rPr>
      </w:pPr>
    </w:p>
    <w:p>
      <w:pPr>
        <w:rPr>
          <w:color w:val="auto"/>
          <w:highlight w:val="none"/>
        </w:rPr>
      </w:pPr>
    </w:p>
    <w:p>
      <w:pPr>
        <w:pStyle w:val="3"/>
        <w:numPr>
          <w:ilvl w:val="0"/>
          <w:numId w:val="0"/>
        </w:numPr>
        <w:ind w:left="425"/>
        <w:jc w:val="both"/>
        <w:rPr>
          <w:color w:val="auto"/>
          <w:highlight w:val="none"/>
        </w:rPr>
      </w:pPr>
    </w:p>
    <w:p>
      <w:pPr>
        <w:rPr>
          <w:color w:val="auto"/>
          <w:highlight w:val="none"/>
        </w:rPr>
      </w:pPr>
    </w:p>
    <w:bookmarkEnd w:id="51"/>
    <w:bookmarkEnd w:id="52"/>
    <w:bookmarkEnd w:id="53"/>
    <w:p>
      <w:pPr>
        <w:rPr>
          <w:rFonts w:ascii="宋体" w:hAnsi="宋体"/>
          <w:b/>
          <w:color w:val="auto"/>
          <w:sz w:val="28"/>
          <w:highlight w:val="none"/>
        </w:rPr>
      </w:pPr>
      <w:r>
        <w:rPr>
          <w:rFonts w:hint="eastAsia" w:ascii="宋体" w:hAnsi="宋体"/>
          <w:b/>
          <w:color w:val="auto"/>
          <w:sz w:val="28"/>
          <w:highlight w:val="none"/>
        </w:rPr>
        <w:br w:type="page"/>
      </w:r>
    </w:p>
    <w:p>
      <w:pPr>
        <w:jc w:val="center"/>
        <w:rPr>
          <w:b/>
          <w:bCs/>
          <w:color w:val="auto"/>
          <w:sz w:val="32"/>
          <w:szCs w:val="32"/>
          <w:highlight w:val="none"/>
        </w:rPr>
      </w:pPr>
      <w:bookmarkStart w:id="54" w:name="_Toc5889_WPSOffice_Level1"/>
      <w:bookmarkStart w:id="55" w:name="_Toc11308_WPSOffice_Level1"/>
      <w:r>
        <w:rPr>
          <w:rFonts w:hint="eastAsia"/>
          <w:b/>
          <w:bCs/>
          <w:color w:val="auto"/>
          <w:sz w:val="32"/>
          <w:szCs w:val="32"/>
          <w:highlight w:val="none"/>
          <w:lang w:val="zh-CN"/>
        </w:rPr>
        <w:t>商务与技术文件</w:t>
      </w:r>
      <w:r>
        <w:rPr>
          <w:rFonts w:hint="eastAsia"/>
          <w:b/>
          <w:bCs/>
          <w:color w:val="auto"/>
          <w:sz w:val="32"/>
          <w:szCs w:val="32"/>
          <w:highlight w:val="none"/>
        </w:rPr>
        <w:t>目录</w:t>
      </w:r>
      <w:bookmarkEnd w:id="54"/>
      <w:bookmarkEnd w:id="55"/>
    </w:p>
    <w:p>
      <w:pPr>
        <w:pStyle w:val="7"/>
        <w:spacing w:line="360" w:lineRule="auto"/>
        <w:ind w:firstLine="480" w:firstLineChars="200"/>
        <w:rPr>
          <w:color w:val="auto"/>
          <w:sz w:val="24"/>
          <w:szCs w:val="24"/>
          <w:highlight w:val="none"/>
        </w:rPr>
      </w:pP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投标人情况介绍（附件6）；</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（2）项目方案（</w:t>
      </w:r>
      <w:r>
        <w:rPr>
          <w:rFonts w:hint="eastAsia" w:ascii="宋体" w:hAnsi="宋体"/>
          <w:bCs/>
          <w:color w:val="auto"/>
          <w:sz w:val="24"/>
          <w:highlight w:val="none"/>
          <w:lang w:val="en-US" w:eastAsia="zh-CN"/>
        </w:rPr>
        <w:t>由供应商根据招标文件和评标办法自行拟定</w:t>
      </w:r>
      <w:r>
        <w:rPr>
          <w:rFonts w:hint="eastAsia" w:ascii="宋体" w:hAnsi="宋体"/>
          <w:bCs/>
          <w:color w:val="auto"/>
          <w:sz w:val="24"/>
          <w:highlight w:val="none"/>
        </w:rPr>
        <w:t>），项目方案章节页数</w:t>
      </w:r>
      <w:r>
        <w:rPr>
          <w:rFonts w:hint="eastAsia" w:ascii="宋体" w:hAnsi="宋体"/>
          <w:bCs/>
          <w:color w:val="auto"/>
          <w:sz w:val="24"/>
          <w:highlight w:val="none"/>
          <w:lang w:val="en-US" w:eastAsia="zh-CN"/>
        </w:rPr>
        <w:t>建议</w:t>
      </w:r>
      <w:r>
        <w:rPr>
          <w:rFonts w:hint="eastAsia" w:ascii="宋体" w:hAnsi="宋体"/>
          <w:bCs/>
          <w:color w:val="auto"/>
          <w:sz w:val="24"/>
          <w:highlight w:val="none"/>
        </w:rPr>
        <w:t>三十页；</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（3）项目负责人资格情况表（附件7）；</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（4）项目实施人员一览表（附件8）；</w:t>
      </w:r>
    </w:p>
    <w:p>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服务条款响应表（附件9）；</w:t>
      </w:r>
    </w:p>
    <w:p>
      <w:pPr>
        <w:pStyle w:val="7"/>
        <w:widowControl/>
        <w:numPr>
          <w:ilvl w:val="255"/>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（6）证书一览表（与本项目相关的认证证书或文件；附件10）；</w:t>
      </w:r>
    </w:p>
    <w:p>
      <w:pPr>
        <w:pStyle w:val="7"/>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（7）同类业绩证明（如有，需提供合同复印件；附件11）；</w:t>
      </w:r>
    </w:p>
    <w:p>
      <w:pPr>
        <w:pStyle w:val="7"/>
        <w:widowControl/>
        <w:numPr>
          <w:ilvl w:val="255"/>
          <w:numId w:val="0"/>
        </w:numPr>
        <w:snapToGrid w:val="0"/>
        <w:spacing w:line="360" w:lineRule="auto"/>
        <w:ind w:firstLine="480" w:firstLineChars="200"/>
        <w:rPr>
          <w:rFonts w:ascii="宋体" w:hAnsi="宋体" w:cs="宋体"/>
          <w:color w:val="auto"/>
          <w:sz w:val="24"/>
          <w:szCs w:val="24"/>
          <w:highlight w:val="none"/>
        </w:rPr>
      </w:pPr>
      <w:r>
        <w:rPr>
          <w:rFonts w:hint="eastAsia" w:ascii="宋体" w:hAnsi="宋体"/>
          <w:bCs/>
          <w:color w:val="auto"/>
          <w:sz w:val="24"/>
          <w:highlight w:val="none"/>
        </w:rPr>
        <w:t>（8）符合招标文件规定的其他证明文件及评分标准中涉及的其他材料</w:t>
      </w:r>
      <w:r>
        <w:rPr>
          <w:rFonts w:hint="eastAsia"/>
          <w:color w:val="auto"/>
          <w:sz w:val="24"/>
          <w:szCs w:val="24"/>
          <w:highlight w:val="none"/>
        </w:rPr>
        <w:t>。</w:t>
      </w:r>
    </w:p>
    <w:p>
      <w:pPr>
        <w:pStyle w:val="7"/>
        <w:spacing w:line="360" w:lineRule="auto"/>
        <w:ind w:firstLine="480" w:firstLineChars="200"/>
        <w:rPr>
          <w:color w:val="auto"/>
          <w:sz w:val="24"/>
          <w:szCs w:val="24"/>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32"/>
        <w:shd w:val="clear" w:color="auto" w:fill="FFFFFF"/>
        <w:spacing w:before="0" w:beforeAutospacing="0" w:after="0" w:afterAutospacing="0" w:line="360" w:lineRule="auto"/>
        <w:rPr>
          <w:b/>
          <w:color w:val="auto"/>
          <w:sz w:val="28"/>
          <w:highlight w:val="none"/>
        </w:rPr>
      </w:pPr>
      <w:r>
        <w:rPr>
          <w:rFonts w:hint="eastAsia"/>
          <w:b/>
          <w:color w:val="auto"/>
          <w:sz w:val="28"/>
          <w:highlight w:val="none"/>
        </w:rPr>
        <w:t>附件6</w:t>
      </w:r>
    </w:p>
    <w:p>
      <w:pPr>
        <w:pStyle w:val="32"/>
        <w:shd w:val="clear" w:color="auto" w:fill="FFFFFF"/>
        <w:spacing w:before="0" w:beforeAutospacing="0" w:after="0" w:afterAutospacing="0" w:line="360" w:lineRule="auto"/>
        <w:jc w:val="center"/>
        <w:rPr>
          <w:rFonts w:eastAsia="微软雅黑"/>
          <w:color w:val="auto"/>
          <w:sz w:val="36"/>
          <w:szCs w:val="36"/>
          <w:highlight w:val="none"/>
        </w:rPr>
      </w:pPr>
      <w:bookmarkStart w:id="56" w:name="_Toc14261_WPSOffice_Level1"/>
      <w:bookmarkStart w:id="57" w:name="_Toc13307_WPSOffice_Level1"/>
      <w:r>
        <w:rPr>
          <w:rFonts w:hint="eastAsia"/>
          <w:b/>
          <w:color w:val="auto"/>
          <w:sz w:val="32"/>
          <w:szCs w:val="32"/>
          <w:highlight w:val="none"/>
        </w:rPr>
        <w:t>供应商</w:t>
      </w:r>
      <w:r>
        <w:rPr>
          <w:rFonts w:hint="eastAsia"/>
          <w:b/>
          <w:bCs/>
          <w:color w:val="auto"/>
          <w:spacing w:val="21"/>
          <w:sz w:val="32"/>
          <w:szCs w:val="32"/>
          <w:highlight w:val="none"/>
        </w:rPr>
        <w:t>基本情况表</w:t>
      </w:r>
      <w:bookmarkEnd w:id="56"/>
      <w:bookmarkEnd w:id="57"/>
    </w:p>
    <w:tbl>
      <w:tblPr>
        <w:tblStyle w:val="22"/>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0"/>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3" w:type="dxa"/>
            <w:vAlign w:val="center"/>
          </w:tcPr>
          <w:p>
            <w:pPr>
              <w:pStyle w:val="32"/>
              <w:shd w:val="clear" w:color="auto" w:fill="FFFFFF"/>
              <w:spacing w:before="0" w:beforeAutospacing="0" w:after="0" w:afterAutospacing="0"/>
              <w:jc w:val="center"/>
              <w:rPr>
                <w:bCs/>
                <w:color w:val="auto"/>
                <w:highlight w:val="none"/>
              </w:rPr>
            </w:pPr>
            <w:r>
              <w:rPr>
                <w:rFonts w:hint="eastAsia"/>
                <w:bCs/>
                <w:color w:val="auto"/>
                <w:spacing w:val="27"/>
                <w:highlight w:val="none"/>
              </w:rPr>
              <w:t>企业名称</w:t>
            </w:r>
          </w:p>
        </w:tc>
        <w:tc>
          <w:tcPr>
            <w:tcW w:w="4098" w:type="dxa"/>
            <w:gridSpan w:val="6"/>
            <w:vAlign w:val="center"/>
          </w:tcPr>
          <w:p>
            <w:pPr>
              <w:pStyle w:val="32"/>
              <w:shd w:val="clear" w:color="auto" w:fill="FFFFFF"/>
              <w:spacing w:before="0" w:beforeAutospacing="0" w:after="0" w:afterAutospacing="0"/>
              <w:jc w:val="center"/>
              <w:rPr>
                <w:bCs/>
                <w:color w:val="auto"/>
                <w:highlight w:val="none"/>
              </w:rPr>
            </w:pPr>
          </w:p>
        </w:tc>
        <w:tc>
          <w:tcPr>
            <w:tcW w:w="2001" w:type="dxa"/>
            <w:gridSpan w:val="3"/>
            <w:vAlign w:val="center"/>
          </w:tcPr>
          <w:p>
            <w:pPr>
              <w:pStyle w:val="32"/>
              <w:shd w:val="clear" w:color="auto" w:fill="FFFFFF"/>
              <w:spacing w:before="0" w:beforeAutospacing="0" w:after="0" w:afterAutospacing="0"/>
              <w:jc w:val="center"/>
              <w:rPr>
                <w:bCs/>
                <w:color w:val="auto"/>
                <w:highlight w:val="none"/>
              </w:rPr>
            </w:pPr>
            <w:r>
              <w:rPr>
                <w:rFonts w:hint="eastAsia"/>
                <w:bCs/>
                <w:color w:val="auto"/>
                <w:spacing w:val="16"/>
                <w:highlight w:val="none"/>
              </w:rPr>
              <w:t>法人代表</w:t>
            </w:r>
          </w:p>
        </w:tc>
        <w:tc>
          <w:tcPr>
            <w:tcW w:w="2151" w:type="dxa"/>
            <w:gridSpan w:val="2"/>
            <w:vAlign w:val="center"/>
          </w:tcPr>
          <w:p>
            <w:pPr>
              <w:pStyle w:val="32"/>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23" w:type="dxa"/>
            <w:vAlign w:val="center"/>
          </w:tcPr>
          <w:p>
            <w:pPr>
              <w:pStyle w:val="32"/>
              <w:shd w:val="clear" w:color="auto" w:fill="FFFFFF"/>
              <w:spacing w:before="0" w:beforeAutospacing="0" w:after="0" w:afterAutospacing="0"/>
              <w:jc w:val="center"/>
              <w:rPr>
                <w:bCs/>
                <w:color w:val="auto"/>
                <w:spacing w:val="16"/>
                <w:highlight w:val="none"/>
              </w:rPr>
            </w:pPr>
            <w:r>
              <w:rPr>
                <w:rFonts w:hint="eastAsia"/>
                <w:bCs/>
                <w:color w:val="auto"/>
                <w:spacing w:val="27"/>
                <w:highlight w:val="none"/>
              </w:rPr>
              <w:t>地址</w:t>
            </w:r>
          </w:p>
        </w:tc>
        <w:tc>
          <w:tcPr>
            <w:tcW w:w="4098" w:type="dxa"/>
            <w:gridSpan w:val="6"/>
            <w:tcBorders>
              <w:bottom w:val="single" w:color="auto" w:sz="4" w:space="0"/>
            </w:tcBorders>
            <w:vAlign w:val="center"/>
          </w:tcPr>
          <w:p>
            <w:pPr>
              <w:pStyle w:val="32"/>
              <w:shd w:val="clear" w:color="auto" w:fill="FFFFFF"/>
              <w:spacing w:before="0" w:beforeAutospacing="0" w:after="0" w:afterAutospacing="0"/>
              <w:jc w:val="center"/>
              <w:rPr>
                <w:bCs/>
                <w:color w:val="auto"/>
                <w:spacing w:val="16"/>
                <w:highlight w:val="none"/>
              </w:rPr>
            </w:pPr>
          </w:p>
        </w:tc>
        <w:tc>
          <w:tcPr>
            <w:tcW w:w="2001" w:type="dxa"/>
            <w:gridSpan w:val="3"/>
            <w:vAlign w:val="center"/>
          </w:tcPr>
          <w:p>
            <w:pPr>
              <w:pStyle w:val="32"/>
              <w:shd w:val="clear" w:color="auto" w:fill="FFFFFF"/>
              <w:spacing w:before="0" w:beforeAutospacing="0" w:after="0" w:afterAutospacing="0"/>
              <w:jc w:val="center"/>
              <w:rPr>
                <w:bCs/>
                <w:color w:val="auto"/>
                <w:spacing w:val="16"/>
                <w:highlight w:val="none"/>
              </w:rPr>
            </w:pPr>
            <w:r>
              <w:rPr>
                <w:rFonts w:hint="eastAsia"/>
                <w:bCs/>
                <w:color w:val="auto"/>
                <w:spacing w:val="16"/>
                <w:highlight w:val="none"/>
              </w:rPr>
              <w:t>企业性质</w:t>
            </w:r>
          </w:p>
        </w:tc>
        <w:tc>
          <w:tcPr>
            <w:tcW w:w="2151" w:type="dxa"/>
            <w:gridSpan w:val="2"/>
            <w:vAlign w:val="center"/>
          </w:tcPr>
          <w:p>
            <w:pPr>
              <w:pStyle w:val="32"/>
              <w:shd w:val="clear" w:color="auto" w:fill="FFFFFF"/>
              <w:spacing w:before="0" w:beforeAutospacing="0" w:after="0" w:afterAutospacing="0"/>
              <w:jc w:val="center"/>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23" w:type="dxa"/>
            <w:tcBorders>
              <w:bottom w:val="single" w:color="auto" w:sz="4" w:space="0"/>
            </w:tcBorders>
            <w:vAlign w:val="center"/>
          </w:tcPr>
          <w:p>
            <w:pPr>
              <w:pStyle w:val="32"/>
              <w:shd w:val="clear" w:color="auto" w:fill="FFFFFF"/>
              <w:spacing w:before="0" w:beforeAutospacing="0" w:after="0" w:afterAutospacing="0"/>
              <w:jc w:val="center"/>
              <w:rPr>
                <w:bCs/>
                <w:color w:val="auto"/>
                <w:spacing w:val="16"/>
                <w:highlight w:val="none"/>
              </w:rPr>
            </w:pPr>
            <w:r>
              <w:rPr>
                <w:rFonts w:hint="eastAsia"/>
                <w:bCs/>
                <w:color w:val="auto"/>
                <w:spacing w:val="27"/>
                <w:highlight w:val="none"/>
              </w:rPr>
              <w:t>股东姓名</w:t>
            </w:r>
          </w:p>
        </w:tc>
        <w:tc>
          <w:tcPr>
            <w:tcW w:w="820" w:type="dxa"/>
            <w:tcBorders>
              <w:bottom w:val="single" w:color="auto" w:sz="4" w:space="0"/>
            </w:tcBorders>
            <w:vAlign w:val="center"/>
          </w:tcPr>
          <w:p>
            <w:pPr>
              <w:pStyle w:val="32"/>
              <w:shd w:val="clear" w:color="auto" w:fill="FFFFFF"/>
              <w:spacing w:before="0" w:beforeAutospacing="0" w:after="0" w:afterAutospacing="0"/>
              <w:jc w:val="center"/>
              <w:rPr>
                <w:bCs/>
                <w:color w:val="auto"/>
                <w:spacing w:val="16"/>
                <w:highlight w:val="none"/>
              </w:rPr>
            </w:pPr>
          </w:p>
        </w:tc>
        <w:tc>
          <w:tcPr>
            <w:tcW w:w="910" w:type="dxa"/>
            <w:gridSpan w:val="2"/>
            <w:tcBorders>
              <w:bottom w:val="single" w:color="auto" w:sz="4" w:space="0"/>
            </w:tcBorders>
            <w:vAlign w:val="center"/>
          </w:tcPr>
          <w:p>
            <w:pPr>
              <w:pStyle w:val="32"/>
              <w:shd w:val="clear" w:color="auto" w:fill="FFFFFF"/>
              <w:spacing w:before="0" w:beforeAutospacing="0" w:after="0" w:afterAutospacing="0"/>
              <w:jc w:val="center"/>
              <w:rPr>
                <w:bCs/>
                <w:color w:val="auto"/>
                <w:spacing w:val="16"/>
                <w:highlight w:val="none"/>
              </w:rPr>
            </w:pPr>
            <w:r>
              <w:rPr>
                <w:rFonts w:hint="eastAsia"/>
                <w:bCs/>
                <w:color w:val="auto"/>
                <w:spacing w:val="16"/>
                <w:highlight w:val="none"/>
              </w:rPr>
              <w:t>股权结构（%）</w:t>
            </w:r>
          </w:p>
        </w:tc>
        <w:tc>
          <w:tcPr>
            <w:tcW w:w="2368" w:type="dxa"/>
            <w:gridSpan w:val="3"/>
            <w:tcBorders>
              <w:bottom w:val="single" w:color="auto" w:sz="4" w:space="0"/>
            </w:tcBorders>
            <w:vAlign w:val="center"/>
          </w:tcPr>
          <w:p>
            <w:pPr>
              <w:widowControl/>
              <w:jc w:val="center"/>
              <w:rPr>
                <w:rFonts w:ascii="宋体" w:hAnsi="宋体" w:cs="宋体"/>
                <w:bCs/>
                <w:color w:val="auto"/>
                <w:spacing w:val="16"/>
                <w:kern w:val="0"/>
                <w:sz w:val="24"/>
                <w:highlight w:val="none"/>
              </w:rPr>
            </w:pPr>
          </w:p>
          <w:p>
            <w:pPr>
              <w:pStyle w:val="32"/>
              <w:shd w:val="clear" w:color="auto" w:fill="FFFFFF"/>
              <w:spacing w:before="0" w:beforeAutospacing="0" w:after="0" w:afterAutospacing="0"/>
              <w:jc w:val="center"/>
              <w:rPr>
                <w:bCs/>
                <w:color w:val="auto"/>
                <w:spacing w:val="16"/>
                <w:highlight w:val="none"/>
              </w:rPr>
            </w:pPr>
          </w:p>
        </w:tc>
        <w:tc>
          <w:tcPr>
            <w:tcW w:w="2001" w:type="dxa"/>
            <w:gridSpan w:val="3"/>
            <w:vAlign w:val="center"/>
          </w:tcPr>
          <w:p>
            <w:pPr>
              <w:pStyle w:val="32"/>
              <w:shd w:val="clear" w:color="auto" w:fill="FFFFFF"/>
              <w:spacing w:before="0" w:beforeAutospacing="0" w:after="0" w:afterAutospacing="0"/>
              <w:jc w:val="center"/>
              <w:rPr>
                <w:bCs/>
                <w:color w:val="auto"/>
                <w:spacing w:val="16"/>
                <w:highlight w:val="none"/>
              </w:rPr>
            </w:pPr>
            <w:r>
              <w:rPr>
                <w:rFonts w:hint="eastAsia"/>
                <w:bCs/>
                <w:color w:val="auto"/>
                <w:spacing w:val="16"/>
                <w:highlight w:val="none"/>
              </w:rPr>
              <w:t>股东关系</w:t>
            </w:r>
          </w:p>
        </w:tc>
        <w:tc>
          <w:tcPr>
            <w:tcW w:w="2151" w:type="dxa"/>
            <w:gridSpan w:val="2"/>
            <w:vAlign w:val="center"/>
          </w:tcPr>
          <w:p>
            <w:pPr>
              <w:pStyle w:val="32"/>
              <w:shd w:val="clear" w:color="auto" w:fill="FFFFFF"/>
              <w:spacing w:before="0" w:beforeAutospacing="0" w:after="0" w:afterAutospacing="0"/>
              <w:jc w:val="center"/>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3" w:type="dxa"/>
            <w:vMerge w:val="restart"/>
            <w:vAlign w:val="center"/>
          </w:tcPr>
          <w:p>
            <w:pPr>
              <w:pStyle w:val="32"/>
              <w:shd w:val="clear" w:color="auto" w:fill="FFFFFF"/>
              <w:spacing w:before="0" w:beforeAutospacing="0" w:after="0" w:afterAutospacing="0"/>
              <w:jc w:val="center"/>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820" w:type="dxa"/>
            <w:vMerge w:val="restart"/>
            <w:tcBorders>
              <w:top w:val="nil"/>
            </w:tcBorders>
            <w:vAlign w:val="center"/>
          </w:tcPr>
          <w:p>
            <w:pPr>
              <w:pStyle w:val="32"/>
              <w:shd w:val="clear" w:color="auto" w:fill="FFFFFF"/>
              <w:spacing w:before="0" w:beforeAutospacing="0" w:after="0" w:afterAutospacing="0"/>
              <w:jc w:val="center"/>
              <w:rPr>
                <w:bCs/>
                <w:color w:val="auto"/>
                <w:spacing w:val="16"/>
                <w:highlight w:val="none"/>
              </w:rPr>
            </w:pPr>
          </w:p>
        </w:tc>
        <w:tc>
          <w:tcPr>
            <w:tcW w:w="910" w:type="dxa"/>
            <w:gridSpan w:val="2"/>
            <w:tcBorders>
              <w:top w:val="nil"/>
              <w:bottom w:val="single" w:color="auto" w:sz="4" w:space="0"/>
            </w:tcBorders>
            <w:vAlign w:val="center"/>
          </w:tcPr>
          <w:p>
            <w:pPr>
              <w:pStyle w:val="32"/>
              <w:shd w:val="clear" w:color="auto" w:fill="FFFFFF"/>
              <w:spacing w:before="0" w:beforeAutospacing="0" w:after="0" w:afterAutospacing="0"/>
              <w:jc w:val="center"/>
              <w:rPr>
                <w:bCs/>
                <w:color w:val="auto"/>
                <w:spacing w:val="16"/>
                <w:highlight w:val="none"/>
              </w:rPr>
            </w:pPr>
            <w:r>
              <w:rPr>
                <w:rFonts w:hint="eastAsia"/>
                <w:bCs/>
                <w:color w:val="auto"/>
                <w:spacing w:val="16"/>
                <w:highlight w:val="none"/>
              </w:rPr>
              <w:t>固定电话</w:t>
            </w:r>
          </w:p>
        </w:tc>
        <w:tc>
          <w:tcPr>
            <w:tcW w:w="2368" w:type="dxa"/>
            <w:gridSpan w:val="3"/>
            <w:tcBorders>
              <w:top w:val="nil"/>
              <w:bottom w:val="single" w:color="auto" w:sz="4" w:space="0"/>
            </w:tcBorders>
            <w:vAlign w:val="center"/>
          </w:tcPr>
          <w:p>
            <w:pPr>
              <w:widowControl/>
              <w:jc w:val="center"/>
              <w:rPr>
                <w:rFonts w:ascii="宋体" w:hAnsi="宋体" w:cs="宋体"/>
                <w:bCs/>
                <w:color w:val="auto"/>
                <w:spacing w:val="16"/>
                <w:kern w:val="0"/>
                <w:sz w:val="24"/>
                <w:highlight w:val="none"/>
              </w:rPr>
            </w:pPr>
          </w:p>
          <w:p>
            <w:pPr>
              <w:pStyle w:val="32"/>
              <w:shd w:val="clear" w:color="auto" w:fill="FFFFFF"/>
              <w:spacing w:before="0" w:beforeAutospacing="0" w:after="0" w:afterAutospacing="0"/>
              <w:jc w:val="center"/>
              <w:rPr>
                <w:bCs/>
                <w:color w:val="auto"/>
                <w:spacing w:val="16"/>
                <w:highlight w:val="none"/>
              </w:rPr>
            </w:pPr>
          </w:p>
        </w:tc>
        <w:tc>
          <w:tcPr>
            <w:tcW w:w="2001" w:type="dxa"/>
            <w:gridSpan w:val="3"/>
            <w:vMerge w:val="restart"/>
            <w:vAlign w:val="center"/>
          </w:tcPr>
          <w:p>
            <w:pPr>
              <w:pStyle w:val="32"/>
              <w:shd w:val="clear" w:color="auto" w:fill="FFFFFF"/>
              <w:spacing w:before="0" w:beforeAutospacing="0" w:after="0" w:afterAutospacing="0"/>
              <w:jc w:val="center"/>
              <w:rPr>
                <w:bCs/>
                <w:color w:val="auto"/>
                <w:spacing w:val="16"/>
                <w:highlight w:val="none"/>
              </w:rPr>
            </w:pPr>
            <w:r>
              <w:rPr>
                <w:rFonts w:hint="eastAsia"/>
                <w:bCs/>
                <w:color w:val="auto"/>
                <w:spacing w:val="16"/>
                <w:highlight w:val="none"/>
              </w:rPr>
              <w:t>传真</w:t>
            </w:r>
          </w:p>
        </w:tc>
        <w:tc>
          <w:tcPr>
            <w:tcW w:w="2151" w:type="dxa"/>
            <w:gridSpan w:val="2"/>
            <w:vMerge w:val="restart"/>
            <w:vAlign w:val="center"/>
          </w:tcPr>
          <w:p>
            <w:pPr>
              <w:pStyle w:val="32"/>
              <w:shd w:val="clear" w:color="auto" w:fill="FFFFFF"/>
              <w:spacing w:before="0" w:beforeAutospacing="0" w:after="0" w:afterAutospacing="0"/>
              <w:jc w:val="center"/>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23" w:type="dxa"/>
            <w:vMerge w:val="continue"/>
            <w:tcBorders>
              <w:bottom w:val="single" w:color="auto" w:sz="4" w:space="0"/>
            </w:tcBorders>
            <w:vAlign w:val="center"/>
          </w:tcPr>
          <w:p>
            <w:pPr>
              <w:pStyle w:val="32"/>
              <w:shd w:val="clear" w:color="auto" w:fill="FFFFFF"/>
              <w:spacing w:before="0" w:beforeAutospacing="0" w:after="0" w:afterAutospacing="0"/>
              <w:jc w:val="center"/>
              <w:rPr>
                <w:bCs/>
                <w:color w:val="auto"/>
                <w:highlight w:val="none"/>
              </w:rPr>
            </w:pPr>
          </w:p>
        </w:tc>
        <w:tc>
          <w:tcPr>
            <w:tcW w:w="820" w:type="dxa"/>
            <w:vMerge w:val="continue"/>
            <w:tcBorders>
              <w:bottom w:val="single" w:color="auto" w:sz="4" w:space="0"/>
            </w:tcBorders>
            <w:vAlign w:val="center"/>
          </w:tcPr>
          <w:p>
            <w:pPr>
              <w:pStyle w:val="32"/>
              <w:shd w:val="clear" w:color="auto" w:fill="FFFFFF"/>
              <w:spacing w:before="0" w:beforeAutospacing="0" w:after="0" w:afterAutospacing="0"/>
              <w:jc w:val="center"/>
              <w:rPr>
                <w:bCs/>
                <w:color w:val="auto"/>
                <w:spacing w:val="16"/>
                <w:highlight w:val="none"/>
              </w:rPr>
            </w:pPr>
          </w:p>
        </w:tc>
        <w:tc>
          <w:tcPr>
            <w:tcW w:w="910" w:type="dxa"/>
            <w:gridSpan w:val="2"/>
            <w:tcBorders>
              <w:bottom w:val="single" w:color="auto" w:sz="4" w:space="0"/>
            </w:tcBorders>
            <w:vAlign w:val="center"/>
          </w:tcPr>
          <w:p>
            <w:pPr>
              <w:pStyle w:val="32"/>
              <w:shd w:val="clear" w:color="auto" w:fill="FFFFFF"/>
              <w:spacing w:before="0" w:beforeAutospacing="0" w:after="0" w:afterAutospacing="0"/>
              <w:jc w:val="center"/>
              <w:rPr>
                <w:bCs/>
                <w:color w:val="auto"/>
                <w:spacing w:val="16"/>
                <w:highlight w:val="none"/>
              </w:rPr>
            </w:pPr>
            <w:r>
              <w:rPr>
                <w:rFonts w:hint="eastAsia"/>
                <w:bCs/>
                <w:color w:val="auto"/>
                <w:spacing w:val="27"/>
                <w:highlight w:val="none"/>
              </w:rPr>
              <w:t>手机</w:t>
            </w:r>
          </w:p>
        </w:tc>
        <w:tc>
          <w:tcPr>
            <w:tcW w:w="2368" w:type="dxa"/>
            <w:gridSpan w:val="3"/>
            <w:tcBorders>
              <w:bottom w:val="single" w:color="auto" w:sz="4" w:space="0"/>
            </w:tcBorders>
            <w:vAlign w:val="center"/>
          </w:tcPr>
          <w:p>
            <w:pPr>
              <w:pStyle w:val="32"/>
              <w:shd w:val="clear" w:color="auto" w:fill="FFFFFF"/>
              <w:spacing w:before="0" w:beforeAutospacing="0" w:after="0" w:afterAutospacing="0"/>
              <w:jc w:val="center"/>
              <w:rPr>
                <w:bCs/>
                <w:color w:val="auto"/>
                <w:spacing w:val="16"/>
                <w:highlight w:val="none"/>
              </w:rPr>
            </w:pPr>
          </w:p>
        </w:tc>
        <w:tc>
          <w:tcPr>
            <w:tcW w:w="2001" w:type="dxa"/>
            <w:gridSpan w:val="3"/>
            <w:vMerge w:val="continue"/>
            <w:vAlign w:val="center"/>
          </w:tcPr>
          <w:p>
            <w:pPr>
              <w:pStyle w:val="32"/>
              <w:shd w:val="clear" w:color="auto" w:fill="FFFFFF"/>
              <w:spacing w:before="0" w:beforeAutospacing="0" w:after="0" w:afterAutospacing="0"/>
              <w:jc w:val="center"/>
              <w:rPr>
                <w:bCs/>
                <w:color w:val="auto"/>
                <w:spacing w:val="16"/>
                <w:highlight w:val="none"/>
              </w:rPr>
            </w:pPr>
          </w:p>
        </w:tc>
        <w:tc>
          <w:tcPr>
            <w:tcW w:w="2151" w:type="dxa"/>
            <w:gridSpan w:val="2"/>
            <w:vMerge w:val="continue"/>
            <w:vAlign w:val="center"/>
          </w:tcPr>
          <w:p>
            <w:pPr>
              <w:pStyle w:val="32"/>
              <w:shd w:val="clear" w:color="auto" w:fill="FFFFFF"/>
              <w:spacing w:before="0" w:beforeAutospacing="0" w:after="0" w:afterAutospacing="0"/>
              <w:jc w:val="center"/>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23" w:type="dxa"/>
            <w:vMerge w:val="restart"/>
            <w:vAlign w:val="center"/>
          </w:tcPr>
          <w:p>
            <w:pPr>
              <w:pStyle w:val="32"/>
              <w:shd w:val="clear" w:color="auto" w:fill="FFFFFF"/>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pPr>
              <w:pStyle w:val="32"/>
              <w:shd w:val="clear" w:color="auto" w:fill="FFFFFF"/>
              <w:spacing w:before="0" w:beforeAutospacing="0" w:after="0" w:afterAutospacing="0"/>
              <w:jc w:val="center"/>
              <w:rPr>
                <w:bCs/>
                <w:color w:val="auto"/>
                <w:highlight w:val="none"/>
              </w:rPr>
            </w:pPr>
            <w:r>
              <w:rPr>
                <w:rFonts w:hint="eastAsia"/>
                <w:bCs/>
                <w:color w:val="auto"/>
                <w:highlight w:val="none"/>
              </w:rPr>
              <w:t>企</w:t>
            </w:r>
          </w:p>
          <w:p>
            <w:pPr>
              <w:pStyle w:val="32"/>
              <w:shd w:val="clear" w:color="auto" w:fill="FFFFFF"/>
              <w:spacing w:before="0" w:beforeAutospacing="0" w:after="0" w:afterAutospacing="0"/>
              <w:jc w:val="center"/>
              <w:rPr>
                <w:bCs/>
                <w:color w:val="auto"/>
                <w:highlight w:val="none"/>
              </w:rPr>
            </w:pPr>
            <w:r>
              <w:rPr>
                <w:rFonts w:hint="eastAsia"/>
                <w:bCs/>
                <w:color w:val="auto"/>
                <w:highlight w:val="none"/>
              </w:rPr>
              <w:t>业</w:t>
            </w:r>
          </w:p>
          <w:p>
            <w:pPr>
              <w:pStyle w:val="32"/>
              <w:shd w:val="clear" w:color="auto" w:fill="FFFFFF"/>
              <w:spacing w:before="0" w:beforeAutospacing="0" w:after="0" w:afterAutospacing="0"/>
              <w:jc w:val="center"/>
              <w:rPr>
                <w:bCs/>
                <w:color w:val="auto"/>
                <w:spacing w:val="27"/>
                <w:highlight w:val="none"/>
              </w:rPr>
            </w:pPr>
            <w:r>
              <w:rPr>
                <w:rFonts w:hint="eastAsia"/>
                <w:bCs/>
                <w:color w:val="auto"/>
                <w:spacing w:val="27"/>
                <w:highlight w:val="none"/>
              </w:rPr>
              <w:t>概</w:t>
            </w:r>
          </w:p>
          <w:p>
            <w:pPr>
              <w:pStyle w:val="32"/>
              <w:shd w:val="clear" w:color="auto" w:fill="FFFFFF"/>
              <w:spacing w:before="0" w:beforeAutospacing="0" w:after="0" w:afterAutospacing="0"/>
              <w:jc w:val="center"/>
              <w:rPr>
                <w:bCs/>
                <w:color w:val="auto"/>
                <w:highlight w:val="none"/>
              </w:rPr>
            </w:pPr>
            <w:r>
              <w:rPr>
                <w:rFonts w:hint="eastAsia"/>
                <w:bCs/>
                <w:color w:val="auto"/>
                <w:spacing w:val="27"/>
                <w:highlight w:val="none"/>
              </w:rPr>
              <w:t>况</w:t>
            </w:r>
          </w:p>
        </w:tc>
        <w:tc>
          <w:tcPr>
            <w:tcW w:w="820" w:type="dxa"/>
            <w:tcBorders>
              <w:top w:val="nil"/>
            </w:tcBorders>
            <w:vAlign w:val="center"/>
          </w:tcPr>
          <w:p>
            <w:pPr>
              <w:pStyle w:val="32"/>
              <w:shd w:val="clear" w:color="auto" w:fill="FFFFFF"/>
              <w:spacing w:before="0" w:beforeAutospacing="0" w:after="0" w:afterAutospacing="0"/>
              <w:jc w:val="center"/>
              <w:rPr>
                <w:bCs/>
                <w:color w:val="auto"/>
                <w:spacing w:val="16"/>
                <w:highlight w:val="none"/>
              </w:rPr>
            </w:pPr>
            <w:r>
              <w:rPr>
                <w:rFonts w:hint="eastAsia"/>
                <w:bCs/>
                <w:color w:val="auto"/>
                <w:spacing w:val="16"/>
                <w:highlight w:val="none"/>
              </w:rPr>
              <w:t>职工人数</w:t>
            </w:r>
          </w:p>
        </w:tc>
        <w:tc>
          <w:tcPr>
            <w:tcW w:w="910" w:type="dxa"/>
            <w:gridSpan w:val="2"/>
            <w:tcBorders>
              <w:top w:val="nil"/>
            </w:tcBorders>
            <w:vAlign w:val="center"/>
          </w:tcPr>
          <w:p>
            <w:pPr>
              <w:pStyle w:val="32"/>
              <w:shd w:val="clear" w:color="auto" w:fill="FFFFFF"/>
              <w:spacing w:before="0" w:beforeAutospacing="0" w:after="0" w:afterAutospacing="0"/>
              <w:jc w:val="center"/>
              <w:rPr>
                <w:bCs/>
                <w:color w:val="auto"/>
                <w:spacing w:val="16"/>
                <w:highlight w:val="none"/>
              </w:rPr>
            </w:pPr>
          </w:p>
        </w:tc>
        <w:tc>
          <w:tcPr>
            <w:tcW w:w="1163" w:type="dxa"/>
            <w:tcBorders>
              <w:top w:val="nil"/>
            </w:tcBorders>
            <w:vAlign w:val="center"/>
          </w:tcPr>
          <w:p>
            <w:pPr>
              <w:pStyle w:val="32"/>
              <w:shd w:val="clear" w:color="auto" w:fill="FFFFFF"/>
              <w:spacing w:before="0" w:beforeAutospacing="0" w:after="0" w:afterAutospacing="0"/>
              <w:jc w:val="center"/>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205" w:type="dxa"/>
            <w:gridSpan w:val="2"/>
            <w:tcBorders>
              <w:top w:val="nil"/>
            </w:tcBorders>
            <w:vAlign w:val="center"/>
          </w:tcPr>
          <w:p>
            <w:pPr>
              <w:widowControl/>
              <w:jc w:val="center"/>
              <w:rPr>
                <w:rFonts w:ascii="宋体" w:hAnsi="宋体" w:cs="宋体"/>
                <w:bCs/>
                <w:color w:val="auto"/>
                <w:spacing w:val="16"/>
                <w:kern w:val="0"/>
                <w:sz w:val="24"/>
                <w:highlight w:val="none"/>
              </w:rPr>
            </w:pPr>
          </w:p>
          <w:p>
            <w:pPr>
              <w:widowControl/>
              <w:jc w:val="center"/>
              <w:rPr>
                <w:rFonts w:ascii="宋体" w:hAnsi="宋体" w:cs="宋体"/>
                <w:bCs/>
                <w:color w:val="auto"/>
                <w:spacing w:val="16"/>
                <w:kern w:val="0"/>
                <w:sz w:val="24"/>
                <w:highlight w:val="none"/>
              </w:rPr>
            </w:pPr>
          </w:p>
          <w:p>
            <w:pPr>
              <w:pStyle w:val="32"/>
              <w:shd w:val="clear" w:color="auto" w:fill="FFFFFF"/>
              <w:spacing w:before="0" w:beforeAutospacing="0" w:after="0" w:afterAutospacing="0"/>
              <w:jc w:val="center"/>
              <w:rPr>
                <w:bCs/>
                <w:color w:val="auto"/>
                <w:spacing w:val="16"/>
                <w:highlight w:val="none"/>
              </w:rPr>
            </w:pPr>
          </w:p>
        </w:tc>
        <w:tc>
          <w:tcPr>
            <w:tcW w:w="2001" w:type="dxa"/>
            <w:gridSpan w:val="3"/>
            <w:vAlign w:val="center"/>
          </w:tcPr>
          <w:p>
            <w:pPr>
              <w:pStyle w:val="32"/>
              <w:shd w:val="clear" w:color="auto" w:fill="FFFFFF"/>
              <w:spacing w:before="0" w:beforeAutospacing="0" w:after="0" w:afterAutospacing="0"/>
              <w:jc w:val="center"/>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151" w:type="dxa"/>
            <w:gridSpan w:val="2"/>
            <w:vAlign w:val="center"/>
          </w:tcPr>
          <w:p>
            <w:pPr>
              <w:pStyle w:val="32"/>
              <w:shd w:val="clear" w:color="auto" w:fill="FFFFFF"/>
              <w:spacing w:before="0" w:beforeAutospacing="0" w:after="0" w:afterAutospacing="0"/>
              <w:jc w:val="center"/>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23" w:type="dxa"/>
            <w:vMerge w:val="continue"/>
            <w:vAlign w:val="center"/>
          </w:tcPr>
          <w:p>
            <w:pPr>
              <w:pStyle w:val="32"/>
              <w:shd w:val="clear" w:color="auto" w:fill="FFFFFF"/>
              <w:spacing w:before="0" w:beforeAutospacing="0" w:after="0" w:afterAutospacing="0"/>
              <w:jc w:val="center"/>
              <w:rPr>
                <w:bCs/>
                <w:color w:val="auto"/>
                <w:highlight w:val="none"/>
              </w:rPr>
            </w:pPr>
          </w:p>
        </w:tc>
        <w:tc>
          <w:tcPr>
            <w:tcW w:w="820" w:type="dxa"/>
            <w:vAlign w:val="center"/>
          </w:tcPr>
          <w:p>
            <w:pPr>
              <w:pStyle w:val="32"/>
              <w:shd w:val="clear" w:color="auto" w:fill="FFFFFF"/>
              <w:spacing w:before="0" w:beforeAutospacing="0" w:after="0" w:afterAutospacing="0"/>
              <w:jc w:val="center"/>
              <w:rPr>
                <w:bCs/>
                <w:color w:val="auto"/>
                <w:highlight w:val="none"/>
              </w:rPr>
            </w:pPr>
            <w:r>
              <w:rPr>
                <w:rFonts w:hint="eastAsia"/>
                <w:bCs/>
                <w:color w:val="auto"/>
                <w:spacing w:val="16"/>
                <w:highlight w:val="none"/>
              </w:rPr>
              <w:t>占地面积</w:t>
            </w:r>
          </w:p>
        </w:tc>
        <w:tc>
          <w:tcPr>
            <w:tcW w:w="910" w:type="dxa"/>
            <w:gridSpan w:val="2"/>
            <w:vAlign w:val="center"/>
          </w:tcPr>
          <w:p>
            <w:pPr>
              <w:pStyle w:val="32"/>
              <w:shd w:val="clear" w:color="auto" w:fill="FFFFFF"/>
              <w:spacing w:before="0" w:beforeAutospacing="0" w:after="0" w:afterAutospacing="0"/>
              <w:jc w:val="center"/>
              <w:rPr>
                <w:bCs/>
                <w:color w:val="auto"/>
                <w:highlight w:val="none"/>
              </w:rPr>
            </w:pPr>
          </w:p>
        </w:tc>
        <w:tc>
          <w:tcPr>
            <w:tcW w:w="1163" w:type="dxa"/>
            <w:vAlign w:val="center"/>
          </w:tcPr>
          <w:p>
            <w:pPr>
              <w:pStyle w:val="32"/>
              <w:shd w:val="clear" w:color="auto" w:fill="FFFFFF"/>
              <w:spacing w:before="0" w:beforeAutospacing="0" w:after="0" w:afterAutospacing="0"/>
              <w:jc w:val="center"/>
              <w:rPr>
                <w:bCs/>
                <w:color w:val="auto"/>
                <w:highlight w:val="none"/>
              </w:rPr>
            </w:pPr>
            <w:r>
              <w:rPr>
                <w:rFonts w:hint="eastAsia"/>
                <w:bCs/>
                <w:color w:val="auto"/>
                <w:spacing w:val="16"/>
                <w:highlight w:val="none"/>
              </w:rPr>
              <w:t>建筑面积</w:t>
            </w:r>
          </w:p>
        </w:tc>
        <w:tc>
          <w:tcPr>
            <w:tcW w:w="1205" w:type="dxa"/>
            <w:gridSpan w:val="2"/>
            <w:vAlign w:val="center"/>
          </w:tcPr>
          <w:p>
            <w:pPr>
              <w:pStyle w:val="32"/>
              <w:shd w:val="clear" w:color="auto" w:fill="FFFFFF"/>
              <w:spacing w:before="0" w:beforeAutospacing="0" w:after="0" w:afterAutospacing="0"/>
              <w:jc w:val="center"/>
              <w:rPr>
                <w:bCs/>
                <w:color w:val="auto"/>
                <w:highlight w:val="none"/>
              </w:rPr>
            </w:pPr>
            <w:r>
              <w:rPr>
                <w:rFonts w:hint="eastAsia"/>
                <w:bCs/>
                <w:color w:val="auto"/>
                <w:highlight w:val="none"/>
              </w:rPr>
              <w:t>平方米</w:t>
            </w:r>
          </w:p>
          <w:p>
            <w:pPr>
              <w:pStyle w:val="32"/>
              <w:shd w:val="clear" w:color="auto" w:fill="FFFFFF"/>
              <w:spacing w:before="0" w:beforeAutospacing="0" w:after="0" w:afterAutospacing="0"/>
              <w:jc w:val="center"/>
              <w:rPr>
                <w:bCs/>
                <w:color w:val="auto"/>
                <w:highlight w:val="none"/>
              </w:rPr>
            </w:pPr>
            <w:r>
              <w:rPr>
                <w:rFonts w:hint="eastAsia"/>
                <w:bCs/>
                <w:color w:val="auto"/>
                <w:spacing w:val="16"/>
                <w:highlight w:val="none"/>
              </w:rPr>
              <w:t>□自有□租赁</w:t>
            </w:r>
          </w:p>
        </w:tc>
        <w:tc>
          <w:tcPr>
            <w:tcW w:w="2001" w:type="dxa"/>
            <w:gridSpan w:val="3"/>
            <w:vAlign w:val="center"/>
          </w:tcPr>
          <w:p>
            <w:pPr>
              <w:pStyle w:val="32"/>
              <w:shd w:val="clear" w:color="auto" w:fill="FFFFFF"/>
              <w:spacing w:before="0" w:beforeAutospacing="0" w:after="0" w:afterAutospacing="0"/>
              <w:jc w:val="center"/>
              <w:rPr>
                <w:bCs/>
                <w:color w:val="auto"/>
                <w:highlight w:val="none"/>
              </w:rPr>
            </w:pPr>
            <w:r>
              <w:rPr>
                <w:rFonts w:hint="eastAsia"/>
                <w:bCs/>
                <w:color w:val="auto"/>
                <w:spacing w:val="16"/>
                <w:highlight w:val="none"/>
              </w:rPr>
              <w:t>生产经营场所及场所的设施与设备</w:t>
            </w:r>
          </w:p>
        </w:tc>
        <w:tc>
          <w:tcPr>
            <w:tcW w:w="2151" w:type="dxa"/>
            <w:gridSpan w:val="2"/>
            <w:vAlign w:val="center"/>
          </w:tcPr>
          <w:p>
            <w:pPr>
              <w:pStyle w:val="32"/>
              <w:shd w:val="clear" w:color="auto" w:fill="FFFFFF"/>
              <w:spacing w:before="0" w:beforeAutospacing="0" w:after="0" w:afterAutospacing="0"/>
              <w:jc w:val="center"/>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23" w:type="dxa"/>
            <w:vMerge w:val="continue"/>
            <w:vAlign w:val="center"/>
          </w:tcPr>
          <w:p>
            <w:pPr>
              <w:pStyle w:val="32"/>
              <w:shd w:val="clear" w:color="auto" w:fill="FFFFFF"/>
              <w:spacing w:before="0" w:beforeAutospacing="0" w:after="0" w:afterAutospacing="0"/>
              <w:jc w:val="center"/>
              <w:rPr>
                <w:bCs/>
                <w:color w:val="auto"/>
                <w:highlight w:val="none"/>
              </w:rPr>
            </w:pPr>
          </w:p>
        </w:tc>
        <w:tc>
          <w:tcPr>
            <w:tcW w:w="820" w:type="dxa"/>
            <w:vAlign w:val="center"/>
          </w:tcPr>
          <w:p>
            <w:pPr>
              <w:pStyle w:val="32"/>
              <w:shd w:val="clear" w:color="auto" w:fill="FFFFFF"/>
              <w:spacing w:before="0" w:beforeAutospacing="0" w:after="0" w:afterAutospacing="0"/>
              <w:jc w:val="center"/>
              <w:rPr>
                <w:bCs/>
                <w:color w:val="auto"/>
                <w:spacing w:val="16"/>
                <w:highlight w:val="none"/>
              </w:rPr>
            </w:pPr>
            <w:r>
              <w:rPr>
                <w:rFonts w:hint="eastAsia"/>
                <w:bCs/>
                <w:color w:val="auto"/>
                <w:spacing w:val="16"/>
                <w:highlight w:val="none"/>
              </w:rPr>
              <w:t>注册资金</w:t>
            </w:r>
          </w:p>
        </w:tc>
        <w:tc>
          <w:tcPr>
            <w:tcW w:w="910" w:type="dxa"/>
            <w:gridSpan w:val="2"/>
            <w:vAlign w:val="center"/>
          </w:tcPr>
          <w:p>
            <w:pPr>
              <w:pStyle w:val="32"/>
              <w:shd w:val="clear" w:color="auto" w:fill="FFFFFF"/>
              <w:spacing w:before="0" w:beforeAutospacing="0" w:after="0" w:afterAutospacing="0"/>
              <w:jc w:val="center"/>
              <w:rPr>
                <w:bCs/>
                <w:color w:val="auto"/>
                <w:highlight w:val="none"/>
              </w:rPr>
            </w:pPr>
          </w:p>
        </w:tc>
        <w:tc>
          <w:tcPr>
            <w:tcW w:w="1163" w:type="dxa"/>
            <w:vAlign w:val="center"/>
          </w:tcPr>
          <w:p>
            <w:pPr>
              <w:pStyle w:val="32"/>
              <w:shd w:val="clear" w:color="auto" w:fill="FFFFFF"/>
              <w:spacing w:before="0" w:beforeAutospacing="0" w:after="0" w:afterAutospacing="0"/>
              <w:jc w:val="center"/>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3206" w:type="dxa"/>
            <w:gridSpan w:val="5"/>
            <w:vAlign w:val="center"/>
          </w:tcPr>
          <w:p>
            <w:pPr>
              <w:widowControl/>
              <w:jc w:val="center"/>
              <w:rPr>
                <w:rFonts w:ascii="宋体" w:hAnsi="宋体" w:cs="宋体"/>
                <w:bCs/>
                <w:color w:val="auto"/>
                <w:kern w:val="0"/>
                <w:sz w:val="24"/>
                <w:highlight w:val="none"/>
              </w:rPr>
            </w:pPr>
          </w:p>
          <w:p>
            <w:pPr>
              <w:pStyle w:val="32"/>
              <w:shd w:val="clear" w:color="auto" w:fill="FFFFFF"/>
              <w:spacing w:before="0" w:beforeAutospacing="0" w:after="0" w:afterAutospacing="0"/>
              <w:jc w:val="center"/>
              <w:rPr>
                <w:bCs/>
                <w:color w:val="auto"/>
                <w:highlight w:val="none"/>
              </w:rPr>
            </w:pPr>
          </w:p>
        </w:tc>
        <w:tc>
          <w:tcPr>
            <w:tcW w:w="1218" w:type="dxa"/>
            <w:vAlign w:val="center"/>
          </w:tcPr>
          <w:p>
            <w:pPr>
              <w:pStyle w:val="32"/>
              <w:shd w:val="clear" w:color="auto" w:fill="FFFFFF"/>
              <w:spacing w:before="0" w:beforeAutospacing="0" w:after="0" w:afterAutospacing="0"/>
              <w:jc w:val="center"/>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vAlign w:val="center"/>
          </w:tcPr>
          <w:p>
            <w:pPr>
              <w:pStyle w:val="32"/>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823" w:type="dxa"/>
            <w:vMerge w:val="continue"/>
            <w:vAlign w:val="center"/>
          </w:tcPr>
          <w:p>
            <w:pPr>
              <w:pStyle w:val="32"/>
              <w:shd w:val="clear" w:color="auto" w:fill="FFFFFF"/>
              <w:spacing w:before="0" w:beforeAutospacing="0" w:after="0" w:afterAutospacing="0"/>
              <w:jc w:val="center"/>
              <w:rPr>
                <w:bCs/>
                <w:color w:val="auto"/>
                <w:highlight w:val="none"/>
              </w:rPr>
            </w:pPr>
          </w:p>
        </w:tc>
        <w:tc>
          <w:tcPr>
            <w:tcW w:w="820" w:type="dxa"/>
            <w:vAlign w:val="center"/>
          </w:tcPr>
          <w:p>
            <w:pPr>
              <w:pStyle w:val="32"/>
              <w:shd w:val="clear" w:color="auto" w:fill="FFFFFF"/>
              <w:spacing w:before="0" w:beforeAutospacing="0" w:after="0" w:afterAutospacing="0"/>
              <w:jc w:val="center"/>
              <w:rPr>
                <w:bCs/>
                <w:color w:val="auto"/>
                <w:highlight w:val="none"/>
              </w:rPr>
            </w:pPr>
            <w:r>
              <w:rPr>
                <w:rFonts w:hint="eastAsia"/>
                <w:bCs/>
                <w:color w:val="auto"/>
                <w:highlight w:val="none"/>
              </w:rPr>
              <w:t>核准经营范围</w:t>
            </w:r>
          </w:p>
        </w:tc>
        <w:tc>
          <w:tcPr>
            <w:tcW w:w="7430" w:type="dxa"/>
            <w:gridSpan w:val="10"/>
            <w:vAlign w:val="center"/>
          </w:tcPr>
          <w:p>
            <w:pPr>
              <w:pStyle w:val="32"/>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23" w:type="dxa"/>
            <w:vMerge w:val="continue"/>
            <w:vAlign w:val="center"/>
          </w:tcPr>
          <w:p>
            <w:pPr>
              <w:pStyle w:val="32"/>
              <w:shd w:val="clear" w:color="auto" w:fill="FFFFFF"/>
              <w:spacing w:before="0" w:beforeAutospacing="0" w:after="0" w:afterAutospacing="0"/>
              <w:jc w:val="center"/>
              <w:rPr>
                <w:bCs/>
                <w:color w:val="auto"/>
                <w:highlight w:val="none"/>
              </w:rPr>
            </w:pPr>
          </w:p>
        </w:tc>
        <w:tc>
          <w:tcPr>
            <w:tcW w:w="8250" w:type="dxa"/>
            <w:gridSpan w:val="11"/>
            <w:vAlign w:val="center"/>
          </w:tcPr>
          <w:p>
            <w:pPr>
              <w:pStyle w:val="32"/>
              <w:shd w:val="clear" w:color="auto" w:fill="FFFFFF"/>
              <w:spacing w:before="0" w:beforeAutospacing="0" w:after="0" w:afterAutospacing="0"/>
              <w:jc w:val="center"/>
              <w:rPr>
                <w:bCs/>
                <w:color w:val="auto"/>
                <w:spacing w:val="13"/>
                <w:highlight w:val="none"/>
              </w:rPr>
            </w:pPr>
            <w:r>
              <w:rPr>
                <w:rFonts w:hint="eastAsia"/>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23" w:type="dxa"/>
            <w:vMerge w:val="restart"/>
            <w:vAlign w:val="center"/>
          </w:tcPr>
          <w:p>
            <w:pPr>
              <w:pStyle w:val="32"/>
              <w:shd w:val="clear" w:color="auto" w:fill="FFFFFF"/>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pPr>
              <w:pStyle w:val="32"/>
              <w:shd w:val="clear" w:color="auto" w:fill="FFFFFF"/>
              <w:spacing w:before="0" w:beforeAutospacing="0" w:after="0" w:afterAutospacing="0"/>
              <w:jc w:val="center"/>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672" w:type="dxa"/>
            <w:gridSpan w:val="2"/>
            <w:vMerge w:val="restart"/>
            <w:vAlign w:val="center"/>
          </w:tcPr>
          <w:p>
            <w:pPr>
              <w:pStyle w:val="32"/>
              <w:shd w:val="clear" w:color="auto" w:fill="FFFFFF"/>
              <w:spacing w:before="0" w:beforeAutospacing="0" w:after="0" w:afterAutospacing="0"/>
              <w:jc w:val="center"/>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vAlign w:val="center"/>
          </w:tcPr>
          <w:p>
            <w:pPr>
              <w:pStyle w:val="32"/>
              <w:shd w:val="clear" w:color="auto" w:fill="FFFFFF"/>
              <w:spacing w:before="0" w:beforeAutospacing="0" w:after="0" w:afterAutospacing="0"/>
              <w:jc w:val="center"/>
              <w:rPr>
                <w:bCs/>
                <w:color w:val="auto"/>
                <w:spacing w:val="16"/>
                <w:highlight w:val="none"/>
              </w:rPr>
            </w:pPr>
            <w:r>
              <w:rPr>
                <w:rFonts w:hint="eastAsia"/>
                <w:bCs/>
                <w:color w:val="auto"/>
                <w:spacing w:val="16"/>
                <w:highlight w:val="none"/>
              </w:rPr>
              <w:t>产品名称</w:t>
            </w:r>
          </w:p>
        </w:tc>
        <w:tc>
          <w:tcPr>
            <w:tcW w:w="1418" w:type="dxa"/>
            <w:gridSpan w:val="2"/>
            <w:vAlign w:val="center"/>
          </w:tcPr>
          <w:p>
            <w:pPr>
              <w:pStyle w:val="32"/>
              <w:shd w:val="clear" w:color="auto" w:fill="FFFFFF"/>
              <w:spacing w:before="0" w:beforeAutospacing="0" w:after="0" w:afterAutospacing="0"/>
              <w:jc w:val="center"/>
              <w:rPr>
                <w:bCs/>
                <w:color w:val="auto"/>
                <w:highlight w:val="none"/>
              </w:rPr>
            </w:pPr>
            <w:r>
              <w:rPr>
                <w:rFonts w:hint="eastAsia"/>
                <w:bCs/>
                <w:color w:val="auto"/>
                <w:spacing w:val="16"/>
                <w:highlight w:val="none"/>
              </w:rPr>
              <w:t>发证机关</w:t>
            </w:r>
          </w:p>
        </w:tc>
        <w:tc>
          <w:tcPr>
            <w:tcW w:w="1276" w:type="dxa"/>
            <w:vAlign w:val="center"/>
          </w:tcPr>
          <w:p>
            <w:pPr>
              <w:pStyle w:val="32"/>
              <w:shd w:val="clear" w:color="auto" w:fill="FFFFFF"/>
              <w:spacing w:before="0" w:beforeAutospacing="0" w:after="0" w:afterAutospacing="0"/>
              <w:jc w:val="center"/>
              <w:rPr>
                <w:bCs/>
                <w:color w:val="auto"/>
                <w:highlight w:val="none"/>
              </w:rPr>
            </w:pPr>
            <w:r>
              <w:rPr>
                <w:rFonts w:hint="eastAsia"/>
                <w:bCs/>
                <w:color w:val="auto"/>
                <w:spacing w:val="27"/>
                <w:highlight w:val="none"/>
              </w:rPr>
              <w:t>编号</w:t>
            </w:r>
          </w:p>
        </w:tc>
        <w:tc>
          <w:tcPr>
            <w:tcW w:w="1618" w:type="dxa"/>
            <w:gridSpan w:val="2"/>
            <w:vAlign w:val="center"/>
          </w:tcPr>
          <w:p>
            <w:pPr>
              <w:pStyle w:val="32"/>
              <w:shd w:val="clear" w:color="auto" w:fill="FFFFFF"/>
              <w:spacing w:before="0" w:beforeAutospacing="0" w:after="0" w:afterAutospacing="0"/>
              <w:jc w:val="center"/>
              <w:rPr>
                <w:bCs/>
                <w:color w:val="auto"/>
                <w:highlight w:val="none"/>
              </w:rPr>
            </w:pPr>
            <w:r>
              <w:rPr>
                <w:rFonts w:hint="eastAsia"/>
                <w:bCs/>
                <w:color w:val="auto"/>
                <w:spacing w:val="16"/>
                <w:highlight w:val="none"/>
              </w:rPr>
              <w:t>发证时间</w:t>
            </w:r>
          </w:p>
        </w:tc>
        <w:tc>
          <w:tcPr>
            <w:tcW w:w="933" w:type="dxa"/>
            <w:vAlign w:val="center"/>
          </w:tcPr>
          <w:p>
            <w:pPr>
              <w:pStyle w:val="32"/>
              <w:shd w:val="clear" w:color="auto" w:fill="FFFFFF"/>
              <w:spacing w:before="0" w:beforeAutospacing="0" w:after="0" w:afterAutospacing="0"/>
              <w:jc w:val="center"/>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vAlign w:val="center"/>
          </w:tcPr>
          <w:p>
            <w:pPr>
              <w:pStyle w:val="32"/>
              <w:shd w:val="clear" w:color="auto" w:fill="FFFFFF"/>
              <w:spacing w:before="0" w:beforeAutospacing="0" w:after="0" w:afterAutospacing="0"/>
              <w:jc w:val="center"/>
              <w:rPr>
                <w:bCs/>
                <w:color w:val="auto"/>
                <w:highlight w:val="none"/>
              </w:rPr>
            </w:pPr>
          </w:p>
        </w:tc>
        <w:tc>
          <w:tcPr>
            <w:tcW w:w="1672" w:type="dxa"/>
            <w:gridSpan w:val="2"/>
            <w:vMerge w:val="continue"/>
            <w:vAlign w:val="center"/>
          </w:tcPr>
          <w:p>
            <w:pPr>
              <w:pStyle w:val="32"/>
              <w:shd w:val="clear" w:color="auto" w:fill="FFFFFF"/>
              <w:spacing w:before="0" w:beforeAutospacing="0" w:after="0" w:afterAutospacing="0"/>
              <w:jc w:val="center"/>
              <w:rPr>
                <w:bCs/>
                <w:color w:val="auto"/>
                <w:highlight w:val="none"/>
              </w:rPr>
            </w:pPr>
          </w:p>
        </w:tc>
        <w:tc>
          <w:tcPr>
            <w:tcW w:w="1333" w:type="dxa"/>
            <w:gridSpan w:val="3"/>
            <w:vAlign w:val="center"/>
          </w:tcPr>
          <w:p>
            <w:pPr>
              <w:pStyle w:val="32"/>
              <w:shd w:val="clear" w:color="auto" w:fill="FFFFFF"/>
              <w:spacing w:before="0" w:beforeAutospacing="0" w:after="0" w:afterAutospacing="0"/>
              <w:jc w:val="center"/>
              <w:rPr>
                <w:bCs/>
                <w:color w:val="auto"/>
                <w:highlight w:val="none"/>
              </w:rPr>
            </w:pPr>
          </w:p>
        </w:tc>
        <w:tc>
          <w:tcPr>
            <w:tcW w:w="1418" w:type="dxa"/>
            <w:gridSpan w:val="2"/>
            <w:vAlign w:val="center"/>
          </w:tcPr>
          <w:p>
            <w:pPr>
              <w:pStyle w:val="32"/>
              <w:shd w:val="clear" w:color="auto" w:fill="FFFFFF"/>
              <w:spacing w:before="0" w:beforeAutospacing="0" w:after="0" w:afterAutospacing="0"/>
              <w:jc w:val="center"/>
              <w:rPr>
                <w:bCs/>
                <w:color w:val="auto"/>
                <w:highlight w:val="none"/>
              </w:rPr>
            </w:pPr>
          </w:p>
        </w:tc>
        <w:tc>
          <w:tcPr>
            <w:tcW w:w="1276" w:type="dxa"/>
            <w:vAlign w:val="center"/>
          </w:tcPr>
          <w:p>
            <w:pPr>
              <w:pStyle w:val="32"/>
              <w:shd w:val="clear" w:color="auto" w:fill="FFFFFF"/>
              <w:spacing w:before="0" w:beforeAutospacing="0" w:after="0" w:afterAutospacing="0"/>
              <w:jc w:val="center"/>
              <w:rPr>
                <w:bCs/>
                <w:color w:val="auto"/>
                <w:highlight w:val="none"/>
              </w:rPr>
            </w:pPr>
          </w:p>
        </w:tc>
        <w:tc>
          <w:tcPr>
            <w:tcW w:w="2551" w:type="dxa"/>
            <w:gridSpan w:val="3"/>
            <w:vAlign w:val="center"/>
          </w:tcPr>
          <w:p>
            <w:pPr>
              <w:pStyle w:val="32"/>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3" w:type="dxa"/>
            <w:vMerge w:val="continue"/>
            <w:vAlign w:val="center"/>
          </w:tcPr>
          <w:p>
            <w:pPr>
              <w:pStyle w:val="32"/>
              <w:shd w:val="clear" w:color="auto" w:fill="FFFFFF"/>
              <w:spacing w:before="0" w:beforeAutospacing="0" w:after="0" w:afterAutospacing="0"/>
              <w:jc w:val="center"/>
              <w:rPr>
                <w:bCs/>
                <w:color w:val="auto"/>
                <w:spacing w:val="16"/>
                <w:highlight w:val="none"/>
              </w:rPr>
            </w:pPr>
          </w:p>
        </w:tc>
        <w:tc>
          <w:tcPr>
            <w:tcW w:w="1672" w:type="dxa"/>
            <w:gridSpan w:val="2"/>
            <w:vAlign w:val="center"/>
          </w:tcPr>
          <w:p>
            <w:pPr>
              <w:pStyle w:val="32"/>
              <w:shd w:val="clear" w:color="auto" w:fill="FFFFFF"/>
              <w:spacing w:before="0" w:beforeAutospacing="0" w:after="0" w:afterAutospacing="0"/>
              <w:jc w:val="center"/>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9"/>
            <w:vAlign w:val="center"/>
          </w:tcPr>
          <w:p>
            <w:pPr>
              <w:pStyle w:val="32"/>
              <w:shd w:val="clear" w:color="auto" w:fill="FFFFFF"/>
              <w:spacing w:before="0" w:beforeAutospacing="0" w:after="0" w:afterAutospacing="0"/>
              <w:jc w:val="center"/>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vAlign w:val="center"/>
          </w:tcPr>
          <w:p>
            <w:pPr>
              <w:pStyle w:val="32"/>
              <w:shd w:val="clear" w:color="auto" w:fill="FFFFFF"/>
              <w:spacing w:before="0" w:beforeAutospacing="0" w:after="0" w:afterAutospacing="0"/>
              <w:jc w:val="center"/>
              <w:rPr>
                <w:bCs/>
                <w:color w:val="auto"/>
                <w:spacing w:val="27"/>
                <w:highlight w:val="none"/>
              </w:rPr>
            </w:pPr>
          </w:p>
        </w:tc>
        <w:tc>
          <w:tcPr>
            <w:tcW w:w="1672" w:type="dxa"/>
            <w:gridSpan w:val="2"/>
            <w:vAlign w:val="center"/>
          </w:tcPr>
          <w:p>
            <w:pPr>
              <w:pStyle w:val="32"/>
              <w:shd w:val="clear" w:color="auto" w:fill="FFFFFF"/>
              <w:spacing w:before="0" w:beforeAutospacing="0" w:after="0" w:afterAutospacing="0"/>
              <w:jc w:val="center"/>
              <w:rPr>
                <w:bCs/>
                <w:color w:val="auto"/>
                <w:spacing w:val="16"/>
                <w:highlight w:val="none"/>
              </w:rPr>
            </w:pPr>
            <w:r>
              <w:rPr>
                <w:rFonts w:hint="eastAsia"/>
                <w:bCs/>
                <w:color w:val="auto"/>
                <w:spacing w:val="10"/>
                <w:highlight w:val="none"/>
              </w:rPr>
              <w:t>企业获得专利情况</w:t>
            </w:r>
          </w:p>
        </w:tc>
        <w:tc>
          <w:tcPr>
            <w:tcW w:w="6578" w:type="dxa"/>
            <w:gridSpan w:val="9"/>
            <w:vAlign w:val="center"/>
          </w:tcPr>
          <w:p>
            <w:pPr>
              <w:pStyle w:val="32"/>
              <w:shd w:val="clear" w:color="auto" w:fill="FFFFFF"/>
              <w:spacing w:before="0" w:beforeAutospacing="0" w:after="0" w:afterAutospacing="0"/>
              <w:jc w:val="center"/>
              <w:rPr>
                <w:bCs/>
                <w:color w:val="auto"/>
                <w:spacing w:val="16"/>
                <w:highlight w:val="none"/>
              </w:rPr>
            </w:pPr>
          </w:p>
        </w:tc>
      </w:tr>
    </w:tbl>
    <w:p>
      <w:pPr>
        <w:pStyle w:val="32"/>
        <w:shd w:val="clear" w:color="auto" w:fill="FFFFFF"/>
        <w:spacing w:before="0" w:beforeAutospacing="0" w:after="0" w:afterAutospacing="0" w:line="360" w:lineRule="auto"/>
        <w:rPr>
          <w:rFonts w:ascii="仿宋_GB2312" w:eastAsia="仿宋_GB2312"/>
          <w:color w:val="auto"/>
          <w:highlight w:val="none"/>
        </w:rPr>
      </w:pPr>
    </w:p>
    <w:p>
      <w:pPr>
        <w:pStyle w:val="32"/>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pPr>
        <w:pStyle w:val="32"/>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color w:val="auto"/>
          <w:sz w:val="24"/>
          <w:highlight w:val="none"/>
        </w:rPr>
        <w:t>供应商全称（电子印章）</w:t>
      </w:r>
      <w:r>
        <w:rPr>
          <w:rFonts w:hint="eastAsia" w:ascii="宋体" w:hAnsi="宋体"/>
          <w:color w:val="auto"/>
          <w:sz w:val="24"/>
          <w:highlight w:val="none"/>
        </w:rPr>
        <w:t>：</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s="仿宋_GB2312"/>
          <w:color w:val="auto"/>
          <w:kern w:val="0"/>
          <w:sz w:val="24"/>
          <w:highlight w:val="none"/>
          <w:lang w:val="en-US" w:eastAsia="zh-CN"/>
        </w:rPr>
        <w:t>或盖章</w:t>
      </w:r>
      <w:r>
        <w:rPr>
          <w:rFonts w:hint="eastAsia" w:ascii="宋体" w:hAnsi="宋体"/>
          <w:color w:val="auto"/>
          <w:sz w:val="24"/>
          <w:highlight w:val="none"/>
        </w:rPr>
        <w:t>：</w:t>
      </w:r>
    </w:p>
    <w:p>
      <w:pPr>
        <w:spacing w:line="360" w:lineRule="auto"/>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pStyle w:val="32"/>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spacing w:line="360" w:lineRule="auto"/>
        <w:rPr>
          <w:rFonts w:ascii="宋体" w:hAnsi="宋体"/>
          <w:b/>
          <w:color w:val="auto"/>
          <w:sz w:val="24"/>
          <w:highlight w:val="none"/>
        </w:rPr>
      </w:pPr>
    </w:p>
    <w:p>
      <w:pPr>
        <w:pStyle w:val="7"/>
        <w:spacing w:line="360" w:lineRule="auto"/>
        <w:rPr>
          <w:color w:val="auto"/>
          <w:sz w:val="28"/>
          <w:szCs w:val="28"/>
          <w:highlight w:val="none"/>
        </w:rPr>
      </w:pPr>
    </w:p>
    <w:p>
      <w:pPr>
        <w:pStyle w:val="7"/>
        <w:spacing w:line="360" w:lineRule="auto"/>
        <w:rPr>
          <w:color w:val="auto"/>
          <w:sz w:val="28"/>
          <w:szCs w:val="28"/>
          <w:highlight w:val="none"/>
        </w:rPr>
      </w:pPr>
    </w:p>
    <w:p>
      <w:pPr>
        <w:pStyle w:val="7"/>
        <w:spacing w:line="360" w:lineRule="auto"/>
        <w:rPr>
          <w:color w:val="auto"/>
          <w:sz w:val="28"/>
          <w:szCs w:val="28"/>
          <w:highlight w:val="none"/>
        </w:rPr>
      </w:pPr>
    </w:p>
    <w:p>
      <w:pPr>
        <w:pStyle w:val="7"/>
        <w:spacing w:line="360" w:lineRule="auto"/>
        <w:rPr>
          <w:color w:val="auto"/>
          <w:sz w:val="28"/>
          <w:szCs w:val="28"/>
          <w:highlight w:val="none"/>
        </w:rPr>
      </w:pPr>
    </w:p>
    <w:p>
      <w:pPr>
        <w:pStyle w:val="7"/>
        <w:spacing w:line="360" w:lineRule="auto"/>
        <w:rPr>
          <w:color w:val="auto"/>
          <w:sz w:val="28"/>
          <w:szCs w:val="28"/>
          <w:highlight w:val="none"/>
        </w:rPr>
      </w:pPr>
    </w:p>
    <w:p>
      <w:pPr>
        <w:pStyle w:val="7"/>
        <w:spacing w:line="360" w:lineRule="auto"/>
        <w:rPr>
          <w:color w:val="auto"/>
          <w:sz w:val="28"/>
          <w:szCs w:val="28"/>
          <w:highlight w:val="none"/>
        </w:rPr>
      </w:pPr>
    </w:p>
    <w:p>
      <w:pPr>
        <w:pStyle w:val="7"/>
        <w:spacing w:line="360" w:lineRule="auto"/>
        <w:rPr>
          <w:color w:val="auto"/>
          <w:sz w:val="28"/>
          <w:szCs w:val="28"/>
          <w:highlight w:val="none"/>
        </w:rPr>
      </w:pPr>
    </w:p>
    <w:p>
      <w:pPr>
        <w:pStyle w:val="7"/>
        <w:spacing w:line="360" w:lineRule="auto"/>
        <w:rPr>
          <w:color w:val="auto"/>
          <w:sz w:val="28"/>
          <w:szCs w:val="28"/>
          <w:highlight w:val="none"/>
        </w:rPr>
      </w:pPr>
    </w:p>
    <w:p>
      <w:pPr>
        <w:pStyle w:val="7"/>
        <w:spacing w:line="360" w:lineRule="auto"/>
        <w:rPr>
          <w:color w:val="auto"/>
          <w:sz w:val="28"/>
          <w:szCs w:val="28"/>
          <w:highlight w:val="none"/>
        </w:rPr>
      </w:pPr>
    </w:p>
    <w:p>
      <w:pPr>
        <w:pStyle w:val="7"/>
        <w:spacing w:line="360" w:lineRule="auto"/>
        <w:rPr>
          <w:color w:val="auto"/>
          <w:sz w:val="28"/>
          <w:szCs w:val="28"/>
          <w:highlight w:val="none"/>
        </w:rPr>
      </w:pPr>
    </w:p>
    <w:p>
      <w:pPr>
        <w:pStyle w:val="7"/>
        <w:spacing w:line="360" w:lineRule="auto"/>
        <w:rPr>
          <w:color w:val="auto"/>
          <w:sz w:val="28"/>
          <w:szCs w:val="28"/>
          <w:highlight w:val="none"/>
        </w:rPr>
      </w:pPr>
    </w:p>
    <w:p>
      <w:pPr>
        <w:pStyle w:val="7"/>
        <w:spacing w:line="360" w:lineRule="auto"/>
        <w:rPr>
          <w:color w:val="auto"/>
          <w:sz w:val="28"/>
          <w:szCs w:val="28"/>
          <w:highlight w:val="none"/>
        </w:rPr>
      </w:pPr>
    </w:p>
    <w:p>
      <w:pPr>
        <w:pStyle w:val="7"/>
        <w:spacing w:line="360" w:lineRule="auto"/>
        <w:rPr>
          <w:color w:val="auto"/>
          <w:sz w:val="28"/>
          <w:szCs w:val="28"/>
          <w:highlight w:val="none"/>
        </w:rPr>
      </w:pPr>
    </w:p>
    <w:p>
      <w:pPr>
        <w:pStyle w:val="7"/>
        <w:spacing w:line="360" w:lineRule="auto"/>
        <w:rPr>
          <w:color w:val="auto"/>
          <w:sz w:val="28"/>
          <w:szCs w:val="28"/>
          <w:highlight w:val="none"/>
        </w:rPr>
      </w:pPr>
    </w:p>
    <w:p>
      <w:pPr>
        <w:pStyle w:val="7"/>
        <w:spacing w:line="360" w:lineRule="auto"/>
        <w:rPr>
          <w:color w:val="auto"/>
          <w:sz w:val="28"/>
          <w:szCs w:val="28"/>
          <w:highlight w:val="none"/>
        </w:rPr>
      </w:pPr>
    </w:p>
    <w:p>
      <w:pPr>
        <w:pStyle w:val="7"/>
        <w:spacing w:line="360" w:lineRule="auto"/>
        <w:rPr>
          <w:color w:val="auto"/>
          <w:sz w:val="28"/>
          <w:szCs w:val="28"/>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附件7</w:t>
      </w:r>
    </w:p>
    <w:p>
      <w:pPr>
        <w:spacing w:beforeLines="5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2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bl>
    <w:p>
      <w:pPr>
        <w:spacing w:line="360" w:lineRule="auto"/>
        <w:ind w:left="420"/>
        <w:rPr>
          <w:rFonts w:ascii="宋体" w:hAnsi="宋体"/>
          <w:color w:val="auto"/>
          <w:sz w:val="24"/>
          <w:highlight w:val="none"/>
        </w:rPr>
      </w:pPr>
    </w:p>
    <w:p>
      <w:pPr>
        <w:spacing w:line="360" w:lineRule="auto"/>
        <w:ind w:firstLine="480" w:firstLineChars="200"/>
        <w:rPr>
          <w:rFonts w:ascii="宋体" w:hAnsi="宋体"/>
          <w:color w:val="auto"/>
          <w:sz w:val="24"/>
          <w:highlight w:val="none"/>
          <w:u w:val="single"/>
        </w:rPr>
      </w:pPr>
      <w:r>
        <w:rPr>
          <w:rFonts w:hint="eastAsia" w:ascii="宋体"/>
          <w:color w:val="auto"/>
          <w:sz w:val="24"/>
          <w:highlight w:val="none"/>
        </w:rPr>
        <w:t>供应商全称（电子印章）</w:t>
      </w:r>
      <w:r>
        <w:rPr>
          <w:rFonts w:hint="eastAsia" w:ascii="宋体" w:hAnsi="宋体"/>
          <w:color w:val="auto"/>
          <w:sz w:val="24"/>
          <w:highlight w:val="none"/>
        </w:rPr>
        <w:t>：</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s="仿宋_GB2312"/>
          <w:color w:val="auto"/>
          <w:kern w:val="0"/>
          <w:sz w:val="24"/>
          <w:highlight w:val="none"/>
          <w:lang w:val="en-US" w:eastAsia="zh-CN"/>
        </w:rPr>
        <w:t>或盖章</w:t>
      </w:r>
      <w:r>
        <w:rPr>
          <w:rFonts w:hint="eastAsia" w:ascii="宋体" w:hAnsi="宋体"/>
          <w:color w:val="auto"/>
          <w:sz w:val="24"/>
          <w:highlight w:val="none"/>
        </w:rPr>
        <w:t>：</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pStyle w:val="7"/>
        <w:rPr>
          <w:rFonts w:ascii="宋体" w:hAnsi="宋体"/>
          <w:color w:val="auto"/>
          <w:sz w:val="24"/>
          <w:highlight w:val="none"/>
        </w:rPr>
      </w:pPr>
      <w:r>
        <w:rPr>
          <w:rFonts w:hint="eastAsia" w:ascii="宋体" w:hAnsi="宋体"/>
          <w:color w:val="auto"/>
          <w:sz w:val="24"/>
          <w:highlight w:val="none"/>
        </w:rPr>
        <w:t>日        期：</w:t>
      </w:r>
    </w:p>
    <w:p>
      <w:pPr>
        <w:pStyle w:val="7"/>
        <w:rPr>
          <w:rFonts w:ascii="宋体" w:hAnsi="宋体"/>
          <w:color w:val="auto"/>
          <w:sz w:val="24"/>
          <w:highlight w:val="none"/>
        </w:rPr>
      </w:pPr>
    </w:p>
    <w:p>
      <w:pPr>
        <w:spacing w:line="360" w:lineRule="auto"/>
        <w:rPr>
          <w:rFonts w:ascii="宋体" w:hAnsi="宋体"/>
          <w:b/>
          <w:color w:val="auto"/>
          <w:sz w:val="28"/>
          <w:highlight w:val="none"/>
        </w:rPr>
      </w:pPr>
    </w:p>
    <w:p>
      <w:pPr>
        <w:spacing w:line="360" w:lineRule="auto"/>
        <w:rPr>
          <w:rFonts w:ascii="宋体" w:hAnsi="宋体"/>
          <w:color w:val="auto"/>
          <w:sz w:val="24"/>
          <w:highlight w:val="none"/>
        </w:rPr>
      </w:pPr>
      <w:r>
        <w:rPr>
          <w:rFonts w:hint="eastAsia" w:ascii="宋体" w:hAnsi="宋体"/>
          <w:b/>
          <w:color w:val="auto"/>
          <w:sz w:val="28"/>
          <w:highlight w:val="none"/>
        </w:rPr>
        <w:t>附件8</w:t>
      </w:r>
    </w:p>
    <w:p>
      <w:pPr>
        <w:snapToGrid w:val="0"/>
        <w:spacing w:beforeLines="50" w:after="50" w:line="360" w:lineRule="auto"/>
        <w:jc w:val="center"/>
        <w:rPr>
          <w:rFonts w:ascii="宋体" w:hAnsi="宋体"/>
          <w:b/>
          <w:color w:val="auto"/>
          <w:sz w:val="36"/>
          <w:szCs w:val="36"/>
          <w:highlight w:val="none"/>
        </w:rPr>
      </w:pPr>
      <w:bookmarkStart w:id="58" w:name="_Toc20569_WPSOffice_Level1"/>
      <w:bookmarkStart w:id="59" w:name="_Toc23671_WPSOffice_Level1"/>
      <w:r>
        <w:rPr>
          <w:rFonts w:hint="eastAsia" w:ascii="宋体" w:hAnsi="宋体"/>
          <w:b/>
          <w:color w:val="auto"/>
          <w:sz w:val="32"/>
          <w:szCs w:val="32"/>
          <w:highlight w:val="none"/>
        </w:rPr>
        <w:t>项目实施人员一览表（第 标）</w:t>
      </w:r>
      <w:bookmarkEnd w:id="58"/>
      <w:bookmarkEnd w:id="59"/>
    </w:p>
    <w:p>
      <w:pPr>
        <w:snapToGrid w:val="0"/>
        <w:spacing w:beforeLines="50" w:after="50" w:line="360" w:lineRule="auto"/>
        <w:ind w:firstLine="2400" w:firstLineChars="1000"/>
        <w:rPr>
          <w:rFonts w:ascii="宋体" w:hAnsi="宋体"/>
          <w:color w:val="auto"/>
          <w:sz w:val="24"/>
          <w:highlight w:val="none"/>
        </w:rPr>
      </w:pPr>
      <w:r>
        <w:rPr>
          <w:rFonts w:hint="eastAsia" w:ascii="宋体" w:hAnsi="宋体"/>
          <w:color w:val="auto"/>
          <w:sz w:val="24"/>
          <w:highlight w:val="none"/>
        </w:rPr>
        <w:t>（主要从业人员及其技术资格）</w:t>
      </w:r>
    </w:p>
    <w:tbl>
      <w:tblPr>
        <w:tblStyle w:val="2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4"/>
              <w:snapToGrid w:val="0"/>
              <w:spacing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4"/>
              <w:snapToGrid w:val="0"/>
              <w:spacing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360" w:lineRule="auto"/>
              <w:ind w:left="5250"/>
              <w:rPr>
                <w:rFonts w:ascii="宋体" w:hAnsi="宋体"/>
                <w:color w:val="auto"/>
                <w:sz w:val="24"/>
                <w:highlight w:val="none"/>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7"/>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在填写时，如本表格不适合投标单位的实际情况，可根据本表格式自行划表填写。</w:t>
      </w:r>
    </w:p>
    <w:p>
      <w:pPr>
        <w:pStyle w:val="33"/>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2.附人员证书复印件；</w:t>
      </w:r>
    </w:p>
    <w:p>
      <w:pPr>
        <w:pStyle w:val="33"/>
        <w:spacing w:line="360" w:lineRule="auto"/>
        <w:ind w:left="424" w:hanging="424" w:hangingChars="202"/>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ascii="宋体" w:hAnsi="宋体"/>
          <w:color w:val="auto"/>
          <w:szCs w:val="21"/>
          <w:highlight w:val="none"/>
        </w:rPr>
        <w:t>投标截止日之前的</w:t>
      </w:r>
      <w:r>
        <w:rPr>
          <w:rFonts w:hint="eastAsia" w:ascii="宋体" w:hAnsi="宋体"/>
          <w:color w:val="auto"/>
          <w:szCs w:val="21"/>
          <w:highlight w:val="none"/>
        </w:rPr>
        <w:t>代缴个税税单、参加社会保险的《投保单》或《社会保险参保人员证明》等。</w:t>
      </w:r>
    </w:p>
    <w:p>
      <w:pPr>
        <w:snapToGrid w:val="0"/>
        <w:spacing w:before="50" w:afterLines="50" w:line="360" w:lineRule="auto"/>
        <w:jc w:val="left"/>
        <w:rPr>
          <w:rFonts w:ascii="宋体" w:hAnsi="宋体"/>
          <w:color w:val="auto"/>
          <w:sz w:val="24"/>
          <w:szCs w:val="20"/>
          <w:highlight w:val="none"/>
        </w:rPr>
      </w:pPr>
    </w:p>
    <w:p>
      <w:pPr>
        <w:snapToGrid w:val="0"/>
        <w:spacing w:before="50" w:afterLines="50" w:line="360" w:lineRule="auto"/>
        <w:jc w:val="left"/>
        <w:rPr>
          <w:rFonts w:ascii="宋体" w:hAnsi="宋体"/>
          <w:color w:val="auto"/>
          <w:sz w:val="24"/>
          <w:szCs w:val="20"/>
          <w:highlight w:val="none"/>
        </w:rPr>
      </w:pPr>
    </w:p>
    <w:p>
      <w:pPr>
        <w:spacing w:line="360" w:lineRule="auto"/>
        <w:ind w:left="420"/>
        <w:rPr>
          <w:rFonts w:ascii="宋体" w:hAnsi="宋体"/>
          <w:color w:val="auto"/>
          <w:sz w:val="24"/>
          <w:highlight w:val="none"/>
          <w:u w:val="single"/>
        </w:rPr>
      </w:pPr>
      <w:r>
        <w:rPr>
          <w:rFonts w:hint="eastAsia" w:ascii="宋体"/>
          <w:color w:val="auto"/>
          <w:sz w:val="24"/>
          <w:highlight w:val="none"/>
        </w:rPr>
        <w:t>供应商全称（电子印章）</w:t>
      </w:r>
      <w:r>
        <w:rPr>
          <w:rFonts w:hint="eastAsia" w:ascii="宋体" w:hAnsi="宋体"/>
          <w:color w:val="auto"/>
          <w:sz w:val="24"/>
          <w:highlight w:val="none"/>
        </w:rPr>
        <w:t>：</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s="仿宋_GB2312"/>
          <w:color w:val="auto"/>
          <w:kern w:val="0"/>
          <w:sz w:val="24"/>
          <w:highlight w:val="none"/>
          <w:lang w:val="en-US" w:eastAsia="zh-CN"/>
        </w:rPr>
        <w:t>或盖章</w:t>
      </w:r>
      <w:r>
        <w:rPr>
          <w:rFonts w:hint="eastAsia" w:ascii="宋体" w:hAnsi="宋体"/>
          <w:color w:val="auto"/>
          <w:sz w:val="24"/>
          <w:highlight w:val="none"/>
        </w:rPr>
        <w:t>：</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jc w:val="left"/>
        <w:rPr>
          <w:rFonts w:ascii="宋体" w:hAnsi="宋体"/>
          <w:b/>
          <w:bCs/>
          <w:color w:val="auto"/>
          <w:kern w:val="0"/>
          <w:sz w:val="32"/>
          <w:szCs w:val="32"/>
          <w:highlight w:val="none"/>
        </w:rPr>
      </w:pPr>
      <w:r>
        <w:rPr>
          <w:rFonts w:hint="eastAsia" w:ascii="宋体" w:hAnsi="宋体"/>
          <w:b/>
          <w:bCs/>
          <w:color w:val="auto"/>
          <w:kern w:val="0"/>
          <w:sz w:val="32"/>
          <w:szCs w:val="32"/>
          <w:highlight w:val="none"/>
        </w:rPr>
        <w:t>附件9</w:t>
      </w:r>
    </w:p>
    <w:p>
      <w:pPr>
        <w:adjustRightInd w:val="0"/>
        <w:snapToGrid w:val="0"/>
        <w:ind w:firstLine="1205" w:firstLineChars="375"/>
        <w:jc w:val="center"/>
        <w:rPr>
          <w:rFonts w:ascii="宋体" w:hAnsi="宋体"/>
          <w:b/>
          <w:color w:val="auto"/>
          <w:kern w:val="0"/>
          <w:sz w:val="32"/>
          <w:szCs w:val="32"/>
          <w:highlight w:val="none"/>
        </w:rPr>
      </w:pPr>
      <w:r>
        <w:rPr>
          <w:rFonts w:ascii="宋体" w:hAnsi="宋体"/>
          <w:b/>
          <w:color w:val="auto"/>
          <w:kern w:val="0"/>
          <w:sz w:val="32"/>
          <w:szCs w:val="32"/>
          <w:highlight w:val="none"/>
        </w:rPr>
        <w:t>服务条款响应表</w:t>
      </w:r>
    </w:p>
    <w:p>
      <w:pPr>
        <w:adjustRightInd w:val="0"/>
        <w:snapToGrid w:val="0"/>
        <w:ind w:firstLine="1205" w:firstLineChars="375"/>
        <w:jc w:val="center"/>
        <w:rPr>
          <w:rFonts w:ascii="宋体" w:hAnsi="宋体"/>
          <w:b/>
          <w:color w:val="auto"/>
          <w:kern w:val="0"/>
          <w:sz w:val="32"/>
          <w:szCs w:val="32"/>
          <w:highlight w:val="none"/>
        </w:rPr>
      </w:pPr>
    </w:p>
    <w:tbl>
      <w:tblPr>
        <w:tblStyle w:val="22"/>
        <w:tblW w:w="52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3882"/>
        <w:gridCol w:w="2715"/>
        <w:gridCol w:w="1353"/>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序号</w:t>
            </w: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u w:val="thick" w:color="FFFFFF"/>
              </w:rPr>
              <w:t>招标文件</w:t>
            </w:r>
            <w:r>
              <w:rPr>
                <w:rFonts w:ascii="宋体" w:hAnsi="宋体"/>
                <w:color w:val="auto"/>
                <w:sz w:val="24"/>
                <w:highlight w:val="none"/>
              </w:rPr>
              <w:t>要求</w:t>
            </w:r>
          </w:p>
        </w:tc>
        <w:tc>
          <w:tcPr>
            <w:tcW w:w="1401"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投标响应内容</w:t>
            </w:r>
          </w:p>
        </w:tc>
        <w:tc>
          <w:tcPr>
            <w:tcW w:w="698"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响应情况</w:t>
            </w:r>
          </w:p>
        </w:tc>
        <w:tc>
          <w:tcPr>
            <w:tcW w:w="400"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1</w:t>
            </w: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（服务期）</w:t>
            </w: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2</w:t>
            </w: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（付款方式）</w:t>
            </w: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3</w:t>
            </w: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4</w:t>
            </w: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5</w:t>
            </w: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6</w:t>
            </w: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7</w:t>
            </w: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2003" w:type="pct"/>
            <w:vAlign w:val="center"/>
          </w:tcPr>
          <w:p>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w:t>
            </w: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color w:val="auto"/>
                <w:sz w:val="24"/>
                <w:highlight w:val="none"/>
              </w:rPr>
            </w:pPr>
          </w:p>
        </w:tc>
        <w:tc>
          <w:tcPr>
            <w:tcW w:w="2003" w:type="pct"/>
            <w:vAlign w:val="center"/>
          </w:tcPr>
          <w:p>
            <w:pPr>
              <w:adjustRightInd w:val="0"/>
              <w:snapToGrid w:val="0"/>
              <w:spacing w:before="100" w:beforeAutospacing="1" w:after="100" w:afterAutospacing="1"/>
              <w:rPr>
                <w:rFonts w:ascii="宋体" w:hAnsi="宋体"/>
                <w:color w:val="auto"/>
                <w:sz w:val="24"/>
                <w:highlight w:val="none"/>
              </w:rPr>
            </w:pPr>
          </w:p>
        </w:tc>
        <w:tc>
          <w:tcPr>
            <w:tcW w:w="1401" w:type="pct"/>
            <w:vAlign w:val="center"/>
          </w:tcPr>
          <w:p>
            <w:pPr>
              <w:adjustRightInd w:val="0"/>
              <w:snapToGrid w:val="0"/>
              <w:spacing w:before="100" w:beforeAutospacing="1" w:after="100" w:afterAutospacing="1"/>
              <w:rPr>
                <w:rFonts w:ascii="宋体" w:hAnsi="宋体"/>
                <w:color w:val="auto"/>
                <w:sz w:val="24"/>
                <w:highlight w:val="none"/>
              </w:rPr>
            </w:pPr>
          </w:p>
        </w:tc>
        <w:tc>
          <w:tcPr>
            <w:tcW w:w="698" w:type="pct"/>
            <w:vAlign w:val="center"/>
          </w:tcPr>
          <w:p>
            <w:pPr>
              <w:adjustRightInd w:val="0"/>
              <w:snapToGrid w:val="0"/>
              <w:spacing w:before="100" w:beforeAutospacing="1" w:after="100" w:afterAutospacing="1"/>
              <w:rPr>
                <w:rFonts w:ascii="宋体" w:hAnsi="宋体"/>
                <w:color w:val="auto"/>
                <w:sz w:val="24"/>
                <w:highlight w:val="none"/>
              </w:rPr>
            </w:pPr>
          </w:p>
        </w:tc>
        <w:tc>
          <w:tcPr>
            <w:tcW w:w="400" w:type="pct"/>
            <w:vAlign w:val="center"/>
          </w:tcPr>
          <w:p>
            <w:pPr>
              <w:adjustRightInd w:val="0"/>
              <w:snapToGrid w:val="0"/>
              <w:spacing w:before="100" w:beforeAutospacing="1" w:after="100" w:afterAutospacing="1"/>
              <w:rPr>
                <w:rFonts w:ascii="宋体" w:hAnsi="宋体"/>
                <w:color w:val="auto"/>
                <w:sz w:val="24"/>
                <w:highlight w:val="none"/>
              </w:rPr>
            </w:pPr>
          </w:p>
        </w:tc>
      </w:tr>
    </w:tbl>
    <w:p>
      <w:pPr>
        <w:pStyle w:val="13"/>
        <w:adjustRightInd w:val="0"/>
        <w:snapToGrid w:val="0"/>
        <w:rPr>
          <w:rFonts w:hAnsi="宋体"/>
          <w:b/>
          <w:color w:val="auto"/>
          <w:szCs w:val="21"/>
          <w:highlight w:val="none"/>
        </w:rPr>
      </w:pPr>
      <w:r>
        <w:rPr>
          <w:rFonts w:hAnsi="宋体"/>
          <w:b/>
          <w:color w:val="auto"/>
          <w:szCs w:val="21"/>
          <w:highlight w:val="none"/>
        </w:rPr>
        <w:t>说明：1</w:t>
      </w:r>
      <w:r>
        <w:rPr>
          <w:rFonts w:hint="eastAsia" w:hAnsi="宋体"/>
          <w:b/>
          <w:color w:val="auto"/>
          <w:szCs w:val="21"/>
          <w:highlight w:val="none"/>
        </w:rPr>
        <w:t>、</w:t>
      </w:r>
      <w:r>
        <w:rPr>
          <w:rFonts w:hAnsi="宋体"/>
          <w:b/>
          <w:color w:val="auto"/>
          <w:szCs w:val="21"/>
          <w:highlight w:val="none"/>
        </w:rPr>
        <w:t>投标人若不填写</w:t>
      </w:r>
      <w:r>
        <w:rPr>
          <w:rFonts w:hint="eastAsia" w:hAnsi="宋体"/>
          <w:b/>
          <w:color w:val="auto"/>
          <w:szCs w:val="21"/>
          <w:highlight w:val="none"/>
        </w:rPr>
        <w:t>此表</w:t>
      </w:r>
      <w:r>
        <w:rPr>
          <w:rFonts w:hAnsi="宋体"/>
          <w:b/>
          <w:color w:val="auto"/>
          <w:szCs w:val="21"/>
          <w:highlight w:val="none"/>
        </w:rPr>
        <w:t>，则视为完全响应</w:t>
      </w:r>
      <w:r>
        <w:rPr>
          <w:rFonts w:hint="eastAsia" w:hAnsi="宋体"/>
          <w:b/>
          <w:color w:val="auto"/>
          <w:szCs w:val="21"/>
          <w:highlight w:val="none"/>
        </w:rPr>
        <w:t>招标</w:t>
      </w:r>
      <w:r>
        <w:rPr>
          <w:rFonts w:hAnsi="宋体"/>
          <w:b/>
          <w:color w:val="auto"/>
          <w:szCs w:val="21"/>
          <w:highlight w:val="none"/>
        </w:rPr>
        <w:t>文件要求</w:t>
      </w:r>
      <w:r>
        <w:rPr>
          <w:rFonts w:hint="eastAsia" w:hAnsi="宋体"/>
          <w:b/>
          <w:color w:val="auto"/>
          <w:szCs w:val="21"/>
          <w:highlight w:val="none"/>
        </w:rPr>
        <w:t>。</w:t>
      </w:r>
    </w:p>
    <w:p>
      <w:pPr>
        <w:pStyle w:val="13"/>
        <w:adjustRightInd w:val="0"/>
        <w:snapToGrid w:val="0"/>
        <w:rPr>
          <w:rFonts w:hAnsi="宋体"/>
          <w:b/>
          <w:color w:val="auto"/>
          <w:szCs w:val="21"/>
          <w:highlight w:val="none"/>
        </w:rPr>
      </w:pPr>
      <w:r>
        <w:rPr>
          <w:rFonts w:hint="eastAsia" w:hAnsi="宋体"/>
          <w:b/>
          <w:color w:val="auto"/>
          <w:szCs w:val="21"/>
          <w:highlight w:val="none"/>
        </w:rPr>
        <w:t xml:space="preserve">       2、</w:t>
      </w:r>
      <w:r>
        <w:rPr>
          <w:rFonts w:hAnsi="宋体"/>
          <w:b/>
          <w:color w:val="auto"/>
          <w:szCs w:val="21"/>
          <w:highlight w:val="none"/>
        </w:rPr>
        <w:t xml:space="preserve">投标人拟提供的服务承诺与招标文件中的要求不一致时，则必须在技术标《服务条款响应表》中予以明确。 </w:t>
      </w:r>
    </w:p>
    <w:p>
      <w:pPr>
        <w:adjustRightInd w:val="0"/>
        <w:snapToGrid w:val="0"/>
        <w:jc w:val="left"/>
        <w:rPr>
          <w:rFonts w:ascii="宋体" w:hAnsi="宋体"/>
          <w:b/>
          <w:color w:val="auto"/>
          <w:kern w:val="0"/>
          <w:szCs w:val="21"/>
          <w:highlight w:val="none"/>
        </w:rPr>
      </w:pPr>
      <w:r>
        <w:rPr>
          <w:rFonts w:hint="eastAsia" w:ascii="宋体" w:hAnsi="宋体"/>
          <w:b/>
          <w:color w:val="auto"/>
          <w:szCs w:val="21"/>
          <w:highlight w:val="none"/>
        </w:rPr>
        <w:t xml:space="preserve">       3</w:t>
      </w:r>
      <w:r>
        <w:rPr>
          <w:rFonts w:ascii="宋体" w:hAnsi="宋体"/>
          <w:b/>
          <w:color w:val="auto"/>
          <w:szCs w:val="21"/>
          <w:highlight w:val="none"/>
        </w:rPr>
        <w:t>、响应情况分别为：正偏离、响应或负偏离。投标人可在备注栏内就偏离原因进行简要说明。</w:t>
      </w:r>
    </w:p>
    <w:p>
      <w:pPr>
        <w:spacing w:line="360" w:lineRule="auto"/>
        <w:rPr>
          <w:rFonts w:ascii="宋体" w:hAnsi="宋体"/>
          <w:color w:val="auto"/>
          <w:sz w:val="24"/>
          <w:highlight w:val="none"/>
        </w:rPr>
      </w:pPr>
    </w:p>
    <w:p>
      <w:pPr>
        <w:pStyle w:val="21"/>
        <w:rPr>
          <w:color w:val="auto"/>
          <w:highlight w:val="none"/>
        </w:rPr>
      </w:pPr>
    </w:p>
    <w:p>
      <w:pPr>
        <w:spacing w:line="360" w:lineRule="auto"/>
        <w:ind w:left="420"/>
        <w:rPr>
          <w:rFonts w:ascii="宋体" w:hAnsi="宋体"/>
          <w:color w:val="auto"/>
          <w:sz w:val="24"/>
          <w:highlight w:val="none"/>
          <w:u w:val="single"/>
        </w:rPr>
      </w:pPr>
      <w:r>
        <w:rPr>
          <w:rFonts w:hint="eastAsia" w:ascii="宋体"/>
          <w:color w:val="auto"/>
          <w:sz w:val="24"/>
          <w:highlight w:val="none"/>
        </w:rPr>
        <w:t>供应商全称（电子印章）</w:t>
      </w:r>
      <w:r>
        <w:rPr>
          <w:rFonts w:hint="eastAsia" w:ascii="宋体" w:hAnsi="宋体"/>
          <w:color w:val="auto"/>
          <w:sz w:val="24"/>
          <w:highlight w:val="none"/>
        </w:rPr>
        <w:t>：</w:t>
      </w:r>
    </w:p>
    <w:p>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s="仿宋_GB2312"/>
          <w:color w:val="auto"/>
          <w:kern w:val="0"/>
          <w:sz w:val="24"/>
          <w:highlight w:val="none"/>
          <w:lang w:val="en-US" w:eastAsia="zh-CN"/>
        </w:rPr>
        <w:t>或盖章</w:t>
      </w:r>
      <w:r>
        <w:rPr>
          <w:rFonts w:hint="eastAsia" w:ascii="宋体" w:hAnsi="宋体"/>
          <w:color w:val="auto"/>
          <w:sz w:val="24"/>
          <w:highlight w:val="none"/>
        </w:rPr>
        <w:t>：</w:t>
      </w: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pStyle w:val="3"/>
        <w:numPr>
          <w:ilvl w:val="0"/>
          <w:numId w:val="0"/>
        </w:numPr>
        <w:jc w:val="both"/>
        <w:rPr>
          <w:rFonts w:ascii="宋体" w:hAnsi="宋体"/>
          <w:color w:val="auto"/>
          <w:sz w:val="28"/>
          <w:highlight w:val="none"/>
        </w:rPr>
      </w:pPr>
    </w:p>
    <w:p>
      <w:pPr>
        <w:pStyle w:val="3"/>
        <w:numPr>
          <w:ilvl w:val="0"/>
          <w:numId w:val="0"/>
        </w:numPr>
        <w:jc w:val="both"/>
        <w:rPr>
          <w:color w:val="auto"/>
          <w:highlight w:val="none"/>
        </w:rPr>
      </w:pPr>
    </w:p>
    <w:p>
      <w:pPr>
        <w:snapToGrid w:val="0"/>
        <w:spacing w:before="50" w:after="50" w:line="360" w:lineRule="auto"/>
        <w:rPr>
          <w:rFonts w:ascii="宋体" w:hAnsi="宋体"/>
          <w:b/>
          <w:color w:val="auto"/>
          <w:sz w:val="28"/>
          <w:highlight w:val="none"/>
        </w:rPr>
      </w:pPr>
    </w:p>
    <w:p>
      <w:pPr>
        <w:pStyle w:val="35"/>
        <w:spacing w:line="360" w:lineRule="auto"/>
        <w:jc w:val="left"/>
        <w:rPr>
          <w:rFonts w:ascii="宋体" w:hAnsi="宋体"/>
          <w:b/>
          <w:color w:val="auto"/>
          <w:sz w:val="28"/>
          <w:highlight w:val="none"/>
        </w:rPr>
      </w:pPr>
      <w:r>
        <w:rPr>
          <w:rFonts w:hint="eastAsia" w:ascii="宋体" w:hAnsi="宋体"/>
          <w:b/>
          <w:color w:val="auto"/>
          <w:sz w:val="28"/>
          <w:highlight w:val="none"/>
        </w:rPr>
        <w:t>附件10</w:t>
      </w:r>
    </w:p>
    <w:p>
      <w:pPr>
        <w:pStyle w:val="36"/>
        <w:spacing w:line="360" w:lineRule="auto"/>
        <w:jc w:val="center"/>
        <w:rPr>
          <w:rFonts w:ascii="宋体" w:hAnsi="宋体" w:cs="Arial"/>
          <w:color w:val="auto"/>
          <w:sz w:val="28"/>
          <w:szCs w:val="28"/>
          <w:highlight w:val="none"/>
        </w:rPr>
      </w:pPr>
      <w:r>
        <w:rPr>
          <w:rFonts w:hint="eastAsia" w:ascii="宋体" w:hAnsi="宋体"/>
          <w:b/>
          <w:color w:val="auto"/>
          <w:sz w:val="32"/>
          <w:szCs w:val="32"/>
          <w:highlight w:val="none"/>
        </w:rPr>
        <w:t>证书一览表</w:t>
      </w:r>
    </w:p>
    <w:tbl>
      <w:tblPr>
        <w:tblStyle w:val="22"/>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36"/>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36"/>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36"/>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36"/>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c>
          <w:tcPr>
            <w:tcW w:w="2258" w:type="dxa"/>
            <w:tcBorders>
              <w:top w:val="single" w:color="auto" w:sz="4" w:space="0"/>
            </w:tcBorders>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c>
          <w:tcPr>
            <w:tcW w:w="2260" w:type="dxa"/>
            <w:tcBorders>
              <w:top w:val="single" w:color="auto" w:sz="4" w:space="0"/>
            </w:tcBorders>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c>
          <w:tcPr>
            <w:tcW w:w="2258" w:type="dxa"/>
            <w:tcBorders>
              <w:bottom w:val="single" w:color="auto" w:sz="4" w:space="0"/>
            </w:tcBorders>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c>
          <w:tcPr>
            <w:tcW w:w="2260" w:type="dxa"/>
            <w:tcBorders>
              <w:bottom w:val="single" w:color="auto" w:sz="4" w:space="0"/>
            </w:tcBorders>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tcMar>
              <w:top w:w="57" w:type="dxa"/>
              <w:left w:w="85" w:type="dxa"/>
              <w:bottom w:w="0" w:type="dxa"/>
              <w:right w:w="85" w:type="dxa"/>
            </w:tcMar>
          </w:tcPr>
          <w:p>
            <w:pPr>
              <w:pStyle w:val="36"/>
              <w:spacing w:line="360" w:lineRule="auto"/>
              <w:jc w:val="center"/>
              <w:rPr>
                <w:rFonts w:ascii="宋体" w:hAnsi="宋体" w:cs="Arial"/>
                <w:color w:val="auto"/>
                <w:szCs w:val="21"/>
                <w:highlight w:val="none"/>
              </w:rPr>
            </w:pPr>
          </w:p>
        </w:tc>
      </w:tr>
    </w:tbl>
    <w:p>
      <w:pPr>
        <w:pStyle w:val="36"/>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36"/>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pPr>
        <w:pStyle w:val="36"/>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pPr>
        <w:pStyle w:val="36"/>
        <w:tabs>
          <w:tab w:val="left" w:pos="1050"/>
        </w:tabs>
        <w:spacing w:line="360" w:lineRule="auto"/>
        <w:rPr>
          <w:rFonts w:ascii="仿宋_GB2312" w:hAnsi="宋体" w:eastAsia="仿宋_GB2312"/>
          <w:color w:val="auto"/>
          <w:sz w:val="24"/>
          <w:highlight w:val="none"/>
        </w:rPr>
      </w:pPr>
    </w:p>
    <w:p>
      <w:pPr>
        <w:pStyle w:val="36"/>
        <w:tabs>
          <w:tab w:val="left" w:pos="1050"/>
        </w:tabs>
        <w:spacing w:line="360" w:lineRule="auto"/>
        <w:ind w:firstLine="720" w:firstLineChars="300"/>
        <w:rPr>
          <w:rFonts w:ascii="仿宋_GB2312" w:hAnsi="宋体" w:eastAsia="仿宋_GB2312"/>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color w:val="auto"/>
          <w:sz w:val="24"/>
          <w:highlight w:val="none"/>
        </w:rPr>
        <w:t>供应商全称（电子印章）</w:t>
      </w:r>
      <w:r>
        <w:rPr>
          <w:rFonts w:hint="eastAsia" w:ascii="宋体" w:hAnsi="宋体"/>
          <w:color w:val="auto"/>
          <w:sz w:val="24"/>
          <w:highlight w:val="none"/>
        </w:rPr>
        <w:t>：</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s="仿宋_GB2312"/>
          <w:color w:val="auto"/>
          <w:kern w:val="0"/>
          <w:sz w:val="24"/>
          <w:highlight w:val="none"/>
          <w:lang w:val="en-US" w:eastAsia="zh-CN"/>
        </w:rPr>
        <w:t>或盖章</w:t>
      </w:r>
      <w:r>
        <w:rPr>
          <w:rFonts w:hint="eastAsia" w:ascii="宋体" w:hAnsi="宋体"/>
          <w:color w:val="auto"/>
          <w:sz w:val="24"/>
          <w:highlight w:val="none"/>
        </w:rPr>
        <w:t>：</w:t>
      </w:r>
    </w:p>
    <w:p>
      <w:pPr>
        <w:spacing w:line="360" w:lineRule="auto"/>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pStyle w:val="32"/>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pPr>
        <w:spacing w:line="360" w:lineRule="auto"/>
        <w:ind w:firstLine="435"/>
        <w:rPr>
          <w:rFonts w:ascii="宋体" w:hAnsi="宋体"/>
          <w:b/>
          <w:color w:val="auto"/>
          <w:sz w:val="28"/>
          <w:highlight w:val="none"/>
        </w:rPr>
      </w:pPr>
    </w:p>
    <w:p>
      <w:pPr>
        <w:pStyle w:val="35"/>
        <w:spacing w:line="360" w:lineRule="auto"/>
        <w:jc w:val="left"/>
        <w:rPr>
          <w:rFonts w:ascii="宋体" w:hAnsi="宋体"/>
          <w:b/>
          <w:color w:val="auto"/>
          <w:sz w:val="28"/>
          <w:highlight w:val="none"/>
        </w:rPr>
      </w:pPr>
    </w:p>
    <w:p>
      <w:pPr>
        <w:pStyle w:val="35"/>
        <w:spacing w:line="360" w:lineRule="auto"/>
        <w:jc w:val="left"/>
        <w:rPr>
          <w:rFonts w:ascii="宋体" w:hAnsi="宋体"/>
          <w:b/>
          <w:color w:val="auto"/>
          <w:sz w:val="28"/>
          <w:highlight w:val="none"/>
        </w:rPr>
      </w:pPr>
    </w:p>
    <w:p>
      <w:pPr>
        <w:pStyle w:val="35"/>
        <w:spacing w:line="360" w:lineRule="auto"/>
        <w:jc w:val="left"/>
        <w:rPr>
          <w:rFonts w:ascii="宋体" w:hAnsi="宋体"/>
          <w:b/>
          <w:color w:val="auto"/>
          <w:sz w:val="28"/>
          <w:highlight w:val="none"/>
        </w:rPr>
      </w:pPr>
    </w:p>
    <w:p>
      <w:pPr>
        <w:pStyle w:val="35"/>
        <w:spacing w:line="360" w:lineRule="auto"/>
        <w:jc w:val="left"/>
        <w:rPr>
          <w:rFonts w:ascii="宋体" w:hAnsi="宋体"/>
          <w:b/>
          <w:color w:val="auto"/>
          <w:sz w:val="28"/>
          <w:highlight w:val="none"/>
        </w:rPr>
      </w:pPr>
    </w:p>
    <w:p>
      <w:pPr>
        <w:pStyle w:val="35"/>
        <w:spacing w:line="360" w:lineRule="auto"/>
        <w:jc w:val="left"/>
        <w:rPr>
          <w:rFonts w:ascii="宋体" w:hAnsi="宋体"/>
          <w:b/>
          <w:color w:val="auto"/>
          <w:sz w:val="28"/>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附件11</w:t>
      </w:r>
    </w:p>
    <w:p>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同类业绩证明</w:t>
      </w:r>
    </w:p>
    <w:tbl>
      <w:tblPr>
        <w:tblStyle w:val="22"/>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color w:val="auto"/>
                <w:szCs w:val="21"/>
                <w:highlight w:val="none"/>
              </w:rPr>
            </w:pPr>
          </w:p>
        </w:tc>
      </w:tr>
    </w:tbl>
    <w:p>
      <w:pPr>
        <w:autoSpaceDE w:val="0"/>
        <w:autoSpaceDN w:val="0"/>
        <w:adjustRightInd w:val="0"/>
        <w:spacing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可只提供首页、含金额页、盖章页并加盖投标人公章</w:t>
      </w:r>
      <w:r>
        <w:rPr>
          <w:rFonts w:ascii="宋体" w:hAnsi="宋体" w:cs="Arial"/>
          <w:color w:val="auto"/>
          <w:szCs w:val="21"/>
          <w:highlight w:val="none"/>
        </w:rPr>
        <w:t>）</w:t>
      </w:r>
      <w:r>
        <w:rPr>
          <w:rFonts w:hint="eastAsia" w:ascii="宋体" w:hAnsi="宋体" w:cs="Arial"/>
          <w:color w:val="auto"/>
          <w:szCs w:val="21"/>
          <w:highlight w:val="none"/>
        </w:rPr>
        <w:t>。</w:t>
      </w:r>
    </w:p>
    <w:p>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.投标人</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spacing w:line="360" w:lineRule="auto"/>
        <w:rPr>
          <w:rFonts w:ascii="宋体" w:hAnsi="宋体"/>
          <w:color w:val="auto"/>
          <w:sz w:val="22"/>
          <w:szCs w:val="22"/>
          <w:highlight w:val="none"/>
        </w:rPr>
      </w:pPr>
    </w:p>
    <w:p>
      <w:pPr>
        <w:pStyle w:val="21"/>
        <w:rPr>
          <w:color w:val="auto"/>
          <w:highlight w:val="none"/>
        </w:rPr>
      </w:pPr>
    </w:p>
    <w:p>
      <w:pPr>
        <w:spacing w:line="360" w:lineRule="auto"/>
        <w:ind w:left="420"/>
        <w:rPr>
          <w:rFonts w:ascii="宋体" w:hAnsi="宋体"/>
          <w:color w:val="auto"/>
          <w:sz w:val="24"/>
          <w:highlight w:val="none"/>
          <w:u w:val="single"/>
        </w:rPr>
      </w:pPr>
      <w:r>
        <w:rPr>
          <w:rFonts w:hint="eastAsia" w:ascii="宋体"/>
          <w:color w:val="auto"/>
          <w:sz w:val="24"/>
          <w:highlight w:val="none"/>
        </w:rPr>
        <w:t>供应商全称（电子印章）</w:t>
      </w:r>
      <w:r>
        <w:rPr>
          <w:rFonts w:hint="eastAsia" w:ascii="宋体" w:hAnsi="宋体"/>
          <w:color w:val="auto"/>
          <w:sz w:val="24"/>
          <w:highlight w:val="none"/>
        </w:rPr>
        <w:t>：</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s="仿宋_GB2312"/>
          <w:color w:val="auto"/>
          <w:kern w:val="0"/>
          <w:sz w:val="24"/>
          <w:highlight w:val="none"/>
          <w:lang w:val="en-US" w:eastAsia="zh-CN"/>
        </w:rPr>
        <w:t>或盖章</w:t>
      </w:r>
      <w:r>
        <w:rPr>
          <w:rFonts w:hint="eastAsia" w:ascii="宋体" w:hAnsi="宋体"/>
          <w:color w:val="auto"/>
          <w:sz w:val="24"/>
          <w:highlight w:val="none"/>
        </w:rPr>
        <w:t>：</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pStyle w:val="32"/>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jc w:val="center"/>
        <w:rPr>
          <w:color w:val="auto"/>
          <w:sz w:val="52"/>
          <w:szCs w:val="52"/>
          <w:highlight w:val="none"/>
        </w:rPr>
      </w:pPr>
      <w:r>
        <w:rPr>
          <w:rFonts w:hint="eastAsia"/>
          <w:color w:val="auto"/>
          <w:sz w:val="52"/>
          <w:szCs w:val="52"/>
          <w:highlight w:val="none"/>
        </w:rPr>
        <w:t>项目名称</w:t>
      </w:r>
    </w:p>
    <w:p>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pPr>
        <w:pStyle w:val="21"/>
        <w:rPr>
          <w:color w:val="auto"/>
          <w:highlight w:val="none"/>
        </w:rPr>
      </w:pPr>
    </w:p>
    <w:p>
      <w:pPr>
        <w:jc w:val="center"/>
        <w:rPr>
          <w:color w:val="auto"/>
          <w:sz w:val="84"/>
          <w:szCs w:val="84"/>
          <w:highlight w:val="none"/>
        </w:rPr>
      </w:pPr>
      <w:bookmarkStart w:id="60" w:name="_Toc9453_WPSOffice_Level1"/>
      <w:bookmarkStart w:id="61" w:name="_Toc8885_WPSOffice_Level1"/>
      <w:r>
        <w:rPr>
          <w:rFonts w:hint="eastAsia"/>
          <w:color w:val="auto"/>
          <w:sz w:val="84"/>
          <w:szCs w:val="84"/>
          <w:highlight w:val="none"/>
        </w:rPr>
        <w:t>报</w:t>
      </w:r>
      <w:bookmarkEnd w:id="60"/>
      <w:bookmarkEnd w:id="61"/>
    </w:p>
    <w:p>
      <w:pPr>
        <w:jc w:val="center"/>
        <w:rPr>
          <w:color w:val="auto"/>
          <w:sz w:val="84"/>
          <w:szCs w:val="84"/>
          <w:highlight w:val="none"/>
        </w:rPr>
      </w:pPr>
      <w:bookmarkStart w:id="62" w:name="_Toc7485_WPSOffice_Level1"/>
      <w:bookmarkStart w:id="63" w:name="_Toc10910_WPSOffice_Level1"/>
      <w:r>
        <w:rPr>
          <w:rFonts w:hint="eastAsia"/>
          <w:color w:val="auto"/>
          <w:sz w:val="84"/>
          <w:szCs w:val="84"/>
          <w:highlight w:val="none"/>
        </w:rPr>
        <w:t>价</w:t>
      </w:r>
      <w:bookmarkEnd w:id="62"/>
      <w:bookmarkEnd w:id="63"/>
    </w:p>
    <w:p>
      <w:pPr>
        <w:jc w:val="center"/>
        <w:rPr>
          <w:color w:val="auto"/>
          <w:sz w:val="84"/>
          <w:szCs w:val="84"/>
          <w:highlight w:val="none"/>
        </w:rPr>
      </w:pPr>
      <w:bookmarkStart w:id="64" w:name="_Toc14572_WPSOffice_Level1"/>
      <w:bookmarkStart w:id="65" w:name="_Toc3932_WPSOffice_Level1"/>
      <w:r>
        <w:rPr>
          <w:rFonts w:hint="eastAsia"/>
          <w:color w:val="auto"/>
          <w:sz w:val="84"/>
          <w:szCs w:val="84"/>
          <w:highlight w:val="none"/>
        </w:rPr>
        <w:t>文</w:t>
      </w:r>
      <w:bookmarkEnd w:id="64"/>
      <w:bookmarkEnd w:id="65"/>
    </w:p>
    <w:p>
      <w:pPr>
        <w:jc w:val="center"/>
        <w:rPr>
          <w:color w:val="auto"/>
          <w:sz w:val="84"/>
          <w:szCs w:val="84"/>
          <w:highlight w:val="none"/>
        </w:rPr>
      </w:pPr>
      <w:bookmarkStart w:id="66" w:name="_Toc16973_WPSOffice_Level1"/>
      <w:bookmarkStart w:id="67" w:name="_Toc7562_WPSOffice_Level1"/>
      <w:r>
        <w:rPr>
          <w:rFonts w:hint="eastAsia"/>
          <w:color w:val="auto"/>
          <w:sz w:val="84"/>
          <w:szCs w:val="84"/>
          <w:highlight w:val="none"/>
        </w:rPr>
        <w:t>件</w:t>
      </w:r>
      <w:bookmarkEnd w:id="66"/>
      <w:bookmarkEnd w:id="67"/>
    </w:p>
    <w:p>
      <w:pPr>
        <w:spacing w:line="360" w:lineRule="auto"/>
        <w:ind w:right="532"/>
        <w:rPr>
          <w:rFonts w:ascii="宋体" w:hAnsi="宋体"/>
          <w:color w:val="auto"/>
          <w:sz w:val="36"/>
          <w:szCs w:val="36"/>
          <w:highlight w:val="none"/>
        </w:rPr>
      </w:pPr>
    </w:p>
    <w:p>
      <w:pPr>
        <w:spacing w:line="360" w:lineRule="auto"/>
        <w:ind w:right="532"/>
        <w:jc w:val="center"/>
        <w:rPr>
          <w:rFonts w:ascii="宋体" w:hAnsi="宋体"/>
          <w:color w:val="auto"/>
          <w:sz w:val="36"/>
          <w:szCs w:val="36"/>
          <w:highlight w:val="none"/>
        </w:rPr>
      </w:pPr>
    </w:p>
    <w:p>
      <w:pPr>
        <w:spacing w:line="360" w:lineRule="auto"/>
        <w:ind w:right="532" w:firstLine="720" w:firstLineChars="200"/>
        <w:rPr>
          <w:rFonts w:ascii="宋体" w:hAnsi="宋体"/>
          <w:color w:val="auto"/>
          <w:sz w:val="36"/>
          <w:szCs w:val="36"/>
          <w:highlight w:val="none"/>
        </w:rPr>
      </w:pPr>
      <w:bookmarkStart w:id="68" w:name="_Toc26700_WPSOffice_Level1"/>
      <w:bookmarkStart w:id="69" w:name="_Toc4603_WPSOffice_Level1"/>
      <w:r>
        <w:rPr>
          <w:rFonts w:hint="eastAsia" w:ascii="宋体" w:hAnsi="宋体"/>
          <w:color w:val="auto"/>
          <w:sz w:val="36"/>
          <w:szCs w:val="36"/>
          <w:highlight w:val="none"/>
        </w:rPr>
        <w:t>供应商</w:t>
      </w:r>
      <w:r>
        <w:rPr>
          <w:rFonts w:hint="eastAsia" w:ascii="宋体" w:hAnsi="宋体"/>
          <w:color w:val="auto"/>
          <w:sz w:val="36"/>
          <w:szCs w:val="36"/>
          <w:highlight w:val="none"/>
          <w:lang w:val="en-US" w:eastAsia="zh-CN"/>
        </w:rPr>
        <w:t>全</w:t>
      </w:r>
      <w:r>
        <w:rPr>
          <w:rFonts w:hint="eastAsia" w:ascii="宋体" w:hAnsi="宋体"/>
          <w:color w:val="auto"/>
          <w:sz w:val="36"/>
          <w:szCs w:val="36"/>
          <w:highlight w:val="none"/>
        </w:rPr>
        <w:t>称（电子印章）：</w:t>
      </w:r>
      <w:bookmarkEnd w:id="68"/>
      <w:bookmarkEnd w:id="69"/>
    </w:p>
    <w:p>
      <w:pPr>
        <w:spacing w:line="360" w:lineRule="auto"/>
        <w:ind w:right="-108" w:firstLine="720" w:firstLineChars="200"/>
        <w:rPr>
          <w:rFonts w:ascii="宋体" w:hAnsi="宋体"/>
          <w:color w:val="auto"/>
          <w:sz w:val="36"/>
          <w:szCs w:val="36"/>
          <w:highlight w:val="none"/>
        </w:rPr>
      </w:pPr>
      <w:bookmarkStart w:id="70" w:name="_Toc1391_WPSOffice_Level1"/>
      <w:bookmarkStart w:id="71" w:name="_Toc32593_WPSOffice_Level1"/>
      <w:r>
        <w:rPr>
          <w:rFonts w:hint="eastAsia" w:ascii="宋体" w:hAnsi="宋体"/>
          <w:color w:val="auto"/>
          <w:sz w:val="36"/>
          <w:szCs w:val="36"/>
          <w:highlight w:val="none"/>
        </w:rPr>
        <w:t>地    址：</w:t>
      </w:r>
      <w:bookmarkEnd w:id="70"/>
      <w:bookmarkEnd w:id="71"/>
    </w:p>
    <w:p>
      <w:pPr>
        <w:spacing w:line="360" w:lineRule="auto"/>
        <w:ind w:right="-108" w:firstLine="720" w:firstLineChars="200"/>
        <w:rPr>
          <w:rFonts w:ascii="宋体" w:hAnsi="宋体"/>
          <w:color w:val="auto"/>
          <w:sz w:val="36"/>
          <w:szCs w:val="36"/>
          <w:highlight w:val="none"/>
        </w:rPr>
      </w:pPr>
      <w:bookmarkStart w:id="72" w:name="_Toc20938_WPSOffice_Level1"/>
      <w:bookmarkStart w:id="73" w:name="_Toc3791_WPSOffice_Level1"/>
      <w:r>
        <w:rPr>
          <w:rFonts w:hint="eastAsia" w:ascii="宋体" w:hAnsi="宋体"/>
          <w:color w:val="auto"/>
          <w:sz w:val="36"/>
          <w:szCs w:val="36"/>
          <w:highlight w:val="none"/>
        </w:rPr>
        <w:t>时    间：</w:t>
      </w:r>
      <w:bookmarkEnd w:id="72"/>
      <w:bookmarkEnd w:id="73"/>
    </w:p>
    <w:p>
      <w:pPr>
        <w:tabs>
          <w:tab w:val="left" w:pos="2460"/>
        </w:tabs>
        <w:spacing w:line="360" w:lineRule="auto"/>
        <w:ind w:firstLine="435"/>
        <w:rPr>
          <w:rFonts w:ascii="宋体" w:hAnsi="宋体"/>
          <w:b/>
          <w:color w:val="auto"/>
          <w:sz w:val="28"/>
          <w:highlight w:val="none"/>
        </w:rPr>
      </w:pPr>
    </w:p>
    <w:p>
      <w:pPr>
        <w:tabs>
          <w:tab w:val="left" w:pos="2460"/>
        </w:tabs>
        <w:spacing w:line="360" w:lineRule="auto"/>
        <w:ind w:firstLine="435"/>
        <w:rPr>
          <w:rFonts w:ascii="宋体" w:hAnsi="宋体"/>
          <w:b/>
          <w:color w:val="auto"/>
          <w:sz w:val="28"/>
          <w:highlight w:val="none"/>
        </w:rPr>
      </w:pPr>
    </w:p>
    <w:p>
      <w:pPr>
        <w:tabs>
          <w:tab w:val="left" w:pos="2460"/>
        </w:tabs>
        <w:spacing w:line="360" w:lineRule="auto"/>
        <w:ind w:firstLine="435"/>
        <w:rPr>
          <w:rFonts w:ascii="宋体" w:hAnsi="宋体"/>
          <w:b/>
          <w:color w:val="auto"/>
          <w:sz w:val="28"/>
          <w:highlight w:val="none"/>
        </w:rPr>
      </w:pPr>
    </w:p>
    <w:p>
      <w:pPr>
        <w:tabs>
          <w:tab w:val="left" w:pos="2460"/>
        </w:tabs>
        <w:spacing w:line="360" w:lineRule="auto"/>
        <w:ind w:firstLine="435"/>
        <w:rPr>
          <w:rFonts w:ascii="宋体" w:hAnsi="宋体"/>
          <w:b/>
          <w:color w:val="auto"/>
          <w:sz w:val="28"/>
          <w:highlight w:val="none"/>
        </w:rPr>
      </w:pPr>
    </w:p>
    <w:p>
      <w:pPr>
        <w:pStyle w:val="7"/>
        <w:rPr>
          <w:rFonts w:ascii="宋体" w:hAnsi="宋体"/>
          <w:color w:val="auto"/>
          <w:sz w:val="24"/>
          <w:highlight w:val="none"/>
          <w:u w:val="single"/>
        </w:rPr>
      </w:pPr>
    </w:p>
    <w:p>
      <w:pPr>
        <w:rPr>
          <w:rFonts w:ascii="宋体" w:hAnsi="宋体"/>
          <w:b/>
          <w:color w:val="auto"/>
          <w:sz w:val="28"/>
          <w:highlight w:val="none"/>
        </w:rPr>
      </w:pPr>
    </w:p>
    <w:p>
      <w:pPr>
        <w:rPr>
          <w:rFonts w:ascii="宋体" w:hAnsi="宋体"/>
          <w:b/>
          <w:color w:val="auto"/>
          <w:sz w:val="28"/>
          <w:highlight w:val="none"/>
        </w:rPr>
      </w:pPr>
    </w:p>
    <w:p>
      <w:pPr>
        <w:rPr>
          <w:rFonts w:ascii="宋体" w:hAnsi="宋体"/>
          <w:b/>
          <w:color w:val="auto"/>
          <w:sz w:val="28"/>
          <w:highlight w:val="none"/>
        </w:rPr>
      </w:pPr>
    </w:p>
    <w:p>
      <w:pPr>
        <w:rPr>
          <w:rFonts w:ascii="宋体" w:hAnsi="宋体"/>
          <w:b/>
          <w:color w:val="auto"/>
          <w:sz w:val="28"/>
          <w:highlight w:val="none"/>
        </w:rPr>
      </w:pPr>
    </w:p>
    <w:p>
      <w:pPr>
        <w:jc w:val="center"/>
        <w:rPr>
          <w:b/>
          <w:bCs/>
          <w:color w:val="auto"/>
          <w:sz w:val="32"/>
          <w:szCs w:val="32"/>
          <w:highlight w:val="none"/>
        </w:rPr>
      </w:pPr>
      <w:bookmarkStart w:id="74" w:name="_Toc29537_WPSOffice_Level1"/>
      <w:bookmarkStart w:id="75" w:name="_Toc19972_WPSOffice_Level1"/>
      <w:r>
        <w:rPr>
          <w:rFonts w:hint="eastAsia"/>
          <w:b/>
          <w:bCs/>
          <w:color w:val="auto"/>
          <w:sz w:val="32"/>
          <w:szCs w:val="32"/>
          <w:highlight w:val="none"/>
        </w:rPr>
        <w:t>报价内容目录</w:t>
      </w:r>
      <w:bookmarkEnd w:id="74"/>
      <w:bookmarkEnd w:id="75"/>
    </w:p>
    <w:p>
      <w:pPr>
        <w:rPr>
          <w:color w:val="auto"/>
          <w:sz w:val="28"/>
          <w:szCs w:val="28"/>
          <w:highlight w:val="none"/>
        </w:rPr>
      </w:pPr>
    </w:p>
    <w:p>
      <w:pPr>
        <w:rPr>
          <w:color w:val="auto"/>
          <w:sz w:val="28"/>
          <w:szCs w:val="28"/>
          <w:highlight w:val="none"/>
        </w:rPr>
      </w:pP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bookmarkStart w:id="76" w:name="_Toc29988_WPSOffice_Level1"/>
      <w:bookmarkStart w:id="77" w:name="_Toc6778_WPSOffice_Level1"/>
      <w:r>
        <w:rPr>
          <w:rFonts w:hint="eastAsia" w:asciiTheme="minorEastAsia" w:hAnsiTheme="minorEastAsia" w:eastAsiaTheme="minorEastAsia"/>
          <w:color w:val="auto"/>
          <w:kern w:val="0"/>
          <w:sz w:val="24"/>
          <w:highlight w:val="none"/>
        </w:rPr>
        <w:t>（1）首次磋商一览表（附件12）；</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lang w:val="en-GB"/>
        </w:rPr>
      </w:pPr>
      <w:r>
        <w:rPr>
          <w:rFonts w:hint="eastAsia" w:asciiTheme="minorEastAsia" w:hAnsiTheme="minorEastAsia" w:eastAsiaTheme="minorEastAsia"/>
          <w:color w:val="auto"/>
          <w:kern w:val="0"/>
          <w:sz w:val="24"/>
          <w:highlight w:val="none"/>
        </w:rPr>
        <w:t>（2）中小企业、</w:t>
      </w:r>
      <w:r>
        <w:rPr>
          <w:rFonts w:hint="eastAsia" w:asciiTheme="minorEastAsia" w:hAnsiTheme="minorEastAsia" w:eastAsiaTheme="minorEastAsia"/>
          <w:color w:val="auto"/>
          <w:kern w:val="0"/>
          <w:sz w:val="24"/>
          <w:highlight w:val="none"/>
          <w:lang w:val="en-GB"/>
        </w:rPr>
        <w:t>残疾人福利性单位、监狱企业</w:t>
      </w:r>
      <w:r>
        <w:rPr>
          <w:rFonts w:hint="eastAsia" w:asciiTheme="minorEastAsia" w:hAnsiTheme="minorEastAsia" w:eastAsiaTheme="minorEastAsia"/>
          <w:color w:val="auto"/>
          <w:kern w:val="0"/>
          <w:sz w:val="24"/>
          <w:highlight w:val="none"/>
        </w:rPr>
        <w:t>等声明函（附件13）；</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（3）针对报价投标人认为其他需要说明的。</w:t>
      </w:r>
    </w:p>
    <w:bookmarkEnd w:id="76"/>
    <w:bookmarkEnd w:id="77"/>
    <w:p>
      <w:pPr>
        <w:spacing w:line="360" w:lineRule="auto"/>
        <w:ind w:firstLine="480" w:firstLineChars="200"/>
        <w:rPr>
          <w:color w:val="auto"/>
          <w:sz w:val="24"/>
          <w:highlight w:val="none"/>
        </w:rPr>
      </w:pPr>
    </w:p>
    <w:p>
      <w:pPr>
        <w:spacing w:line="360" w:lineRule="auto"/>
        <w:ind w:firstLine="482" w:firstLineChars="200"/>
        <w:rPr>
          <w:rFonts w:ascii="宋体" w:hAnsi="宋体"/>
          <w:b/>
          <w:color w:val="auto"/>
          <w:sz w:val="24"/>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pStyle w:val="7"/>
        <w:rPr>
          <w:rFonts w:ascii="宋体" w:hAnsi="宋体"/>
          <w:b/>
          <w:color w:val="auto"/>
          <w:sz w:val="28"/>
          <w:highlight w:val="none"/>
        </w:rPr>
      </w:pPr>
    </w:p>
    <w:p>
      <w:pPr>
        <w:pStyle w:val="7"/>
        <w:rPr>
          <w:rFonts w:ascii="宋体" w:hAnsi="宋体"/>
          <w:b/>
          <w:color w:val="auto"/>
          <w:sz w:val="28"/>
          <w:highlight w:val="none"/>
        </w:rPr>
      </w:pPr>
    </w:p>
    <w:p>
      <w:pPr>
        <w:pStyle w:val="7"/>
        <w:rPr>
          <w:rFonts w:ascii="宋体" w:hAnsi="宋体"/>
          <w:b/>
          <w:color w:val="auto"/>
          <w:sz w:val="28"/>
          <w:highlight w:val="none"/>
        </w:rPr>
      </w:pPr>
    </w:p>
    <w:p>
      <w:pPr>
        <w:pStyle w:val="7"/>
        <w:rPr>
          <w:rFonts w:ascii="宋体" w:hAnsi="宋体"/>
          <w:b/>
          <w:color w:val="auto"/>
          <w:sz w:val="28"/>
          <w:highlight w:val="none"/>
        </w:rPr>
      </w:pPr>
    </w:p>
    <w:p>
      <w:pPr>
        <w:pStyle w:val="7"/>
        <w:rPr>
          <w:rFonts w:ascii="宋体" w:hAnsi="宋体"/>
          <w:b/>
          <w:color w:val="auto"/>
          <w:sz w:val="28"/>
          <w:highlight w:val="none"/>
        </w:rPr>
      </w:pPr>
    </w:p>
    <w:p>
      <w:pPr>
        <w:pStyle w:val="7"/>
        <w:rPr>
          <w:rFonts w:ascii="宋体" w:hAnsi="宋体"/>
          <w:b/>
          <w:color w:val="auto"/>
          <w:sz w:val="28"/>
          <w:highlight w:val="none"/>
        </w:rPr>
      </w:pPr>
    </w:p>
    <w:p>
      <w:pPr>
        <w:pStyle w:val="7"/>
        <w:rPr>
          <w:rFonts w:ascii="宋体" w:hAnsi="宋体"/>
          <w:b/>
          <w:color w:val="auto"/>
          <w:sz w:val="28"/>
          <w:highlight w:val="none"/>
        </w:rPr>
      </w:pPr>
    </w:p>
    <w:p>
      <w:pPr>
        <w:pStyle w:val="7"/>
        <w:ind w:firstLine="0"/>
        <w:rPr>
          <w:rFonts w:ascii="宋体" w:hAnsi="宋体"/>
          <w:b/>
          <w:color w:val="auto"/>
          <w:sz w:val="28"/>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附件12</w:t>
      </w:r>
    </w:p>
    <w:p>
      <w:pPr>
        <w:spacing w:line="360" w:lineRule="auto"/>
        <w:ind w:left="-2" w:hanging="2"/>
        <w:jc w:val="center"/>
        <w:rPr>
          <w:rFonts w:ascii="宋体" w:hAnsi="宋体"/>
          <w:b/>
          <w:color w:val="auto"/>
          <w:sz w:val="32"/>
          <w:szCs w:val="32"/>
          <w:highlight w:val="none"/>
        </w:rPr>
      </w:pPr>
      <w:bookmarkStart w:id="78" w:name="_Toc16144_WPSOffice_Level1"/>
      <w:bookmarkStart w:id="79" w:name="_Toc30363_WPSOffice_Level1"/>
      <w:r>
        <w:rPr>
          <w:rFonts w:hint="eastAsia" w:ascii="宋体" w:hAnsi="宋体"/>
          <w:b/>
          <w:color w:val="auto"/>
          <w:sz w:val="32"/>
          <w:szCs w:val="32"/>
          <w:highlight w:val="none"/>
        </w:rPr>
        <w:t>首次磋商一览表 (第 标)</w:t>
      </w:r>
      <w:bookmarkEnd w:id="78"/>
      <w:bookmarkEnd w:id="79"/>
    </w:p>
    <w:p>
      <w:pPr>
        <w:spacing w:line="360" w:lineRule="auto"/>
        <w:ind w:left="-2" w:hanging="2"/>
        <w:jc w:val="center"/>
        <w:rPr>
          <w:rFonts w:ascii="宋体" w:hAnsi="宋体"/>
          <w:b/>
          <w:color w:val="auto"/>
          <w:sz w:val="32"/>
          <w:szCs w:val="32"/>
          <w:highlight w:val="none"/>
        </w:rPr>
      </w:pPr>
    </w:p>
    <w:p>
      <w:pPr>
        <w:pStyle w:val="13"/>
        <w:spacing w:line="320" w:lineRule="exact"/>
        <w:rPr>
          <w:rFonts w:hAnsi="宋体"/>
          <w:b/>
          <w:color w:val="auto"/>
          <w:sz w:val="24"/>
          <w:highlight w:val="none"/>
        </w:rPr>
      </w:pPr>
      <w:r>
        <w:rPr>
          <w:rFonts w:hAnsi="宋体"/>
          <w:b/>
          <w:color w:val="auto"/>
          <w:sz w:val="24"/>
          <w:highlight w:val="none"/>
        </w:rPr>
        <w:t>项目编号：</w:t>
      </w:r>
    </w:p>
    <w:p>
      <w:pPr>
        <w:pStyle w:val="41"/>
        <w:spacing w:line="360" w:lineRule="auto"/>
        <w:ind w:right="480"/>
        <w:jc w:val="left"/>
        <w:rPr>
          <w:rFonts w:ascii="宋体"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2"/>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5" w:hRule="atLeast"/>
          <w:jc w:val="center"/>
        </w:trPr>
        <w:tc>
          <w:tcPr>
            <w:tcW w:w="2694" w:type="dxa"/>
            <w:vMerge w:val="restart"/>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总报价(元)</w:t>
            </w:r>
          </w:p>
        </w:tc>
        <w:tc>
          <w:tcPr>
            <w:tcW w:w="1349" w:type="dxa"/>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vAlign w:val="center"/>
          </w:tcPr>
          <w:p>
            <w:pPr>
              <w:autoSpaceDE w:val="0"/>
              <w:autoSpaceDN w:val="0"/>
              <w:spacing w:line="450" w:lineRule="exact"/>
              <w:jc w:val="center"/>
              <w:textAlignment w:val="bottom"/>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3" w:hRule="atLeast"/>
          <w:jc w:val="center"/>
        </w:trPr>
        <w:tc>
          <w:tcPr>
            <w:tcW w:w="2694" w:type="dxa"/>
            <w:vMerge w:val="continue"/>
            <w:vAlign w:val="center"/>
          </w:tcPr>
          <w:p>
            <w:pPr>
              <w:rPr>
                <w:rFonts w:ascii="宋体" w:hAnsi="宋体"/>
                <w:color w:val="auto"/>
                <w:sz w:val="24"/>
                <w:highlight w:val="none"/>
              </w:rPr>
            </w:pPr>
          </w:p>
        </w:tc>
        <w:tc>
          <w:tcPr>
            <w:tcW w:w="1349" w:type="dxa"/>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vAlign w:val="center"/>
          </w:tcPr>
          <w:p>
            <w:pPr>
              <w:autoSpaceDE w:val="0"/>
              <w:autoSpaceDN w:val="0"/>
              <w:spacing w:line="450" w:lineRule="exact"/>
              <w:jc w:val="center"/>
              <w:textAlignment w:val="bottom"/>
              <w:rPr>
                <w:rFonts w:ascii="宋体" w:hAnsi="宋体"/>
                <w:color w:val="auto"/>
                <w:sz w:val="24"/>
                <w:highlight w:val="none"/>
              </w:rPr>
            </w:pPr>
          </w:p>
        </w:tc>
      </w:tr>
    </w:tbl>
    <w:p>
      <w:pPr>
        <w:spacing w:line="360" w:lineRule="auto"/>
        <w:rPr>
          <w:rFonts w:ascii="宋体" w:hAnsi="宋体"/>
          <w:b/>
          <w:color w:val="auto"/>
          <w:szCs w:val="21"/>
          <w:highlight w:val="none"/>
        </w:rPr>
      </w:pPr>
    </w:p>
    <w:p>
      <w:pPr>
        <w:spacing w:line="360" w:lineRule="auto"/>
        <w:rPr>
          <w:rFonts w:ascii="宋体" w:hAnsi="宋体"/>
          <w:color w:val="auto"/>
          <w:sz w:val="24"/>
          <w:highlight w:val="none"/>
        </w:rPr>
      </w:pPr>
      <w:r>
        <w:rPr>
          <w:rFonts w:hint="eastAsia" w:ascii="宋体" w:hAnsi="宋体"/>
          <w:b/>
          <w:color w:val="auto"/>
          <w:szCs w:val="21"/>
          <w:highlight w:val="none"/>
        </w:rPr>
        <w:t>填报要求：</w:t>
      </w:r>
    </w:p>
    <w:p>
      <w:pPr>
        <w:numPr>
          <w:ilvl w:val="0"/>
          <w:numId w:val="8"/>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磋商总报价包括本项目采购需求和投入使用的所有费用，</w:t>
      </w:r>
      <w:r>
        <w:rPr>
          <w:rFonts w:hint="eastAsia" w:ascii="宋体" w:hAnsi="宋体"/>
          <w:color w:val="auto"/>
          <w:szCs w:val="21"/>
          <w:highlight w:val="none"/>
          <w:lang w:eastAsia="zh-CN"/>
        </w:rPr>
        <w:t>包含地形测量、设计以及成果各项内容、前期沟通、后续服务（含调研、踏勘、成果印刷、邮寄等费用）、各阶段成果评审、税金、管理费用等所有费用</w:t>
      </w:r>
      <w:r>
        <w:rPr>
          <w:rFonts w:hint="eastAsia" w:ascii="宋体" w:hAnsi="宋体"/>
          <w:color w:val="auto"/>
          <w:szCs w:val="21"/>
          <w:highlight w:val="none"/>
        </w:rPr>
        <w:t>。各投标人应根据招标人提供的技术资料、工程量清单，以及本工程实际情况和自身的综合实力，竞报投标报价。总报价以人民币元计。知识产权等由投标人在投标报价时综合考虑，以后不作任何调整。</w:t>
      </w:r>
    </w:p>
    <w:p>
      <w:pPr>
        <w:numPr>
          <w:ilvl w:val="0"/>
          <w:numId w:val="8"/>
        </w:numPr>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报价一经涂改，应在涂改处加盖单位公章，或者由法定代表人或全权代表签字或盖章，否则作无效标处理。</w:t>
      </w:r>
    </w:p>
    <w:p>
      <w:pPr>
        <w:spacing w:line="360" w:lineRule="auto"/>
        <w:ind w:left="420"/>
        <w:rPr>
          <w:rFonts w:ascii="宋体" w:hAnsi="宋体"/>
          <w:color w:val="auto"/>
          <w:sz w:val="24"/>
          <w:highlight w:val="none"/>
        </w:rPr>
      </w:pPr>
    </w:p>
    <w:p>
      <w:pPr>
        <w:pStyle w:val="21"/>
        <w:rPr>
          <w:color w:val="auto"/>
          <w:highlight w:val="none"/>
        </w:rPr>
      </w:pPr>
    </w:p>
    <w:p>
      <w:pPr>
        <w:pStyle w:val="21"/>
        <w:rPr>
          <w:color w:val="auto"/>
          <w:highlight w:val="none"/>
        </w:rPr>
      </w:pPr>
    </w:p>
    <w:p>
      <w:pPr>
        <w:pStyle w:val="21"/>
        <w:rPr>
          <w:color w:val="auto"/>
          <w:highlight w:val="none"/>
        </w:rPr>
      </w:pP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color w:val="auto"/>
          <w:sz w:val="24"/>
          <w:highlight w:val="none"/>
        </w:rPr>
        <w:t>供应商全称（电子印章）</w:t>
      </w:r>
      <w:r>
        <w:rPr>
          <w:rFonts w:hint="eastAsia" w:ascii="宋体" w:hAnsi="宋体"/>
          <w:color w:val="auto"/>
          <w:sz w:val="24"/>
          <w:highlight w:val="none"/>
        </w:rPr>
        <w:t>：</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s="仿宋_GB2312"/>
          <w:color w:val="auto"/>
          <w:kern w:val="0"/>
          <w:sz w:val="24"/>
          <w:highlight w:val="none"/>
          <w:lang w:val="en-US" w:eastAsia="zh-CN"/>
        </w:rPr>
        <w:t>或盖章</w:t>
      </w:r>
      <w:r>
        <w:rPr>
          <w:rFonts w:hint="eastAsia" w:ascii="宋体" w:hAnsi="宋体"/>
          <w:color w:val="auto"/>
          <w:sz w:val="24"/>
          <w:highlight w:val="none"/>
        </w:rPr>
        <w:t>：</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napToGrid w:val="0"/>
        <w:spacing w:beforeLines="50" w:after="50" w:line="360" w:lineRule="auto"/>
        <w:rPr>
          <w:rFonts w:hint="eastAsia" w:ascii="宋体" w:hAnsi="宋体"/>
          <w:b/>
          <w:color w:val="auto"/>
          <w:sz w:val="28"/>
          <w:highlight w:val="none"/>
        </w:rPr>
      </w:pPr>
    </w:p>
    <w:p>
      <w:pPr>
        <w:snapToGrid w:val="0"/>
        <w:spacing w:beforeLines="50" w:after="50" w:line="360" w:lineRule="auto"/>
        <w:rPr>
          <w:rFonts w:ascii="宋体" w:hAnsi="宋体"/>
          <w:b/>
          <w:color w:val="auto"/>
          <w:sz w:val="28"/>
          <w:szCs w:val="28"/>
          <w:highlight w:val="none"/>
        </w:rPr>
      </w:pPr>
      <w:r>
        <w:rPr>
          <w:rFonts w:hint="eastAsia" w:ascii="宋体" w:hAnsi="宋体"/>
          <w:b/>
          <w:color w:val="auto"/>
          <w:sz w:val="28"/>
          <w:highlight w:val="none"/>
        </w:rPr>
        <w:t>附件13</w:t>
      </w:r>
    </w:p>
    <w:p>
      <w:pPr>
        <w:pStyle w:val="42"/>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r>
        <w:rPr>
          <w:rFonts w:hint="eastAsia" w:ascii="宋体" w:hAnsi="宋体"/>
          <w:b/>
          <w:color w:val="auto"/>
          <w:sz w:val="32"/>
          <w:szCs w:val="32"/>
          <w:highlight w:val="none"/>
        </w:rPr>
        <w:t>服务</w:t>
      </w:r>
      <w:r>
        <w:rPr>
          <w:rFonts w:hint="eastAsia" w:ascii="宋体" w:hAnsi="宋体"/>
          <w:b/>
          <w:color w:val="auto"/>
          <w:sz w:val="32"/>
          <w:szCs w:val="32"/>
          <w:highlight w:val="none"/>
          <w:lang w:val="en-GB"/>
        </w:rPr>
        <w:t>）</w:t>
      </w:r>
    </w:p>
    <w:p>
      <w:pPr>
        <w:pStyle w:val="42"/>
        <w:spacing w:line="360" w:lineRule="auto"/>
        <w:jc w:val="center"/>
        <w:rPr>
          <w:rFonts w:ascii="宋体" w:hAnsi="宋体"/>
          <w:b/>
          <w:color w:val="auto"/>
          <w:sz w:val="24"/>
          <w:highlight w:val="none"/>
          <w:lang w:val="en-GB"/>
        </w:rPr>
      </w:pPr>
    </w:p>
    <w:p>
      <w:pPr>
        <w:pStyle w:val="42"/>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本公司（联合体）郑重声明，根据《政府采购促进中小企业发展管理办法》（财库﹝2020﹞46号）的规定，本公司（联合体）参加</w:t>
      </w:r>
      <w:r>
        <w:rPr>
          <w:rFonts w:hint="eastAsia" w:ascii="宋体" w:hAnsi="宋体"/>
          <w:color w:val="auto"/>
          <w:spacing w:val="6"/>
          <w:sz w:val="24"/>
          <w:highlight w:val="none"/>
          <w:u w:val="single"/>
        </w:rPr>
        <w:t>（单位名称）</w:t>
      </w:r>
      <w:r>
        <w:rPr>
          <w:rFonts w:hint="eastAsia" w:ascii="宋体" w:hAnsi="宋体"/>
          <w:color w:val="auto"/>
          <w:spacing w:val="6"/>
          <w:sz w:val="24"/>
          <w:highlight w:val="none"/>
        </w:rPr>
        <w:t>的</w:t>
      </w:r>
      <w:r>
        <w:rPr>
          <w:rFonts w:hint="eastAsia" w:ascii="宋体" w:hAnsi="宋体"/>
          <w:color w:val="auto"/>
          <w:spacing w:val="6"/>
          <w:sz w:val="24"/>
          <w:highlight w:val="none"/>
          <w:u w:val="single"/>
        </w:rPr>
        <w:t>（项目名称）</w:t>
      </w:r>
      <w:r>
        <w:rPr>
          <w:rFonts w:hint="eastAsia" w:ascii="宋体" w:hAnsi="宋体"/>
          <w:color w:val="auto"/>
          <w:spacing w:val="6"/>
          <w:sz w:val="24"/>
          <w:highlight w:val="none"/>
        </w:rPr>
        <w:t>采购活动，服务全部由符合政策要求的中小企业承接。相关企业（含联合体中的中小企业、签订分包意向协议的中小企业）的具体情况如下：</w:t>
      </w:r>
    </w:p>
    <w:p>
      <w:pPr>
        <w:pStyle w:val="42"/>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1.</w:t>
      </w:r>
      <w:r>
        <w:rPr>
          <w:rFonts w:hint="eastAsia" w:ascii="宋体" w:hAnsi="宋体"/>
          <w:color w:val="auto"/>
          <w:spacing w:val="6"/>
          <w:sz w:val="24"/>
          <w:highlight w:val="none"/>
          <w:u w:val="single"/>
        </w:rPr>
        <w:t>（标的名称）</w:t>
      </w:r>
      <w:r>
        <w:rPr>
          <w:rFonts w:hint="eastAsia" w:ascii="宋体" w:hAnsi="宋体"/>
          <w:color w:val="auto"/>
          <w:spacing w:val="6"/>
          <w:sz w:val="24"/>
          <w:highlight w:val="none"/>
        </w:rPr>
        <w:t>，属于</w:t>
      </w:r>
      <w:r>
        <w:rPr>
          <w:rFonts w:hint="eastAsia" w:ascii="宋体" w:hAnsi="宋体"/>
          <w:color w:val="auto"/>
          <w:spacing w:val="6"/>
          <w:sz w:val="24"/>
          <w:highlight w:val="none"/>
          <w:u w:val="single"/>
        </w:rPr>
        <w:t>（采购文件中明确的所属行业）</w:t>
      </w:r>
      <w:r>
        <w:rPr>
          <w:rFonts w:hint="eastAsia" w:ascii="宋体" w:hAnsi="宋体"/>
          <w:color w:val="auto"/>
          <w:spacing w:val="6"/>
          <w:sz w:val="24"/>
          <w:highlight w:val="none"/>
        </w:rPr>
        <w:t>；承建（承接）企业为</w:t>
      </w:r>
      <w:r>
        <w:rPr>
          <w:rFonts w:hint="eastAsia" w:ascii="宋体" w:hAnsi="宋体"/>
          <w:color w:val="auto"/>
          <w:spacing w:val="6"/>
          <w:sz w:val="24"/>
          <w:highlight w:val="none"/>
          <w:u w:val="single"/>
        </w:rPr>
        <w:t>（企业名称）</w:t>
      </w:r>
      <w:r>
        <w:rPr>
          <w:rFonts w:hint="eastAsia" w:ascii="宋体" w:hAnsi="宋体"/>
          <w:color w:val="auto"/>
          <w:spacing w:val="6"/>
          <w:sz w:val="24"/>
          <w:highlight w:val="none"/>
        </w:rPr>
        <w:t>，从业人员人，营业收入为万元，资产总额为万元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pacing w:val="6"/>
          <w:sz w:val="24"/>
          <w:highlight w:val="none"/>
        </w:rPr>
        <w:t>，属于</w:t>
      </w:r>
      <w:r>
        <w:rPr>
          <w:rFonts w:hint="eastAsia" w:ascii="宋体" w:hAnsi="宋体"/>
          <w:color w:val="auto"/>
          <w:spacing w:val="6"/>
          <w:sz w:val="24"/>
          <w:highlight w:val="none"/>
          <w:u w:val="single"/>
        </w:rPr>
        <w:t>（中型企业、小型企业、微型企业）</w:t>
      </w:r>
      <w:r>
        <w:rPr>
          <w:rFonts w:hint="eastAsia" w:ascii="宋体" w:hAnsi="宋体"/>
          <w:color w:val="auto"/>
          <w:spacing w:val="6"/>
          <w:sz w:val="24"/>
          <w:highlight w:val="none"/>
        </w:rPr>
        <w:t>；</w:t>
      </w:r>
    </w:p>
    <w:p>
      <w:pPr>
        <w:pStyle w:val="42"/>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2.</w:t>
      </w:r>
      <w:r>
        <w:rPr>
          <w:rFonts w:hint="eastAsia" w:ascii="宋体" w:hAnsi="宋体"/>
          <w:color w:val="auto"/>
          <w:spacing w:val="6"/>
          <w:sz w:val="24"/>
          <w:highlight w:val="none"/>
          <w:u w:val="single"/>
        </w:rPr>
        <w:t>（标的名称）</w:t>
      </w:r>
      <w:r>
        <w:rPr>
          <w:rFonts w:hint="eastAsia" w:ascii="宋体" w:hAnsi="宋体"/>
          <w:color w:val="auto"/>
          <w:spacing w:val="6"/>
          <w:sz w:val="24"/>
          <w:highlight w:val="none"/>
        </w:rPr>
        <w:t>，属于</w:t>
      </w:r>
      <w:r>
        <w:rPr>
          <w:rFonts w:hint="eastAsia" w:ascii="宋体" w:hAnsi="宋体"/>
          <w:color w:val="auto"/>
          <w:spacing w:val="6"/>
          <w:sz w:val="24"/>
          <w:highlight w:val="none"/>
          <w:u w:val="single"/>
        </w:rPr>
        <w:t>（采购文件中明确的所属行业）</w:t>
      </w:r>
      <w:r>
        <w:rPr>
          <w:rFonts w:hint="eastAsia" w:ascii="宋体" w:hAnsi="宋体"/>
          <w:color w:val="auto"/>
          <w:spacing w:val="6"/>
          <w:sz w:val="24"/>
          <w:highlight w:val="none"/>
        </w:rPr>
        <w:t>；承建（承接）企业为</w:t>
      </w:r>
      <w:r>
        <w:rPr>
          <w:rFonts w:hint="eastAsia" w:ascii="宋体" w:hAnsi="宋体"/>
          <w:color w:val="auto"/>
          <w:spacing w:val="6"/>
          <w:sz w:val="24"/>
          <w:highlight w:val="none"/>
          <w:u w:val="single"/>
        </w:rPr>
        <w:t>（企业名称）</w:t>
      </w:r>
      <w:r>
        <w:rPr>
          <w:rFonts w:hint="eastAsia" w:ascii="宋体" w:hAnsi="宋体"/>
          <w:color w:val="auto"/>
          <w:spacing w:val="6"/>
          <w:sz w:val="24"/>
          <w:highlight w:val="none"/>
        </w:rPr>
        <w:t>，从业人员人，营业收入为万元，资产总额为万元，属于</w:t>
      </w:r>
      <w:r>
        <w:rPr>
          <w:rFonts w:hint="eastAsia" w:ascii="宋体" w:hAnsi="宋体"/>
          <w:color w:val="auto"/>
          <w:spacing w:val="6"/>
          <w:sz w:val="24"/>
          <w:highlight w:val="none"/>
          <w:u w:val="single"/>
        </w:rPr>
        <w:t>（中型企业、小型企业、微型企业）</w:t>
      </w:r>
      <w:r>
        <w:rPr>
          <w:rFonts w:hint="eastAsia" w:ascii="宋体" w:hAnsi="宋体"/>
          <w:color w:val="auto"/>
          <w:spacing w:val="6"/>
          <w:sz w:val="24"/>
          <w:highlight w:val="none"/>
        </w:rPr>
        <w:t>；</w:t>
      </w:r>
    </w:p>
    <w:p>
      <w:pPr>
        <w:pStyle w:val="42"/>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w:t>
      </w:r>
    </w:p>
    <w:p>
      <w:pPr>
        <w:pStyle w:val="42"/>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以上企业，不属于大企业的分支机构，不存在控股股东为大企业的情形，也不存在与大企业的负责人为同一人的情形。</w:t>
      </w:r>
    </w:p>
    <w:p>
      <w:pPr>
        <w:pStyle w:val="42"/>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本企业对上述声明内容的真实性负责。如有虚假，将依法承担相应责任。</w:t>
      </w:r>
    </w:p>
    <w:p>
      <w:pPr>
        <w:pStyle w:val="42"/>
        <w:spacing w:line="360" w:lineRule="auto"/>
        <w:rPr>
          <w:rFonts w:ascii="宋体" w:hAnsi="宋体"/>
          <w:color w:val="auto"/>
          <w:spacing w:val="6"/>
          <w:sz w:val="24"/>
          <w:highlight w:val="none"/>
        </w:rPr>
      </w:pPr>
    </w:p>
    <w:p>
      <w:pPr>
        <w:pStyle w:val="42"/>
        <w:spacing w:line="360" w:lineRule="auto"/>
        <w:rPr>
          <w:rFonts w:ascii="宋体" w:hAnsi="宋体"/>
          <w:color w:val="auto"/>
          <w:spacing w:val="6"/>
          <w:sz w:val="24"/>
          <w:highlight w:val="none"/>
        </w:rPr>
      </w:pPr>
    </w:p>
    <w:p>
      <w:pPr>
        <w:pStyle w:val="42"/>
        <w:spacing w:line="360" w:lineRule="auto"/>
        <w:rPr>
          <w:rFonts w:ascii="宋体" w:hAnsi="宋体"/>
          <w:color w:val="auto"/>
          <w:spacing w:val="6"/>
          <w:sz w:val="24"/>
          <w:highlight w:val="none"/>
        </w:rPr>
      </w:pPr>
    </w:p>
    <w:p>
      <w:pPr>
        <w:pStyle w:val="42"/>
        <w:spacing w:line="360" w:lineRule="auto"/>
        <w:ind w:firstLine="5280" w:firstLineChars="2200"/>
        <w:rPr>
          <w:rFonts w:ascii="宋体" w:hAnsi="宋体"/>
          <w:color w:val="auto"/>
          <w:spacing w:val="6"/>
          <w:sz w:val="24"/>
          <w:highlight w:val="none"/>
        </w:rPr>
      </w:pPr>
      <w:r>
        <w:rPr>
          <w:rFonts w:hint="eastAsia" w:ascii="宋体"/>
          <w:color w:val="auto"/>
          <w:sz w:val="24"/>
          <w:highlight w:val="none"/>
        </w:rPr>
        <w:t>供应商全称（电子印章）</w:t>
      </w:r>
      <w:r>
        <w:rPr>
          <w:rFonts w:hint="eastAsia" w:ascii="宋体" w:hAnsi="宋体"/>
          <w:color w:val="auto"/>
          <w:spacing w:val="6"/>
          <w:sz w:val="24"/>
          <w:highlight w:val="none"/>
        </w:rPr>
        <w:t>：</w:t>
      </w:r>
    </w:p>
    <w:p>
      <w:pPr>
        <w:pStyle w:val="42"/>
        <w:wordWrap w:val="0"/>
        <w:spacing w:line="360" w:lineRule="auto"/>
        <w:ind w:firstLine="5040" w:firstLineChars="2000"/>
        <w:jc w:val="right"/>
        <w:rPr>
          <w:rFonts w:ascii="宋体" w:hAnsi="宋体" w:cs="宋体"/>
          <w:color w:val="auto"/>
          <w:sz w:val="24"/>
          <w:highlight w:val="none"/>
        </w:rPr>
      </w:pPr>
      <w:r>
        <w:rPr>
          <w:rFonts w:hint="eastAsia" w:ascii="宋体" w:hAnsi="宋体"/>
          <w:color w:val="auto"/>
          <w:spacing w:val="6"/>
          <w:sz w:val="24"/>
          <w:highlight w:val="none"/>
        </w:rPr>
        <w:t>日期：××年××月××日</w:t>
      </w:r>
    </w:p>
    <w:p>
      <w:pPr>
        <w:spacing w:line="360" w:lineRule="auto"/>
        <w:rPr>
          <w:rFonts w:ascii="宋体" w:hAnsi="宋体" w:cs="宋体"/>
          <w:color w:val="auto"/>
          <w:sz w:val="24"/>
          <w:highlight w:val="none"/>
        </w:rPr>
      </w:pPr>
    </w:p>
    <w:p>
      <w:pPr>
        <w:pStyle w:val="7"/>
        <w:ind w:firstLine="0"/>
        <w:rPr>
          <w:rFonts w:ascii="宋体" w:hAnsi="宋体" w:cs="宋体"/>
          <w:color w:val="auto"/>
          <w:sz w:val="24"/>
          <w:szCs w:val="24"/>
          <w:highlight w:val="none"/>
        </w:rPr>
      </w:pPr>
    </w:p>
    <w:p>
      <w:pPr>
        <w:pStyle w:val="7"/>
        <w:rPr>
          <w:rFonts w:ascii="宋体" w:hAnsi="宋体" w:cs="宋体"/>
          <w:color w:val="auto"/>
          <w:sz w:val="24"/>
          <w:szCs w:val="24"/>
          <w:highlight w:val="none"/>
        </w:rPr>
      </w:pPr>
    </w:p>
    <w:p>
      <w:pPr>
        <w:spacing w:line="360" w:lineRule="auto"/>
        <w:rPr>
          <w:rFonts w:ascii="宋体" w:hAnsi="宋体" w:cs="宋体"/>
          <w:color w:val="auto"/>
          <w:sz w:val="24"/>
          <w:highlight w:val="none"/>
        </w:rPr>
      </w:pPr>
      <w:r>
        <w:rPr>
          <w:rFonts w:ascii="宋体" w:hAnsi="宋体" w:cs="宋体"/>
          <w:color w:val="auto"/>
          <w:sz w:val="24"/>
          <w:highlight w:val="none"/>
        </w:rPr>
        <w:pict>
          <v:line id="_x0000_s1026" o:spid="_x0000_s1026" o:spt="20" style="position:absolute;left:0pt;margin-left:0.4pt;margin-top:16.5pt;height:0pt;width:235pt;z-index:251659264;mso-width-relative:page;mso-height-relative:page;"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path arrowok="t"/>
            <v:fill focussize="0,0"/>
            <v:stroke weight="1.25pt" joinstyle="miter"/>
            <v:imagedata o:title=""/>
            <o:lock v:ext="edit"/>
          </v:line>
        </w:pict>
      </w:r>
    </w:p>
    <w:p>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pPr>
        <w:spacing w:line="360" w:lineRule="auto"/>
        <w:rPr>
          <w:rFonts w:ascii="宋体" w:hAnsi="宋体" w:cs="宋体"/>
          <w:color w:val="auto"/>
          <w:sz w:val="24"/>
          <w:highlight w:val="none"/>
        </w:rPr>
        <w:sectPr>
          <w:headerReference r:id="rId4" w:type="first"/>
          <w:headerReference r:id="rId3" w:type="default"/>
          <w:footerReference r:id="rId5" w:type="default"/>
          <w:pgSz w:w="11906" w:h="16838"/>
          <w:pgMar w:top="1440" w:right="1418" w:bottom="1440" w:left="1418" w:header="851" w:footer="851" w:gutter="0"/>
          <w:cols w:space="720" w:num="1"/>
          <w:docGrid w:linePitch="312" w:charSpace="0"/>
        </w:sectPr>
      </w:pPr>
    </w:p>
    <w:p>
      <w:pPr>
        <w:pStyle w:val="13"/>
        <w:spacing w:line="360" w:lineRule="auto"/>
        <w:jc w:val="center"/>
        <w:outlineLvl w:val="1"/>
        <w:rPr>
          <w:rFonts w:hAnsi="宋体" w:cs="宋体"/>
          <w:b/>
          <w:color w:val="auto"/>
          <w:sz w:val="32"/>
          <w:szCs w:val="32"/>
          <w:highlight w:val="none"/>
          <w:lang w:val="en-GB"/>
        </w:rPr>
      </w:pPr>
      <w:bookmarkStart w:id="80" w:name="_Toc17646_WPSOffice_Level1"/>
      <w:bookmarkStart w:id="81" w:name="_Toc27483_WPSOffice_Level1"/>
      <w:r>
        <w:rPr>
          <w:rFonts w:hint="eastAsia" w:hAnsi="宋体" w:cs="宋体"/>
          <w:b/>
          <w:color w:val="auto"/>
          <w:sz w:val="32"/>
          <w:szCs w:val="32"/>
          <w:highlight w:val="none"/>
          <w:lang w:val="en-GB"/>
        </w:rPr>
        <w:t>残疾人福利性单位声明函</w:t>
      </w:r>
      <w:bookmarkEnd w:id="80"/>
      <w:bookmarkEnd w:id="81"/>
    </w:p>
    <w:p>
      <w:pPr>
        <w:pStyle w:val="14"/>
        <w:ind w:left="5250"/>
        <w:rPr>
          <w:color w:val="auto"/>
          <w:sz w:val="24"/>
          <w:szCs w:val="24"/>
          <w:highlight w:val="none"/>
          <w:lang w:val="en-GB"/>
        </w:rPr>
      </w:pP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141号）的规定，本单位为符合条件的残疾人福利性单位，且本单位参加单位的</w:t>
      </w:r>
    </w:p>
    <w:p>
      <w:pPr>
        <w:spacing w:line="588" w:lineRule="exact"/>
        <w:rPr>
          <w:rFonts w:ascii="宋体" w:hAnsi="宋体" w:cs="宋体"/>
          <w:color w:val="auto"/>
          <w:spacing w:val="6"/>
          <w:sz w:val="24"/>
          <w:highlight w:val="none"/>
        </w:rPr>
      </w:pPr>
      <w:r>
        <w:rPr>
          <w:rFonts w:hint="eastAsia" w:ascii="宋体" w:hAnsi="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hAnsi="宋体" w:cs="宋体"/>
          <w:color w:val="auto"/>
          <w:spacing w:val="6"/>
          <w:sz w:val="24"/>
          <w:highlight w:val="none"/>
        </w:rPr>
      </w:pP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w:t>
      </w:r>
      <w:r>
        <w:rPr>
          <w:rFonts w:hint="eastAsia" w:ascii="宋体"/>
          <w:color w:val="auto"/>
          <w:sz w:val="24"/>
          <w:highlight w:val="none"/>
        </w:rPr>
        <w:t>供应商全称（电子印章）</w:t>
      </w:r>
      <w:r>
        <w:rPr>
          <w:rFonts w:hint="eastAsia" w:ascii="宋体" w:hAnsi="宋体" w:cs="宋体"/>
          <w:color w:val="auto"/>
          <w:spacing w:val="6"/>
          <w:sz w:val="24"/>
          <w:highlight w:val="none"/>
        </w:rPr>
        <w:t>：</w:t>
      </w:r>
    </w:p>
    <w:p>
      <w:pPr>
        <w:tabs>
          <w:tab w:val="left" w:pos="4860"/>
        </w:tabs>
        <w:spacing w:line="588" w:lineRule="exact"/>
        <w:ind w:right="1560" w:firstLine="504" w:firstLineChars="200"/>
        <w:jc w:val="center"/>
        <w:rPr>
          <w:rFonts w:ascii="宋体" w:hAnsi="宋体" w:cs="宋体"/>
          <w:color w:val="auto"/>
          <w:spacing w:val="6"/>
          <w:sz w:val="24"/>
          <w:highlight w:val="none"/>
        </w:rPr>
      </w:pPr>
    </w:p>
    <w:p>
      <w:pPr>
        <w:tabs>
          <w:tab w:val="left" w:pos="4860"/>
        </w:tabs>
        <w:spacing w:line="588" w:lineRule="exact"/>
        <w:ind w:right="1560" w:firstLine="504" w:firstLineChars="200"/>
        <w:jc w:val="center"/>
        <w:rPr>
          <w:rFonts w:ascii="宋体" w:hAnsi="宋体" w:cs="宋体"/>
          <w:color w:val="auto"/>
          <w:sz w:val="24"/>
          <w:highlight w:val="none"/>
        </w:rPr>
      </w:pPr>
      <w:r>
        <w:rPr>
          <w:rFonts w:hint="eastAsia" w:ascii="宋体" w:hAnsi="宋体" w:cs="宋体"/>
          <w:color w:val="auto"/>
          <w:spacing w:val="6"/>
          <w:sz w:val="24"/>
          <w:highlight w:val="none"/>
        </w:rPr>
        <w:t xml:space="preserve">                                  日  期  ：</w:t>
      </w:r>
    </w:p>
    <w:p>
      <w:pPr>
        <w:rPr>
          <w:color w:val="auto"/>
          <w:highlight w:val="none"/>
        </w:rPr>
      </w:pPr>
    </w:p>
    <w:bookmarkEnd w:id="82"/>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path/>
          <v:fill on="f" focussize="0,0"/>
          <v:stroke on="f" weight="0.5pt" joinstyle="miter"/>
          <v:imagedata o:title=""/>
          <o:lock v:ext="edit"/>
          <v:textbox inset="0mm,0mm,0mm,0mm" style="mso-fit-shape-to-text:t;">
            <w:txbxContent>
              <w:p>
                <w:pPr>
                  <w:pStyle w:val="16"/>
                </w:pPr>
                <w:r>
                  <w:fldChar w:fldCharType="begin"/>
                </w:r>
                <w:r>
                  <w:instrText xml:space="preserve"> PAGE  \* MERGEFORMAT </w:instrText>
                </w:r>
                <w:r>
                  <w:fldChar w:fldCharType="separate"/>
                </w:r>
                <w:r>
                  <w:t>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path/>
          <v:fill on="f" focussize="0,0"/>
          <v:stroke on="f" weight="0.5pt" joinstyle="miter"/>
          <v:imagedata o:title=""/>
          <o:lock v:ext="edit"/>
          <v:textbox inset="0mm,0mm,0mm,0mm" style="mso-fit-shape-to-text:t;">
            <w:txbxContent>
              <w:p>
                <w:pPr>
                  <w:pStyle w:val="16"/>
                </w:pPr>
                <w:r>
                  <w:fldChar w:fldCharType="begin"/>
                </w:r>
                <w:r>
                  <w:instrText xml:space="preserve"> PAGE  \* MERGEFORMAT </w:instrText>
                </w:r>
                <w:r>
                  <w:fldChar w:fldCharType="separate"/>
                </w:r>
                <w:r>
                  <w:t>48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rPr>
    </w:pPr>
    <w:r>
      <w:rPr>
        <w:rFonts w:hint="eastAsia"/>
        <w:b/>
        <w:i/>
        <w:color w:val="000000" w:themeColor="text1"/>
        <w:kern w:val="0"/>
        <w:sz w:val="18"/>
        <w:u w:val="single"/>
      </w:rPr>
      <w:t xml:space="preserve">政府采购竞争性磋商文件--服务                                                         </w:t>
    </w:r>
    <w:r>
      <w:rPr>
        <w:rFonts w:hint="eastAsia"/>
        <w:b/>
        <w:i/>
        <w:color w:val="000000" w:themeColor="text1"/>
        <w:spacing w:val="-20"/>
        <w:kern w:val="0"/>
        <w:sz w:val="18"/>
        <w:u w:val="single"/>
      </w:rPr>
      <w:t xml:space="preserve">第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Pr>
        <w:b/>
        <w:i/>
        <w:color w:val="000000" w:themeColor="text1"/>
        <w:spacing w:val="-20"/>
        <w:kern w:val="0"/>
        <w:sz w:val="18"/>
        <w:u w:val="single"/>
      </w:rPr>
      <w:t>6</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页 共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Pr>
        <w:b/>
        <w:i/>
        <w:color w:val="000000" w:themeColor="text1"/>
        <w:spacing w:val="-20"/>
        <w:kern w:val="0"/>
        <w:sz w:val="18"/>
        <w:u w:val="single"/>
      </w:rPr>
      <w:t>48</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 页</w:t>
    </w:r>
  </w:p>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rPr>
    </w:pPr>
    <w:r>
      <w:rPr>
        <w:rFonts w:hint="eastAsia"/>
        <w:b/>
        <w:i/>
        <w:color w:val="000000" w:themeColor="text1"/>
        <w:kern w:val="0"/>
        <w:sz w:val="18"/>
        <w:u w:val="single"/>
      </w:rPr>
      <w:t xml:space="preserve">Xxx政府采购招标文件                                                            </w:t>
    </w:r>
    <w:r>
      <w:rPr>
        <w:rFonts w:hint="eastAsia"/>
        <w:b/>
        <w:i/>
        <w:color w:val="000000" w:themeColor="text1"/>
        <w:spacing w:val="-20"/>
        <w:kern w:val="0"/>
        <w:sz w:val="18"/>
        <w:u w:val="single"/>
      </w:rPr>
      <w:t>第</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Pr>
        <w:b/>
        <w:i/>
        <w:color w:val="000000" w:themeColor="text1"/>
        <w:spacing w:val="-20"/>
        <w:kern w:val="0"/>
        <w:sz w:val="18"/>
        <w:u w:val="single"/>
      </w:rPr>
      <w:t>48</w:t>
    </w:r>
    <w:r>
      <w:rPr>
        <w:b/>
        <w:i/>
        <w:color w:val="000000" w:themeColor="text1"/>
        <w:spacing w:val="-20"/>
        <w:kern w:val="0"/>
        <w:sz w:val="18"/>
        <w:u w:val="single"/>
      </w:rPr>
      <w:fldChar w:fldCharType="end"/>
    </w:r>
    <w:r>
      <w:rPr>
        <w:rFonts w:hint="eastAsia"/>
        <w:b/>
        <w:i/>
        <w:color w:val="000000" w:themeColor="text1"/>
        <w:spacing w:val="-20"/>
        <w:kern w:val="0"/>
        <w:sz w:val="18"/>
        <w:u w:val="single"/>
      </w:rPr>
      <w:t>页共</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Pr>
        <w:b/>
        <w:i/>
        <w:color w:val="000000" w:themeColor="text1"/>
        <w:spacing w:val="-20"/>
        <w:kern w:val="0"/>
        <w:sz w:val="18"/>
        <w:u w:val="single"/>
      </w:rPr>
      <w:t>48</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B6EF98BC"/>
    <w:multiLevelType w:val="singleLevel"/>
    <w:tmpl w:val="B6EF98BC"/>
    <w:lvl w:ilvl="0" w:tentative="0">
      <w:start w:val="1"/>
      <w:numFmt w:val="decimal"/>
      <w:suff w:val="nothing"/>
      <w:lvlText w:val="%1、"/>
      <w:lvlJc w:val="left"/>
    </w:lvl>
  </w:abstractNum>
  <w:abstractNum w:abstractNumId="2">
    <w:nsid w:val="DF48CB86"/>
    <w:multiLevelType w:val="singleLevel"/>
    <w:tmpl w:val="DF48CB86"/>
    <w:lvl w:ilvl="0" w:tentative="0">
      <w:start w:val="1"/>
      <w:numFmt w:val="chineseCounting"/>
      <w:suff w:val="nothing"/>
      <w:lvlText w:val="（%1）"/>
      <w:lvlJc w:val="left"/>
      <w:rPr>
        <w:rFonts w:hint="eastAsia"/>
      </w:rPr>
    </w:lvl>
  </w:abstractNum>
  <w:abstractNum w:abstractNumId="3">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4">
    <w:nsid w:val="10513862"/>
    <w:multiLevelType w:val="singleLevel"/>
    <w:tmpl w:val="10513862"/>
    <w:lvl w:ilvl="0" w:tentative="0">
      <w:start w:val="1"/>
      <w:numFmt w:val="chineseCounting"/>
      <w:suff w:val="nothing"/>
      <w:lvlText w:val="%1、"/>
      <w:lvlJc w:val="left"/>
      <w:rPr>
        <w:rFonts w:hint="eastAsia"/>
      </w:r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7">
    <w:nsid w:val="66DDD653"/>
    <w:multiLevelType w:val="singleLevel"/>
    <w:tmpl w:val="66DDD653"/>
    <w:lvl w:ilvl="0" w:tentative="0">
      <w:start w:val="1"/>
      <w:numFmt w:val="chineseCounting"/>
      <w:suff w:val="space"/>
      <w:lvlText w:val="第%1章"/>
      <w:lvlJc w:val="left"/>
      <w:rPr>
        <w:rFonts w:hint="eastAsia"/>
      </w:rPr>
    </w:lvl>
  </w:abstractNum>
  <w:num w:numId="1">
    <w:abstractNumId w:val="6"/>
  </w:num>
  <w:num w:numId="2">
    <w:abstractNumId w:val="3"/>
  </w:num>
  <w:num w:numId="3">
    <w:abstractNumId w:val="7"/>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NkYzk1OWRiNTVhNmJmNTVjZmMzYzYzYzMzYmY1OGYifQ=="/>
  </w:docVars>
  <w:rsids>
    <w:rsidRoot w:val="685F2B0C"/>
    <w:rsid w:val="0007403C"/>
    <w:rsid w:val="000B2796"/>
    <w:rsid w:val="000C4402"/>
    <w:rsid w:val="000D1046"/>
    <w:rsid w:val="000E159B"/>
    <w:rsid w:val="00104467"/>
    <w:rsid w:val="001419ED"/>
    <w:rsid w:val="00192140"/>
    <w:rsid w:val="001B7489"/>
    <w:rsid w:val="001C5AB2"/>
    <w:rsid w:val="00217499"/>
    <w:rsid w:val="00221CA4"/>
    <w:rsid w:val="0023468B"/>
    <w:rsid w:val="002600D0"/>
    <w:rsid w:val="00267F83"/>
    <w:rsid w:val="002836A7"/>
    <w:rsid w:val="00296F73"/>
    <w:rsid w:val="002D298A"/>
    <w:rsid w:val="002F43CF"/>
    <w:rsid w:val="00305856"/>
    <w:rsid w:val="00315916"/>
    <w:rsid w:val="00366FA4"/>
    <w:rsid w:val="00386FCB"/>
    <w:rsid w:val="003B3897"/>
    <w:rsid w:val="003B7B17"/>
    <w:rsid w:val="003E41A8"/>
    <w:rsid w:val="003F332D"/>
    <w:rsid w:val="004052EA"/>
    <w:rsid w:val="00480FD3"/>
    <w:rsid w:val="004A4341"/>
    <w:rsid w:val="005A5509"/>
    <w:rsid w:val="005A5EDC"/>
    <w:rsid w:val="005A671E"/>
    <w:rsid w:val="005B1C12"/>
    <w:rsid w:val="005D451E"/>
    <w:rsid w:val="006A3AB3"/>
    <w:rsid w:val="006F2372"/>
    <w:rsid w:val="0073607F"/>
    <w:rsid w:val="00791044"/>
    <w:rsid w:val="007A069B"/>
    <w:rsid w:val="007B3E3E"/>
    <w:rsid w:val="007B51ED"/>
    <w:rsid w:val="007B6F4D"/>
    <w:rsid w:val="007C1AD0"/>
    <w:rsid w:val="007C4012"/>
    <w:rsid w:val="00855072"/>
    <w:rsid w:val="008B434D"/>
    <w:rsid w:val="008D7564"/>
    <w:rsid w:val="00932D08"/>
    <w:rsid w:val="00987EDA"/>
    <w:rsid w:val="009903E3"/>
    <w:rsid w:val="009E781B"/>
    <w:rsid w:val="00A04722"/>
    <w:rsid w:val="00A87AA8"/>
    <w:rsid w:val="00A921FD"/>
    <w:rsid w:val="00A96D55"/>
    <w:rsid w:val="00A979AB"/>
    <w:rsid w:val="00AA0052"/>
    <w:rsid w:val="00AB49B7"/>
    <w:rsid w:val="00AB49C5"/>
    <w:rsid w:val="00AC2EE8"/>
    <w:rsid w:val="00AE24AF"/>
    <w:rsid w:val="00B76650"/>
    <w:rsid w:val="00BB21ED"/>
    <w:rsid w:val="00BD54D8"/>
    <w:rsid w:val="00BF2995"/>
    <w:rsid w:val="00C04262"/>
    <w:rsid w:val="00C36F2E"/>
    <w:rsid w:val="00C4286B"/>
    <w:rsid w:val="00C44749"/>
    <w:rsid w:val="00CA4AD5"/>
    <w:rsid w:val="00D138B9"/>
    <w:rsid w:val="00D347B0"/>
    <w:rsid w:val="00D90E3C"/>
    <w:rsid w:val="00DC2ACC"/>
    <w:rsid w:val="00DD32D9"/>
    <w:rsid w:val="00DD4A79"/>
    <w:rsid w:val="00E22ADC"/>
    <w:rsid w:val="00EC0D4A"/>
    <w:rsid w:val="00ED13E1"/>
    <w:rsid w:val="00F27C47"/>
    <w:rsid w:val="00F30117"/>
    <w:rsid w:val="00F318C7"/>
    <w:rsid w:val="00F55781"/>
    <w:rsid w:val="00F67942"/>
    <w:rsid w:val="00F731CE"/>
    <w:rsid w:val="00FE6575"/>
    <w:rsid w:val="010742D5"/>
    <w:rsid w:val="011F460A"/>
    <w:rsid w:val="012B64AF"/>
    <w:rsid w:val="013D69DB"/>
    <w:rsid w:val="01851778"/>
    <w:rsid w:val="01967DCC"/>
    <w:rsid w:val="01AE11E6"/>
    <w:rsid w:val="01C3757A"/>
    <w:rsid w:val="01F53A09"/>
    <w:rsid w:val="02072CC8"/>
    <w:rsid w:val="02220C8A"/>
    <w:rsid w:val="02E32A3D"/>
    <w:rsid w:val="02FA6A29"/>
    <w:rsid w:val="033D3B0D"/>
    <w:rsid w:val="03400DD0"/>
    <w:rsid w:val="03AE165D"/>
    <w:rsid w:val="03B92608"/>
    <w:rsid w:val="03E6762D"/>
    <w:rsid w:val="045C047C"/>
    <w:rsid w:val="046041A0"/>
    <w:rsid w:val="04604D98"/>
    <w:rsid w:val="04926F71"/>
    <w:rsid w:val="049D3746"/>
    <w:rsid w:val="04A0717A"/>
    <w:rsid w:val="04D80590"/>
    <w:rsid w:val="05A87DBC"/>
    <w:rsid w:val="05B01B1D"/>
    <w:rsid w:val="06653EC4"/>
    <w:rsid w:val="06744624"/>
    <w:rsid w:val="0699402C"/>
    <w:rsid w:val="069C64C8"/>
    <w:rsid w:val="06A0112C"/>
    <w:rsid w:val="06C00E8D"/>
    <w:rsid w:val="06EE255D"/>
    <w:rsid w:val="07222AB0"/>
    <w:rsid w:val="072A48E8"/>
    <w:rsid w:val="073A45DA"/>
    <w:rsid w:val="074273EB"/>
    <w:rsid w:val="0743404F"/>
    <w:rsid w:val="07473237"/>
    <w:rsid w:val="07725029"/>
    <w:rsid w:val="07754928"/>
    <w:rsid w:val="079F3EE7"/>
    <w:rsid w:val="07A9604A"/>
    <w:rsid w:val="07C86BAA"/>
    <w:rsid w:val="07C95D06"/>
    <w:rsid w:val="07DA6FC5"/>
    <w:rsid w:val="07DF5164"/>
    <w:rsid w:val="07E50580"/>
    <w:rsid w:val="07FA0FC2"/>
    <w:rsid w:val="08142FA0"/>
    <w:rsid w:val="081717A6"/>
    <w:rsid w:val="081911AD"/>
    <w:rsid w:val="081F2FCD"/>
    <w:rsid w:val="084B5CBA"/>
    <w:rsid w:val="08597429"/>
    <w:rsid w:val="08696EDC"/>
    <w:rsid w:val="08CE1EA3"/>
    <w:rsid w:val="08DC3175"/>
    <w:rsid w:val="08E44D18"/>
    <w:rsid w:val="09023BFE"/>
    <w:rsid w:val="092F5773"/>
    <w:rsid w:val="093D2D0F"/>
    <w:rsid w:val="0975564E"/>
    <w:rsid w:val="09E70A54"/>
    <w:rsid w:val="09F15703"/>
    <w:rsid w:val="09FA5669"/>
    <w:rsid w:val="0A79028B"/>
    <w:rsid w:val="0A8528D5"/>
    <w:rsid w:val="0AD56F1F"/>
    <w:rsid w:val="0AEA3C8C"/>
    <w:rsid w:val="0B0B6625"/>
    <w:rsid w:val="0B1E0CF0"/>
    <w:rsid w:val="0B4C5010"/>
    <w:rsid w:val="0B7F5105"/>
    <w:rsid w:val="0BE83010"/>
    <w:rsid w:val="0BF55127"/>
    <w:rsid w:val="0C4369A5"/>
    <w:rsid w:val="0C7E2237"/>
    <w:rsid w:val="0C8A3153"/>
    <w:rsid w:val="0C991BD9"/>
    <w:rsid w:val="0CD24D60"/>
    <w:rsid w:val="0D3F7F2E"/>
    <w:rsid w:val="0D705EC6"/>
    <w:rsid w:val="0D7558BB"/>
    <w:rsid w:val="0D860895"/>
    <w:rsid w:val="0DB757B9"/>
    <w:rsid w:val="0DE7555E"/>
    <w:rsid w:val="0DF10A71"/>
    <w:rsid w:val="0E1844B4"/>
    <w:rsid w:val="0E1D3528"/>
    <w:rsid w:val="0E2B3C80"/>
    <w:rsid w:val="0E310B9F"/>
    <w:rsid w:val="0E9F0BC2"/>
    <w:rsid w:val="0EFA552A"/>
    <w:rsid w:val="0F731A9E"/>
    <w:rsid w:val="0F833EF8"/>
    <w:rsid w:val="0F965542"/>
    <w:rsid w:val="0FAC1122"/>
    <w:rsid w:val="0FC27645"/>
    <w:rsid w:val="0FE801DA"/>
    <w:rsid w:val="100E1453"/>
    <w:rsid w:val="10401AB4"/>
    <w:rsid w:val="107C2AAE"/>
    <w:rsid w:val="109E446F"/>
    <w:rsid w:val="10BE1B05"/>
    <w:rsid w:val="115C632A"/>
    <w:rsid w:val="1161667C"/>
    <w:rsid w:val="118A244C"/>
    <w:rsid w:val="11914905"/>
    <w:rsid w:val="11A2124C"/>
    <w:rsid w:val="11B330FF"/>
    <w:rsid w:val="11C20C82"/>
    <w:rsid w:val="11DA3B8F"/>
    <w:rsid w:val="12101447"/>
    <w:rsid w:val="12543D89"/>
    <w:rsid w:val="125F1817"/>
    <w:rsid w:val="12BB2C5B"/>
    <w:rsid w:val="12CF4115"/>
    <w:rsid w:val="130B6440"/>
    <w:rsid w:val="134C77A5"/>
    <w:rsid w:val="13731B39"/>
    <w:rsid w:val="13815663"/>
    <w:rsid w:val="13C30E6E"/>
    <w:rsid w:val="14230C67"/>
    <w:rsid w:val="144D2E15"/>
    <w:rsid w:val="1466198A"/>
    <w:rsid w:val="146B4F18"/>
    <w:rsid w:val="14EA3450"/>
    <w:rsid w:val="14F767B6"/>
    <w:rsid w:val="152201E5"/>
    <w:rsid w:val="153C7B00"/>
    <w:rsid w:val="155E782B"/>
    <w:rsid w:val="158D19C4"/>
    <w:rsid w:val="15A7636A"/>
    <w:rsid w:val="15B1120C"/>
    <w:rsid w:val="15B65685"/>
    <w:rsid w:val="16031113"/>
    <w:rsid w:val="16625C32"/>
    <w:rsid w:val="16725D01"/>
    <w:rsid w:val="168F227C"/>
    <w:rsid w:val="16F02A1F"/>
    <w:rsid w:val="171F0861"/>
    <w:rsid w:val="173D243C"/>
    <w:rsid w:val="17534ECF"/>
    <w:rsid w:val="175E1889"/>
    <w:rsid w:val="178B17FC"/>
    <w:rsid w:val="17AC754E"/>
    <w:rsid w:val="17D47161"/>
    <w:rsid w:val="181011F1"/>
    <w:rsid w:val="1827115F"/>
    <w:rsid w:val="18537282"/>
    <w:rsid w:val="19075792"/>
    <w:rsid w:val="1924523C"/>
    <w:rsid w:val="192A06DB"/>
    <w:rsid w:val="19657BF3"/>
    <w:rsid w:val="198218DD"/>
    <w:rsid w:val="19D659A9"/>
    <w:rsid w:val="19DA05DB"/>
    <w:rsid w:val="19EB475E"/>
    <w:rsid w:val="19EE41FA"/>
    <w:rsid w:val="1A447D15"/>
    <w:rsid w:val="1A5A6066"/>
    <w:rsid w:val="1A777345"/>
    <w:rsid w:val="1ABE0A6A"/>
    <w:rsid w:val="1AFF3C05"/>
    <w:rsid w:val="1B0079CB"/>
    <w:rsid w:val="1B305FC7"/>
    <w:rsid w:val="1B486897"/>
    <w:rsid w:val="1B6A0B90"/>
    <w:rsid w:val="1B8465ED"/>
    <w:rsid w:val="1B8C6B7B"/>
    <w:rsid w:val="1B930815"/>
    <w:rsid w:val="1BA66CC3"/>
    <w:rsid w:val="1BB91038"/>
    <w:rsid w:val="1BBF65FB"/>
    <w:rsid w:val="1BD17EB2"/>
    <w:rsid w:val="1BE658B0"/>
    <w:rsid w:val="1BF657FB"/>
    <w:rsid w:val="1BF968C4"/>
    <w:rsid w:val="1C3F5A00"/>
    <w:rsid w:val="1C494C47"/>
    <w:rsid w:val="1C7E5112"/>
    <w:rsid w:val="1CC868AA"/>
    <w:rsid w:val="1CEF0717"/>
    <w:rsid w:val="1CFA7EEF"/>
    <w:rsid w:val="1CFB1146"/>
    <w:rsid w:val="1CFE6504"/>
    <w:rsid w:val="1D2E0D77"/>
    <w:rsid w:val="1D37062D"/>
    <w:rsid w:val="1D3D753B"/>
    <w:rsid w:val="1D532C22"/>
    <w:rsid w:val="1D9308B3"/>
    <w:rsid w:val="1DD515F9"/>
    <w:rsid w:val="1E331E3B"/>
    <w:rsid w:val="1E4D682E"/>
    <w:rsid w:val="1E561B49"/>
    <w:rsid w:val="1E5B5B74"/>
    <w:rsid w:val="1E7D1B4B"/>
    <w:rsid w:val="1E8140C5"/>
    <w:rsid w:val="1ED36885"/>
    <w:rsid w:val="1EDB21B2"/>
    <w:rsid w:val="1EE21D29"/>
    <w:rsid w:val="1EFA6533"/>
    <w:rsid w:val="1F2A4B47"/>
    <w:rsid w:val="1F2E2C97"/>
    <w:rsid w:val="1F3E1D5D"/>
    <w:rsid w:val="1F6E3177"/>
    <w:rsid w:val="1F6F04BA"/>
    <w:rsid w:val="1F786F59"/>
    <w:rsid w:val="1F870ADE"/>
    <w:rsid w:val="1FEE47F4"/>
    <w:rsid w:val="20027E74"/>
    <w:rsid w:val="2024650C"/>
    <w:rsid w:val="20380E59"/>
    <w:rsid w:val="20464321"/>
    <w:rsid w:val="20505BF4"/>
    <w:rsid w:val="205D6C3D"/>
    <w:rsid w:val="206C4B4F"/>
    <w:rsid w:val="20797189"/>
    <w:rsid w:val="20835E3C"/>
    <w:rsid w:val="20B07511"/>
    <w:rsid w:val="215C6880"/>
    <w:rsid w:val="218F0080"/>
    <w:rsid w:val="21A5390F"/>
    <w:rsid w:val="21AD66DD"/>
    <w:rsid w:val="21D4253C"/>
    <w:rsid w:val="21EE760E"/>
    <w:rsid w:val="21F83EB4"/>
    <w:rsid w:val="22547C58"/>
    <w:rsid w:val="22734646"/>
    <w:rsid w:val="22963494"/>
    <w:rsid w:val="22B371B5"/>
    <w:rsid w:val="22C23296"/>
    <w:rsid w:val="22CC461B"/>
    <w:rsid w:val="22D13B65"/>
    <w:rsid w:val="230E2F31"/>
    <w:rsid w:val="233E4105"/>
    <w:rsid w:val="23666663"/>
    <w:rsid w:val="23693289"/>
    <w:rsid w:val="239147E1"/>
    <w:rsid w:val="23BB34F7"/>
    <w:rsid w:val="243B4C5D"/>
    <w:rsid w:val="24FD6DFA"/>
    <w:rsid w:val="24FE0E05"/>
    <w:rsid w:val="25A9590D"/>
    <w:rsid w:val="25AF3989"/>
    <w:rsid w:val="25B303CF"/>
    <w:rsid w:val="25C73339"/>
    <w:rsid w:val="25D43D29"/>
    <w:rsid w:val="25D62822"/>
    <w:rsid w:val="25FC409C"/>
    <w:rsid w:val="26037DA0"/>
    <w:rsid w:val="260544D2"/>
    <w:rsid w:val="266A24B5"/>
    <w:rsid w:val="266C7CA7"/>
    <w:rsid w:val="26B424FB"/>
    <w:rsid w:val="27116F14"/>
    <w:rsid w:val="27881ACA"/>
    <w:rsid w:val="27F30C40"/>
    <w:rsid w:val="284303FE"/>
    <w:rsid w:val="28482C7C"/>
    <w:rsid w:val="289A255F"/>
    <w:rsid w:val="28B54BEB"/>
    <w:rsid w:val="28D9203E"/>
    <w:rsid w:val="28E80E13"/>
    <w:rsid w:val="29127BE0"/>
    <w:rsid w:val="29196245"/>
    <w:rsid w:val="29554B42"/>
    <w:rsid w:val="295A4D29"/>
    <w:rsid w:val="29606A91"/>
    <w:rsid w:val="29807B6C"/>
    <w:rsid w:val="29B661A7"/>
    <w:rsid w:val="29FA460F"/>
    <w:rsid w:val="2A084E42"/>
    <w:rsid w:val="2AC017A8"/>
    <w:rsid w:val="2B492F53"/>
    <w:rsid w:val="2B7F0BDE"/>
    <w:rsid w:val="2BDE00CD"/>
    <w:rsid w:val="2C232160"/>
    <w:rsid w:val="2C235700"/>
    <w:rsid w:val="2C517394"/>
    <w:rsid w:val="2C587AD3"/>
    <w:rsid w:val="2C7E6429"/>
    <w:rsid w:val="2C8206F9"/>
    <w:rsid w:val="2C963671"/>
    <w:rsid w:val="2C9D4F34"/>
    <w:rsid w:val="2C9F7276"/>
    <w:rsid w:val="2CA2073A"/>
    <w:rsid w:val="2CB57537"/>
    <w:rsid w:val="2D1C1443"/>
    <w:rsid w:val="2D84410B"/>
    <w:rsid w:val="2D8C3A4E"/>
    <w:rsid w:val="2DAB174B"/>
    <w:rsid w:val="2DAC3053"/>
    <w:rsid w:val="2E0320EB"/>
    <w:rsid w:val="2E125FC1"/>
    <w:rsid w:val="2E1B69A2"/>
    <w:rsid w:val="2E354929"/>
    <w:rsid w:val="2E7B072C"/>
    <w:rsid w:val="2EF410B7"/>
    <w:rsid w:val="2F011E82"/>
    <w:rsid w:val="2F631DFD"/>
    <w:rsid w:val="2F6858EF"/>
    <w:rsid w:val="2F8F12D1"/>
    <w:rsid w:val="2FA71114"/>
    <w:rsid w:val="2FBD3EFE"/>
    <w:rsid w:val="2FE06B43"/>
    <w:rsid w:val="2FF93253"/>
    <w:rsid w:val="3046030C"/>
    <w:rsid w:val="304D28E8"/>
    <w:rsid w:val="30576C83"/>
    <w:rsid w:val="30670F4B"/>
    <w:rsid w:val="307770A8"/>
    <w:rsid w:val="30D72609"/>
    <w:rsid w:val="30FD1799"/>
    <w:rsid w:val="30FD4EC2"/>
    <w:rsid w:val="31AB540D"/>
    <w:rsid w:val="31B57A67"/>
    <w:rsid w:val="31F436E7"/>
    <w:rsid w:val="32413B97"/>
    <w:rsid w:val="324C0B81"/>
    <w:rsid w:val="328D576F"/>
    <w:rsid w:val="329D67D2"/>
    <w:rsid w:val="33091096"/>
    <w:rsid w:val="331C15B8"/>
    <w:rsid w:val="33232830"/>
    <w:rsid w:val="33566686"/>
    <w:rsid w:val="337230AE"/>
    <w:rsid w:val="33781EF4"/>
    <w:rsid w:val="33843CA1"/>
    <w:rsid w:val="33A45B5A"/>
    <w:rsid w:val="33DD4134"/>
    <w:rsid w:val="33E47B88"/>
    <w:rsid w:val="33FA723C"/>
    <w:rsid w:val="341C55A4"/>
    <w:rsid w:val="343828C2"/>
    <w:rsid w:val="346500C7"/>
    <w:rsid w:val="34A13A37"/>
    <w:rsid w:val="34F31FF7"/>
    <w:rsid w:val="34F5177C"/>
    <w:rsid w:val="35043821"/>
    <w:rsid w:val="355C4178"/>
    <w:rsid w:val="3562042D"/>
    <w:rsid w:val="35850AE6"/>
    <w:rsid w:val="35867C30"/>
    <w:rsid w:val="35DE1818"/>
    <w:rsid w:val="362D36E4"/>
    <w:rsid w:val="36655148"/>
    <w:rsid w:val="36787E34"/>
    <w:rsid w:val="367F3517"/>
    <w:rsid w:val="36A52258"/>
    <w:rsid w:val="36B77A33"/>
    <w:rsid w:val="36C54300"/>
    <w:rsid w:val="36FC06E4"/>
    <w:rsid w:val="372D27B8"/>
    <w:rsid w:val="37533A9C"/>
    <w:rsid w:val="37907B88"/>
    <w:rsid w:val="37930872"/>
    <w:rsid w:val="37AC0A3F"/>
    <w:rsid w:val="37DB78A9"/>
    <w:rsid w:val="37EE6B00"/>
    <w:rsid w:val="38053C44"/>
    <w:rsid w:val="383C4522"/>
    <w:rsid w:val="383F153C"/>
    <w:rsid w:val="384910F0"/>
    <w:rsid w:val="38B03176"/>
    <w:rsid w:val="38B36EDA"/>
    <w:rsid w:val="38D123DD"/>
    <w:rsid w:val="390169CA"/>
    <w:rsid w:val="39150581"/>
    <w:rsid w:val="392F5095"/>
    <w:rsid w:val="39465433"/>
    <w:rsid w:val="39561D5A"/>
    <w:rsid w:val="395B6912"/>
    <w:rsid w:val="397F2D08"/>
    <w:rsid w:val="3A3F6C87"/>
    <w:rsid w:val="3A4275D3"/>
    <w:rsid w:val="3A9A511E"/>
    <w:rsid w:val="3AC55D59"/>
    <w:rsid w:val="3ACE2337"/>
    <w:rsid w:val="3ADF4EC5"/>
    <w:rsid w:val="3B175B2E"/>
    <w:rsid w:val="3B625CA9"/>
    <w:rsid w:val="3BC5147E"/>
    <w:rsid w:val="3BDF7BFD"/>
    <w:rsid w:val="3BE90506"/>
    <w:rsid w:val="3BEB1160"/>
    <w:rsid w:val="3BEB6832"/>
    <w:rsid w:val="3C3667CF"/>
    <w:rsid w:val="3C40766B"/>
    <w:rsid w:val="3C692C22"/>
    <w:rsid w:val="3CB16103"/>
    <w:rsid w:val="3CB2101F"/>
    <w:rsid w:val="3CBD35C8"/>
    <w:rsid w:val="3CBF1A99"/>
    <w:rsid w:val="3CC764A1"/>
    <w:rsid w:val="3D097312"/>
    <w:rsid w:val="3D1001E1"/>
    <w:rsid w:val="3D2F6909"/>
    <w:rsid w:val="3DAE0624"/>
    <w:rsid w:val="3DE113F3"/>
    <w:rsid w:val="3DF110BE"/>
    <w:rsid w:val="3E1E7238"/>
    <w:rsid w:val="3E2762E0"/>
    <w:rsid w:val="3EB648CC"/>
    <w:rsid w:val="3EBD28B3"/>
    <w:rsid w:val="3EF93A2D"/>
    <w:rsid w:val="3F506818"/>
    <w:rsid w:val="3FE36C1C"/>
    <w:rsid w:val="3FEB19D5"/>
    <w:rsid w:val="401818C2"/>
    <w:rsid w:val="40225416"/>
    <w:rsid w:val="40323D4B"/>
    <w:rsid w:val="4036153F"/>
    <w:rsid w:val="40532D51"/>
    <w:rsid w:val="40A30A33"/>
    <w:rsid w:val="4142704D"/>
    <w:rsid w:val="415E2B2E"/>
    <w:rsid w:val="419959F4"/>
    <w:rsid w:val="419E3E89"/>
    <w:rsid w:val="41DF073B"/>
    <w:rsid w:val="420F1D94"/>
    <w:rsid w:val="4213506F"/>
    <w:rsid w:val="422952A9"/>
    <w:rsid w:val="42B8170C"/>
    <w:rsid w:val="42E64A63"/>
    <w:rsid w:val="430D4AC0"/>
    <w:rsid w:val="431E047F"/>
    <w:rsid w:val="431E65EF"/>
    <w:rsid w:val="432D1A78"/>
    <w:rsid w:val="434B2DCF"/>
    <w:rsid w:val="43F16D43"/>
    <w:rsid w:val="43F87E97"/>
    <w:rsid w:val="4400649E"/>
    <w:rsid w:val="4478624B"/>
    <w:rsid w:val="4493367B"/>
    <w:rsid w:val="44A26554"/>
    <w:rsid w:val="44AB74B4"/>
    <w:rsid w:val="44D64ABE"/>
    <w:rsid w:val="45040706"/>
    <w:rsid w:val="451446FC"/>
    <w:rsid w:val="452905F3"/>
    <w:rsid w:val="4579070F"/>
    <w:rsid w:val="457E6F7B"/>
    <w:rsid w:val="45FD70DB"/>
    <w:rsid w:val="464C3285"/>
    <w:rsid w:val="468509D2"/>
    <w:rsid w:val="46853538"/>
    <w:rsid w:val="46977D08"/>
    <w:rsid w:val="46BA6241"/>
    <w:rsid w:val="46BC0687"/>
    <w:rsid w:val="46D14AE8"/>
    <w:rsid w:val="46DA670B"/>
    <w:rsid w:val="46F40267"/>
    <w:rsid w:val="47105EA9"/>
    <w:rsid w:val="471332ED"/>
    <w:rsid w:val="47CC7D6B"/>
    <w:rsid w:val="47D27940"/>
    <w:rsid w:val="47DE0285"/>
    <w:rsid w:val="47F77566"/>
    <w:rsid w:val="47F90DC6"/>
    <w:rsid w:val="480F670E"/>
    <w:rsid w:val="481C1F20"/>
    <w:rsid w:val="48266AF3"/>
    <w:rsid w:val="48701663"/>
    <w:rsid w:val="48801F0A"/>
    <w:rsid w:val="489C7EA5"/>
    <w:rsid w:val="48BA1F20"/>
    <w:rsid w:val="48D75037"/>
    <w:rsid w:val="49267F46"/>
    <w:rsid w:val="493E3C2D"/>
    <w:rsid w:val="494730DF"/>
    <w:rsid w:val="494B7F85"/>
    <w:rsid w:val="497C5511"/>
    <w:rsid w:val="498C3685"/>
    <w:rsid w:val="49B65DC9"/>
    <w:rsid w:val="49E2412D"/>
    <w:rsid w:val="49E82B6B"/>
    <w:rsid w:val="4A151D89"/>
    <w:rsid w:val="4A7674C1"/>
    <w:rsid w:val="4A812381"/>
    <w:rsid w:val="4B5F395F"/>
    <w:rsid w:val="4BE81CD3"/>
    <w:rsid w:val="4C3B51D7"/>
    <w:rsid w:val="4C735908"/>
    <w:rsid w:val="4C9743B6"/>
    <w:rsid w:val="4CCC503A"/>
    <w:rsid w:val="4CEB6172"/>
    <w:rsid w:val="4D670A85"/>
    <w:rsid w:val="4D756665"/>
    <w:rsid w:val="4D806473"/>
    <w:rsid w:val="4DB87F6B"/>
    <w:rsid w:val="4DF85FC0"/>
    <w:rsid w:val="4E46059D"/>
    <w:rsid w:val="4E50373D"/>
    <w:rsid w:val="4E7B029B"/>
    <w:rsid w:val="4ECC5D80"/>
    <w:rsid w:val="4ED61833"/>
    <w:rsid w:val="4EDA18B9"/>
    <w:rsid w:val="4EDE26E1"/>
    <w:rsid w:val="4F0153DC"/>
    <w:rsid w:val="4F16322F"/>
    <w:rsid w:val="4F1D7796"/>
    <w:rsid w:val="4F4775DA"/>
    <w:rsid w:val="4F573543"/>
    <w:rsid w:val="4F9B4CA9"/>
    <w:rsid w:val="501C4E89"/>
    <w:rsid w:val="501E6126"/>
    <w:rsid w:val="506A1839"/>
    <w:rsid w:val="50942DAE"/>
    <w:rsid w:val="509A34B5"/>
    <w:rsid w:val="50A93C64"/>
    <w:rsid w:val="50C353BD"/>
    <w:rsid w:val="50CF1F9A"/>
    <w:rsid w:val="50DD3BA3"/>
    <w:rsid w:val="50E61CAB"/>
    <w:rsid w:val="50FB2980"/>
    <w:rsid w:val="511C6CDD"/>
    <w:rsid w:val="517B5E53"/>
    <w:rsid w:val="51F91EC6"/>
    <w:rsid w:val="526405F3"/>
    <w:rsid w:val="52713ED9"/>
    <w:rsid w:val="52E04293"/>
    <w:rsid w:val="52F019E8"/>
    <w:rsid w:val="52F37A7A"/>
    <w:rsid w:val="531E2D03"/>
    <w:rsid w:val="532513E5"/>
    <w:rsid w:val="53477E2E"/>
    <w:rsid w:val="536138D1"/>
    <w:rsid w:val="53BC34C4"/>
    <w:rsid w:val="53CE29B7"/>
    <w:rsid w:val="54210DD6"/>
    <w:rsid w:val="543F5D07"/>
    <w:rsid w:val="54451376"/>
    <w:rsid w:val="54654B80"/>
    <w:rsid w:val="5480370F"/>
    <w:rsid w:val="54902752"/>
    <w:rsid w:val="54B0514F"/>
    <w:rsid w:val="54B430EF"/>
    <w:rsid w:val="54DE257B"/>
    <w:rsid w:val="54DF7BD4"/>
    <w:rsid w:val="54E275DE"/>
    <w:rsid w:val="5504461A"/>
    <w:rsid w:val="55122B96"/>
    <w:rsid w:val="553D5A1E"/>
    <w:rsid w:val="557D5456"/>
    <w:rsid w:val="55A0704C"/>
    <w:rsid w:val="55C47D86"/>
    <w:rsid w:val="55DD38ED"/>
    <w:rsid w:val="55FE100D"/>
    <w:rsid w:val="56BA1260"/>
    <w:rsid w:val="56EA1F97"/>
    <w:rsid w:val="575D06E1"/>
    <w:rsid w:val="57AA5D1A"/>
    <w:rsid w:val="57BB22E7"/>
    <w:rsid w:val="57F64E7F"/>
    <w:rsid w:val="57F67BD6"/>
    <w:rsid w:val="58135758"/>
    <w:rsid w:val="58372026"/>
    <w:rsid w:val="587316C8"/>
    <w:rsid w:val="58800EF9"/>
    <w:rsid w:val="58C6010C"/>
    <w:rsid w:val="5920032E"/>
    <w:rsid w:val="592233B5"/>
    <w:rsid w:val="594E58E1"/>
    <w:rsid w:val="597E3F8E"/>
    <w:rsid w:val="59AF07EA"/>
    <w:rsid w:val="59BA42D4"/>
    <w:rsid w:val="59BB38EE"/>
    <w:rsid w:val="59DC1D4F"/>
    <w:rsid w:val="59FE08FA"/>
    <w:rsid w:val="5A5640E0"/>
    <w:rsid w:val="5AC34C92"/>
    <w:rsid w:val="5ACF7403"/>
    <w:rsid w:val="5AD56953"/>
    <w:rsid w:val="5B46719F"/>
    <w:rsid w:val="5BA42A14"/>
    <w:rsid w:val="5BDF212D"/>
    <w:rsid w:val="5BF91159"/>
    <w:rsid w:val="5C2661F8"/>
    <w:rsid w:val="5C2B5AC7"/>
    <w:rsid w:val="5C342CD9"/>
    <w:rsid w:val="5C352A17"/>
    <w:rsid w:val="5C36681F"/>
    <w:rsid w:val="5C931B3A"/>
    <w:rsid w:val="5CE51647"/>
    <w:rsid w:val="5D0B0214"/>
    <w:rsid w:val="5D1A0A42"/>
    <w:rsid w:val="5D4F1710"/>
    <w:rsid w:val="5D5D7F5C"/>
    <w:rsid w:val="5D71045F"/>
    <w:rsid w:val="5D8543BA"/>
    <w:rsid w:val="5D9E16C8"/>
    <w:rsid w:val="5DB7371B"/>
    <w:rsid w:val="5DF04321"/>
    <w:rsid w:val="5E092FDF"/>
    <w:rsid w:val="5E4A015A"/>
    <w:rsid w:val="5E700C18"/>
    <w:rsid w:val="5EF861CE"/>
    <w:rsid w:val="5F0575D1"/>
    <w:rsid w:val="5F2D2E3D"/>
    <w:rsid w:val="5F36490D"/>
    <w:rsid w:val="5F5C0DD6"/>
    <w:rsid w:val="5F744EF1"/>
    <w:rsid w:val="5F7B2335"/>
    <w:rsid w:val="5FC16B77"/>
    <w:rsid w:val="5FCF362D"/>
    <w:rsid w:val="5FDA399F"/>
    <w:rsid w:val="5FEB6673"/>
    <w:rsid w:val="5FFA79ED"/>
    <w:rsid w:val="60106671"/>
    <w:rsid w:val="60441617"/>
    <w:rsid w:val="606D0EF6"/>
    <w:rsid w:val="60835E90"/>
    <w:rsid w:val="60B85EAE"/>
    <w:rsid w:val="60CB1E28"/>
    <w:rsid w:val="60EC443C"/>
    <w:rsid w:val="61013040"/>
    <w:rsid w:val="61107F31"/>
    <w:rsid w:val="611C35B8"/>
    <w:rsid w:val="61456201"/>
    <w:rsid w:val="61AE7556"/>
    <w:rsid w:val="61D41854"/>
    <w:rsid w:val="62282B27"/>
    <w:rsid w:val="623C3740"/>
    <w:rsid w:val="624F63B5"/>
    <w:rsid w:val="625A6442"/>
    <w:rsid w:val="628F2951"/>
    <w:rsid w:val="62D00AD7"/>
    <w:rsid w:val="62F86A67"/>
    <w:rsid w:val="63221256"/>
    <w:rsid w:val="63622C15"/>
    <w:rsid w:val="638B4892"/>
    <w:rsid w:val="639279AF"/>
    <w:rsid w:val="63A66A42"/>
    <w:rsid w:val="63E6795E"/>
    <w:rsid w:val="641222ED"/>
    <w:rsid w:val="642B5582"/>
    <w:rsid w:val="642C44FD"/>
    <w:rsid w:val="64486B46"/>
    <w:rsid w:val="64643953"/>
    <w:rsid w:val="64654D54"/>
    <w:rsid w:val="64FB2F8F"/>
    <w:rsid w:val="650D6333"/>
    <w:rsid w:val="654908E4"/>
    <w:rsid w:val="656A6C63"/>
    <w:rsid w:val="658C66C4"/>
    <w:rsid w:val="65B8738C"/>
    <w:rsid w:val="65F43065"/>
    <w:rsid w:val="66214EFA"/>
    <w:rsid w:val="666D65E1"/>
    <w:rsid w:val="668405BB"/>
    <w:rsid w:val="66BE059B"/>
    <w:rsid w:val="66C25FFC"/>
    <w:rsid w:val="66EF31C1"/>
    <w:rsid w:val="671A59C6"/>
    <w:rsid w:val="67340A1D"/>
    <w:rsid w:val="67404335"/>
    <w:rsid w:val="674B4232"/>
    <w:rsid w:val="678218BC"/>
    <w:rsid w:val="67884607"/>
    <w:rsid w:val="678E3970"/>
    <w:rsid w:val="67905785"/>
    <w:rsid w:val="67C1185E"/>
    <w:rsid w:val="67D547F3"/>
    <w:rsid w:val="67E324DD"/>
    <w:rsid w:val="680C40CD"/>
    <w:rsid w:val="68397183"/>
    <w:rsid w:val="683B3D7E"/>
    <w:rsid w:val="685F2B0C"/>
    <w:rsid w:val="686E4CA0"/>
    <w:rsid w:val="686F6E6A"/>
    <w:rsid w:val="68840F3C"/>
    <w:rsid w:val="68B631F6"/>
    <w:rsid w:val="69520443"/>
    <w:rsid w:val="69B72806"/>
    <w:rsid w:val="69BD41F9"/>
    <w:rsid w:val="69C21FC2"/>
    <w:rsid w:val="69C52477"/>
    <w:rsid w:val="69CB5582"/>
    <w:rsid w:val="69CE3188"/>
    <w:rsid w:val="69E54E74"/>
    <w:rsid w:val="69F431E5"/>
    <w:rsid w:val="6A116D0D"/>
    <w:rsid w:val="6A3A3987"/>
    <w:rsid w:val="6AD5470C"/>
    <w:rsid w:val="6AE7435F"/>
    <w:rsid w:val="6AE944A4"/>
    <w:rsid w:val="6B4E6ABF"/>
    <w:rsid w:val="6B6150FB"/>
    <w:rsid w:val="6BAE2EC2"/>
    <w:rsid w:val="6BBC7D3D"/>
    <w:rsid w:val="6C253A83"/>
    <w:rsid w:val="6C256815"/>
    <w:rsid w:val="6C374C14"/>
    <w:rsid w:val="6C4C1DDE"/>
    <w:rsid w:val="6C526267"/>
    <w:rsid w:val="6C8A3417"/>
    <w:rsid w:val="6C9F2B60"/>
    <w:rsid w:val="6CFD78A4"/>
    <w:rsid w:val="6D272E6C"/>
    <w:rsid w:val="6D73227D"/>
    <w:rsid w:val="6D886D51"/>
    <w:rsid w:val="6D9C39D1"/>
    <w:rsid w:val="6DCC4C0D"/>
    <w:rsid w:val="6E4341AC"/>
    <w:rsid w:val="6E8E457E"/>
    <w:rsid w:val="6E92348F"/>
    <w:rsid w:val="6F0E15C8"/>
    <w:rsid w:val="6F2E3E59"/>
    <w:rsid w:val="6F436F8F"/>
    <w:rsid w:val="6F4E3774"/>
    <w:rsid w:val="6F6816AE"/>
    <w:rsid w:val="6F8E1F31"/>
    <w:rsid w:val="6F93693C"/>
    <w:rsid w:val="6FC9214C"/>
    <w:rsid w:val="6FE16E28"/>
    <w:rsid w:val="705D36AF"/>
    <w:rsid w:val="70CC02B3"/>
    <w:rsid w:val="70D53585"/>
    <w:rsid w:val="70F2273C"/>
    <w:rsid w:val="7107296B"/>
    <w:rsid w:val="71115D76"/>
    <w:rsid w:val="71321C7C"/>
    <w:rsid w:val="7170146E"/>
    <w:rsid w:val="717268C8"/>
    <w:rsid w:val="71785FE9"/>
    <w:rsid w:val="71802D0E"/>
    <w:rsid w:val="718F5890"/>
    <w:rsid w:val="722F3192"/>
    <w:rsid w:val="7235573F"/>
    <w:rsid w:val="726C56B8"/>
    <w:rsid w:val="727E6C9F"/>
    <w:rsid w:val="7288771C"/>
    <w:rsid w:val="728C57EE"/>
    <w:rsid w:val="72A458E1"/>
    <w:rsid w:val="72AD500E"/>
    <w:rsid w:val="72CE592F"/>
    <w:rsid w:val="73197AE0"/>
    <w:rsid w:val="73221860"/>
    <w:rsid w:val="733A4EF6"/>
    <w:rsid w:val="733D0234"/>
    <w:rsid w:val="73773239"/>
    <w:rsid w:val="73B40BD5"/>
    <w:rsid w:val="73C4175E"/>
    <w:rsid w:val="73E80D98"/>
    <w:rsid w:val="73FA14E3"/>
    <w:rsid w:val="740267E6"/>
    <w:rsid w:val="740A7F35"/>
    <w:rsid w:val="744A276A"/>
    <w:rsid w:val="74897210"/>
    <w:rsid w:val="74A45A74"/>
    <w:rsid w:val="74E52558"/>
    <w:rsid w:val="751E40FE"/>
    <w:rsid w:val="755E6626"/>
    <w:rsid w:val="75841DF5"/>
    <w:rsid w:val="758D233C"/>
    <w:rsid w:val="75970A9E"/>
    <w:rsid w:val="75DE7C00"/>
    <w:rsid w:val="761A3089"/>
    <w:rsid w:val="762955DF"/>
    <w:rsid w:val="76373E70"/>
    <w:rsid w:val="764802D8"/>
    <w:rsid w:val="76C54839"/>
    <w:rsid w:val="76FB601C"/>
    <w:rsid w:val="77081D08"/>
    <w:rsid w:val="77945DEF"/>
    <w:rsid w:val="77AB41A4"/>
    <w:rsid w:val="77B46DA4"/>
    <w:rsid w:val="77EB2D72"/>
    <w:rsid w:val="780776F7"/>
    <w:rsid w:val="78163522"/>
    <w:rsid w:val="785E50A2"/>
    <w:rsid w:val="78867CFB"/>
    <w:rsid w:val="789F2C29"/>
    <w:rsid w:val="79042EE5"/>
    <w:rsid w:val="79210966"/>
    <w:rsid w:val="794321BB"/>
    <w:rsid w:val="794D51CC"/>
    <w:rsid w:val="795F47C4"/>
    <w:rsid w:val="7967171B"/>
    <w:rsid w:val="799447B2"/>
    <w:rsid w:val="79993DEC"/>
    <w:rsid w:val="799B671E"/>
    <w:rsid w:val="79B7238B"/>
    <w:rsid w:val="79F16C5D"/>
    <w:rsid w:val="79F9227E"/>
    <w:rsid w:val="7A03141B"/>
    <w:rsid w:val="7A1817A4"/>
    <w:rsid w:val="7A3B22B0"/>
    <w:rsid w:val="7A470DFD"/>
    <w:rsid w:val="7A9E603E"/>
    <w:rsid w:val="7AC64AA5"/>
    <w:rsid w:val="7B0501C8"/>
    <w:rsid w:val="7B225C49"/>
    <w:rsid w:val="7B8340AE"/>
    <w:rsid w:val="7B8F7B53"/>
    <w:rsid w:val="7B9F467D"/>
    <w:rsid w:val="7BB151BD"/>
    <w:rsid w:val="7BF60404"/>
    <w:rsid w:val="7C42078B"/>
    <w:rsid w:val="7CA50B86"/>
    <w:rsid w:val="7CD40CD3"/>
    <w:rsid w:val="7D6D40C6"/>
    <w:rsid w:val="7DAA7D03"/>
    <w:rsid w:val="7DAE4568"/>
    <w:rsid w:val="7DF42A4B"/>
    <w:rsid w:val="7EAB2F61"/>
    <w:rsid w:val="7EE626A2"/>
    <w:rsid w:val="7EF1767C"/>
    <w:rsid w:val="7F1747D7"/>
    <w:rsid w:val="7F2F78BB"/>
    <w:rsid w:val="7F370C17"/>
    <w:rsid w:val="7FAD0277"/>
    <w:rsid w:val="7FAF5376"/>
    <w:rsid w:val="7FDD00AC"/>
    <w:rsid w:val="7FDE6D39"/>
    <w:rsid w:val="7FE17785"/>
    <w:rsid w:val="FBBAFE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6">
    <w:name w:val="List Number"/>
    <w:basedOn w:val="1"/>
    <w:qFormat/>
    <w:uiPriority w:val="0"/>
    <w:pPr>
      <w:numPr>
        <w:ilvl w:val="0"/>
        <w:numId w:val="2"/>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next w:val="11"/>
    <w:qFormat/>
    <w:uiPriority w:val="0"/>
    <w:pPr>
      <w:spacing w:line="360" w:lineRule="exact"/>
    </w:pPr>
    <w:rPr>
      <w:sz w:val="24"/>
    </w:rPr>
  </w:style>
  <w:style w:type="paragraph" w:styleId="11">
    <w:name w:val="Body Text First Indent"/>
    <w:basedOn w:val="10"/>
    <w:next w:val="12"/>
    <w:qFormat/>
    <w:uiPriority w:val="0"/>
    <w:pPr>
      <w:ind w:firstLine="200" w:firstLineChars="200"/>
    </w:pPr>
  </w:style>
  <w:style w:type="paragraph" w:styleId="12">
    <w:name w:val="toc 6"/>
    <w:basedOn w:val="1"/>
    <w:next w:val="1"/>
    <w:qFormat/>
    <w:uiPriority w:val="39"/>
    <w:pPr>
      <w:widowControl/>
      <w:ind w:left="1000"/>
      <w:jc w:val="left"/>
    </w:pPr>
    <w:rPr>
      <w:kern w:val="0"/>
      <w:sz w:val="18"/>
      <w:szCs w:val="20"/>
    </w:rPr>
  </w:style>
  <w:style w:type="paragraph" w:styleId="13">
    <w:name w:val="Plain Text"/>
    <w:basedOn w:val="1"/>
    <w:next w:val="14"/>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1"/>
    <w:qFormat/>
    <w:uiPriority w:val="0"/>
    <w:rPr>
      <w:sz w:val="18"/>
      <w:szCs w:val="18"/>
    </w:rPr>
  </w:style>
  <w:style w:type="paragraph" w:styleId="16">
    <w:name w:val="footer"/>
    <w:basedOn w:val="1"/>
    <w:link w:val="52"/>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1">
    <w:name w:val="Body Text First Indent 2"/>
    <w:basedOn w:val="2"/>
    <w:qFormat/>
    <w:uiPriority w:val="0"/>
    <w:pPr>
      <w:ind w:firstLine="420"/>
    </w:pPr>
  </w:style>
  <w:style w:type="table" w:styleId="23">
    <w:name w:val="Table Grid"/>
    <w:basedOn w:val="2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table" w:styleId="24">
    <w:name w:val="Table Theme"/>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qFormat/>
    <w:uiPriority w:val="0"/>
    <w:rPr>
      <w:color w:val="0000FF"/>
      <w:u w:val="single"/>
    </w:rPr>
  </w:style>
  <w:style w:type="paragraph" w:customStyle="1" w:styleId="27">
    <w:name w:val="章正文"/>
    <w:basedOn w:val="1"/>
    <w:qFormat/>
    <w:uiPriority w:val="0"/>
    <w:pPr>
      <w:spacing w:beforeLines="50" w:after="120" w:line="300" w:lineRule="auto"/>
      <w:ind w:firstLine="480"/>
    </w:pPr>
    <w:rPr>
      <w:rFonts w:ascii="Helvetica" w:hAnsi="Helvetica"/>
      <w:kern w:val="0"/>
      <w:sz w:val="24"/>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Theme="minorEastAsia" w:cstheme="minorBidi"/>
      <w:szCs w:val="21"/>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21"/>
    <w:basedOn w:val="25"/>
    <w:qFormat/>
    <w:uiPriority w:val="0"/>
    <w:rPr>
      <w:rFonts w:hint="default" w:ascii="Arial" w:hAnsi="Arial" w:cs="Arial"/>
      <w:color w:val="000000"/>
      <w:sz w:val="20"/>
      <w:szCs w:val="20"/>
      <w:u w:val="none"/>
    </w:rPr>
  </w:style>
  <w:style w:type="character" w:customStyle="1" w:styleId="45">
    <w:name w:val="font01"/>
    <w:basedOn w:val="25"/>
    <w:qFormat/>
    <w:uiPriority w:val="0"/>
    <w:rPr>
      <w:rFonts w:hint="eastAsia" w:ascii="宋体" w:hAnsi="宋体" w:eastAsia="宋体" w:cs="宋体"/>
      <w:color w:val="000000"/>
      <w:sz w:val="20"/>
      <w:szCs w:val="20"/>
      <w:u w:val="none"/>
    </w:rPr>
  </w:style>
  <w:style w:type="paragraph" w:customStyle="1" w:styleId="46">
    <w:name w:val="纯文本1"/>
    <w:basedOn w:val="47"/>
    <w:qFormat/>
    <w:uiPriority w:val="0"/>
    <w:pPr>
      <w:widowControl/>
      <w:jc w:val="left"/>
    </w:pPr>
    <w:rPr>
      <w:rFonts w:ascii="宋体" w:hAnsi="Courier New"/>
    </w:rPr>
  </w:style>
  <w:style w:type="paragraph" w:customStyle="1" w:styleId="4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Table Paragraph"/>
    <w:basedOn w:val="1"/>
    <w:qFormat/>
    <w:uiPriority w:val="1"/>
    <w:rPr>
      <w:rFonts w:ascii="宋体" w:hAnsi="宋体" w:cs="宋体"/>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默认段落字体 Para Char Char Char Char Char Char Char Char Char1 Char Char Char Char"/>
    <w:basedOn w:val="1"/>
    <w:qFormat/>
    <w:uiPriority w:val="0"/>
    <w:rPr>
      <w:rFonts w:ascii="Tahoma" w:hAnsi="Tahoma"/>
      <w:sz w:val="24"/>
      <w:szCs w:val="20"/>
    </w:rPr>
  </w:style>
  <w:style w:type="character" w:customStyle="1" w:styleId="51">
    <w:name w:val="批注框文本 Char"/>
    <w:basedOn w:val="25"/>
    <w:link w:val="15"/>
    <w:qFormat/>
    <w:uiPriority w:val="0"/>
    <w:rPr>
      <w:kern w:val="2"/>
      <w:sz w:val="18"/>
      <w:szCs w:val="18"/>
    </w:rPr>
  </w:style>
  <w:style w:type="character" w:customStyle="1" w:styleId="52">
    <w:name w:val="页脚 Char"/>
    <w:link w:val="16"/>
    <w:qFormat/>
    <w:uiPriority w:val="0"/>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TZFT.COM</Company>
  <Pages>48</Pages>
  <Words>20429</Words>
  <Characters>21677</Characters>
  <Lines>176</Lines>
  <Paragraphs>49</Paragraphs>
  <TotalTime>0</TotalTime>
  <ScaleCrop>false</ScaleCrop>
  <LinksUpToDate>false</LinksUpToDate>
  <CharactersWithSpaces>22901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2022-06-09T08:38:00Z</dcterms:created>
  <dc:creator>Thorpe521</dc:creator>
  <cp:lastModifiedBy>葛俊</cp:lastModifiedBy>
  <cp:lastPrinted>2022-03-23T09:07:00Z</cp:lastPrinted>
  <dcterms:modified xsi:type="dcterms:W3CDTF">2022-07-07T14:52:32Z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67DB27827D274B64A09AA6164E8391CE</vt:lpwstr>
  </property>
</Properties>
</file>