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1"/>
        <w:spacing w:before="156" w:after="156" w:line="360" w:lineRule="auto"/>
        <w:jc w:val="center"/>
        <w:rPr>
          <w:rFonts w:hAnsi="宋体"/>
          <w:sz w:val="44"/>
          <w:szCs w:val="44"/>
        </w:rPr>
      </w:pPr>
    </w:p>
    <w:p>
      <w:pPr>
        <w:spacing w:line="600" w:lineRule="exact"/>
        <w:jc w:val="center"/>
        <w:rPr>
          <w:rFonts w:ascii="宋体" w:hAnsi="宋体" w:cs="宋体"/>
          <w:b/>
          <w:sz w:val="52"/>
          <w:szCs w:val="52"/>
        </w:rPr>
      </w:pPr>
      <w:r>
        <w:rPr>
          <w:rFonts w:hint="eastAsia" w:ascii="宋体" w:hAnsi="宋体" w:cs="宋体"/>
          <w:b/>
          <w:sz w:val="52"/>
          <w:szCs w:val="52"/>
        </w:rPr>
        <w:t>台州市政府采购</w:t>
      </w:r>
    </w:p>
    <w:p>
      <w:pPr>
        <w:spacing w:line="600" w:lineRule="exact"/>
        <w:jc w:val="center"/>
        <w:rPr>
          <w:rFonts w:ascii="宋体" w:hAnsi="宋体" w:cs="宋体"/>
          <w:b/>
          <w:sz w:val="52"/>
          <w:szCs w:val="52"/>
        </w:rPr>
      </w:pPr>
      <w:r>
        <w:rPr>
          <w:rFonts w:hint="eastAsia" w:ascii="宋体" w:hAnsi="宋体" w:cs="宋体"/>
          <w:b/>
          <w:sz w:val="52"/>
          <w:szCs w:val="52"/>
        </w:rPr>
        <w:t>公开招标采购文件</w:t>
      </w:r>
    </w:p>
    <w:p>
      <w:pPr>
        <w:jc w:val="center"/>
        <w:rPr>
          <w:rFonts w:ascii="宋体" w:hAnsi="宋体" w:cs="宋体"/>
          <w:sz w:val="44"/>
          <w:szCs w:val="20"/>
        </w:rPr>
      </w:pPr>
    </w:p>
    <w:p>
      <w:pPr>
        <w:spacing w:before="156" w:beforeLines="50"/>
        <w:jc w:val="center"/>
        <w:rPr>
          <w:rFonts w:ascii="宋体" w:hAnsi="宋体" w:cs="宋体"/>
          <w:b/>
          <w:sz w:val="48"/>
          <w:szCs w:val="48"/>
        </w:rPr>
      </w:pPr>
    </w:p>
    <w:p>
      <w:pPr>
        <w:pStyle w:val="47"/>
      </w:pPr>
    </w:p>
    <w:p>
      <w:pPr>
        <w:pStyle w:val="21"/>
        <w:tabs>
          <w:tab w:val="left" w:pos="1620"/>
        </w:tabs>
        <w:snapToGrid w:val="0"/>
        <w:spacing w:before="156" w:after="156"/>
        <w:ind w:left="560" w:leftChars="200"/>
        <w:rPr>
          <w:rFonts w:hAnsi="宋体" w:cs="宋体"/>
          <w:b/>
          <w:bCs/>
          <w:color w:val="auto"/>
          <w:sz w:val="28"/>
          <w:highlight w:val="none"/>
        </w:rPr>
      </w:pPr>
      <w:r>
        <w:rPr>
          <w:rFonts w:hint="eastAsia" w:hAnsi="宋体" w:cs="宋体"/>
          <w:b/>
          <w:bCs/>
          <w:color w:val="auto"/>
          <w:sz w:val="28"/>
          <w:highlight w:val="none"/>
        </w:rPr>
        <w:t>项目编号：</w:t>
      </w:r>
      <w:r>
        <w:rPr>
          <w:rFonts w:hint="eastAsia" w:hAnsi="宋体" w:cs="宋体"/>
          <w:b/>
          <w:bCs/>
          <w:color w:val="auto"/>
          <w:sz w:val="28"/>
          <w:highlight w:val="none"/>
          <w:lang w:eastAsia="zh-CN"/>
        </w:rPr>
        <w:t>台财采确临【2021】10225号</w:t>
      </w:r>
      <w:r>
        <w:rPr>
          <w:rFonts w:hint="eastAsia" w:hAnsi="宋体" w:cs="宋体"/>
          <w:b/>
          <w:bCs/>
          <w:color w:val="auto"/>
          <w:sz w:val="28"/>
          <w:highlight w:val="none"/>
        </w:rPr>
        <w:t xml:space="preserve"> </w:t>
      </w:r>
    </w:p>
    <w:p>
      <w:pPr>
        <w:pStyle w:val="21"/>
        <w:tabs>
          <w:tab w:val="left" w:pos="1620"/>
        </w:tabs>
        <w:snapToGrid w:val="0"/>
        <w:spacing w:before="156" w:after="156"/>
        <w:ind w:left="560" w:leftChars="200"/>
        <w:rPr>
          <w:rFonts w:hint="eastAsia" w:hAnsi="宋体" w:eastAsia="宋体" w:cs="宋体"/>
          <w:b/>
          <w:bCs/>
          <w:color w:val="auto"/>
          <w:sz w:val="28"/>
          <w:highlight w:val="none"/>
          <w:lang w:eastAsia="zh-CN"/>
        </w:rPr>
      </w:pPr>
      <w:r>
        <w:rPr>
          <w:rFonts w:hint="eastAsia" w:hAnsi="宋体" w:cs="宋体"/>
          <w:b/>
          <w:bCs/>
          <w:color w:val="auto"/>
          <w:sz w:val="28"/>
          <w:highlight w:val="none"/>
        </w:rPr>
        <w:t>项目名称：</w:t>
      </w:r>
      <w:r>
        <w:rPr>
          <w:rFonts w:hint="eastAsia" w:hAnsi="宋体" w:cs="宋体"/>
          <w:b/>
          <w:bCs/>
          <w:color w:val="auto"/>
          <w:sz w:val="28"/>
          <w:highlight w:val="none"/>
          <w:lang w:eastAsia="zh-CN"/>
        </w:rPr>
        <w:t>数字校园管理系统项目</w:t>
      </w:r>
    </w:p>
    <w:p>
      <w:pPr>
        <w:pStyle w:val="21"/>
        <w:tabs>
          <w:tab w:val="left" w:pos="1620"/>
        </w:tabs>
        <w:snapToGrid w:val="0"/>
        <w:spacing w:before="156" w:after="156"/>
        <w:ind w:left="560" w:leftChars="200"/>
        <w:rPr>
          <w:rFonts w:hAnsi="宋体" w:cs="宋体"/>
          <w:b/>
          <w:bCs/>
          <w:color w:val="auto"/>
          <w:sz w:val="28"/>
          <w:highlight w:val="none"/>
        </w:rPr>
      </w:pPr>
      <w:r>
        <w:rPr>
          <w:rFonts w:hint="eastAsia" w:hAnsi="宋体" w:cs="宋体"/>
          <w:b/>
          <w:bCs/>
          <w:color w:val="auto"/>
          <w:sz w:val="28"/>
          <w:highlight w:val="none"/>
        </w:rPr>
        <w:t>采购单位：</w:t>
      </w:r>
      <w:r>
        <w:rPr>
          <w:rFonts w:hint="eastAsia" w:hAnsi="宋体" w:cs="宋体"/>
          <w:b/>
          <w:bCs/>
          <w:color w:val="auto"/>
          <w:sz w:val="28"/>
          <w:highlight w:val="none"/>
          <w:lang w:eastAsia="zh-CN"/>
        </w:rPr>
        <w:t>中共台州市委党校</w:t>
      </w:r>
      <w:r>
        <w:rPr>
          <w:rFonts w:hint="eastAsia" w:hAnsi="宋体" w:cs="宋体"/>
          <w:b/>
          <w:bCs/>
          <w:color w:val="auto"/>
          <w:sz w:val="28"/>
          <w:highlight w:val="none"/>
        </w:rPr>
        <w:t>（盖章）</w:t>
      </w:r>
    </w:p>
    <w:p>
      <w:pPr>
        <w:pStyle w:val="21"/>
        <w:tabs>
          <w:tab w:val="left" w:pos="1620"/>
        </w:tabs>
        <w:snapToGrid w:val="0"/>
        <w:spacing w:before="156" w:after="156"/>
        <w:ind w:left="560" w:leftChars="200"/>
        <w:rPr>
          <w:rFonts w:hint="eastAsia" w:hAnsi="宋体" w:eastAsia="宋体" w:cs="宋体"/>
          <w:b/>
          <w:bCs/>
          <w:color w:val="auto"/>
          <w:sz w:val="28"/>
          <w:highlight w:val="none"/>
          <w:lang w:eastAsia="zh-CN"/>
        </w:rPr>
      </w:pPr>
      <w:r>
        <w:rPr>
          <w:rFonts w:hint="eastAsia" w:hAnsi="宋体" w:cs="宋体"/>
          <w:b/>
          <w:bCs/>
          <w:color w:val="auto"/>
          <w:sz w:val="28"/>
          <w:highlight w:val="none"/>
        </w:rPr>
        <w:t>联系人：</w:t>
      </w:r>
      <w:r>
        <w:rPr>
          <w:rFonts w:hint="eastAsia" w:hAnsi="宋体" w:cs="宋体"/>
          <w:b/>
          <w:bCs/>
          <w:color w:val="auto"/>
          <w:sz w:val="28"/>
          <w:highlight w:val="none"/>
          <w:lang w:eastAsia="zh-CN"/>
        </w:rPr>
        <w:t>洪先生</w:t>
      </w:r>
      <w:r>
        <w:rPr>
          <w:rFonts w:hint="eastAsia" w:hAnsi="宋体" w:cs="宋体"/>
          <w:b/>
          <w:bCs/>
          <w:color w:val="auto"/>
          <w:sz w:val="28"/>
          <w:highlight w:val="none"/>
        </w:rPr>
        <w:t xml:space="preserve">               联系电话：</w:t>
      </w:r>
      <w:r>
        <w:rPr>
          <w:rFonts w:hint="eastAsia" w:hAnsi="宋体" w:cs="宋体"/>
          <w:b/>
          <w:bCs/>
          <w:color w:val="auto"/>
          <w:sz w:val="28"/>
          <w:highlight w:val="none"/>
          <w:lang w:eastAsia="zh-CN"/>
        </w:rPr>
        <w:t>0576-88585358</w:t>
      </w:r>
    </w:p>
    <w:p>
      <w:pPr>
        <w:pStyle w:val="21"/>
        <w:tabs>
          <w:tab w:val="left" w:pos="1620"/>
        </w:tabs>
        <w:snapToGrid w:val="0"/>
        <w:spacing w:before="156" w:after="156"/>
        <w:ind w:left="560" w:leftChars="200"/>
        <w:rPr>
          <w:rFonts w:hAnsi="宋体" w:cs="宋体"/>
          <w:b/>
          <w:bCs/>
          <w:color w:val="auto"/>
          <w:sz w:val="28"/>
          <w:highlight w:val="none"/>
        </w:rPr>
      </w:pPr>
      <w:r>
        <w:rPr>
          <w:rFonts w:hint="eastAsia" w:hAnsi="宋体" w:cs="宋体"/>
          <w:b/>
          <w:bCs/>
          <w:color w:val="auto"/>
          <w:sz w:val="28"/>
          <w:highlight w:val="none"/>
        </w:rPr>
        <w:t>代理机构：台州市建设咨询有限公司（盖章）</w:t>
      </w:r>
    </w:p>
    <w:p>
      <w:pPr>
        <w:pStyle w:val="21"/>
        <w:tabs>
          <w:tab w:val="right" w:pos="9184"/>
        </w:tabs>
        <w:snapToGrid w:val="0"/>
        <w:spacing w:before="156" w:after="156" w:line="360" w:lineRule="auto"/>
        <w:ind w:left="560" w:leftChars="200"/>
        <w:rPr>
          <w:rFonts w:hint="eastAsia" w:hAnsi="宋体" w:eastAsia="宋体" w:cs="宋体"/>
          <w:b/>
          <w:bCs/>
          <w:sz w:val="30"/>
          <w:szCs w:val="30"/>
          <w:lang w:eastAsia="zh-CN"/>
        </w:rPr>
      </w:pPr>
      <w:r>
        <w:rPr>
          <w:rFonts w:hint="eastAsia" w:hAnsi="宋体" w:cs="宋体"/>
          <w:b/>
          <w:bCs/>
          <w:color w:val="auto"/>
          <w:sz w:val="28"/>
          <w:highlight w:val="none"/>
        </w:rPr>
        <w:t>代理项目负责人：</w:t>
      </w:r>
      <w:r>
        <w:rPr>
          <w:rFonts w:hint="eastAsia" w:hAnsi="宋体" w:cs="宋体"/>
          <w:b/>
          <w:bCs/>
          <w:color w:val="auto"/>
          <w:sz w:val="28"/>
          <w:highlight w:val="none"/>
          <w:lang w:eastAsia="zh-CN"/>
        </w:rPr>
        <w:t>葛俊</w:t>
      </w:r>
      <w:r>
        <w:rPr>
          <w:rFonts w:hint="eastAsia" w:hAnsi="宋体" w:cs="宋体"/>
          <w:b/>
          <w:bCs/>
          <w:color w:val="auto"/>
          <w:sz w:val="28"/>
          <w:highlight w:val="none"/>
        </w:rPr>
        <w:t xml:space="preserve">    </w:t>
      </w:r>
      <w:r>
        <w:rPr>
          <w:rFonts w:hint="eastAsia" w:hAnsi="宋体" w:cs="宋体"/>
          <w:b/>
          <w:bCs/>
          <w:color w:val="auto"/>
          <w:sz w:val="28"/>
          <w:highlight w:val="none"/>
          <w:lang w:val="en-US" w:eastAsia="zh-CN"/>
        </w:rPr>
        <w:t xml:space="preserve">     </w:t>
      </w:r>
      <w:r>
        <w:rPr>
          <w:rFonts w:hint="eastAsia" w:hAnsi="宋体" w:cs="宋体"/>
          <w:b/>
          <w:bCs/>
          <w:color w:val="auto"/>
          <w:sz w:val="28"/>
          <w:highlight w:val="none"/>
        </w:rPr>
        <w:t>联系电话：</w:t>
      </w:r>
      <w:r>
        <w:rPr>
          <w:rFonts w:hint="eastAsia" w:hAnsi="宋体" w:cs="宋体"/>
          <w:b/>
          <w:bCs/>
          <w:color w:val="auto"/>
          <w:sz w:val="28"/>
          <w:highlight w:val="none"/>
          <w:lang w:eastAsia="zh-CN"/>
        </w:rPr>
        <w:t>0576-885177</w:t>
      </w:r>
      <w:r>
        <w:rPr>
          <w:rFonts w:hint="eastAsia" w:hAnsi="宋体" w:cs="宋体"/>
          <w:b/>
          <w:bCs/>
          <w:sz w:val="28"/>
          <w:lang w:eastAsia="zh-CN"/>
        </w:rPr>
        <w:t>86</w:t>
      </w:r>
    </w:p>
    <w:p>
      <w:pPr>
        <w:pStyle w:val="21"/>
        <w:snapToGrid w:val="0"/>
        <w:spacing w:before="156" w:after="156" w:line="360" w:lineRule="auto"/>
        <w:rPr>
          <w:rFonts w:hAnsi="宋体" w:cs="宋体"/>
          <w:b/>
          <w:bCs/>
          <w:sz w:val="30"/>
          <w:szCs w:val="30"/>
        </w:rPr>
      </w:pPr>
    </w:p>
    <w:p>
      <w:pPr>
        <w:pStyle w:val="21"/>
        <w:snapToGrid w:val="0"/>
        <w:spacing w:before="156" w:after="156" w:line="360" w:lineRule="auto"/>
        <w:rPr>
          <w:rFonts w:hAnsi="宋体" w:cs="宋体"/>
          <w:b/>
          <w:bCs/>
          <w:sz w:val="30"/>
          <w:szCs w:val="30"/>
        </w:rPr>
      </w:pPr>
    </w:p>
    <w:p>
      <w:pPr>
        <w:pStyle w:val="21"/>
        <w:snapToGrid w:val="0"/>
        <w:spacing w:before="156" w:after="156" w:line="360" w:lineRule="auto"/>
        <w:rPr>
          <w:rFonts w:hAnsi="宋体" w:cs="宋体"/>
          <w:b/>
          <w:bCs/>
          <w:sz w:val="30"/>
          <w:szCs w:val="30"/>
        </w:rPr>
      </w:pPr>
    </w:p>
    <w:p>
      <w:pPr>
        <w:pStyle w:val="21"/>
        <w:snapToGrid w:val="0"/>
        <w:spacing w:before="156" w:after="156" w:line="360" w:lineRule="auto"/>
        <w:rPr>
          <w:rFonts w:hAnsi="宋体" w:cs="宋体"/>
          <w:b/>
          <w:bCs/>
          <w:sz w:val="30"/>
          <w:szCs w:val="30"/>
        </w:rPr>
      </w:pPr>
    </w:p>
    <w:p>
      <w:pPr>
        <w:pStyle w:val="21"/>
        <w:spacing w:before="156" w:after="156" w:line="360" w:lineRule="auto"/>
        <w:jc w:val="center"/>
        <w:rPr>
          <w:rFonts w:hAnsi="宋体" w:cs="宋体"/>
          <w:sz w:val="44"/>
          <w:szCs w:val="44"/>
        </w:rPr>
      </w:pPr>
      <w:r>
        <w:rPr>
          <w:rFonts w:hint="eastAsia" w:hAnsi="宋体" w:cs="宋体"/>
          <w:b/>
          <w:bCs/>
          <w:w w:val="95"/>
          <w:sz w:val="30"/>
          <w:szCs w:val="30"/>
        </w:rPr>
        <w:t>二〇二一年</w:t>
      </w:r>
      <w:r>
        <w:rPr>
          <w:rFonts w:hint="eastAsia" w:hAnsi="宋体" w:cs="宋体"/>
          <w:b/>
          <w:bCs/>
          <w:w w:val="95"/>
          <w:sz w:val="30"/>
          <w:szCs w:val="30"/>
          <w:lang w:val="en-US" w:eastAsia="zh-CN"/>
        </w:rPr>
        <w:t>十二</w:t>
      </w:r>
      <w:r>
        <w:rPr>
          <w:rFonts w:hint="eastAsia" w:hAnsi="宋体" w:cs="宋体"/>
          <w:b/>
          <w:bCs/>
          <w:w w:val="95"/>
          <w:sz w:val="30"/>
          <w:szCs w:val="30"/>
        </w:rPr>
        <w:t>月</w:t>
      </w:r>
    </w:p>
    <w:p>
      <w:pPr>
        <w:pStyle w:val="21"/>
        <w:spacing w:before="156" w:after="156" w:line="360" w:lineRule="auto"/>
        <w:jc w:val="center"/>
        <w:rPr>
          <w:rFonts w:hAnsi="宋体" w:cs="宋体"/>
          <w:sz w:val="44"/>
          <w:szCs w:val="44"/>
        </w:rPr>
      </w:pPr>
    </w:p>
    <w:p>
      <w:pPr>
        <w:pStyle w:val="21"/>
        <w:spacing w:before="156" w:after="156" w:line="360" w:lineRule="auto"/>
        <w:jc w:val="center"/>
        <w:rPr>
          <w:rFonts w:hAnsi="宋体" w:cs="宋体"/>
          <w:sz w:val="44"/>
          <w:szCs w:val="44"/>
        </w:rPr>
      </w:pPr>
    </w:p>
    <w:p>
      <w:pPr>
        <w:jc w:val="center"/>
        <w:rPr>
          <w:rFonts w:ascii="宋体" w:hAnsi="宋体" w:cs="宋体"/>
          <w:sz w:val="44"/>
          <w:szCs w:val="44"/>
        </w:rPr>
        <w:sectPr>
          <w:headerReference r:id="rId3" w:type="default"/>
          <w:pgSz w:w="11906" w:h="16838"/>
          <w:pgMar w:top="1247" w:right="1361" w:bottom="1247" w:left="1361" w:header="851" w:footer="851" w:gutter="0"/>
          <w:cols w:space="720" w:num="1"/>
          <w:docGrid w:type="lines" w:linePitch="312" w:charSpace="0"/>
        </w:sectPr>
      </w:pPr>
    </w:p>
    <w:p>
      <w:pPr>
        <w:pStyle w:val="102"/>
      </w:pPr>
    </w:p>
    <w:p>
      <w:pPr>
        <w:pStyle w:val="21"/>
        <w:spacing w:before="156" w:after="156" w:line="360" w:lineRule="auto"/>
        <w:jc w:val="center"/>
        <w:rPr>
          <w:rFonts w:hAnsi="宋体" w:cs="宋体"/>
          <w:sz w:val="44"/>
          <w:szCs w:val="44"/>
        </w:rPr>
      </w:pPr>
    </w:p>
    <w:p>
      <w:pPr>
        <w:pStyle w:val="21"/>
        <w:spacing w:before="156" w:after="156" w:line="360" w:lineRule="auto"/>
        <w:jc w:val="center"/>
        <w:rPr>
          <w:rFonts w:hAnsi="宋体" w:cs="宋体"/>
          <w:sz w:val="44"/>
          <w:szCs w:val="44"/>
        </w:rPr>
      </w:pPr>
      <w:r>
        <w:rPr>
          <w:rFonts w:hint="eastAsia" w:hAnsi="宋体" w:cs="宋体"/>
          <w:sz w:val="44"/>
          <w:szCs w:val="44"/>
        </w:rPr>
        <w:t>目    录</w:t>
      </w:r>
    </w:p>
    <w:p>
      <w:pPr>
        <w:spacing w:before="156" w:beforeLines="50" w:line="480" w:lineRule="exact"/>
        <w:rPr>
          <w:rFonts w:ascii="宋体" w:hAnsi="宋体" w:cs="宋体"/>
          <w:szCs w:val="18"/>
        </w:rPr>
      </w:pPr>
      <w:r>
        <w:rPr>
          <w:rFonts w:hint="eastAsia" w:ascii="宋体" w:hAnsi="宋体" w:cs="宋体"/>
          <w:szCs w:val="22"/>
        </w:rPr>
        <w:t>第一章  公开招标采购公告…………………………………………3</w:t>
      </w:r>
    </w:p>
    <w:p>
      <w:pPr>
        <w:spacing w:before="156" w:beforeLines="50" w:line="480" w:lineRule="exact"/>
        <w:rPr>
          <w:rFonts w:ascii="宋体" w:hAnsi="宋体" w:cs="宋体"/>
          <w:szCs w:val="18"/>
        </w:rPr>
      </w:pPr>
      <w:r>
        <w:rPr>
          <w:rFonts w:hint="eastAsia" w:ascii="宋体" w:hAnsi="宋体" w:cs="宋体"/>
          <w:szCs w:val="22"/>
        </w:rPr>
        <w:t>第二章  招标需求……………………………………………………8</w:t>
      </w:r>
    </w:p>
    <w:p>
      <w:pPr>
        <w:spacing w:before="156" w:beforeLines="50" w:line="480" w:lineRule="exact"/>
        <w:rPr>
          <w:rFonts w:ascii="宋体" w:hAnsi="宋体" w:cs="宋体"/>
          <w:szCs w:val="18"/>
        </w:rPr>
      </w:pPr>
      <w:r>
        <w:rPr>
          <w:rFonts w:hint="eastAsia" w:ascii="宋体" w:hAnsi="宋体" w:cs="宋体"/>
          <w:szCs w:val="22"/>
        </w:rPr>
        <w:t>第三章  投标人须知…………………………………………………13</w:t>
      </w:r>
    </w:p>
    <w:p>
      <w:pPr>
        <w:spacing w:before="156" w:beforeLines="50" w:line="480" w:lineRule="exact"/>
        <w:rPr>
          <w:rFonts w:ascii="宋体" w:hAnsi="宋体" w:cs="宋体"/>
          <w:szCs w:val="18"/>
        </w:rPr>
      </w:pPr>
      <w:r>
        <w:rPr>
          <w:rFonts w:hint="eastAsia" w:ascii="宋体" w:hAnsi="宋体" w:cs="宋体"/>
          <w:szCs w:val="22"/>
        </w:rPr>
        <w:t>第四章  评标办法及评分标准………………………………………28</w:t>
      </w:r>
    </w:p>
    <w:p>
      <w:pPr>
        <w:spacing w:before="156" w:beforeLines="50" w:line="480" w:lineRule="exact"/>
        <w:rPr>
          <w:rFonts w:ascii="宋体" w:hAnsi="宋体" w:cs="宋体"/>
          <w:szCs w:val="18"/>
        </w:rPr>
      </w:pPr>
      <w:r>
        <w:rPr>
          <w:rFonts w:hint="eastAsia" w:ascii="宋体" w:hAnsi="宋体" w:cs="宋体"/>
          <w:szCs w:val="22"/>
        </w:rPr>
        <w:t>第五章  合同主要条款………………………………………………32</w:t>
      </w:r>
    </w:p>
    <w:p>
      <w:pPr>
        <w:spacing w:before="156" w:beforeLines="50" w:line="480" w:lineRule="exact"/>
        <w:rPr>
          <w:rFonts w:ascii="宋体" w:hAnsi="宋体" w:cs="宋体"/>
          <w:szCs w:val="18"/>
        </w:rPr>
      </w:pPr>
      <w:r>
        <w:rPr>
          <w:rFonts w:hint="eastAsia" w:ascii="宋体" w:hAnsi="宋体" w:cs="宋体"/>
          <w:szCs w:val="22"/>
        </w:rPr>
        <w:t>第六章  投标文件格式………………………………………………37</w:t>
      </w:r>
    </w:p>
    <w:p>
      <w:pPr>
        <w:pStyle w:val="21"/>
        <w:snapToGrid w:val="0"/>
        <w:spacing w:before="156" w:after="156" w:line="240" w:lineRule="auto"/>
        <w:jc w:val="center"/>
        <w:outlineLvl w:val="0"/>
        <w:rPr>
          <w:rFonts w:hAnsi="宋体" w:cs="宋体"/>
          <w:sz w:val="28"/>
          <w:szCs w:val="28"/>
        </w:rPr>
        <w:sectPr>
          <w:pgSz w:w="11906" w:h="16838"/>
          <w:pgMar w:top="1440" w:right="1800" w:bottom="1440" w:left="1800" w:header="851" w:footer="992" w:gutter="0"/>
          <w:cols w:space="720" w:num="1"/>
          <w:docGrid w:type="lines" w:linePitch="312" w:charSpace="0"/>
        </w:sectPr>
      </w:pPr>
    </w:p>
    <w:p>
      <w:pPr>
        <w:pStyle w:val="21"/>
        <w:snapToGrid w:val="0"/>
        <w:spacing w:before="156" w:after="156" w:line="240" w:lineRule="auto"/>
        <w:jc w:val="center"/>
        <w:outlineLvl w:val="0"/>
        <w:rPr>
          <w:rFonts w:hAnsi="宋体" w:cs="宋体"/>
        </w:rPr>
      </w:pPr>
      <w:r>
        <w:rPr>
          <w:rFonts w:hint="eastAsia" w:hAnsi="宋体" w:cs="宋体"/>
          <w:sz w:val="28"/>
          <w:szCs w:val="28"/>
        </w:rPr>
        <w:t>第一章  公开招标采购公告</w:t>
      </w:r>
    </w:p>
    <w:p>
      <w:pPr>
        <w:pStyle w:val="80"/>
        <w:widowControl w:val="0"/>
        <w:spacing w:afterLines="0" w:line="360" w:lineRule="auto"/>
        <w:ind w:firstLine="480"/>
        <w:rPr>
          <w:rFonts w:ascii="宋体" w:hAnsi="宋体" w:cs="宋体"/>
          <w:szCs w:val="24"/>
        </w:rPr>
      </w:pPr>
      <w:r>
        <w:rPr>
          <w:rFonts w:hint="eastAsia" w:ascii="宋体" w:hAnsi="宋体" w:cs="宋体"/>
          <w:szCs w:val="24"/>
        </w:rPr>
        <w:t>根据《中华人民共和国政府采购法》、《政府采购货物和服务招标投标管理办法》等规定，现就</w:t>
      </w:r>
      <w:r>
        <w:rPr>
          <w:rFonts w:hint="eastAsia" w:ascii="宋体" w:hAnsi="宋体" w:cs="宋体"/>
          <w:b/>
          <w:bCs/>
          <w:szCs w:val="24"/>
          <w:u w:val="single"/>
          <w:lang w:eastAsia="zh-CN"/>
        </w:rPr>
        <w:t>数字校园管理系统项目</w:t>
      </w:r>
      <w:r>
        <w:rPr>
          <w:rFonts w:hint="eastAsia" w:ascii="宋体" w:hAnsi="宋体" w:cs="宋体"/>
          <w:szCs w:val="24"/>
        </w:rPr>
        <w:t>进行公开招标采购，欢迎能提供本国服务的投标人前来投标：</w:t>
      </w:r>
    </w:p>
    <w:p>
      <w:pPr>
        <w:snapToGrid w:val="0"/>
        <w:spacing w:line="360" w:lineRule="auto"/>
        <w:ind w:firstLine="482" w:firstLineChars="200"/>
        <w:rPr>
          <w:rFonts w:ascii="宋体" w:hAnsi="宋体" w:cs="宋体"/>
          <w:sz w:val="24"/>
        </w:rPr>
      </w:pPr>
      <w:r>
        <w:rPr>
          <w:rFonts w:hint="eastAsia" w:ascii="宋体" w:hAnsi="宋体" w:cs="宋体"/>
          <w:b/>
          <w:sz w:val="24"/>
        </w:rPr>
        <w:t>一、项目编号：</w:t>
      </w:r>
      <w:r>
        <w:rPr>
          <w:rFonts w:hint="eastAsia" w:ascii="宋体" w:hAnsi="宋体" w:cs="宋体"/>
          <w:b/>
          <w:sz w:val="24"/>
          <w:lang w:eastAsia="zh-CN"/>
        </w:rPr>
        <w:t>台财采确临【2021】10225号</w:t>
      </w:r>
      <w:r>
        <w:rPr>
          <w:rFonts w:hint="eastAsia" w:ascii="宋体" w:hAnsi="宋体" w:cs="宋体"/>
          <w:b/>
          <w:sz w:val="24"/>
        </w:rPr>
        <w:t xml:space="preserve"> </w:t>
      </w:r>
    </w:p>
    <w:p>
      <w:pPr>
        <w:snapToGrid w:val="0"/>
        <w:spacing w:line="360" w:lineRule="auto"/>
        <w:ind w:firstLine="482" w:firstLineChars="200"/>
        <w:rPr>
          <w:rFonts w:ascii="宋体" w:hAnsi="宋体" w:cs="宋体"/>
          <w:sz w:val="24"/>
        </w:rPr>
      </w:pPr>
      <w:r>
        <w:rPr>
          <w:rFonts w:hint="eastAsia" w:ascii="宋体" w:hAnsi="宋体" w:cs="宋体"/>
          <w:b/>
          <w:sz w:val="24"/>
        </w:rPr>
        <w:t>二、采购方式：</w:t>
      </w:r>
      <w:r>
        <w:rPr>
          <w:rFonts w:hint="eastAsia" w:ascii="宋体" w:hAnsi="宋体" w:cs="宋体"/>
          <w:sz w:val="24"/>
        </w:rPr>
        <w:t>公开招标</w:t>
      </w:r>
    </w:p>
    <w:p>
      <w:pPr>
        <w:snapToGrid w:val="0"/>
        <w:spacing w:line="360" w:lineRule="auto"/>
        <w:ind w:firstLine="482" w:firstLineChars="200"/>
        <w:rPr>
          <w:rFonts w:ascii="宋体" w:hAnsi="宋体" w:cs="宋体"/>
          <w:b/>
          <w:bCs/>
          <w:sz w:val="24"/>
        </w:rPr>
      </w:pPr>
      <w:r>
        <w:rPr>
          <w:rFonts w:hint="eastAsia" w:ascii="宋体" w:hAnsi="宋体" w:cs="宋体"/>
          <w:b/>
          <w:sz w:val="24"/>
        </w:rPr>
        <w:t>三、</w:t>
      </w:r>
      <w:r>
        <w:rPr>
          <w:rFonts w:hint="eastAsia" w:ascii="宋体" w:hAnsi="宋体" w:cs="宋体"/>
          <w:b/>
          <w:bCs/>
          <w:sz w:val="24"/>
        </w:rPr>
        <w:t>采购内容及数量</w:t>
      </w:r>
    </w:p>
    <w:p>
      <w:pPr>
        <w:pStyle w:val="34"/>
        <w:spacing w:before="0" w:after="0"/>
        <w:jc w:val="both"/>
        <w:rPr>
          <w:color w:val="auto"/>
          <w:highlight w:val="none"/>
        </w:rPr>
      </w:pPr>
      <w:r>
        <w:rPr>
          <w:rFonts w:hint="eastAsia"/>
          <w:color w:val="auto"/>
          <w:sz w:val="24"/>
          <w:szCs w:val="24"/>
          <w:highlight w:val="none"/>
        </w:rPr>
        <w:t>本次招标采购共一个标段，具体如下：</w:t>
      </w:r>
    </w:p>
    <w:tbl>
      <w:tblPr>
        <w:tblStyle w:val="37"/>
        <w:tblW w:w="9556" w:type="dxa"/>
        <w:tblInd w:w="-26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9"/>
        <w:gridCol w:w="3990"/>
        <w:gridCol w:w="1710"/>
        <w:gridCol w:w="780"/>
        <w:gridCol w:w="795"/>
        <w:gridCol w:w="14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789" w:type="dxa"/>
            <w:vAlign w:val="center"/>
          </w:tcPr>
          <w:p>
            <w:pPr>
              <w:tabs>
                <w:tab w:val="left" w:pos="8280"/>
              </w:tabs>
              <w:autoSpaceDE w:val="0"/>
              <w:autoSpaceDN w:val="0"/>
              <w:adjustRightInd w:val="0"/>
              <w:spacing w:line="360" w:lineRule="auto"/>
              <w:ind w:right="25"/>
              <w:jc w:val="center"/>
              <w:rPr>
                <w:rFonts w:ascii="宋体" w:hAnsi="宋体" w:cs="宋体"/>
                <w:b/>
                <w:color w:val="auto"/>
                <w:sz w:val="24"/>
                <w:highlight w:val="none"/>
              </w:rPr>
            </w:pPr>
            <w:r>
              <w:rPr>
                <w:rFonts w:hint="eastAsia" w:ascii="宋体" w:hAnsi="宋体" w:cs="宋体"/>
                <w:b/>
                <w:color w:val="auto"/>
                <w:sz w:val="24"/>
                <w:highlight w:val="none"/>
              </w:rPr>
              <w:t>标段</w:t>
            </w:r>
          </w:p>
        </w:tc>
        <w:tc>
          <w:tcPr>
            <w:tcW w:w="3990" w:type="dxa"/>
            <w:vAlign w:val="center"/>
          </w:tcPr>
          <w:p>
            <w:pPr>
              <w:tabs>
                <w:tab w:val="left" w:pos="8280"/>
              </w:tabs>
              <w:autoSpaceDE w:val="0"/>
              <w:autoSpaceDN w:val="0"/>
              <w:adjustRightInd w:val="0"/>
              <w:spacing w:line="360" w:lineRule="auto"/>
              <w:ind w:right="25"/>
              <w:jc w:val="center"/>
              <w:rPr>
                <w:rFonts w:ascii="宋体" w:hAnsi="宋体" w:cs="宋体"/>
                <w:b/>
                <w:color w:val="auto"/>
                <w:sz w:val="24"/>
                <w:highlight w:val="none"/>
              </w:rPr>
            </w:pPr>
            <w:r>
              <w:rPr>
                <w:rFonts w:hint="eastAsia" w:ascii="宋体" w:hAnsi="宋体" w:cs="宋体"/>
                <w:b/>
                <w:color w:val="auto"/>
                <w:sz w:val="24"/>
                <w:highlight w:val="none"/>
              </w:rPr>
              <w:t>顶目名称</w:t>
            </w:r>
          </w:p>
        </w:tc>
        <w:tc>
          <w:tcPr>
            <w:tcW w:w="1710" w:type="dxa"/>
            <w:vAlign w:val="center"/>
          </w:tcPr>
          <w:p>
            <w:pPr>
              <w:tabs>
                <w:tab w:val="left" w:pos="8280"/>
              </w:tabs>
              <w:autoSpaceDE w:val="0"/>
              <w:autoSpaceDN w:val="0"/>
              <w:adjustRightInd w:val="0"/>
              <w:spacing w:line="360" w:lineRule="auto"/>
              <w:ind w:right="25" w:firstLine="120" w:firstLineChars="50"/>
              <w:jc w:val="center"/>
              <w:rPr>
                <w:rFonts w:ascii="宋体" w:hAnsi="宋体" w:cs="宋体"/>
                <w:b/>
                <w:color w:val="auto"/>
                <w:sz w:val="24"/>
                <w:highlight w:val="none"/>
              </w:rPr>
            </w:pPr>
            <w:r>
              <w:rPr>
                <w:rFonts w:hint="eastAsia" w:ascii="宋体" w:hAnsi="宋体" w:cs="宋体"/>
                <w:b/>
                <w:color w:val="auto"/>
                <w:sz w:val="24"/>
                <w:highlight w:val="none"/>
              </w:rPr>
              <w:t>服务内容</w:t>
            </w:r>
          </w:p>
        </w:tc>
        <w:tc>
          <w:tcPr>
            <w:tcW w:w="780" w:type="dxa"/>
            <w:vAlign w:val="center"/>
          </w:tcPr>
          <w:p>
            <w:pPr>
              <w:tabs>
                <w:tab w:val="left" w:pos="8280"/>
              </w:tabs>
              <w:autoSpaceDE w:val="0"/>
              <w:autoSpaceDN w:val="0"/>
              <w:adjustRightInd w:val="0"/>
              <w:spacing w:line="360" w:lineRule="auto"/>
              <w:ind w:right="25"/>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795" w:type="dxa"/>
            <w:vAlign w:val="center"/>
          </w:tcPr>
          <w:p>
            <w:pPr>
              <w:tabs>
                <w:tab w:val="left" w:pos="8280"/>
              </w:tabs>
              <w:autoSpaceDE w:val="0"/>
              <w:autoSpaceDN w:val="0"/>
              <w:adjustRightInd w:val="0"/>
              <w:spacing w:line="360" w:lineRule="auto"/>
              <w:ind w:right="25"/>
              <w:jc w:val="center"/>
              <w:rPr>
                <w:rFonts w:ascii="宋体" w:hAnsi="宋体" w:cs="宋体"/>
                <w:b/>
                <w:color w:val="auto"/>
                <w:sz w:val="24"/>
                <w:highlight w:val="none"/>
              </w:rPr>
            </w:pPr>
            <w:r>
              <w:rPr>
                <w:rFonts w:hint="eastAsia" w:ascii="宋体" w:hAnsi="宋体" w:cs="宋体"/>
                <w:b/>
                <w:color w:val="auto"/>
                <w:sz w:val="24"/>
                <w:highlight w:val="none"/>
              </w:rPr>
              <w:t>单位</w:t>
            </w:r>
          </w:p>
        </w:tc>
        <w:tc>
          <w:tcPr>
            <w:tcW w:w="1492" w:type="dxa"/>
            <w:vAlign w:val="center"/>
          </w:tcPr>
          <w:p>
            <w:pPr>
              <w:tabs>
                <w:tab w:val="left" w:pos="8280"/>
              </w:tabs>
              <w:autoSpaceDE w:val="0"/>
              <w:autoSpaceDN w:val="0"/>
              <w:adjustRightInd w:val="0"/>
              <w:spacing w:line="360" w:lineRule="auto"/>
              <w:ind w:right="25"/>
              <w:jc w:val="center"/>
              <w:rPr>
                <w:rFonts w:ascii="宋体" w:hAnsi="宋体" w:cs="宋体"/>
                <w:b/>
                <w:color w:val="auto"/>
                <w:sz w:val="24"/>
                <w:highlight w:val="none"/>
              </w:rPr>
            </w:pPr>
            <w:r>
              <w:rPr>
                <w:rFonts w:hint="eastAsia" w:ascii="宋体" w:hAnsi="宋体" w:cs="宋体"/>
                <w:b/>
                <w:color w:val="auto"/>
                <w:sz w:val="24"/>
                <w:highlight w:val="none"/>
              </w:rPr>
              <w:t>预算（万元）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11" w:hRule="atLeast"/>
        </w:trPr>
        <w:tc>
          <w:tcPr>
            <w:tcW w:w="789" w:type="dxa"/>
            <w:vAlign w:val="center"/>
          </w:tcPr>
          <w:p>
            <w:pPr>
              <w:spacing w:line="360" w:lineRule="auto"/>
              <w:jc w:val="center"/>
              <w:rPr>
                <w:rFonts w:ascii="宋体" w:hAnsi="宋体" w:cs="宋体"/>
                <w:color w:val="auto"/>
                <w:sz w:val="24"/>
                <w:highlight w:val="none"/>
              </w:rPr>
            </w:pPr>
            <w:r>
              <w:rPr>
                <w:rFonts w:ascii="宋体" w:hAnsi="宋体" w:cs="宋体"/>
                <w:color w:val="auto"/>
                <w:sz w:val="24"/>
                <w:highlight w:val="none"/>
              </w:rPr>
              <w:t>1</w:t>
            </w:r>
          </w:p>
        </w:tc>
        <w:tc>
          <w:tcPr>
            <w:tcW w:w="3990" w:type="dxa"/>
            <w:vAlign w:val="center"/>
          </w:tcPr>
          <w:p>
            <w:pPr>
              <w:spacing w:line="360" w:lineRule="auto"/>
              <w:jc w:val="center"/>
              <w:rPr>
                <w:rFonts w:hint="eastAsia" w:ascii="宋体" w:hAnsi="宋体" w:eastAsia="宋体" w:cs="宋体"/>
                <w:color w:val="auto"/>
                <w:kern w:val="0"/>
                <w:sz w:val="24"/>
                <w:highlight w:val="none"/>
                <w:lang w:eastAsia="zh-CN"/>
              </w:rPr>
            </w:pPr>
            <w:r>
              <w:rPr>
                <w:rFonts w:hint="eastAsia" w:ascii="宋体" w:hAnsi="宋体"/>
                <w:color w:val="auto"/>
                <w:sz w:val="24"/>
                <w:highlight w:val="none"/>
                <w:lang w:eastAsia="zh-CN"/>
              </w:rPr>
              <w:t>数字校园管理系统项目</w:t>
            </w:r>
          </w:p>
        </w:tc>
        <w:tc>
          <w:tcPr>
            <w:tcW w:w="1710" w:type="dxa"/>
            <w:vAlign w:val="center"/>
          </w:tcPr>
          <w:p>
            <w:pPr>
              <w:spacing w:line="360" w:lineRule="auto"/>
              <w:jc w:val="center"/>
              <w:rPr>
                <w:rFonts w:ascii="宋体" w:hAnsi="宋体" w:cs="宋体"/>
                <w:color w:val="auto"/>
                <w:kern w:val="0"/>
                <w:sz w:val="24"/>
                <w:highlight w:val="none"/>
              </w:rPr>
            </w:pPr>
            <w:r>
              <w:rPr>
                <w:rFonts w:hint="eastAsia" w:ascii="宋体" w:hAnsi="宋体" w:cs="宋体"/>
                <w:color w:val="auto"/>
                <w:sz w:val="24"/>
                <w:highlight w:val="none"/>
              </w:rPr>
              <w:t>详见采购文件第二章</w:t>
            </w:r>
          </w:p>
        </w:tc>
        <w:tc>
          <w:tcPr>
            <w:tcW w:w="780" w:type="dxa"/>
            <w:vAlign w:val="center"/>
          </w:tcPr>
          <w:p>
            <w:pPr>
              <w:spacing w:line="360" w:lineRule="auto"/>
              <w:jc w:val="center"/>
              <w:rPr>
                <w:rFonts w:ascii="宋体" w:hAnsi="宋体" w:cs="宋体"/>
                <w:color w:val="auto"/>
                <w:sz w:val="24"/>
                <w:highlight w:val="none"/>
              </w:rPr>
            </w:pPr>
            <w:r>
              <w:rPr>
                <w:rFonts w:hint="eastAsia" w:ascii="宋体" w:hAnsi="宋体"/>
                <w:color w:val="auto"/>
                <w:sz w:val="24"/>
                <w:highlight w:val="none"/>
              </w:rPr>
              <w:t>1</w:t>
            </w:r>
          </w:p>
        </w:tc>
        <w:tc>
          <w:tcPr>
            <w:tcW w:w="795" w:type="dxa"/>
            <w:vAlign w:val="center"/>
          </w:tcPr>
          <w:p>
            <w:pPr>
              <w:spacing w:line="360" w:lineRule="auto"/>
              <w:jc w:val="center"/>
              <w:rPr>
                <w:rFonts w:ascii="宋体" w:hAnsi="宋体" w:cs="宋体"/>
                <w:color w:val="auto"/>
                <w:sz w:val="24"/>
                <w:highlight w:val="none"/>
              </w:rPr>
            </w:pPr>
            <w:r>
              <w:rPr>
                <w:rFonts w:hint="eastAsia" w:ascii="宋体" w:hAnsi="宋体"/>
                <w:color w:val="auto"/>
                <w:sz w:val="24"/>
                <w:highlight w:val="none"/>
              </w:rPr>
              <w:t>项</w:t>
            </w:r>
          </w:p>
        </w:tc>
        <w:tc>
          <w:tcPr>
            <w:tcW w:w="1492" w:type="dxa"/>
            <w:vAlign w:val="center"/>
          </w:tcPr>
          <w:p>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227</w:t>
            </w:r>
          </w:p>
        </w:tc>
      </w:tr>
    </w:tbl>
    <w:p>
      <w:pPr>
        <w:snapToGrid w:val="0"/>
        <w:spacing w:line="360" w:lineRule="auto"/>
        <w:ind w:firstLine="482" w:firstLineChars="200"/>
        <w:rPr>
          <w:rFonts w:ascii="宋体" w:hAnsi="宋体" w:cs="宋体"/>
          <w:b/>
          <w:bCs/>
          <w:color w:val="auto"/>
          <w:sz w:val="24"/>
          <w:highlight w:val="none"/>
        </w:rPr>
      </w:pPr>
      <w:r>
        <w:rPr>
          <w:rFonts w:hint="eastAsia" w:ascii="宋体" w:hAnsi="宋体" w:cs="宋体"/>
          <w:b/>
          <w:color w:val="auto"/>
          <w:sz w:val="24"/>
          <w:highlight w:val="none"/>
        </w:rPr>
        <w:t>四</w:t>
      </w:r>
      <w:r>
        <w:rPr>
          <w:rFonts w:hint="eastAsia" w:ascii="宋体" w:hAnsi="宋体" w:cs="宋体"/>
          <w:color w:val="auto"/>
          <w:sz w:val="24"/>
          <w:highlight w:val="none"/>
        </w:rPr>
        <w:t>、</w:t>
      </w:r>
      <w:r>
        <w:rPr>
          <w:rFonts w:hint="eastAsia" w:ascii="宋体" w:hAnsi="宋体" w:cs="宋体"/>
          <w:b/>
          <w:bCs/>
          <w:color w:val="auto"/>
          <w:sz w:val="24"/>
          <w:highlight w:val="none"/>
        </w:rPr>
        <w:t>合格投标人的资格要求</w:t>
      </w:r>
    </w:p>
    <w:p>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（1）符合《中华人民共和国政府采购法》第二十二条的规定。</w:t>
      </w:r>
    </w:p>
    <w:p>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w:t>
      </w:r>
      <w:r>
        <w:rPr>
          <w:rFonts w:hint="eastAsia" w:ascii="宋体" w:hAnsi="宋体"/>
          <w:color w:val="auto"/>
          <w:sz w:val="24"/>
          <w:highlight w:val="none"/>
          <w:lang w:val="en-US" w:eastAsia="zh-CN"/>
        </w:rPr>
        <w:t>2</w:t>
      </w:r>
      <w:r>
        <w:rPr>
          <w:rFonts w:hint="eastAsia" w:ascii="宋体" w:hAnsi="宋体"/>
          <w:color w:val="auto"/>
          <w:sz w:val="24"/>
          <w:highlight w:val="none"/>
        </w:rPr>
        <w:t>）未被“信用中国”（www.creditchina.gov.cn）、中国政府采购网（www.ccgp.gov.cn）列入失信被执行人、重大税收违法案件当事人名单、政府采购严重违法失信行为记录名单。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宋体" w:hAnsi="宋体" w:eastAsia="宋体"/>
          <w:b/>
          <w:bCs/>
          <w:color w:val="auto"/>
          <w:sz w:val="24"/>
          <w:highlight w:val="none"/>
          <w:lang w:eastAsia="zh-CN"/>
        </w:rPr>
      </w:pPr>
      <w:r>
        <w:rPr>
          <w:rFonts w:hint="eastAsia" w:ascii="宋体" w:hAnsi="宋体"/>
          <w:color w:val="auto"/>
          <w:sz w:val="24"/>
          <w:highlight w:val="none"/>
        </w:rPr>
        <w:t>（</w:t>
      </w:r>
      <w:r>
        <w:rPr>
          <w:rFonts w:hint="eastAsia" w:ascii="宋体" w:hAnsi="宋体"/>
          <w:color w:val="auto"/>
          <w:sz w:val="24"/>
          <w:highlight w:val="none"/>
          <w:lang w:val="en-US" w:eastAsia="zh-CN"/>
        </w:rPr>
        <w:t>3</w:t>
      </w:r>
      <w:r>
        <w:rPr>
          <w:rFonts w:hint="eastAsia" w:ascii="宋体" w:hAnsi="宋体"/>
          <w:color w:val="auto"/>
          <w:sz w:val="24"/>
          <w:highlight w:val="none"/>
        </w:rPr>
        <w:t>）落实政府采购政策需满足的资格要求：</w:t>
      </w:r>
      <w:r>
        <w:rPr>
          <w:rFonts w:hint="eastAsia" w:ascii="宋体" w:hAnsi="宋体"/>
          <w:color w:val="auto"/>
          <w:sz w:val="24"/>
          <w:highlight w:val="none"/>
          <w:lang w:val="en-US" w:eastAsia="zh-CN"/>
        </w:rPr>
        <w:t>非专门面向中小企业采购</w:t>
      </w:r>
      <w:r>
        <w:rPr>
          <w:rFonts w:hint="eastAsia" w:ascii="宋体" w:hAnsi="宋体"/>
          <w:b/>
          <w:bCs/>
          <w:color w:val="auto"/>
          <w:sz w:val="24"/>
          <w:highlight w:val="none"/>
        </w:rPr>
        <w:t>。</w:t>
      </w:r>
    </w:p>
    <w:p>
      <w:pPr>
        <w:snapToGrid w:val="0"/>
        <w:spacing w:line="360" w:lineRule="auto"/>
        <w:ind w:firstLine="480" w:firstLineChars="200"/>
        <w:rPr>
          <w:rFonts w:hint="eastAsia" w:ascii="宋体" w:hAnsi="宋体"/>
          <w:sz w:val="24"/>
        </w:rPr>
      </w:pPr>
      <w:r>
        <w:rPr>
          <w:rFonts w:hint="eastAsia" w:ascii="宋体" w:hAnsi="宋体"/>
          <w:sz w:val="24"/>
        </w:rPr>
        <w:t>（</w:t>
      </w:r>
      <w:r>
        <w:rPr>
          <w:rFonts w:hint="eastAsia" w:ascii="宋体" w:hAnsi="宋体"/>
          <w:sz w:val="24"/>
          <w:lang w:val="en-US" w:eastAsia="zh-CN"/>
        </w:rPr>
        <w:t>4</w:t>
      </w:r>
      <w:r>
        <w:rPr>
          <w:rFonts w:hint="eastAsia" w:ascii="宋体" w:hAnsi="宋体"/>
          <w:sz w:val="24"/>
        </w:rPr>
        <w:t>）本项目不接受联合体投标。</w:t>
      </w:r>
    </w:p>
    <w:p>
      <w:pPr>
        <w:snapToGrid w:val="0"/>
        <w:spacing w:line="360" w:lineRule="auto"/>
        <w:ind w:firstLine="482" w:firstLineChars="200"/>
        <w:rPr>
          <w:rFonts w:ascii="宋体" w:hAnsi="宋体" w:cs="宋体"/>
          <w:sz w:val="24"/>
        </w:rPr>
      </w:pPr>
      <w:r>
        <w:rPr>
          <w:rFonts w:hint="eastAsia" w:ascii="宋体" w:hAnsi="宋体" w:cs="宋体"/>
          <w:b/>
          <w:bCs/>
          <w:sz w:val="24"/>
        </w:rPr>
        <w:t>五、采购文件的获取</w:t>
      </w:r>
      <w:r>
        <w:rPr>
          <w:rFonts w:hint="eastAsia" w:ascii="宋体" w:hAnsi="宋体" w:cs="宋体"/>
          <w:sz w:val="24"/>
        </w:rPr>
        <w:t>：</w:t>
      </w:r>
    </w:p>
    <w:p>
      <w:pPr>
        <w:pStyle w:val="33"/>
        <w:ind w:right="30" w:firstLine="540"/>
        <w:rPr>
          <w:rFonts w:cs="宋体"/>
          <w:color w:val="auto"/>
        </w:rPr>
      </w:pPr>
      <w:r>
        <w:rPr>
          <w:rFonts w:hint="eastAsia" w:cs="宋体"/>
          <w:color w:val="auto"/>
        </w:rPr>
        <w:t>1、本项目采购文件实行“政府采购云平台”在线获取，不提供采购文件纸质版。供应商获取采购文件前应先完成“政府采购云平台”的账号注册。</w:t>
      </w:r>
    </w:p>
    <w:p>
      <w:pPr>
        <w:pStyle w:val="33"/>
        <w:ind w:right="30" w:firstLine="540"/>
        <w:rPr>
          <w:rFonts w:cs="宋体"/>
          <w:color w:val="auto"/>
        </w:rPr>
      </w:pPr>
      <w:r>
        <w:rPr>
          <w:rFonts w:hint="eastAsia" w:cs="宋体"/>
          <w:color w:val="auto"/>
        </w:rPr>
        <w:t>2、获取时间：公告发布时间至投标截止时间。</w:t>
      </w:r>
    </w:p>
    <w:p>
      <w:pPr>
        <w:pStyle w:val="33"/>
        <w:ind w:right="30" w:firstLine="540"/>
        <w:rPr>
          <w:rFonts w:cs="宋体"/>
          <w:color w:val="auto"/>
        </w:rPr>
      </w:pPr>
      <w:r>
        <w:rPr>
          <w:rFonts w:hint="eastAsia" w:cs="宋体"/>
          <w:color w:val="auto"/>
        </w:rPr>
        <w:t>3、地点：政府采购云平台（http://www.zcygov.cn）。</w:t>
      </w:r>
    </w:p>
    <w:p>
      <w:pPr>
        <w:pStyle w:val="33"/>
        <w:ind w:right="30" w:firstLine="540"/>
        <w:rPr>
          <w:rFonts w:cs="宋体"/>
          <w:color w:val="auto"/>
        </w:rPr>
      </w:pPr>
      <w:r>
        <w:rPr>
          <w:rFonts w:hint="eastAsia" w:cs="宋体"/>
          <w:color w:val="auto"/>
        </w:rPr>
        <w:t>4、方式：潜在供应商登陆政府采购云平台 ，在线申请获取采购文件（进入“项目采购”应用，在获取采购文件菜单中选择项目，申请获取采购文件，本项目采购文件不收取费用）。</w:t>
      </w:r>
    </w:p>
    <w:p>
      <w:pPr>
        <w:pStyle w:val="33"/>
        <w:ind w:right="30" w:firstLine="540"/>
        <w:rPr>
          <w:rFonts w:cs="宋体"/>
          <w:color w:val="auto"/>
        </w:rPr>
      </w:pPr>
      <w:r>
        <w:rPr>
          <w:rFonts w:hint="eastAsia" w:cs="宋体"/>
          <w:color w:val="auto"/>
        </w:rPr>
        <w:t>5、供应商获取采购文件时须提交的文件资料：无。</w:t>
      </w:r>
    </w:p>
    <w:p>
      <w:pPr>
        <w:pStyle w:val="33"/>
        <w:ind w:right="30" w:firstLine="540"/>
        <w:rPr>
          <w:rFonts w:cs="宋体"/>
          <w:color w:val="auto"/>
        </w:rPr>
      </w:pPr>
      <w:r>
        <w:rPr>
          <w:rFonts w:hint="eastAsia" w:cs="宋体"/>
          <w:color w:val="auto"/>
        </w:rPr>
        <w:t>6、提示：招标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w:t>
      </w:r>
    </w:p>
    <w:p>
      <w:pPr>
        <w:pStyle w:val="33"/>
        <w:ind w:right="30" w:firstLine="540"/>
        <w:rPr>
          <w:rFonts w:cs="宋体"/>
          <w:color w:val="auto"/>
        </w:rPr>
      </w:pPr>
      <w:r>
        <w:rPr>
          <w:rFonts w:hint="eastAsia" w:cs="宋体"/>
          <w:color w:val="auto"/>
        </w:rPr>
        <w:t>注：请供应商按上述要求获取采购文件，如未在“政采云”系统内完成相关流程，引起的投标无效责任自负。</w:t>
      </w:r>
    </w:p>
    <w:p>
      <w:pPr>
        <w:pStyle w:val="33"/>
        <w:spacing w:line="360" w:lineRule="atLeast"/>
        <w:ind w:right="30" w:firstLine="540"/>
        <w:rPr>
          <w:rStyle w:val="40"/>
          <w:rFonts w:cs="宋体"/>
          <w:color w:val="auto"/>
          <w:highlight w:val="none"/>
        </w:rPr>
      </w:pPr>
      <w:r>
        <w:rPr>
          <w:rStyle w:val="40"/>
          <w:rFonts w:hint="eastAsia" w:cs="宋体"/>
          <w:color w:val="auto"/>
          <w:highlight w:val="none"/>
        </w:rPr>
        <w:t>六、</w:t>
      </w:r>
      <w:r>
        <w:rPr>
          <w:rFonts w:hint="eastAsia" w:cs="宋体"/>
          <w:b/>
          <w:bCs/>
          <w:color w:val="auto"/>
          <w:highlight w:val="none"/>
        </w:rPr>
        <w:t>投标截止时间</w:t>
      </w:r>
      <w:r>
        <w:rPr>
          <w:rStyle w:val="40"/>
          <w:rFonts w:hint="eastAsia" w:cs="宋体"/>
          <w:color w:val="auto"/>
          <w:highlight w:val="none"/>
        </w:rPr>
        <w:t>、响应文件递交截止时间及投标开始时间、地点：</w:t>
      </w:r>
    </w:p>
    <w:p>
      <w:pPr>
        <w:pStyle w:val="33"/>
        <w:ind w:firstLine="480" w:firstLineChars="200"/>
        <w:rPr>
          <w:rFonts w:cs="宋体"/>
          <w:color w:val="auto"/>
          <w:highlight w:val="none"/>
        </w:rPr>
      </w:pPr>
      <w:r>
        <w:rPr>
          <w:rFonts w:hint="eastAsia" w:cs="宋体"/>
          <w:bCs/>
          <w:color w:val="auto"/>
          <w:highlight w:val="none"/>
        </w:rPr>
        <w:t>投标截止时间：</w:t>
      </w:r>
      <w:r>
        <w:rPr>
          <w:rFonts w:hint="eastAsia" w:cs="宋体"/>
          <w:color w:val="auto"/>
          <w:highlight w:val="none"/>
        </w:rPr>
        <w:t>202</w:t>
      </w:r>
      <w:r>
        <w:rPr>
          <w:rFonts w:hint="eastAsia" w:cs="宋体"/>
          <w:color w:val="auto"/>
          <w:highlight w:val="none"/>
          <w:lang w:val="en-US" w:eastAsia="zh-CN"/>
        </w:rPr>
        <w:t>2</w:t>
      </w:r>
      <w:r>
        <w:rPr>
          <w:rFonts w:hint="eastAsia" w:cs="宋体"/>
          <w:color w:val="auto"/>
          <w:highlight w:val="none"/>
        </w:rPr>
        <w:t>年</w:t>
      </w:r>
      <w:r>
        <w:rPr>
          <w:rFonts w:hint="eastAsia" w:cs="宋体"/>
          <w:color w:val="auto"/>
          <w:highlight w:val="none"/>
          <w:lang w:val="en-US" w:eastAsia="zh-CN"/>
        </w:rPr>
        <w:t>01</w:t>
      </w:r>
      <w:r>
        <w:rPr>
          <w:rFonts w:hint="eastAsia" w:cs="宋体"/>
          <w:color w:val="auto"/>
          <w:highlight w:val="none"/>
        </w:rPr>
        <w:t>月</w:t>
      </w:r>
      <w:r>
        <w:rPr>
          <w:rFonts w:hint="eastAsia" w:cs="宋体"/>
          <w:color w:val="auto"/>
          <w:highlight w:val="none"/>
          <w:lang w:val="en-US" w:eastAsia="zh-CN"/>
        </w:rPr>
        <w:t>18</w:t>
      </w:r>
      <w:r>
        <w:rPr>
          <w:rFonts w:hint="eastAsia" w:cs="宋体"/>
          <w:color w:val="auto"/>
          <w:highlight w:val="none"/>
        </w:rPr>
        <w:t>日09时30分。投标文件未按时解密，视为放弃投标。</w:t>
      </w:r>
    </w:p>
    <w:p>
      <w:pPr>
        <w:pStyle w:val="33"/>
        <w:ind w:firstLine="480" w:firstLineChars="200"/>
        <w:rPr>
          <w:rFonts w:cs="宋体"/>
          <w:color w:val="auto"/>
          <w:highlight w:val="none"/>
        </w:rPr>
      </w:pPr>
      <w:r>
        <w:rPr>
          <w:rFonts w:hint="eastAsia" w:cs="宋体"/>
          <w:bCs/>
          <w:color w:val="auto"/>
          <w:highlight w:val="none"/>
        </w:rPr>
        <w:t>投标地点：</w:t>
      </w:r>
      <w:r>
        <w:rPr>
          <w:rFonts w:hint="eastAsia" w:cs="宋体"/>
          <w:color w:val="auto"/>
          <w:highlight w:val="none"/>
        </w:rPr>
        <w:t>投标截止时间前将“电子加密投标文件”上传递交至“政府采购云平台”。</w:t>
      </w:r>
    </w:p>
    <w:p>
      <w:pPr>
        <w:pStyle w:val="33"/>
        <w:ind w:firstLine="480" w:firstLineChars="200"/>
        <w:rPr>
          <w:rFonts w:cs="宋体"/>
          <w:color w:val="auto"/>
          <w:highlight w:val="none"/>
        </w:rPr>
      </w:pPr>
      <w:r>
        <w:rPr>
          <w:rFonts w:hint="eastAsia" w:cs="宋体"/>
          <w:bCs/>
          <w:color w:val="auto"/>
          <w:highlight w:val="none"/>
        </w:rPr>
        <w:t>开标时间：</w:t>
      </w:r>
      <w:r>
        <w:rPr>
          <w:rFonts w:hint="eastAsia" w:cs="宋体"/>
          <w:color w:val="auto"/>
          <w:highlight w:val="none"/>
        </w:rPr>
        <w:t>202</w:t>
      </w:r>
      <w:r>
        <w:rPr>
          <w:rFonts w:hint="eastAsia" w:cs="宋体"/>
          <w:color w:val="auto"/>
          <w:highlight w:val="none"/>
          <w:lang w:val="en-US" w:eastAsia="zh-CN"/>
        </w:rPr>
        <w:t>2</w:t>
      </w:r>
      <w:r>
        <w:rPr>
          <w:rFonts w:hint="eastAsia" w:cs="宋体"/>
          <w:color w:val="auto"/>
          <w:highlight w:val="none"/>
        </w:rPr>
        <w:t>年</w:t>
      </w:r>
      <w:r>
        <w:rPr>
          <w:rFonts w:hint="eastAsia" w:cs="宋体"/>
          <w:color w:val="auto"/>
          <w:highlight w:val="none"/>
          <w:lang w:val="en-US" w:eastAsia="zh-CN"/>
        </w:rPr>
        <w:t>01</w:t>
      </w:r>
      <w:r>
        <w:rPr>
          <w:rFonts w:hint="eastAsia" w:cs="宋体"/>
          <w:color w:val="auto"/>
          <w:highlight w:val="none"/>
        </w:rPr>
        <w:t>月</w:t>
      </w:r>
      <w:r>
        <w:rPr>
          <w:rFonts w:hint="eastAsia" w:cs="宋体"/>
          <w:color w:val="auto"/>
          <w:highlight w:val="none"/>
          <w:lang w:val="en-US" w:eastAsia="zh-CN"/>
        </w:rPr>
        <w:t>18</w:t>
      </w:r>
      <w:r>
        <w:rPr>
          <w:rFonts w:hint="eastAsia" w:cs="宋体"/>
          <w:color w:val="auto"/>
          <w:highlight w:val="none"/>
        </w:rPr>
        <w:t>日09时30分。</w:t>
      </w:r>
    </w:p>
    <w:p>
      <w:pPr>
        <w:pStyle w:val="33"/>
        <w:ind w:firstLine="480" w:firstLineChars="200"/>
        <w:rPr>
          <w:rFonts w:cs="宋体"/>
          <w:color w:val="auto"/>
          <w:highlight w:val="none"/>
        </w:rPr>
      </w:pPr>
      <w:r>
        <w:rPr>
          <w:rFonts w:hint="eastAsia" w:cs="宋体"/>
          <w:bCs/>
          <w:color w:val="auto"/>
          <w:highlight w:val="none"/>
        </w:rPr>
        <w:t>开标地点</w:t>
      </w:r>
      <w:r>
        <w:rPr>
          <w:rFonts w:hint="eastAsia" w:cs="宋体"/>
          <w:b/>
          <w:bCs/>
          <w:color w:val="auto"/>
          <w:highlight w:val="none"/>
        </w:rPr>
        <w:t>：</w:t>
      </w:r>
      <w:r>
        <w:rPr>
          <w:rFonts w:hint="eastAsia" w:cs="宋体"/>
          <w:color w:val="auto"/>
          <w:highlight w:val="none"/>
          <w:u w:val="single"/>
        </w:rPr>
        <w:t>浙江省台州市市府大道507号台州国际商务广场3幢（南门）三楼开标室</w:t>
      </w:r>
      <w:r>
        <w:rPr>
          <w:rFonts w:hint="eastAsia" w:cs="宋体"/>
          <w:color w:val="auto"/>
          <w:highlight w:val="none"/>
        </w:rPr>
        <w:t>（线上开标）。</w:t>
      </w:r>
    </w:p>
    <w:p>
      <w:pPr>
        <w:pStyle w:val="33"/>
        <w:spacing w:before="105" w:beforeAutospacing="0" w:after="0" w:afterAutospacing="0" w:line="360" w:lineRule="atLeast"/>
        <w:ind w:right="30" w:firstLine="480"/>
        <w:rPr>
          <w:rFonts w:cs="宋体"/>
          <w:color w:val="auto"/>
          <w:sz w:val="27"/>
          <w:szCs w:val="27"/>
          <w:highlight w:val="none"/>
        </w:rPr>
      </w:pPr>
      <w:r>
        <w:rPr>
          <w:rStyle w:val="40"/>
          <w:rFonts w:hint="eastAsia" w:cs="宋体"/>
          <w:color w:val="auto"/>
          <w:highlight w:val="none"/>
        </w:rPr>
        <w:t>七、投标保证金：</w:t>
      </w:r>
    </w:p>
    <w:p>
      <w:pPr>
        <w:pStyle w:val="33"/>
        <w:spacing w:line="360" w:lineRule="atLeast"/>
        <w:ind w:firstLine="480"/>
        <w:rPr>
          <w:rFonts w:cs="宋体"/>
          <w:color w:val="auto"/>
          <w:sz w:val="27"/>
          <w:szCs w:val="27"/>
          <w:highlight w:val="none"/>
        </w:rPr>
      </w:pPr>
      <w:r>
        <w:rPr>
          <w:rFonts w:hint="eastAsia" w:cs="宋体"/>
          <w:color w:val="auto"/>
          <w:highlight w:val="none"/>
        </w:rPr>
        <w:t>根据《浙江省财政厅关于明确政府采购保证金管理工作的通知》（浙财采监〔2019〕5号）相关规定，本项目不设置投标保证金。</w:t>
      </w:r>
    </w:p>
    <w:p>
      <w:pPr>
        <w:pStyle w:val="33"/>
        <w:spacing w:line="360" w:lineRule="atLeast"/>
        <w:ind w:firstLine="480"/>
        <w:rPr>
          <w:rFonts w:cs="宋体"/>
          <w:color w:val="auto"/>
          <w:sz w:val="27"/>
          <w:szCs w:val="27"/>
          <w:highlight w:val="none"/>
        </w:rPr>
      </w:pPr>
      <w:r>
        <w:rPr>
          <w:rStyle w:val="40"/>
          <w:rFonts w:hint="eastAsia" w:cs="宋体"/>
          <w:color w:val="auto"/>
          <w:highlight w:val="none"/>
        </w:rPr>
        <w:t>八、相关注意事项</w:t>
      </w:r>
      <w:r>
        <w:rPr>
          <w:rFonts w:hint="eastAsia" w:cs="宋体"/>
          <w:color w:val="auto"/>
          <w:highlight w:val="none"/>
        </w:rPr>
        <w:t>：</w:t>
      </w:r>
    </w:p>
    <w:p>
      <w:pPr>
        <w:pStyle w:val="33"/>
        <w:spacing w:line="360" w:lineRule="atLeast"/>
        <w:ind w:firstLine="480"/>
        <w:rPr>
          <w:rFonts w:cs="宋体"/>
          <w:color w:val="auto"/>
          <w:highlight w:val="none"/>
        </w:rPr>
      </w:pPr>
      <w:r>
        <w:rPr>
          <w:rFonts w:hint="eastAsia" w:cs="宋体"/>
          <w:color w:val="auto"/>
          <w:highlight w:val="none"/>
        </w:rPr>
        <w:t>1、供应商认为采购文件使自己的权益受到损害的，可以自收到采购文件之日（获取/发售截止日之后收到采购文件的，以获取/发售截止日为准）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33"/>
        <w:spacing w:line="360" w:lineRule="atLeast"/>
        <w:ind w:firstLine="480"/>
        <w:rPr>
          <w:rFonts w:cs="宋体"/>
          <w:color w:val="auto"/>
          <w:sz w:val="27"/>
          <w:szCs w:val="27"/>
        </w:rPr>
      </w:pPr>
      <w:r>
        <w:rPr>
          <w:rFonts w:hint="eastAsia" w:cs="宋体"/>
          <w:color w:val="auto"/>
          <w:highlight w:val="none"/>
        </w:rPr>
        <w:t>2、根据《浙江省政府采购供应商注册及诚信管理暂行办法》浙财采监【2009】28号文件，请各响应供应商及时办理浙江政府采</w:t>
      </w:r>
      <w:r>
        <w:rPr>
          <w:rFonts w:hint="eastAsia" w:cs="宋体"/>
          <w:color w:val="auto"/>
        </w:rPr>
        <w:t>购网“政府采购供应商注册”手续。</w:t>
      </w:r>
    </w:p>
    <w:p>
      <w:pPr>
        <w:pStyle w:val="33"/>
        <w:spacing w:line="360" w:lineRule="atLeast"/>
        <w:ind w:firstLine="480"/>
        <w:rPr>
          <w:rFonts w:cs="宋体"/>
          <w:color w:val="auto"/>
          <w:sz w:val="27"/>
          <w:szCs w:val="27"/>
        </w:rPr>
      </w:pPr>
      <w:r>
        <w:rPr>
          <w:rFonts w:hint="eastAsia" w:cs="宋体"/>
          <w:color w:val="auto"/>
        </w:rPr>
        <w:t>3、参与政府采购活动尚未注册的供应商应当先在浙江政府采购网上申请注册，注册终审通过后再进行报名。</w:t>
      </w:r>
    </w:p>
    <w:p>
      <w:pPr>
        <w:pStyle w:val="33"/>
        <w:spacing w:line="360" w:lineRule="atLeast"/>
        <w:ind w:firstLine="480"/>
        <w:rPr>
          <w:rFonts w:cs="宋体"/>
          <w:color w:val="auto"/>
        </w:rPr>
      </w:pPr>
      <w:r>
        <w:rPr>
          <w:rFonts w:hint="eastAsia" w:cs="宋体"/>
          <w:color w:val="auto"/>
        </w:rPr>
        <w:t>4、本项目所有公告发布网站：“浙江政府采购网”（</w:t>
      </w:r>
      <w:r>
        <w:fldChar w:fldCharType="begin"/>
      </w:r>
      <w:r>
        <w:instrText xml:space="preserve"> HYPERLINK "http://zfcg.czt.zj.gov.cn/" </w:instrText>
      </w:r>
      <w:r>
        <w:fldChar w:fldCharType="separate"/>
      </w:r>
      <w:r>
        <w:rPr>
          <w:rStyle w:val="43"/>
          <w:rFonts w:hint="eastAsia" w:cs="宋体"/>
          <w:color w:val="auto"/>
        </w:rPr>
        <w:t>http://zfcg.czt.zj.gov.cn</w:t>
      </w:r>
      <w:r>
        <w:rPr>
          <w:rStyle w:val="43"/>
          <w:rFonts w:hint="eastAsia" w:cs="宋体"/>
          <w:color w:val="auto"/>
        </w:rPr>
        <w:fldChar w:fldCharType="end"/>
      </w:r>
      <w:r>
        <w:rPr>
          <w:rFonts w:hint="eastAsia" w:cs="宋体"/>
          <w:color w:val="auto"/>
        </w:rPr>
        <w:t>）。</w:t>
      </w:r>
    </w:p>
    <w:p>
      <w:pPr>
        <w:pStyle w:val="33"/>
        <w:spacing w:line="360" w:lineRule="atLeast"/>
        <w:ind w:firstLine="480"/>
        <w:rPr>
          <w:rFonts w:cs="宋体"/>
          <w:color w:val="auto"/>
          <w:highlight w:val="none"/>
        </w:rPr>
      </w:pPr>
      <w:r>
        <w:rPr>
          <w:rFonts w:hint="eastAsia" w:cs="宋体"/>
          <w:color w:val="auto"/>
          <w:highlight w:val="none"/>
        </w:rPr>
        <w:t>5、本项目对符合财政扶持政策的小微企业、监狱企业、残疾人福利性单位给予</w:t>
      </w:r>
      <w:r>
        <w:rPr>
          <w:rFonts w:hint="eastAsia" w:cs="宋体"/>
          <w:b/>
          <w:bCs/>
          <w:color w:val="auto"/>
          <w:highlight w:val="none"/>
          <w:lang w:val="en-US" w:eastAsia="zh-CN"/>
        </w:rPr>
        <w:t>6%</w:t>
      </w:r>
      <w:r>
        <w:rPr>
          <w:rFonts w:hint="eastAsia" w:cs="宋体"/>
          <w:color w:val="auto"/>
          <w:highlight w:val="none"/>
          <w:lang w:val="en-US" w:eastAsia="zh-CN"/>
        </w:rPr>
        <w:t>的</w:t>
      </w:r>
      <w:r>
        <w:rPr>
          <w:rFonts w:hint="eastAsia" w:cs="宋体"/>
          <w:color w:val="auto"/>
          <w:highlight w:val="none"/>
        </w:rPr>
        <w:t>价格优惠扶持，执行节能产品政府强制采购和优先采购政策，执行环境标志产品政府优先采购政策。</w:t>
      </w:r>
    </w:p>
    <w:p>
      <w:pPr>
        <w:pStyle w:val="33"/>
        <w:spacing w:line="360" w:lineRule="atLeast"/>
        <w:ind w:firstLine="480"/>
        <w:rPr>
          <w:rFonts w:cs="宋体"/>
          <w:color w:val="auto"/>
        </w:rPr>
      </w:pPr>
      <w:r>
        <w:rPr>
          <w:rFonts w:hint="eastAsia" w:cs="宋体"/>
          <w:color w:val="auto"/>
        </w:rPr>
        <w:t>6、非浙江省政府采购网注册的供应商或发生变更且未及时更新的供应商，应当按照《浙江省政府采购供应商注册及诚信管理暂行办法的通知》（浙财采监字[2009]28号）的相关规定，及时办理供应商注册或更新事项。</w:t>
      </w:r>
    </w:p>
    <w:p>
      <w:pPr>
        <w:pStyle w:val="33"/>
        <w:spacing w:line="360" w:lineRule="atLeast"/>
        <w:ind w:firstLine="420"/>
        <w:rPr>
          <w:rFonts w:cs="宋体"/>
          <w:color w:val="auto"/>
          <w:sz w:val="27"/>
          <w:szCs w:val="27"/>
        </w:rPr>
      </w:pPr>
      <w:r>
        <w:rPr>
          <w:rStyle w:val="40"/>
          <w:rFonts w:hint="eastAsia" w:cs="宋体"/>
          <w:color w:val="auto"/>
        </w:rPr>
        <w:t>九、在线投标响应（电子投标）说明</w:t>
      </w:r>
    </w:p>
    <w:p>
      <w:pPr>
        <w:pStyle w:val="33"/>
        <w:spacing w:line="360" w:lineRule="atLeast"/>
        <w:ind w:firstLine="420"/>
        <w:rPr>
          <w:rFonts w:cs="宋体"/>
          <w:color w:val="auto"/>
          <w:sz w:val="27"/>
          <w:szCs w:val="27"/>
        </w:rPr>
      </w:pPr>
      <w:r>
        <w:rPr>
          <w:rStyle w:val="40"/>
          <w:rFonts w:hint="eastAsia" w:cs="宋体"/>
          <w:color w:val="auto"/>
        </w:rPr>
        <w:t>1、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w:t>
      </w:r>
    </w:p>
    <w:p>
      <w:pPr>
        <w:pStyle w:val="33"/>
        <w:spacing w:line="360" w:lineRule="atLeast"/>
        <w:ind w:firstLine="420"/>
        <w:rPr>
          <w:rFonts w:cs="宋体"/>
          <w:color w:val="auto"/>
          <w:sz w:val="27"/>
          <w:szCs w:val="27"/>
        </w:rPr>
      </w:pPr>
      <w:r>
        <w:rPr>
          <w:rStyle w:val="40"/>
          <w:rFonts w:hint="eastAsia" w:cs="宋体"/>
          <w:color w:val="auto"/>
        </w:rPr>
        <w:t>“政采云电子交易客户端”请自行前往“浙江政府采购网-下载专区-电子交易客户端”进行下载；电子投标具体操作流程详见《供应商项目采购-电子招投标操作指南》；通过“政府采购云平台”参与在线投标时如遇平台技术问题详询400-881-7190。</w:t>
      </w:r>
    </w:p>
    <w:p>
      <w:pPr>
        <w:pStyle w:val="33"/>
        <w:spacing w:line="360" w:lineRule="atLeast"/>
        <w:ind w:firstLine="420"/>
        <w:rPr>
          <w:rFonts w:cs="宋体"/>
          <w:color w:val="auto"/>
          <w:sz w:val="27"/>
          <w:szCs w:val="27"/>
        </w:rPr>
      </w:pPr>
      <w:r>
        <w:rPr>
          <w:rStyle w:val="40"/>
          <w:rFonts w:hint="eastAsia" w:cs="宋体"/>
          <w:color w:val="auto"/>
        </w:rPr>
        <w:t>2、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w:t>
      </w:r>
      <w:r>
        <w:fldChar w:fldCharType="begin"/>
      </w:r>
      <w:r>
        <w:instrText xml:space="preserve"> HYPERLINK "http://zfcg.czt.zj.gov.cn/bidClientTemplate/2019-05-27/12945.html" \t "_blank" \o "CA驱动和申领流程" </w:instrText>
      </w:r>
      <w:r>
        <w:fldChar w:fldCharType="separate"/>
      </w:r>
      <w:r>
        <w:rPr>
          <w:rStyle w:val="42"/>
          <w:rFonts w:hint="eastAsia" w:cs="宋体"/>
          <w:b/>
          <w:bCs/>
          <w:color w:val="auto"/>
        </w:rPr>
        <w:t>CA驱动和</w:t>
      </w:r>
      <w:bookmarkStart w:id="0" w:name="_Hlt35328140"/>
      <w:bookmarkStart w:id="1" w:name="_Hlt35328141"/>
      <w:r>
        <w:rPr>
          <w:rStyle w:val="42"/>
          <w:rFonts w:hint="eastAsia" w:cs="宋体"/>
          <w:b/>
          <w:bCs/>
          <w:color w:val="auto"/>
        </w:rPr>
        <w:t>申</w:t>
      </w:r>
      <w:bookmarkEnd w:id="0"/>
      <w:bookmarkEnd w:id="1"/>
      <w:r>
        <w:rPr>
          <w:rStyle w:val="42"/>
          <w:rFonts w:hint="eastAsia" w:cs="宋体"/>
          <w:b/>
          <w:bCs/>
          <w:color w:val="auto"/>
        </w:rPr>
        <w:t>领流程</w:t>
      </w:r>
      <w:r>
        <w:rPr>
          <w:rStyle w:val="42"/>
          <w:rFonts w:hint="eastAsia" w:cs="宋体"/>
          <w:b/>
          <w:bCs/>
          <w:color w:val="auto"/>
        </w:rPr>
        <w:fldChar w:fldCharType="end"/>
      </w:r>
      <w:r>
        <w:rPr>
          <w:rStyle w:val="40"/>
          <w:rFonts w:hint="eastAsia" w:cs="宋体"/>
          <w:color w:val="auto"/>
        </w:rPr>
        <w:t>”进行查阅；</w:t>
      </w:r>
    </w:p>
    <w:p>
      <w:pPr>
        <w:pStyle w:val="33"/>
        <w:spacing w:line="360" w:lineRule="atLeast"/>
        <w:ind w:firstLine="420"/>
        <w:rPr>
          <w:rFonts w:cs="宋体"/>
          <w:color w:val="auto"/>
          <w:sz w:val="27"/>
          <w:szCs w:val="27"/>
        </w:rPr>
      </w:pPr>
      <w:r>
        <w:rPr>
          <w:rStyle w:val="40"/>
          <w:rFonts w:hint="eastAsia" w:cs="宋体"/>
          <w:color w:val="auto"/>
        </w:rPr>
        <w:t>3、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在开标后规定的投标有效期内，投标人不能撤销投标文件。</w:t>
      </w:r>
    </w:p>
    <w:p>
      <w:pPr>
        <w:pStyle w:val="33"/>
        <w:spacing w:line="360" w:lineRule="atLeast"/>
        <w:ind w:firstLine="420"/>
        <w:rPr>
          <w:rFonts w:cs="宋体"/>
          <w:color w:val="auto"/>
          <w:sz w:val="27"/>
          <w:szCs w:val="27"/>
        </w:rPr>
      </w:pPr>
      <w:r>
        <w:rPr>
          <w:rStyle w:val="40"/>
          <w:rFonts w:hint="eastAsia" w:cs="宋体"/>
          <w:color w:val="auto"/>
        </w:rPr>
        <w:t>4、投标供应商在“政府采购云平台”完成“电子加密投标文件”的上传递交后，还可以在投标截止时间前将【介质（U盘）存储的数据电文形式的“备份投标文件”】送交到开标地点（也可通过EMS邮寄或顺丰邮寄形式）。“备份投标文件”应当密封包装并在包装上标注投标项目名称、投标单位名称并加盖公章。包裹外包装上请注明单位、项目名称、联系电话等信息，以便代理机构作接收登记工作），邮寄接收截止时间为投标截止时间前一个工作日下午16:00整（邮寄地址：台州市建设咨询有限公司（台州市市府大道465号市建设规划大楼二楼213室，联系人：</w:t>
      </w:r>
      <w:r>
        <w:rPr>
          <w:rStyle w:val="40"/>
          <w:rFonts w:hint="eastAsia" w:cs="宋体"/>
          <w:color w:val="auto"/>
          <w:lang w:val="en-US" w:eastAsia="zh-CN"/>
        </w:rPr>
        <w:t>葛俊</w:t>
      </w:r>
      <w:r>
        <w:rPr>
          <w:rStyle w:val="40"/>
          <w:rFonts w:hint="eastAsia" w:cs="宋体"/>
          <w:color w:val="auto"/>
        </w:rPr>
        <w:t>，电话：</w:t>
      </w:r>
      <w:r>
        <w:rPr>
          <w:rStyle w:val="40"/>
          <w:rFonts w:hint="eastAsia" w:cs="宋体"/>
          <w:color w:val="auto"/>
          <w:lang w:eastAsia="zh-CN"/>
        </w:rPr>
        <w:t>0576-88517786</w:t>
      </w:r>
      <w:r>
        <w:rPr>
          <w:rStyle w:val="40"/>
          <w:rFonts w:hint="eastAsia" w:cs="宋体"/>
          <w:color w:val="auto"/>
        </w:rPr>
        <w:t>))。</w:t>
      </w:r>
    </w:p>
    <w:p>
      <w:pPr>
        <w:pStyle w:val="33"/>
        <w:spacing w:line="360" w:lineRule="atLeast"/>
        <w:ind w:firstLine="420"/>
        <w:rPr>
          <w:rStyle w:val="40"/>
          <w:rFonts w:cs="宋体"/>
          <w:color w:val="auto"/>
        </w:rPr>
      </w:pPr>
      <w:r>
        <w:rPr>
          <w:rStyle w:val="40"/>
          <w:rFonts w:hint="eastAsia" w:cs="宋体"/>
          <w:color w:val="auto"/>
        </w:rPr>
        <w:t>5、通过“政府采购云平台”上传递交的“电子加密投标文件”无法按时解密（解密过程中解密失败），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r>
        <w:rPr>
          <w:rFonts w:hint="eastAsia" w:cs="宋体"/>
          <w:b/>
          <w:bCs/>
          <w:color w:val="auto"/>
          <w:szCs w:val="32"/>
        </w:rPr>
        <w:t>开标时间后30分钟内，</w:t>
      </w:r>
      <w:r>
        <w:rPr>
          <w:rStyle w:val="40"/>
          <w:rFonts w:hint="eastAsia" w:cs="宋体"/>
          <w:color w:val="auto"/>
        </w:rPr>
        <w:t>用</w:t>
      </w:r>
      <w:r>
        <w:rPr>
          <w:rFonts w:hint="eastAsia" w:cs="宋体"/>
          <w:b/>
          <w:bCs/>
          <w:color w:val="auto"/>
        </w:rPr>
        <w:t>CA驱动锁插入电脑及</w:t>
      </w:r>
      <w:r>
        <w:rPr>
          <w:rStyle w:val="40"/>
          <w:rFonts w:hint="eastAsia" w:cs="宋体"/>
          <w:color w:val="auto"/>
        </w:rPr>
        <w:t>账号登入“政府采购云平台”</w:t>
      </w:r>
      <w:r>
        <w:rPr>
          <w:rFonts w:hint="eastAsia" w:cs="宋体"/>
          <w:b/>
          <w:bCs/>
          <w:color w:val="auto"/>
        </w:rPr>
        <w:t>按时解密，否则视为放弃投标。</w:t>
      </w:r>
      <w:r>
        <w:rPr>
          <w:rFonts w:hint="eastAsia" w:cs="宋体"/>
          <w:b/>
          <w:bCs/>
          <w:color w:val="auto"/>
          <w:szCs w:val="32"/>
        </w:rPr>
        <w:t>电脑及CA解密设备自备。</w:t>
      </w:r>
      <w:r>
        <w:rPr>
          <w:rStyle w:val="40"/>
          <w:rFonts w:hint="eastAsia" w:cs="宋体"/>
          <w:color w:val="auto"/>
        </w:rPr>
        <w:t>）</w:t>
      </w:r>
    </w:p>
    <w:p>
      <w:pPr>
        <w:pStyle w:val="33"/>
        <w:spacing w:line="360" w:lineRule="atLeast"/>
        <w:ind w:firstLine="420"/>
        <w:rPr>
          <w:rStyle w:val="40"/>
          <w:rFonts w:cs="宋体"/>
          <w:color w:val="auto"/>
        </w:rPr>
      </w:pPr>
      <w:r>
        <w:rPr>
          <w:rStyle w:val="40"/>
          <w:rFonts w:hint="eastAsia" w:cs="宋体"/>
          <w:color w:val="auto"/>
        </w:rPr>
        <w:t>6、投标文件启用顺序和效力：投标文件的启用，按先后顺位分别为电子投标文件、以介质（U盘）存储的数据电文形式的备份投标文件。投标人的电子投标文件已按时解密的，备份投标文件自动失效。某位投标人的电子投标文件无法按时解密的，启用以介质（U盘）存储的数据电文形式的“备份投标文件”进行开评标。</w:t>
      </w:r>
    </w:p>
    <w:p>
      <w:pPr>
        <w:pStyle w:val="33"/>
        <w:spacing w:line="360" w:lineRule="atLeast"/>
        <w:ind w:firstLine="420"/>
        <w:rPr>
          <w:rStyle w:val="40"/>
          <w:rFonts w:cs="宋体"/>
          <w:color w:val="auto"/>
        </w:rPr>
      </w:pPr>
      <w:r>
        <w:rPr>
          <w:rStyle w:val="40"/>
          <w:rFonts w:hint="eastAsia" w:cs="宋体"/>
          <w:color w:val="auto"/>
        </w:rPr>
        <w:t>7、▲未传输递交电子投标文件的，投标无效。▲未按规定提供相应的备份投标文件，造成项目开评标活动无法进行下去的，投标无效。</w:t>
      </w:r>
    </w:p>
    <w:p>
      <w:pPr>
        <w:pStyle w:val="33"/>
        <w:spacing w:line="360" w:lineRule="atLeast"/>
        <w:rPr>
          <w:rStyle w:val="40"/>
          <w:rFonts w:cs="宋体"/>
          <w:color w:val="auto"/>
          <w:sz w:val="21"/>
          <w:szCs w:val="22"/>
        </w:rPr>
      </w:pPr>
      <w:r>
        <w:rPr>
          <w:rStyle w:val="40"/>
          <w:rFonts w:hint="eastAsia" w:cs="宋体"/>
          <w:bCs w:val="0"/>
          <w:color w:val="auto"/>
          <w:kern w:val="2"/>
        </w:rPr>
        <w:t>十、其余事项：</w:t>
      </w:r>
      <w:r>
        <w:rPr>
          <w:rStyle w:val="40"/>
          <w:rFonts w:hint="eastAsia" w:cs="宋体"/>
          <w:b w:val="0"/>
          <w:bCs w:val="0"/>
          <w:color w:val="auto"/>
          <w:sz w:val="21"/>
          <w:szCs w:val="22"/>
        </w:rPr>
        <w:t>中标供应商如有融资需求，可使用以下银行的政采贷服务。</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51"/>
        <w:gridCol w:w="1631"/>
        <w:gridCol w:w="1201"/>
        <w:gridCol w:w="35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pStyle w:val="33"/>
              <w:spacing w:line="360" w:lineRule="atLeast"/>
              <w:jc w:val="center"/>
              <w:rPr>
                <w:rStyle w:val="40"/>
                <w:rFonts w:cs="宋体"/>
                <w:color w:val="auto"/>
                <w:sz w:val="21"/>
                <w:szCs w:val="22"/>
              </w:rPr>
            </w:pPr>
            <w:r>
              <w:rPr>
                <w:rStyle w:val="40"/>
                <w:rFonts w:hint="eastAsia" w:cs="宋体"/>
                <w:color w:val="auto"/>
                <w:sz w:val="21"/>
                <w:szCs w:val="22"/>
              </w:rPr>
              <w:t>银行</w:t>
            </w:r>
          </w:p>
        </w:tc>
        <w:tc>
          <w:tcPr>
            <w:tcW w:w="1631" w:type="dxa"/>
            <w:vAlign w:val="center"/>
          </w:tcPr>
          <w:p>
            <w:pPr>
              <w:pStyle w:val="33"/>
              <w:spacing w:line="360" w:lineRule="atLeast"/>
              <w:jc w:val="center"/>
              <w:rPr>
                <w:rStyle w:val="40"/>
                <w:rFonts w:cs="宋体"/>
                <w:color w:val="auto"/>
                <w:sz w:val="21"/>
                <w:szCs w:val="22"/>
              </w:rPr>
            </w:pPr>
            <w:r>
              <w:rPr>
                <w:rStyle w:val="40"/>
                <w:rFonts w:hint="eastAsia" w:cs="宋体"/>
                <w:color w:val="auto"/>
                <w:sz w:val="21"/>
                <w:szCs w:val="22"/>
              </w:rPr>
              <w:t>贷款年利率</w:t>
            </w:r>
          </w:p>
        </w:tc>
        <w:tc>
          <w:tcPr>
            <w:tcW w:w="1201" w:type="dxa"/>
            <w:vAlign w:val="center"/>
          </w:tcPr>
          <w:p>
            <w:pPr>
              <w:pStyle w:val="33"/>
              <w:spacing w:line="360" w:lineRule="atLeast"/>
              <w:jc w:val="center"/>
              <w:rPr>
                <w:rStyle w:val="40"/>
                <w:rFonts w:cs="宋体"/>
                <w:color w:val="auto"/>
                <w:sz w:val="21"/>
                <w:szCs w:val="22"/>
              </w:rPr>
            </w:pPr>
            <w:r>
              <w:rPr>
                <w:rStyle w:val="40"/>
                <w:rFonts w:hint="eastAsia" w:cs="宋体"/>
                <w:color w:val="auto"/>
                <w:sz w:val="21"/>
                <w:szCs w:val="22"/>
              </w:rPr>
              <w:t>联系人</w:t>
            </w:r>
          </w:p>
        </w:tc>
        <w:tc>
          <w:tcPr>
            <w:tcW w:w="3513" w:type="dxa"/>
            <w:vAlign w:val="center"/>
          </w:tcPr>
          <w:p>
            <w:pPr>
              <w:pStyle w:val="33"/>
              <w:spacing w:line="360" w:lineRule="atLeast"/>
              <w:jc w:val="center"/>
              <w:rPr>
                <w:rStyle w:val="40"/>
                <w:rFonts w:cs="宋体"/>
                <w:color w:val="auto"/>
                <w:sz w:val="21"/>
                <w:szCs w:val="22"/>
              </w:rPr>
            </w:pPr>
            <w:r>
              <w:rPr>
                <w:rStyle w:val="40"/>
                <w:rFonts w:hint="eastAsia" w:cs="宋体"/>
                <w:color w:val="auto"/>
                <w:sz w:val="21"/>
                <w:szCs w:val="22"/>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中国工商银行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3.8%起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王霖</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88588246  13857654562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中国农业银行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3.8%起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龚盛</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15858682216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中国建设银行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3.8%起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梅晶晶</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88525339  13736585303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中国银行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3.75%起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任茜</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13857695378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浦发银行台州分行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4.05%起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王渊</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13616676319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浦发银行椒江分行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4.05%起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孙瑞华</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13857688081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交通银行台州分行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3.75%起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周翔宇</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13867697018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招商银行台州分行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4.32%起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王海玲</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13566413827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浙商银行台州分行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5.01%起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章涉漪</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81880185  13606681262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中信银行台州分行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4.15%起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陈金园</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13586052161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华夏银行台州分行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4.5%起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邱明达</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81871518  13736252233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泰隆银行开发区支行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5.6%起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梁宛莉</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13306869100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民泰银行椒江支行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5.8%起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陈慧珠</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13857699669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绍兴银行台州分行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5.1%起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郭庭斌</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15958633119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温州银行台州分行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4.55%起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王晓波</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15824005475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平安银行台州分行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6.53%起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李俊丽</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15906861025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宁波银行台州分行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4.35%起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戴莉丽</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13566627207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金华银行台州分行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4.05%起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金雪婷</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81886670  15968661569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台州银行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5.6%起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洪婷</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15858624999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9" w:hRule="atLeast"/>
          <w:jc w:val="center"/>
        </w:trPr>
        <w:tc>
          <w:tcPr>
            <w:tcW w:w="3051" w:type="dxa"/>
            <w:vAlign w:val="center"/>
          </w:tcPr>
          <w:p>
            <w:pPr>
              <w:snapToGrid w:val="0"/>
              <w:spacing w:line="360" w:lineRule="auto"/>
              <w:jc w:val="center"/>
              <w:rPr>
                <w:rFonts w:ascii="宋体" w:hAnsi="宋体" w:cs="宋体"/>
                <w:sz w:val="24"/>
              </w:rPr>
            </w:pPr>
            <w:r>
              <w:rPr>
                <w:rFonts w:hint="eastAsia" w:ascii="宋体" w:hAnsi="宋体" w:cs="宋体"/>
                <w:sz w:val="24"/>
              </w:rPr>
              <w:t>邮储银行台州分行</w:t>
            </w:r>
          </w:p>
        </w:tc>
        <w:tc>
          <w:tcPr>
            <w:tcW w:w="1631" w:type="dxa"/>
            <w:vAlign w:val="center"/>
          </w:tcPr>
          <w:p>
            <w:pPr>
              <w:snapToGrid w:val="0"/>
              <w:spacing w:line="360" w:lineRule="auto"/>
              <w:jc w:val="center"/>
              <w:rPr>
                <w:rFonts w:ascii="宋体" w:hAnsi="宋体" w:cs="宋体"/>
                <w:sz w:val="24"/>
              </w:rPr>
            </w:pPr>
            <w:r>
              <w:rPr>
                <w:rFonts w:hint="eastAsia" w:ascii="宋体" w:hAnsi="宋体" w:cs="宋体"/>
                <w:sz w:val="24"/>
              </w:rPr>
              <w:t>3.85%起</w:t>
            </w:r>
          </w:p>
        </w:tc>
        <w:tc>
          <w:tcPr>
            <w:tcW w:w="1201" w:type="dxa"/>
            <w:vAlign w:val="center"/>
          </w:tcPr>
          <w:p>
            <w:pPr>
              <w:snapToGrid w:val="0"/>
              <w:spacing w:line="360" w:lineRule="auto"/>
              <w:jc w:val="center"/>
              <w:rPr>
                <w:rFonts w:ascii="宋体" w:hAnsi="宋体" w:cs="宋体"/>
                <w:sz w:val="24"/>
              </w:rPr>
            </w:pPr>
            <w:r>
              <w:rPr>
                <w:rFonts w:hint="eastAsia" w:ascii="宋体" w:hAnsi="宋体" w:cs="宋体"/>
                <w:sz w:val="24"/>
              </w:rPr>
              <w:t>董庆</w:t>
            </w:r>
          </w:p>
        </w:tc>
        <w:tc>
          <w:tcPr>
            <w:tcW w:w="3513" w:type="dxa"/>
            <w:vAlign w:val="center"/>
          </w:tcPr>
          <w:p>
            <w:pPr>
              <w:snapToGrid w:val="0"/>
              <w:spacing w:line="360" w:lineRule="auto"/>
              <w:jc w:val="center"/>
              <w:rPr>
                <w:rFonts w:ascii="宋体" w:hAnsi="宋体" w:cs="宋体"/>
                <w:sz w:val="24"/>
              </w:rPr>
            </w:pPr>
            <w:r>
              <w:rPr>
                <w:rFonts w:hint="eastAsia" w:ascii="宋体" w:hAnsi="宋体" w:cs="宋体"/>
                <w:sz w:val="24"/>
              </w:rPr>
              <w:t>81888982  18957683735</w:t>
            </w:r>
          </w:p>
        </w:tc>
      </w:tr>
    </w:tbl>
    <w:p>
      <w:pPr>
        <w:snapToGrid w:val="0"/>
        <w:spacing w:line="360" w:lineRule="auto"/>
        <w:ind w:firstLine="482" w:firstLineChars="200"/>
        <w:rPr>
          <w:rFonts w:ascii="宋体" w:hAnsi="宋体" w:cs="宋体"/>
          <w:b/>
          <w:sz w:val="24"/>
        </w:rPr>
      </w:pPr>
    </w:p>
    <w:p>
      <w:pPr>
        <w:snapToGrid w:val="0"/>
        <w:spacing w:line="360" w:lineRule="auto"/>
        <w:rPr>
          <w:rFonts w:ascii="宋体" w:hAnsi="宋体" w:cs="宋体"/>
          <w:sz w:val="24"/>
        </w:rPr>
      </w:pPr>
      <w:r>
        <w:rPr>
          <w:rFonts w:hint="eastAsia" w:ascii="宋体" w:hAnsi="宋体" w:cs="宋体"/>
          <w:sz w:val="24"/>
        </w:rPr>
        <w:t>合同履约保函联系方式</w:t>
      </w:r>
    </w:p>
    <w:tbl>
      <w:tblPr>
        <w:tblStyle w:val="37"/>
        <w:tblpPr w:leftFromText="180" w:rightFromText="180" w:vertAnchor="text" w:horzAnchor="page" w:tblpX="1410" w:tblpY="8"/>
        <w:tblOverlap w:val="never"/>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349"/>
        <w:gridCol w:w="3380"/>
        <w:gridCol w:w="914"/>
        <w:gridCol w:w="175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trPr>
        <w:tc>
          <w:tcPr>
            <w:tcW w:w="1781" w:type="pct"/>
            <w:vAlign w:val="center"/>
          </w:tcPr>
          <w:p>
            <w:pPr>
              <w:snapToGrid w:val="0"/>
              <w:spacing w:line="360" w:lineRule="auto"/>
              <w:rPr>
                <w:rFonts w:ascii="宋体" w:hAnsi="宋体" w:cs="宋体"/>
                <w:sz w:val="24"/>
              </w:rPr>
            </w:pPr>
            <w:r>
              <w:rPr>
                <w:rFonts w:hint="eastAsia" w:ascii="宋体" w:hAnsi="宋体" w:cs="宋体"/>
                <w:sz w:val="24"/>
              </w:rPr>
              <w:t>保险公司名称</w:t>
            </w:r>
          </w:p>
        </w:tc>
        <w:tc>
          <w:tcPr>
            <w:tcW w:w="1797" w:type="pct"/>
            <w:vAlign w:val="center"/>
          </w:tcPr>
          <w:p>
            <w:pPr>
              <w:snapToGrid w:val="0"/>
              <w:spacing w:line="360" w:lineRule="auto"/>
              <w:rPr>
                <w:rFonts w:ascii="宋体" w:hAnsi="宋体" w:cs="宋体"/>
                <w:sz w:val="24"/>
              </w:rPr>
            </w:pPr>
            <w:r>
              <w:rPr>
                <w:rFonts w:hint="eastAsia" w:ascii="宋体" w:hAnsi="宋体" w:cs="宋体"/>
                <w:sz w:val="24"/>
              </w:rPr>
              <w:t>保费率</w:t>
            </w:r>
          </w:p>
        </w:tc>
        <w:tc>
          <w:tcPr>
            <w:tcW w:w="486" w:type="pct"/>
            <w:vAlign w:val="center"/>
          </w:tcPr>
          <w:p>
            <w:pPr>
              <w:snapToGrid w:val="0"/>
              <w:spacing w:line="360" w:lineRule="auto"/>
              <w:rPr>
                <w:rFonts w:ascii="宋体" w:hAnsi="宋体" w:cs="宋体"/>
                <w:sz w:val="24"/>
              </w:rPr>
            </w:pPr>
            <w:r>
              <w:rPr>
                <w:rFonts w:hint="eastAsia" w:ascii="宋体" w:hAnsi="宋体" w:cs="宋体"/>
                <w:sz w:val="24"/>
              </w:rPr>
              <w:t>联系人</w:t>
            </w:r>
          </w:p>
        </w:tc>
        <w:tc>
          <w:tcPr>
            <w:tcW w:w="934" w:type="pct"/>
            <w:vAlign w:val="center"/>
          </w:tcPr>
          <w:p>
            <w:pPr>
              <w:snapToGrid w:val="0"/>
              <w:spacing w:line="360" w:lineRule="auto"/>
              <w:rPr>
                <w:rFonts w:ascii="宋体" w:hAnsi="宋体" w:cs="宋体"/>
                <w:sz w:val="24"/>
              </w:rPr>
            </w:pPr>
            <w:r>
              <w:rPr>
                <w:rFonts w:hint="eastAsia" w:ascii="宋体" w:hAnsi="宋体" w:cs="宋体"/>
                <w:sz w:val="24"/>
              </w:rPr>
              <w:t>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81" w:type="pct"/>
          </w:tcPr>
          <w:p>
            <w:pPr>
              <w:snapToGrid w:val="0"/>
              <w:spacing w:line="360" w:lineRule="auto"/>
              <w:rPr>
                <w:rFonts w:ascii="宋体" w:hAnsi="宋体" w:cs="宋体"/>
                <w:sz w:val="24"/>
              </w:rPr>
            </w:pPr>
            <w:r>
              <w:rPr>
                <w:rFonts w:hint="eastAsia" w:ascii="宋体" w:hAnsi="宋体" w:cs="宋体"/>
                <w:sz w:val="24"/>
              </w:rPr>
              <w:t>中国人寿财产保险股份有限公司台州中心支公司</w:t>
            </w:r>
          </w:p>
        </w:tc>
        <w:tc>
          <w:tcPr>
            <w:tcW w:w="1797" w:type="pct"/>
          </w:tcPr>
          <w:p>
            <w:pPr>
              <w:snapToGrid w:val="0"/>
              <w:spacing w:line="360" w:lineRule="auto"/>
              <w:rPr>
                <w:rFonts w:ascii="宋体" w:hAnsi="宋体" w:cs="宋体"/>
                <w:sz w:val="24"/>
              </w:rPr>
            </w:pPr>
            <w:r>
              <w:rPr>
                <w:rFonts w:hint="eastAsia" w:ascii="宋体" w:hAnsi="宋体" w:cs="宋体"/>
                <w:sz w:val="24"/>
              </w:rPr>
              <w:t>年费率1%，最低保费500元</w:t>
            </w:r>
          </w:p>
        </w:tc>
        <w:tc>
          <w:tcPr>
            <w:tcW w:w="486" w:type="pct"/>
          </w:tcPr>
          <w:p>
            <w:pPr>
              <w:snapToGrid w:val="0"/>
              <w:spacing w:line="360" w:lineRule="auto"/>
              <w:rPr>
                <w:rFonts w:ascii="宋体" w:hAnsi="宋体" w:cs="宋体"/>
                <w:sz w:val="24"/>
              </w:rPr>
            </w:pPr>
            <w:r>
              <w:rPr>
                <w:rFonts w:hint="eastAsia" w:ascii="宋体" w:hAnsi="宋体" w:cs="宋体"/>
                <w:sz w:val="24"/>
              </w:rPr>
              <w:t>徐凌</w:t>
            </w:r>
          </w:p>
        </w:tc>
        <w:tc>
          <w:tcPr>
            <w:tcW w:w="934" w:type="pct"/>
          </w:tcPr>
          <w:p>
            <w:pPr>
              <w:snapToGrid w:val="0"/>
              <w:spacing w:line="360" w:lineRule="auto"/>
              <w:rPr>
                <w:rFonts w:ascii="宋体" w:hAnsi="宋体" w:cs="宋体"/>
                <w:sz w:val="24"/>
              </w:rPr>
            </w:pPr>
            <w:r>
              <w:rPr>
                <w:rFonts w:hint="eastAsia" w:ascii="宋体" w:hAnsi="宋体" w:cs="宋体"/>
                <w:sz w:val="24"/>
              </w:rPr>
              <w:t>13905168070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81" w:type="pct"/>
          </w:tcPr>
          <w:p>
            <w:pPr>
              <w:snapToGrid w:val="0"/>
              <w:spacing w:line="360" w:lineRule="auto"/>
              <w:rPr>
                <w:rFonts w:ascii="宋体" w:hAnsi="宋体" w:cs="宋体"/>
                <w:sz w:val="24"/>
              </w:rPr>
            </w:pPr>
            <w:r>
              <w:rPr>
                <w:rFonts w:hint="eastAsia" w:ascii="宋体" w:hAnsi="宋体" w:cs="宋体"/>
                <w:sz w:val="24"/>
              </w:rPr>
              <w:t>永诚财产保险股份有限公司台州分公司</w:t>
            </w:r>
          </w:p>
        </w:tc>
        <w:tc>
          <w:tcPr>
            <w:tcW w:w="1797" w:type="pct"/>
          </w:tcPr>
          <w:p>
            <w:pPr>
              <w:snapToGrid w:val="0"/>
              <w:spacing w:line="360" w:lineRule="auto"/>
              <w:rPr>
                <w:rFonts w:ascii="宋体" w:hAnsi="宋体" w:cs="宋体"/>
                <w:sz w:val="24"/>
              </w:rPr>
            </w:pPr>
            <w:r>
              <w:rPr>
                <w:rFonts w:hint="eastAsia" w:ascii="宋体" w:hAnsi="宋体" w:cs="宋体"/>
                <w:sz w:val="24"/>
              </w:rPr>
              <w:t>年费率1%，最低保费1000元</w:t>
            </w:r>
          </w:p>
        </w:tc>
        <w:tc>
          <w:tcPr>
            <w:tcW w:w="486" w:type="pct"/>
          </w:tcPr>
          <w:p>
            <w:pPr>
              <w:snapToGrid w:val="0"/>
              <w:spacing w:line="360" w:lineRule="auto"/>
              <w:rPr>
                <w:rFonts w:ascii="宋体" w:hAnsi="宋体" w:cs="宋体"/>
                <w:sz w:val="24"/>
              </w:rPr>
            </w:pPr>
            <w:r>
              <w:rPr>
                <w:rFonts w:hint="eastAsia" w:ascii="宋体" w:hAnsi="宋体" w:cs="宋体"/>
                <w:sz w:val="24"/>
              </w:rPr>
              <w:t>尹刚强</w:t>
            </w:r>
          </w:p>
        </w:tc>
        <w:tc>
          <w:tcPr>
            <w:tcW w:w="934" w:type="pct"/>
          </w:tcPr>
          <w:p>
            <w:pPr>
              <w:snapToGrid w:val="0"/>
              <w:spacing w:line="360" w:lineRule="auto"/>
              <w:rPr>
                <w:rFonts w:ascii="宋体" w:hAnsi="宋体" w:cs="宋体"/>
                <w:sz w:val="24"/>
              </w:rPr>
            </w:pPr>
            <w:r>
              <w:rPr>
                <w:rFonts w:hint="eastAsia" w:ascii="宋体" w:hAnsi="宋体" w:cs="宋体"/>
                <w:sz w:val="24"/>
              </w:rPr>
              <w:t>13750668184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81" w:type="pct"/>
          </w:tcPr>
          <w:p>
            <w:pPr>
              <w:snapToGrid w:val="0"/>
              <w:spacing w:line="360" w:lineRule="auto"/>
              <w:rPr>
                <w:rFonts w:ascii="宋体" w:hAnsi="宋体" w:cs="宋体"/>
                <w:sz w:val="24"/>
              </w:rPr>
            </w:pPr>
            <w:r>
              <w:rPr>
                <w:rFonts w:hint="eastAsia" w:ascii="宋体" w:hAnsi="宋体" w:cs="宋体"/>
                <w:sz w:val="24"/>
              </w:rPr>
              <w:t>华泰财产保险有限公司台州中心支公司</w:t>
            </w:r>
          </w:p>
        </w:tc>
        <w:tc>
          <w:tcPr>
            <w:tcW w:w="1797" w:type="pct"/>
          </w:tcPr>
          <w:p>
            <w:pPr>
              <w:snapToGrid w:val="0"/>
              <w:spacing w:line="360" w:lineRule="auto"/>
              <w:rPr>
                <w:rFonts w:ascii="宋体" w:hAnsi="宋体" w:cs="宋体"/>
                <w:sz w:val="24"/>
              </w:rPr>
            </w:pPr>
            <w:r>
              <w:rPr>
                <w:rFonts w:hint="eastAsia" w:ascii="宋体" w:hAnsi="宋体" w:cs="宋体"/>
                <w:sz w:val="24"/>
              </w:rPr>
              <w:t>年费率0.5%，最低保费1000元</w:t>
            </w:r>
          </w:p>
        </w:tc>
        <w:tc>
          <w:tcPr>
            <w:tcW w:w="486" w:type="pct"/>
          </w:tcPr>
          <w:p>
            <w:pPr>
              <w:snapToGrid w:val="0"/>
              <w:spacing w:line="360" w:lineRule="auto"/>
              <w:rPr>
                <w:rFonts w:ascii="宋体" w:hAnsi="宋体" w:cs="宋体"/>
                <w:sz w:val="24"/>
              </w:rPr>
            </w:pPr>
            <w:r>
              <w:rPr>
                <w:rFonts w:hint="eastAsia" w:ascii="宋体" w:hAnsi="宋体" w:cs="宋体"/>
                <w:sz w:val="24"/>
              </w:rPr>
              <w:t>王灵芳</w:t>
            </w:r>
          </w:p>
        </w:tc>
        <w:tc>
          <w:tcPr>
            <w:tcW w:w="934" w:type="pct"/>
          </w:tcPr>
          <w:p>
            <w:pPr>
              <w:snapToGrid w:val="0"/>
              <w:spacing w:line="360" w:lineRule="auto"/>
              <w:rPr>
                <w:rFonts w:ascii="宋体" w:hAnsi="宋体" w:cs="宋体"/>
                <w:sz w:val="24"/>
              </w:rPr>
            </w:pPr>
            <w:r>
              <w:rPr>
                <w:rFonts w:hint="eastAsia" w:ascii="宋体" w:hAnsi="宋体" w:cs="宋体"/>
                <w:sz w:val="24"/>
              </w:rPr>
              <w:t>88869818  13586123199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81" w:type="pct"/>
          </w:tcPr>
          <w:p>
            <w:pPr>
              <w:snapToGrid w:val="0"/>
              <w:spacing w:line="360" w:lineRule="auto"/>
              <w:rPr>
                <w:rFonts w:ascii="宋体" w:hAnsi="宋体" w:cs="宋体"/>
                <w:sz w:val="24"/>
              </w:rPr>
            </w:pPr>
            <w:r>
              <w:rPr>
                <w:rFonts w:hint="eastAsia" w:ascii="宋体" w:hAnsi="宋体" w:cs="宋体"/>
                <w:sz w:val="24"/>
              </w:rPr>
              <w:t>中国大地财产保险股份有限公司台州中心支公司</w:t>
            </w:r>
          </w:p>
        </w:tc>
        <w:tc>
          <w:tcPr>
            <w:tcW w:w="1797" w:type="pct"/>
          </w:tcPr>
          <w:p>
            <w:pPr>
              <w:snapToGrid w:val="0"/>
              <w:spacing w:line="360" w:lineRule="auto"/>
              <w:rPr>
                <w:rFonts w:ascii="宋体" w:hAnsi="宋体" w:cs="宋体"/>
                <w:sz w:val="24"/>
              </w:rPr>
            </w:pPr>
            <w:r>
              <w:rPr>
                <w:rFonts w:hint="eastAsia" w:ascii="宋体" w:hAnsi="宋体" w:cs="宋体"/>
                <w:sz w:val="24"/>
              </w:rPr>
              <w:t>年费率1.5%，最低保费1000元</w:t>
            </w:r>
          </w:p>
        </w:tc>
        <w:tc>
          <w:tcPr>
            <w:tcW w:w="486" w:type="pct"/>
          </w:tcPr>
          <w:p>
            <w:pPr>
              <w:snapToGrid w:val="0"/>
              <w:spacing w:line="360" w:lineRule="auto"/>
              <w:rPr>
                <w:rFonts w:ascii="宋体" w:hAnsi="宋体" w:cs="宋体"/>
                <w:sz w:val="24"/>
              </w:rPr>
            </w:pPr>
            <w:r>
              <w:rPr>
                <w:rFonts w:hint="eastAsia" w:ascii="宋体" w:hAnsi="宋体" w:cs="宋体"/>
                <w:sz w:val="24"/>
              </w:rPr>
              <w:t>徐小明</w:t>
            </w:r>
          </w:p>
        </w:tc>
        <w:tc>
          <w:tcPr>
            <w:tcW w:w="934" w:type="pct"/>
          </w:tcPr>
          <w:p>
            <w:pPr>
              <w:snapToGrid w:val="0"/>
              <w:spacing w:line="360" w:lineRule="auto"/>
              <w:rPr>
                <w:rFonts w:ascii="宋体" w:hAnsi="宋体" w:cs="宋体"/>
                <w:sz w:val="24"/>
              </w:rPr>
            </w:pPr>
            <w:r>
              <w:rPr>
                <w:rFonts w:hint="eastAsia" w:ascii="宋体" w:hAnsi="宋体" w:cs="宋体"/>
                <w:sz w:val="24"/>
              </w:rPr>
              <w:t>88552788  13968603112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81" w:type="pct"/>
          </w:tcPr>
          <w:p>
            <w:pPr>
              <w:snapToGrid w:val="0"/>
              <w:spacing w:line="360" w:lineRule="auto"/>
              <w:rPr>
                <w:rFonts w:ascii="宋体" w:hAnsi="宋体" w:cs="宋体"/>
                <w:sz w:val="24"/>
              </w:rPr>
            </w:pPr>
            <w:r>
              <w:rPr>
                <w:rFonts w:hint="eastAsia" w:ascii="宋体" w:hAnsi="宋体" w:cs="宋体"/>
                <w:sz w:val="24"/>
              </w:rPr>
              <w:t>阳光保险台州中心支公司</w:t>
            </w:r>
          </w:p>
        </w:tc>
        <w:tc>
          <w:tcPr>
            <w:tcW w:w="1797" w:type="pct"/>
          </w:tcPr>
          <w:p>
            <w:pPr>
              <w:snapToGrid w:val="0"/>
              <w:spacing w:line="360" w:lineRule="auto"/>
              <w:rPr>
                <w:rFonts w:ascii="宋体" w:hAnsi="宋体" w:cs="宋体"/>
                <w:sz w:val="24"/>
              </w:rPr>
            </w:pPr>
            <w:r>
              <w:rPr>
                <w:rFonts w:hint="eastAsia" w:ascii="宋体" w:hAnsi="宋体" w:cs="宋体"/>
                <w:sz w:val="24"/>
              </w:rPr>
              <w:t>年费率1%，最低保费500元</w:t>
            </w:r>
          </w:p>
        </w:tc>
        <w:tc>
          <w:tcPr>
            <w:tcW w:w="486" w:type="pct"/>
          </w:tcPr>
          <w:p>
            <w:pPr>
              <w:snapToGrid w:val="0"/>
              <w:spacing w:line="360" w:lineRule="auto"/>
              <w:rPr>
                <w:rFonts w:ascii="宋体" w:hAnsi="宋体" w:cs="宋体"/>
                <w:sz w:val="24"/>
              </w:rPr>
            </w:pPr>
            <w:r>
              <w:rPr>
                <w:rFonts w:hint="eastAsia" w:ascii="宋体" w:hAnsi="宋体" w:cs="宋体"/>
                <w:sz w:val="24"/>
              </w:rPr>
              <w:t>林高明</w:t>
            </w:r>
          </w:p>
        </w:tc>
        <w:tc>
          <w:tcPr>
            <w:tcW w:w="934" w:type="pct"/>
          </w:tcPr>
          <w:p>
            <w:pPr>
              <w:snapToGrid w:val="0"/>
              <w:spacing w:line="360" w:lineRule="auto"/>
              <w:rPr>
                <w:rFonts w:ascii="宋体" w:hAnsi="宋体" w:cs="宋体"/>
                <w:sz w:val="24"/>
              </w:rPr>
            </w:pPr>
            <w:r>
              <w:rPr>
                <w:rFonts w:hint="eastAsia" w:ascii="宋体" w:hAnsi="宋体" w:cs="宋体"/>
                <w:sz w:val="24"/>
              </w:rPr>
              <w:t>15888682693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81" w:type="pct"/>
          </w:tcPr>
          <w:p>
            <w:pPr>
              <w:snapToGrid w:val="0"/>
              <w:spacing w:line="360" w:lineRule="auto"/>
              <w:rPr>
                <w:rFonts w:ascii="宋体" w:hAnsi="宋体" w:cs="宋体"/>
                <w:sz w:val="24"/>
              </w:rPr>
            </w:pPr>
            <w:r>
              <w:rPr>
                <w:rFonts w:hint="eastAsia" w:ascii="宋体" w:hAnsi="宋体" w:cs="宋体"/>
                <w:sz w:val="24"/>
              </w:rPr>
              <w:t>中华联合财产保险股份有限公司台州中心支公司</w:t>
            </w:r>
          </w:p>
        </w:tc>
        <w:tc>
          <w:tcPr>
            <w:tcW w:w="1797" w:type="pct"/>
          </w:tcPr>
          <w:p>
            <w:pPr>
              <w:snapToGrid w:val="0"/>
              <w:spacing w:line="360" w:lineRule="auto"/>
              <w:rPr>
                <w:rFonts w:ascii="宋体" w:hAnsi="宋体" w:cs="宋体"/>
                <w:sz w:val="24"/>
              </w:rPr>
            </w:pPr>
            <w:r>
              <w:rPr>
                <w:rFonts w:hint="eastAsia" w:ascii="宋体" w:hAnsi="宋体" w:cs="宋体"/>
                <w:sz w:val="24"/>
              </w:rPr>
              <w:t>年费率2%，最低保费500元</w:t>
            </w:r>
          </w:p>
        </w:tc>
        <w:tc>
          <w:tcPr>
            <w:tcW w:w="486" w:type="pct"/>
          </w:tcPr>
          <w:p>
            <w:pPr>
              <w:snapToGrid w:val="0"/>
              <w:spacing w:line="360" w:lineRule="auto"/>
              <w:rPr>
                <w:rFonts w:ascii="宋体" w:hAnsi="宋体" w:cs="宋体"/>
                <w:sz w:val="24"/>
              </w:rPr>
            </w:pPr>
            <w:r>
              <w:rPr>
                <w:rFonts w:hint="eastAsia" w:ascii="宋体" w:hAnsi="宋体" w:cs="宋体"/>
                <w:sz w:val="24"/>
              </w:rPr>
              <w:t>王仙高</w:t>
            </w:r>
          </w:p>
        </w:tc>
        <w:tc>
          <w:tcPr>
            <w:tcW w:w="934" w:type="pct"/>
          </w:tcPr>
          <w:p>
            <w:pPr>
              <w:snapToGrid w:val="0"/>
              <w:spacing w:line="360" w:lineRule="auto"/>
              <w:rPr>
                <w:rFonts w:ascii="宋体" w:hAnsi="宋体" w:cs="宋体"/>
                <w:sz w:val="24"/>
              </w:rPr>
            </w:pPr>
            <w:r>
              <w:rPr>
                <w:rFonts w:hint="eastAsia" w:ascii="宋体" w:hAnsi="宋体" w:cs="宋体"/>
                <w:sz w:val="24"/>
              </w:rPr>
              <w:t>13858600221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81" w:type="pct"/>
          </w:tcPr>
          <w:p>
            <w:pPr>
              <w:snapToGrid w:val="0"/>
              <w:spacing w:line="360" w:lineRule="auto"/>
              <w:rPr>
                <w:rFonts w:ascii="宋体" w:hAnsi="宋体" w:cs="宋体"/>
                <w:sz w:val="24"/>
              </w:rPr>
            </w:pPr>
            <w:r>
              <w:rPr>
                <w:rFonts w:hint="eastAsia" w:ascii="宋体" w:hAnsi="宋体" w:cs="宋体"/>
                <w:sz w:val="24"/>
              </w:rPr>
              <w:t>中国人民财产保险股份有限公司台州中心支公司</w:t>
            </w:r>
          </w:p>
        </w:tc>
        <w:tc>
          <w:tcPr>
            <w:tcW w:w="1797" w:type="pct"/>
          </w:tcPr>
          <w:p>
            <w:pPr>
              <w:snapToGrid w:val="0"/>
              <w:spacing w:line="360" w:lineRule="auto"/>
              <w:rPr>
                <w:rFonts w:ascii="宋体" w:hAnsi="宋体" w:cs="宋体"/>
                <w:sz w:val="24"/>
              </w:rPr>
            </w:pPr>
            <w:r>
              <w:rPr>
                <w:rFonts w:hint="eastAsia" w:ascii="宋体" w:hAnsi="宋体" w:cs="宋体"/>
                <w:sz w:val="24"/>
              </w:rPr>
              <w:t>年费率0.3%，最低保费1000元</w:t>
            </w:r>
          </w:p>
        </w:tc>
        <w:tc>
          <w:tcPr>
            <w:tcW w:w="486" w:type="pct"/>
          </w:tcPr>
          <w:p>
            <w:pPr>
              <w:snapToGrid w:val="0"/>
              <w:spacing w:line="360" w:lineRule="auto"/>
              <w:rPr>
                <w:rFonts w:ascii="宋体" w:hAnsi="宋体" w:cs="宋体"/>
                <w:sz w:val="24"/>
              </w:rPr>
            </w:pPr>
            <w:r>
              <w:rPr>
                <w:rFonts w:hint="eastAsia" w:ascii="宋体" w:hAnsi="宋体" w:cs="宋体"/>
                <w:sz w:val="24"/>
              </w:rPr>
              <w:t>王仙春</w:t>
            </w:r>
          </w:p>
        </w:tc>
        <w:tc>
          <w:tcPr>
            <w:tcW w:w="934" w:type="pct"/>
          </w:tcPr>
          <w:p>
            <w:pPr>
              <w:snapToGrid w:val="0"/>
              <w:spacing w:line="360" w:lineRule="auto"/>
              <w:rPr>
                <w:rFonts w:ascii="宋体" w:hAnsi="宋体" w:cs="宋体"/>
                <w:sz w:val="24"/>
              </w:rPr>
            </w:pPr>
            <w:r>
              <w:rPr>
                <w:rFonts w:hint="eastAsia" w:ascii="宋体" w:hAnsi="宋体" w:cs="宋体"/>
                <w:sz w:val="24"/>
              </w:rPr>
              <w:t>13515769179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81" w:type="pct"/>
          </w:tcPr>
          <w:p>
            <w:pPr>
              <w:snapToGrid w:val="0"/>
              <w:spacing w:line="360" w:lineRule="auto"/>
              <w:rPr>
                <w:rFonts w:ascii="宋体" w:hAnsi="宋体" w:cs="宋体"/>
                <w:sz w:val="24"/>
              </w:rPr>
            </w:pPr>
            <w:r>
              <w:rPr>
                <w:rFonts w:hint="eastAsia" w:ascii="宋体" w:hAnsi="宋体" w:cs="宋体"/>
                <w:sz w:val="24"/>
              </w:rPr>
              <w:t>永安财产保险股份有限公司台州中心支公司</w:t>
            </w:r>
          </w:p>
        </w:tc>
        <w:tc>
          <w:tcPr>
            <w:tcW w:w="1797" w:type="pct"/>
          </w:tcPr>
          <w:p>
            <w:pPr>
              <w:snapToGrid w:val="0"/>
              <w:spacing w:line="360" w:lineRule="auto"/>
              <w:rPr>
                <w:rFonts w:ascii="宋体" w:hAnsi="宋体" w:cs="宋体"/>
                <w:sz w:val="24"/>
              </w:rPr>
            </w:pPr>
            <w:r>
              <w:rPr>
                <w:rFonts w:hint="eastAsia" w:ascii="宋体" w:hAnsi="宋体" w:cs="宋体"/>
                <w:sz w:val="24"/>
              </w:rPr>
              <w:t>年费率0.3%，最低保费1000</w:t>
            </w:r>
          </w:p>
        </w:tc>
        <w:tc>
          <w:tcPr>
            <w:tcW w:w="486" w:type="pct"/>
          </w:tcPr>
          <w:p>
            <w:pPr>
              <w:snapToGrid w:val="0"/>
              <w:spacing w:line="360" w:lineRule="auto"/>
              <w:rPr>
                <w:rFonts w:ascii="宋体" w:hAnsi="宋体" w:cs="宋体"/>
                <w:sz w:val="24"/>
              </w:rPr>
            </w:pPr>
            <w:r>
              <w:rPr>
                <w:rFonts w:hint="eastAsia" w:ascii="宋体" w:hAnsi="宋体" w:cs="宋体"/>
                <w:sz w:val="24"/>
              </w:rPr>
              <w:t>王春宇</w:t>
            </w:r>
          </w:p>
        </w:tc>
        <w:tc>
          <w:tcPr>
            <w:tcW w:w="934" w:type="pct"/>
          </w:tcPr>
          <w:p>
            <w:pPr>
              <w:snapToGrid w:val="0"/>
              <w:spacing w:line="360" w:lineRule="auto"/>
              <w:rPr>
                <w:rFonts w:ascii="宋体" w:hAnsi="宋体" w:cs="宋体"/>
                <w:sz w:val="24"/>
              </w:rPr>
            </w:pPr>
            <w:r>
              <w:rPr>
                <w:rFonts w:hint="eastAsia" w:ascii="宋体" w:hAnsi="宋体" w:cs="宋体"/>
                <w:sz w:val="24"/>
              </w:rPr>
              <w:t>13676675331</w:t>
            </w:r>
          </w:p>
        </w:tc>
      </w:tr>
    </w:tbl>
    <w:p>
      <w:pPr>
        <w:snapToGrid w:val="0"/>
        <w:spacing w:line="360" w:lineRule="auto"/>
        <w:rPr>
          <w:rFonts w:ascii="宋体" w:hAnsi="宋体" w:cs="宋体"/>
          <w:sz w:val="24"/>
        </w:rPr>
      </w:pPr>
    </w:p>
    <w:p>
      <w:pPr>
        <w:snapToGrid w:val="0"/>
        <w:spacing w:line="360" w:lineRule="auto"/>
        <w:rPr>
          <w:rFonts w:ascii="宋体" w:hAnsi="宋体" w:cs="宋体"/>
          <w:sz w:val="24"/>
        </w:rPr>
      </w:pPr>
      <w:r>
        <w:rPr>
          <w:rFonts w:hint="eastAsia" w:ascii="宋体" w:hAnsi="宋体" w:cs="宋体"/>
          <w:sz w:val="24"/>
        </w:rPr>
        <w:t>预付款保函联系方式</w:t>
      </w:r>
    </w:p>
    <w:tbl>
      <w:tblPr>
        <w:tblStyle w:val="37"/>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201"/>
        <w:gridCol w:w="3249"/>
        <w:gridCol w:w="1092"/>
        <w:gridCol w:w="185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1703" w:type="pct"/>
            <w:vAlign w:val="center"/>
          </w:tcPr>
          <w:p>
            <w:pPr>
              <w:snapToGrid w:val="0"/>
              <w:spacing w:line="360" w:lineRule="auto"/>
              <w:rPr>
                <w:rFonts w:ascii="宋体" w:hAnsi="宋体" w:cs="宋体"/>
                <w:sz w:val="24"/>
              </w:rPr>
            </w:pPr>
            <w:r>
              <w:rPr>
                <w:rFonts w:hint="eastAsia" w:ascii="宋体" w:hAnsi="宋体" w:cs="宋体"/>
                <w:sz w:val="24"/>
              </w:rPr>
              <w:t>保险公司名称</w:t>
            </w:r>
          </w:p>
        </w:tc>
        <w:tc>
          <w:tcPr>
            <w:tcW w:w="1728" w:type="pct"/>
            <w:vAlign w:val="center"/>
          </w:tcPr>
          <w:p>
            <w:pPr>
              <w:snapToGrid w:val="0"/>
              <w:spacing w:line="360" w:lineRule="auto"/>
              <w:rPr>
                <w:rFonts w:ascii="宋体" w:hAnsi="宋体" w:cs="宋体"/>
                <w:sz w:val="24"/>
              </w:rPr>
            </w:pPr>
            <w:r>
              <w:rPr>
                <w:rFonts w:hint="eastAsia" w:ascii="宋体" w:hAnsi="宋体" w:cs="宋体"/>
                <w:sz w:val="24"/>
              </w:rPr>
              <w:t>保费率</w:t>
            </w:r>
          </w:p>
        </w:tc>
        <w:tc>
          <w:tcPr>
            <w:tcW w:w="581" w:type="pct"/>
            <w:vAlign w:val="center"/>
          </w:tcPr>
          <w:p>
            <w:pPr>
              <w:snapToGrid w:val="0"/>
              <w:spacing w:line="360" w:lineRule="auto"/>
              <w:rPr>
                <w:rFonts w:ascii="宋体" w:hAnsi="宋体" w:cs="宋体"/>
                <w:sz w:val="24"/>
              </w:rPr>
            </w:pPr>
            <w:r>
              <w:rPr>
                <w:rFonts w:hint="eastAsia" w:ascii="宋体" w:hAnsi="宋体" w:cs="宋体"/>
                <w:sz w:val="24"/>
              </w:rPr>
              <w:t>联系人</w:t>
            </w:r>
          </w:p>
        </w:tc>
        <w:tc>
          <w:tcPr>
            <w:tcW w:w="986" w:type="pct"/>
            <w:vAlign w:val="center"/>
          </w:tcPr>
          <w:p>
            <w:pPr>
              <w:snapToGrid w:val="0"/>
              <w:spacing w:line="360" w:lineRule="auto"/>
              <w:rPr>
                <w:rFonts w:ascii="宋体" w:hAnsi="宋体" w:cs="宋体"/>
                <w:sz w:val="24"/>
              </w:rPr>
            </w:pPr>
            <w:r>
              <w:rPr>
                <w:rFonts w:hint="eastAsia" w:ascii="宋体" w:hAnsi="宋体" w:cs="宋体"/>
                <w:sz w:val="24"/>
              </w:rPr>
              <w:t>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03" w:type="pct"/>
          </w:tcPr>
          <w:p>
            <w:pPr>
              <w:snapToGrid w:val="0"/>
              <w:spacing w:line="360" w:lineRule="auto"/>
              <w:rPr>
                <w:rFonts w:ascii="宋体" w:hAnsi="宋体" w:cs="宋体"/>
                <w:sz w:val="24"/>
              </w:rPr>
            </w:pPr>
            <w:r>
              <w:rPr>
                <w:rFonts w:hint="eastAsia" w:ascii="宋体" w:hAnsi="宋体" w:cs="宋体"/>
                <w:sz w:val="24"/>
              </w:rPr>
              <w:t>中国人寿财产保险股份有限公司台州中心支公司</w:t>
            </w:r>
          </w:p>
        </w:tc>
        <w:tc>
          <w:tcPr>
            <w:tcW w:w="1728" w:type="pct"/>
          </w:tcPr>
          <w:p>
            <w:pPr>
              <w:snapToGrid w:val="0"/>
              <w:spacing w:line="360" w:lineRule="auto"/>
              <w:rPr>
                <w:rFonts w:ascii="宋体" w:hAnsi="宋体" w:cs="宋体"/>
                <w:sz w:val="24"/>
              </w:rPr>
            </w:pPr>
            <w:r>
              <w:rPr>
                <w:rFonts w:hint="eastAsia" w:ascii="宋体" w:hAnsi="宋体" w:cs="宋体"/>
                <w:sz w:val="24"/>
              </w:rPr>
              <w:t>年费率3%，最低保费500元</w:t>
            </w:r>
          </w:p>
        </w:tc>
        <w:tc>
          <w:tcPr>
            <w:tcW w:w="581" w:type="pct"/>
          </w:tcPr>
          <w:p>
            <w:pPr>
              <w:snapToGrid w:val="0"/>
              <w:spacing w:line="360" w:lineRule="auto"/>
              <w:rPr>
                <w:rFonts w:ascii="宋体" w:hAnsi="宋体" w:cs="宋体"/>
                <w:sz w:val="24"/>
              </w:rPr>
            </w:pPr>
            <w:r>
              <w:rPr>
                <w:rFonts w:hint="eastAsia" w:ascii="宋体" w:hAnsi="宋体" w:cs="宋体"/>
                <w:sz w:val="24"/>
              </w:rPr>
              <w:t>徐凌</w:t>
            </w:r>
          </w:p>
        </w:tc>
        <w:tc>
          <w:tcPr>
            <w:tcW w:w="986" w:type="pct"/>
          </w:tcPr>
          <w:p>
            <w:pPr>
              <w:snapToGrid w:val="0"/>
              <w:spacing w:line="360" w:lineRule="auto"/>
              <w:rPr>
                <w:rFonts w:ascii="宋体" w:hAnsi="宋体" w:cs="宋体"/>
                <w:sz w:val="24"/>
              </w:rPr>
            </w:pPr>
            <w:r>
              <w:rPr>
                <w:rFonts w:hint="eastAsia" w:ascii="宋体" w:hAnsi="宋体" w:cs="宋体"/>
                <w:sz w:val="24"/>
              </w:rPr>
              <w:t>13905168070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03" w:type="pct"/>
          </w:tcPr>
          <w:p>
            <w:pPr>
              <w:snapToGrid w:val="0"/>
              <w:spacing w:line="360" w:lineRule="auto"/>
              <w:rPr>
                <w:rFonts w:ascii="宋体" w:hAnsi="宋体" w:cs="宋体"/>
                <w:sz w:val="24"/>
              </w:rPr>
            </w:pPr>
            <w:r>
              <w:rPr>
                <w:rFonts w:hint="eastAsia" w:ascii="宋体" w:hAnsi="宋体" w:cs="宋体"/>
                <w:sz w:val="24"/>
              </w:rPr>
              <w:t>阳光保险台州中心支公司</w:t>
            </w:r>
          </w:p>
        </w:tc>
        <w:tc>
          <w:tcPr>
            <w:tcW w:w="1728" w:type="pct"/>
          </w:tcPr>
          <w:p>
            <w:pPr>
              <w:snapToGrid w:val="0"/>
              <w:spacing w:line="360" w:lineRule="auto"/>
              <w:rPr>
                <w:rFonts w:ascii="宋体" w:hAnsi="宋体" w:cs="宋体"/>
                <w:sz w:val="24"/>
              </w:rPr>
            </w:pPr>
            <w:r>
              <w:rPr>
                <w:rFonts w:hint="eastAsia" w:ascii="宋体" w:hAnsi="宋体" w:cs="宋体"/>
                <w:sz w:val="24"/>
              </w:rPr>
              <w:t>年费率1%，最低保费500元</w:t>
            </w:r>
          </w:p>
        </w:tc>
        <w:tc>
          <w:tcPr>
            <w:tcW w:w="581" w:type="pct"/>
          </w:tcPr>
          <w:p>
            <w:pPr>
              <w:snapToGrid w:val="0"/>
              <w:spacing w:line="360" w:lineRule="auto"/>
              <w:rPr>
                <w:rFonts w:ascii="宋体" w:hAnsi="宋体" w:cs="宋体"/>
                <w:sz w:val="24"/>
              </w:rPr>
            </w:pPr>
            <w:r>
              <w:rPr>
                <w:rFonts w:hint="eastAsia" w:ascii="宋体" w:hAnsi="宋体" w:cs="宋体"/>
                <w:sz w:val="24"/>
              </w:rPr>
              <w:t>林高明</w:t>
            </w:r>
          </w:p>
        </w:tc>
        <w:tc>
          <w:tcPr>
            <w:tcW w:w="986" w:type="pct"/>
          </w:tcPr>
          <w:p>
            <w:pPr>
              <w:snapToGrid w:val="0"/>
              <w:spacing w:line="360" w:lineRule="auto"/>
              <w:rPr>
                <w:rFonts w:ascii="宋体" w:hAnsi="宋体" w:cs="宋体"/>
                <w:sz w:val="24"/>
              </w:rPr>
            </w:pPr>
            <w:r>
              <w:rPr>
                <w:rFonts w:hint="eastAsia" w:ascii="宋体" w:hAnsi="宋体" w:cs="宋体"/>
                <w:sz w:val="24"/>
              </w:rPr>
              <w:t>15888682693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03" w:type="pct"/>
          </w:tcPr>
          <w:p>
            <w:pPr>
              <w:snapToGrid w:val="0"/>
              <w:spacing w:line="360" w:lineRule="auto"/>
              <w:rPr>
                <w:rFonts w:ascii="宋体" w:hAnsi="宋体" w:cs="宋体"/>
                <w:sz w:val="24"/>
              </w:rPr>
            </w:pPr>
            <w:r>
              <w:rPr>
                <w:rFonts w:hint="eastAsia" w:ascii="宋体" w:hAnsi="宋体" w:cs="宋体"/>
                <w:sz w:val="24"/>
              </w:rPr>
              <w:t>天安财产保险股份有限公司台州中心支公司</w:t>
            </w:r>
          </w:p>
        </w:tc>
        <w:tc>
          <w:tcPr>
            <w:tcW w:w="1728" w:type="pct"/>
          </w:tcPr>
          <w:p>
            <w:pPr>
              <w:snapToGrid w:val="0"/>
              <w:spacing w:line="360" w:lineRule="auto"/>
              <w:rPr>
                <w:rFonts w:ascii="宋体" w:hAnsi="宋体" w:cs="宋体"/>
                <w:sz w:val="24"/>
              </w:rPr>
            </w:pPr>
            <w:r>
              <w:rPr>
                <w:rFonts w:hint="eastAsia" w:ascii="宋体" w:hAnsi="宋体" w:cs="宋体"/>
                <w:sz w:val="24"/>
              </w:rPr>
              <w:t>年费率1%-2%，最低保费500元</w:t>
            </w:r>
          </w:p>
        </w:tc>
        <w:tc>
          <w:tcPr>
            <w:tcW w:w="581" w:type="pct"/>
          </w:tcPr>
          <w:p>
            <w:pPr>
              <w:snapToGrid w:val="0"/>
              <w:spacing w:line="360" w:lineRule="auto"/>
              <w:rPr>
                <w:rFonts w:ascii="宋体" w:hAnsi="宋体" w:cs="宋体"/>
                <w:sz w:val="24"/>
              </w:rPr>
            </w:pPr>
            <w:r>
              <w:rPr>
                <w:rFonts w:hint="eastAsia" w:ascii="宋体" w:hAnsi="宋体" w:cs="宋体"/>
                <w:sz w:val="24"/>
              </w:rPr>
              <w:t>罗赛</w:t>
            </w:r>
          </w:p>
        </w:tc>
        <w:tc>
          <w:tcPr>
            <w:tcW w:w="986" w:type="pct"/>
          </w:tcPr>
          <w:p>
            <w:pPr>
              <w:snapToGrid w:val="0"/>
              <w:spacing w:line="360" w:lineRule="auto"/>
              <w:rPr>
                <w:rFonts w:ascii="宋体" w:hAnsi="宋体" w:cs="宋体"/>
                <w:sz w:val="24"/>
              </w:rPr>
            </w:pPr>
            <w:r>
              <w:rPr>
                <w:rFonts w:hint="eastAsia" w:ascii="宋体" w:hAnsi="宋体" w:cs="宋体"/>
                <w:sz w:val="24"/>
              </w:rPr>
              <w:t>13736605643</w:t>
            </w:r>
          </w:p>
        </w:tc>
      </w:tr>
    </w:tbl>
    <w:p>
      <w:pPr>
        <w:snapToGrid w:val="0"/>
        <w:spacing w:line="360" w:lineRule="auto"/>
        <w:ind w:firstLine="482" w:firstLineChars="200"/>
        <w:rPr>
          <w:rFonts w:ascii="宋体" w:hAnsi="宋体" w:cs="宋体"/>
          <w:b/>
          <w:sz w:val="24"/>
        </w:rPr>
      </w:pPr>
    </w:p>
    <w:p>
      <w:pPr>
        <w:snapToGrid w:val="0"/>
        <w:spacing w:line="360" w:lineRule="auto"/>
        <w:ind w:firstLine="482" w:firstLineChars="200"/>
        <w:rPr>
          <w:rFonts w:ascii="宋体" w:hAnsi="宋体" w:cs="宋体"/>
          <w:b/>
          <w:sz w:val="24"/>
        </w:rPr>
      </w:pPr>
      <w:r>
        <w:rPr>
          <w:rFonts w:hint="eastAsia" w:ascii="宋体" w:hAnsi="宋体" w:cs="宋体"/>
          <w:b/>
          <w:sz w:val="24"/>
        </w:rPr>
        <w:t>十一、其他：</w:t>
      </w:r>
    </w:p>
    <w:p>
      <w:pPr>
        <w:snapToGrid w:val="0"/>
        <w:spacing w:line="360" w:lineRule="auto"/>
        <w:ind w:firstLine="420"/>
        <w:rPr>
          <w:rFonts w:ascii="宋体" w:hAnsi="宋体" w:cs="宋体"/>
          <w:sz w:val="24"/>
        </w:rPr>
      </w:pPr>
      <w:r>
        <w:rPr>
          <w:rFonts w:hint="eastAsia" w:ascii="宋体" w:hAnsi="宋体" w:cs="宋体"/>
          <w:sz w:val="24"/>
        </w:rPr>
        <w:t>1、采购代理机构名称：台州市建设咨询有限公司</w:t>
      </w:r>
    </w:p>
    <w:p>
      <w:pPr>
        <w:snapToGrid w:val="0"/>
        <w:spacing w:line="360" w:lineRule="auto"/>
        <w:ind w:firstLine="420"/>
        <w:rPr>
          <w:rFonts w:hint="eastAsia" w:ascii="宋体" w:hAnsi="宋体" w:eastAsia="宋体" w:cs="宋体"/>
          <w:sz w:val="24"/>
          <w:lang w:eastAsia="zh-CN"/>
        </w:rPr>
      </w:pPr>
      <w:r>
        <w:rPr>
          <w:rFonts w:hint="eastAsia" w:ascii="宋体" w:hAnsi="宋体" w:cs="宋体"/>
          <w:sz w:val="24"/>
        </w:rPr>
        <w:t>联系人：</w:t>
      </w:r>
      <w:r>
        <w:rPr>
          <w:rFonts w:hint="eastAsia" w:ascii="宋体" w:hAnsi="宋体" w:cs="宋体"/>
          <w:sz w:val="24"/>
          <w:lang w:eastAsia="zh-CN"/>
        </w:rPr>
        <w:t>葛俊</w:t>
      </w:r>
    </w:p>
    <w:p>
      <w:pPr>
        <w:snapToGrid w:val="0"/>
        <w:spacing w:line="360" w:lineRule="auto"/>
        <w:ind w:firstLine="420"/>
        <w:rPr>
          <w:rFonts w:ascii="宋体" w:hAnsi="宋体" w:cs="宋体"/>
          <w:sz w:val="24"/>
        </w:rPr>
      </w:pPr>
      <w:r>
        <w:rPr>
          <w:rFonts w:hint="eastAsia" w:ascii="宋体" w:hAnsi="宋体" w:cs="宋体"/>
          <w:sz w:val="24"/>
        </w:rPr>
        <w:t>联系电话：</w:t>
      </w:r>
      <w:r>
        <w:rPr>
          <w:rFonts w:hint="eastAsia" w:ascii="宋体" w:hAnsi="宋体" w:cs="宋体"/>
          <w:sz w:val="24"/>
          <w:lang w:eastAsia="zh-CN"/>
        </w:rPr>
        <w:t>0576-88517786</w:t>
      </w:r>
      <w:r>
        <w:rPr>
          <w:rFonts w:hint="eastAsia" w:ascii="宋体" w:hAnsi="宋体" w:cs="宋体"/>
          <w:sz w:val="24"/>
        </w:rPr>
        <w:t xml:space="preserve"> </w:t>
      </w:r>
    </w:p>
    <w:p>
      <w:pPr>
        <w:snapToGrid w:val="0"/>
        <w:spacing w:line="360" w:lineRule="auto"/>
        <w:ind w:firstLine="420"/>
        <w:rPr>
          <w:rFonts w:ascii="宋体" w:hAnsi="宋体" w:cs="宋体"/>
          <w:sz w:val="24"/>
        </w:rPr>
      </w:pPr>
      <w:r>
        <w:rPr>
          <w:rFonts w:hint="eastAsia" w:ascii="宋体" w:hAnsi="宋体" w:cs="宋体"/>
          <w:sz w:val="24"/>
        </w:rPr>
        <w:t>传真：0576-88517785</w:t>
      </w:r>
    </w:p>
    <w:p>
      <w:pPr>
        <w:snapToGrid w:val="0"/>
        <w:spacing w:line="360" w:lineRule="auto"/>
        <w:ind w:firstLine="420"/>
        <w:rPr>
          <w:rFonts w:ascii="宋体" w:hAnsi="宋体" w:cs="宋体"/>
          <w:sz w:val="24"/>
        </w:rPr>
      </w:pPr>
      <w:r>
        <w:rPr>
          <w:rFonts w:hint="eastAsia" w:ascii="宋体" w:hAnsi="宋体" w:cs="宋体"/>
          <w:sz w:val="24"/>
        </w:rPr>
        <w:t>地址：浙江省台州市市府大道465号市建设规划大楼二楼213室</w:t>
      </w:r>
    </w:p>
    <w:p>
      <w:pPr>
        <w:snapToGrid w:val="0"/>
        <w:spacing w:line="360" w:lineRule="auto"/>
        <w:ind w:firstLine="420"/>
        <w:rPr>
          <w:rFonts w:hint="eastAsia" w:ascii="宋体" w:hAnsi="宋体" w:eastAsia="宋体" w:cs="宋体"/>
          <w:sz w:val="24"/>
          <w:lang w:eastAsia="zh-CN"/>
        </w:rPr>
      </w:pPr>
      <w:r>
        <w:rPr>
          <w:rFonts w:hint="eastAsia" w:ascii="宋体" w:hAnsi="宋体" w:cs="宋体"/>
          <w:sz w:val="24"/>
        </w:rPr>
        <w:t>2、采购人名称：</w:t>
      </w:r>
      <w:r>
        <w:rPr>
          <w:rFonts w:hint="eastAsia" w:ascii="宋体" w:hAnsi="宋体" w:cs="宋体"/>
          <w:sz w:val="24"/>
          <w:lang w:eastAsia="zh-CN"/>
        </w:rPr>
        <w:t>中共台州市委党校</w:t>
      </w:r>
    </w:p>
    <w:p>
      <w:pPr>
        <w:snapToGrid w:val="0"/>
        <w:spacing w:line="360" w:lineRule="auto"/>
        <w:ind w:firstLine="420"/>
        <w:rPr>
          <w:rFonts w:hint="eastAsia" w:ascii="宋体" w:hAnsi="宋体" w:eastAsia="宋体" w:cs="宋体"/>
          <w:sz w:val="24"/>
          <w:lang w:eastAsia="zh-CN"/>
        </w:rPr>
      </w:pPr>
      <w:r>
        <w:rPr>
          <w:rFonts w:hint="eastAsia" w:ascii="宋体" w:hAnsi="宋体" w:cs="宋体"/>
          <w:sz w:val="24"/>
        </w:rPr>
        <w:t>采购单位联系人：</w:t>
      </w:r>
      <w:r>
        <w:rPr>
          <w:rFonts w:hint="eastAsia" w:ascii="宋体" w:hAnsi="宋体" w:cs="宋体"/>
          <w:sz w:val="24"/>
          <w:lang w:eastAsia="zh-CN"/>
        </w:rPr>
        <w:t>洪先生</w:t>
      </w:r>
    </w:p>
    <w:p>
      <w:pPr>
        <w:snapToGrid w:val="0"/>
        <w:spacing w:line="360" w:lineRule="auto"/>
        <w:ind w:firstLine="420"/>
        <w:rPr>
          <w:rFonts w:hint="eastAsia" w:ascii="宋体" w:hAnsi="宋体" w:eastAsia="宋体" w:cs="宋体"/>
          <w:sz w:val="24"/>
          <w:lang w:eastAsia="zh-CN"/>
        </w:rPr>
      </w:pPr>
      <w:r>
        <w:rPr>
          <w:rFonts w:hint="eastAsia" w:ascii="宋体" w:hAnsi="宋体" w:cs="宋体"/>
          <w:sz w:val="24"/>
        </w:rPr>
        <w:t>联系电话：</w:t>
      </w:r>
      <w:r>
        <w:rPr>
          <w:rFonts w:hint="eastAsia" w:ascii="宋体" w:hAnsi="宋体" w:cs="宋体"/>
          <w:sz w:val="24"/>
          <w:lang w:eastAsia="zh-CN"/>
        </w:rPr>
        <w:t>0576-88585358</w:t>
      </w:r>
    </w:p>
    <w:p>
      <w:pPr>
        <w:snapToGrid w:val="0"/>
        <w:spacing w:line="360" w:lineRule="auto"/>
        <w:ind w:firstLine="420"/>
        <w:rPr>
          <w:rFonts w:hint="default" w:ascii="宋体" w:hAnsi="宋体" w:eastAsia="宋体" w:cs="宋体"/>
          <w:sz w:val="24"/>
          <w:lang w:val="en-US" w:eastAsia="zh-CN"/>
        </w:rPr>
      </w:pPr>
      <w:r>
        <w:rPr>
          <w:rFonts w:hint="eastAsia" w:ascii="宋体" w:hAnsi="宋体" w:cs="宋体"/>
          <w:sz w:val="24"/>
        </w:rPr>
        <w:t>地址：浙江省台州市</w:t>
      </w:r>
      <w:r>
        <w:rPr>
          <w:rFonts w:hint="eastAsia" w:ascii="宋体" w:hAnsi="宋体" w:cs="宋体"/>
          <w:sz w:val="24"/>
          <w:lang w:val="en-US" w:eastAsia="zh-CN"/>
        </w:rPr>
        <w:t>椒江区白云山中路33号</w:t>
      </w:r>
    </w:p>
    <w:p>
      <w:pPr>
        <w:snapToGrid w:val="0"/>
        <w:spacing w:line="360" w:lineRule="auto"/>
        <w:ind w:firstLine="420"/>
        <w:rPr>
          <w:rFonts w:ascii="宋体" w:hAnsi="宋体" w:cs="宋体"/>
          <w:sz w:val="24"/>
        </w:rPr>
      </w:pPr>
      <w:r>
        <w:rPr>
          <w:rFonts w:hint="eastAsia" w:ascii="宋体" w:hAnsi="宋体" w:cs="宋体"/>
          <w:sz w:val="24"/>
        </w:rPr>
        <w:t>3、同级政府采购监督管理部门名称：台州市财政局</w:t>
      </w:r>
    </w:p>
    <w:p>
      <w:pPr>
        <w:snapToGrid w:val="0"/>
        <w:spacing w:line="360" w:lineRule="auto"/>
        <w:ind w:firstLine="420"/>
        <w:rPr>
          <w:rFonts w:ascii="宋体" w:hAnsi="宋体" w:cs="宋体"/>
          <w:sz w:val="24"/>
        </w:rPr>
      </w:pPr>
      <w:r>
        <w:rPr>
          <w:rFonts w:hint="eastAsia" w:ascii="宋体" w:hAnsi="宋体" w:cs="宋体"/>
          <w:sz w:val="24"/>
        </w:rPr>
        <w:t>联系人：陈女士       </w:t>
      </w:r>
    </w:p>
    <w:p>
      <w:pPr>
        <w:snapToGrid w:val="0"/>
        <w:spacing w:line="360" w:lineRule="auto"/>
        <w:ind w:firstLine="420"/>
        <w:rPr>
          <w:rFonts w:ascii="宋体" w:hAnsi="宋体" w:cs="宋体"/>
          <w:sz w:val="24"/>
        </w:rPr>
      </w:pPr>
      <w:r>
        <w:rPr>
          <w:rFonts w:hint="eastAsia" w:ascii="宋体" w:hAnsi="宋体" w:cs="宋体"/>
          <w:sz w:val="24"/>
        </w:rPr>
        <w:t>监督投诉电话：0576-88206705、0576-88206731</w:t>
      </w:r>
    </w:p>
    <w:p>
      <w:pPr>
        <w:snapToGrid w:val="0"/>
        <w:spacing w:line="360" w:lineRule="auto"/>
        <w:ind w:firstLine="420"/>
        <w:rPr>
          <w:rFonts w:ascii="宋体" w:hAnsi="宋体" w:cs="宋体"/>
          <w:sz w:val="24"/>
        </w:rPr>
      </w:pPr>
      <w:r>
        <w:rPr>
          <w:rFonts w:hint="eastAsia" w:ascii="宋体" w:hAnsi="宋体" w:cs="宋体"/>
          <w:sz w:val="24"/>
        </w:rPr>
        <w:t>地址：台州经济开发区纬一路天元大厦</w:t>
      </w:r>
    </w:p>
    <w:p>
      <w:pPr>
        <w:snapToGrid w:val="0"/>
        <w:spacing w:line="360" w:lineRule="auto"/>
        <w:ind w:left="238"/>
        <w:jc w:val="center"/>
        <w:rPr>
          <w:rFonts w:ascii="宋体" w:hAnsi="宋体" w:cs="宋体"/>
          <w:sz w:val="24"/>
        </w:rPr>
      </w:pPr>
    </w:p>
    <w:p>
      <w:pPr>
        <w:snapToGrid w:val="0"/>
        <w:spacing w:line="360" w:lineRule="auto"/>
        <w:ind w:left="238"/>
        <w:jc w:val="center"/>
        <w:rPr>
          <w:rFonts w:ascii="宋体" w:hAnsi="宋体" w:cs="宋体"/>
          <w:sz w:val="24"/>
        </w:rPr>
      </w:pPr>
      <w:r>
        <w:rPr>
          <w:rFonts w:hint="eastAsia" w:ascii="宋体" w:hAnsi="宋体" w:cs="宋体"/>
          <w:sz w:val="24"/>
        </w:rPr>
        <w:t xml:space="preserve">                                         台州市建设咨询有限公司</w:t>
      </w:r>
    </w:p>
    <w:p>
      <w:pPr>
        <w:snapToGrid w:val="0"/>
        <w:spacing w:line="360" w:lineRule="auto"/>
        <w:ind w:left="238" w:firstLine="4980" w:firstLineChars="2075"/>
        <w:jc w:val="center"/>
        <w:rPr>
          <w:rFonts w:ascii="宋体" w:hAnsi="宋体" w:cs="宋体"/>
          <w:sz w:val="24"/>
        </w:rPr>
      </w:pPr>
      <w:r>
        <w:rPr>
          <w:rFonts w:hint="eastAsia" w:ascii="宋体" w:hAnsi="宋体" w:cs="宋体"/>
          <w:sz w:val="24"/>
        </w:rPr>
        <w:t>202</w:t>
      </w:r>
      <w:r>
        <w:rPr>
          <w:rFonts w:hint="eastAsia" w:ascii="宋体" w:hAnsi="宋体" w:cs="宋体"/>
          <w:sz w:val="24"/>
          <w:lang w:val="en-US" w:eastAsia="zh-CN"/>
        </w:rPr>
        <w:t>1</w:t>
      </w:r>
      <w:r>
        <w:rPr>
          <w:rFonts w:hint="eastAsia" w:ascii="宋体" w:hAnsi="宋体" w:cs="宋体"/>
          <w:sz w:val="24"/>
        </w:rPr>
        <w:t>年</w:t>
      </w:r>
      <w:r>
        <w:rPr>
          <w:rFonts w:hint="eastAsia" w:ascii="宋体" w:hAnsi="宋体" w:cs="宋体"/>
          <w:sz w:val="24"/>
          <w:lang w:val="en-US" w:eastAsia="zh-CN"/>
        </w:rPr>
        <w:t>12</w:t>
      </w:r>
      <w:r>
        <w:rPr>
          <w:rFonts w:hint="eastAsia" w:ascii="宋体" w:hAnsi="宋体" w:cs="宋体"/>
          <w:sz w:val="24"/>
        </w:rPr>
        <w:t>月</w:t>
      </w:r>
    </w:p>
    <w:p>
      <w:pPr>
        <w:pStyle w:val="21"/>
        <w:tabs>
          <w:tab w:val="left" w:pos="1620"/>
        </w:tabs>
        <w:snapToGrid w:val="0"/>
        <w:spacing w:before="156" w:after="156"/>
        <w:jc w:val="center"/>
        <w:rPr>
          <w:rFonts w:hAnsi="宋体" w:cs="宋体"/>
          <w:sz w:val="30"/>
          <w:szCs w:val="30"/>
          <w:highlight w:val="none"/>
        </w:rPr>
      </w:pPr>
      <w:r>
        <w:rPr>
          <w:rFonts w:hint="eastAsia" w:hAnsi="宋体" w:cs="宋体"/>
          <w:sz w:val="30"/>
          <w:szCs w:val="30"/>
        </w:rPr>
        <w:br w:type="page"/>
      </w:r>
      <w:r>
        <w:rPr>
          <w:rFonts w:hint="eastAsia" w:hAnsi="宋体" w:cs="宋体"/>
          <w:sz w:val="30"/>
          <w:szCs w:val="30"/>
          <w:highlight w:val="none"/>
        </w:rPr>
        <w:t xml:space="preserve">第二章  </w:t>
      </w:r>
      <w:r>
        <w:rPr>
          <w:rFonts w:hint="eastAsia" w:hAnsi="宋体" w:cs="宋体"/>
          <w:bCs/>
          <w:sz w:val="30"/>
          <w:szCs w:val="30"/>
          <w:highlight w:val="none"/>
        </w:rPr>
        <w:t>招</w:t>
      </w:r>
      <w:r>
        <w:rPr>
          <w:rFonts w:hint="eastAsia" w:hAnsi="宋体" w:cs="宋体"/>
          <w:sz w:val="30"/>
          <w:szCs w:val="30"/>
          <w:highlight w:val="none"/>
        </w:rPr>
        <w:t>标需求</w:t>
      </w:r>
    </w:p>
    <w:p>
      <w:pPr>
        <w:pStyle w:val="21"/>
        <w:snapToGrid w:val="0"/>
        <w:spacing w:beforeLines="0" w:afterLines="0" w:line="360" w:lineRule="auto"/>
        <w:ind w:firstLine="117" w:firstLineChars="49"/>
        <w:outlineLvl w:val="0"/>
        <w:rPr>
          <w:rFonts w:hint="eastAsia" w:hAnsi="宋体" w:eastAsia="宋体" w:cs="宋体"/>
          <w:highlight w:val="none"/>
          <w:lang w:eastAsia="zh-CN"/>
        </w:rPr>
      </w:pPr>
      <w:r>
        <w:rPr>
          <w:rFonts w:hint="eastAsia" w:hAnsi="宋体" w:cs="宋体"/>
          <w:highlight w:val="none"/>
        </w:rPr>
        <w:t>编号：</w:t>
      </w:r>
      <w:r>
        <w:rPr>
          <w:rFonts w:hint="eastAsia" w:hAnsi="宋体" w:cs="宋体"/>
          <w:highlight w:val="none"/>
          <w:lang w:eastAsia="zh-CN"/>
        </w:rPr>
        <w:t>台财采确临【2021】10225号</w:t>
      </w:r>
    </w:p>
    <w:p>
      <w:pPr>
        <w:pStyle w:val="21"/>
        <w:snapToGrid w:val="0"/>
        <w:spacing w:beforeLines="0" w:afterLines="0" w:line="360" w:lineRule="auto"/>
        <w:ind w:firstLine="117" w:firstLineChars="49"/>
        <w:outlineLvl w:val="0"/>
        <w:rPr>
          <w:rFonts w:hint="eastAsia" w:hAnsi="宋体" w:eastAsia="宋体" w:cs="宋体"/>
          <w:b/>
          <w:bCs/>
          <w:highlight w:val="none"/>
          <w:lang w:eastAsia="zh-CN"/>
        </w:rPr>
      </w:pPr>
      <w:r>
        <w:rPr>
          <w:rFonts w:hint="eastAsia" w:hAnsi="宋体" w:cs="宋体"/>
          <w:highlight w:val="none"/>
        </w:rPr>
        <w:t>采购项目名称：</w:t>
      </w:r>
      <w:r>
        <w:rPr>
          <w:rFonts w:hint="eastAsia" w:hAnsi="宋体" w:cs="宋体"/>
          <w:b/>
          <w:bCs/>
          <w:highlight w:val="none"/>
          <w:lang w:eastAsia="zh-CN"/>
        </w:rPr>
        <w:t>数字校园管理系统项目</w:t>
      </w:r>
    </w:p>
    <w:p>
      <w:pPr>
        <w:pStyle w:val="2"/>
        <w:numPr>
          <w:ilvl w:val="0"/>
          <w:numId w:val="2"/>
        </w:numPr>
        <w:ind w:left="0" w:leftChars="0" w:firstLine="0" w:firstLineChars="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项目概述</w:t>
      </w:r>
    </w:p>
    <w:p>
      <w:pPr>
        <w:rPr>
          <w:rFonts w:hint="eastAsia" w:asciiTheme="minorEastAsia" w:hAnsiTheme="minorEastAsia" w:eastAsiaTheme="minorEastAsia" w:cstheme="minorEastAsia"/>
          <w:b/>
          <w:bCs/>
          <w:sz w:val="24"/>
          <w:szCs w:val="24"/>
          <w:highlight w:val="none"/>
        </w:rPr>
      </w:pPr>
      <w:bookmarkStart w:id="2" w:name="_Toc74298842"/>
      <w:r>
        <w:rPr>
          <w:rFonts w:hint="eastAsia" w:asciiTheme="minorEastAsia" w:hAnsiTheme="minorEastAsia" w:eastAsiaTheme="minorEastAsia" w:cstheme="minorEastAsia"/>
          <w:b/>
          <w:bCs/>
          <w:sz w:val="24"/>
          <w:szCs w:val="24"/>
          <w:highlight w:val="none"/>
          <w:lang w:val="en-US" w:eastAsia="zh-CN"/>
        </w:rPr>
        <w:t>1、</w:t>
      </w:r>
      <w:r>
        <w:rPr>
          <w:rFonts w:hint="eastAsia" w:asciiTheme="minorEastAsia" w:hAnsiTheme="minorEastAsia" w:eastAsiaTheme="minorEastAsia" w:cstheme="minorEastAsia"/>
          <w:b/>
          <w:bCs/>
          <w:sz w:val="24"/>
          <w:szCs w:val="24"/>
          <w:highlight w:val="none"/>
        </w:rPr>
        <w:t>建设背景</w:t>
      </w:r>
      <w:bookmarkEnd w:id="2"/>
    </w:p>
    <w:p>
      <w:pPr>
        <w:ind w:firstLine="6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干部教育培训工作条例》：要提高干部教育培训教学和管理信息化水平，用好大数据、“互联网＋”等技术手段。干部教育培训应当根据内容要求和干部特点，综合运用讲授式、研讨式、案例式、模拟式、体验式等教学方法，实现教学相长、学学相长。</w:t>
      </w:r>
    </w:p>
    <w:p>
      <w:pPr>
        <w:ind w:firstLine="6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中国共产党党校（行政学院）工作条例》：党校（行政学院）信息化建设是实现干部教育培训现代化的重要手段。各级党校（行政学院）应当充分发挥信息化在教学科研和日常管理中的重要作用，重视运用现代信息技术，积极推动干部教育培训和互联网融合发展，加快“智慧校园”建设。</w:t>
      </w:r>
    </w:p>
    <w:p>
      <w:pPr>
        <w:ind w:firstLine="6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《2018－2022年全国干部教育培训规划》：加快干部教育培训机构“智慧校园”建设。完善干部教育培训信息管理系统，建立全国统一、分级管理的干部教育培训信息系统。</w:t>
      </w:r>
    </w:p>
    <w:p>
      <w:pPr>
        <w:ind w:firstLine="600"/>
        <w:rPr>
          <w:rFonts w:hint="eastAsia" w:asciiTheme="minorEastAsia" w:hAnsiTheme="minorEastAsia" w:eastAsiaTheme="minorEastAsia" w:cstheme="minorEastAsia"/>
          <w:sz w:val="24"/>
          <w:szCs w:val="24"/>
          <w:highlight w:val="none"/>
        </w:rPr>
      </w:pPr>
    </w:p>
    <w:p>
      <w:pPr>
        <w:rPr>
          <w:rFonts w:hint="eastAsia" w:asciiTheme="minorEastAsia" w:hAnsiTheme="minorEastAsia" w:eastAsiaTheme="minorEastAsia" w:cstheme="minorEastAsia"/>
          <w:b/>
          <w:bCs/>
          <w:sz w:val="24"/>
          <w:szCs w:val="24"/>
          <w:highlight w:val="none"/>
        </w:rPr>
      </w:pPr>
      <w:bookmarkStart w:id="3" w:name="_Toc50728798"/>
      <w:bookmarkStart w:id="4" w:name="_Toc522176746"/>
      <w:bookmarkStart w:id="5" w:name="_Toc74298843"/>
      <w:r>
        <w:rPr>
          <w:rFonts w:hint="eastAsia" w:asciiTheme="minorEastAsia" w:hAnsiTheme="minorEastAsia" w:eastAsiaTheme="minorEastAsia" w:cstheme="minorEastAsia"/>
          <w:b/>
          <w:bCs/>
          <w:sz w:val="24"/>
          <w:szCs w:val="24"/>
          <w:highlight w:val="none"/>
          <w:lang w:val="en-US" w:eastAsia="zh-CN"/>
        </w:rPr>
        <w:t>2、</w:t>
      </w:r>
      <w:r>
        <w:rPr>
          <w:rFonts w:hint="eastAsia" w:asciiTheme="minorEastAsia" w:hAnsiTheme="minorEastAsia" w:eastAsiaTheme="minorEastAsia" w:cstheme="minorEastAsia"/>
          <w:b/>
          <w:bCs/>
          <w:sz w:val="24"/>
          <w:szCs w:val="24"/>
          <w:highlight w:val="none"/>
        </w:rPr>
        <w:t>我校信息化现状</w:t>
      </w:r>
      <w:bookmarkEnd w:id="3"/>
      <w:bookmarkEnd w:id="4"/>
      <w:bookmarkEnd w:id="5"/>
    </w:p>
    <w:p>
      <w:pPr>
        <w:ind w:firstLine="600"/>
        <w:rPr>
          <w:rFonts w:hint="eastAsia" w:asciiTheme="minorEastAsia" w:hAnsiTheme="minorEastAsia" w:eastAsiaTheme="minorEastAsia" w:cstheme="minorEastAsia"/>
          <w:sz w:val="24"/>
          <w:szCs w:val="24"/>
          <w:highlight w:val="none"/>
        </w:rPr>
      </w:pPr>
      <w:bookmarkStart w:id="6" w:name="_Toc74298844"/>
      <w:r>
        <w:rPr>
          <w:rFonts w:hint="eastAsia" w:asciiTheme="minorEastAsia" w:hAnsiTheme="minorEastAsia" w:eastAsiaTheme="minorEastAsia" w:cstheme="minorEastAsia"/>
          <w:sz w:val="24"/>
          <w:szCs w:val="24"/>
          <w:highlight w:val="none"/>
        </w:rPr>
        <w:t>台州市委党校信息化建设起步较晚，长期以来仅有OA系统、财务管理系统、图书管理系统、酒店管理系统等系统在用，其中OA系统是由市政府统一下发部署应用的，财务管理系统是使用的财政部提供的系统通用功能，这两个系统均为外部单位提供的通用标准系统，无法满足台州市委党校特定业务需求，且不利于数据的长期保存与分析利用；而酒店管理系统是学校合作酒店自有的信息系统，本项目中需与该系统对接，图书馆系统为党校单独购置，本项目将与之对接，实现数据集成。</w:t>
      </w:r>
    </w:p>
    <w:p>
      <w:pPr>
        <w:ind w:firstLine="6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由于台州市委党校前期基本上没有自建信息化系统，前期信息化系统基础非常薄弱。近年来台州市委党校积极贯彻落实中央及市委相关文件精神，在市委的关心支持下，目前新党校正在积极建设中，相关配套设施逐步完善，终端产品随之更新，为党校未来的发展起到了良好的支撑作用。本次项目将以新校区建设为契机，建设与校园信息化配套设置相匹配的数字校园管理系统，弥补党校在信息化建设和发展中的空白。</w:t>
      </w:r>
    </w:p>
    <w:bookmarkEnd w:id="6"/>
    <w:p>
      <w:pPr>
        <w:rPr>
          <w:rFonts w:hint="eastAsia" w:asciiTheme="minorEastAsia" w:hAnsiTheme="minorEastAsia" w:eastAsiaTheme="minorEastAsia" w:cstheme="minorEastAsia"/>
          <w:sz w:val="24"/>
          <w:szCs w:val="24"/>
          <w:highlight w:val="none"/>
          <w:lang w:val="en-US" w:eastAsia="zh-CN"/>
        </w:rPr>
      </w:pPr>
      <w:bookmarkStart w:id="7" w:name="_Toc74298845"/>
    </w:p>
    <w:p>
      <w:pPr>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lang w:val="en-US" w:eastAsia="zh-CN"/>
        </w:rPr>
        <w:t>3、</w:t>
      </w:r>
      <w:r>
        <w:rPr>
          <w:rFonts w:hint="eastAsia" w:asciiTheme="minorEastAsia" w:hAnsiTheme="minorEastAsia" w:eastAsiaTheme="minorEastAsia" w:cstheme="minorEastAsia"/>
          <w:b/>
          <w:bCs/>
          <w:sz w:val="24"/>
          <w:szCs w:val="24"/>
          <w:highlight w:val="none"/>
        </w:rPr>
        <w:t>建设思路</w:t>
      </w:r>
      <w:bookmarkEnd w:id="7"/>
    </w:p>
    <w:p>
      <w:pPr>
        <w:ind w:firstLine="6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为了实现中共台州市委党校数字校园管理系统的总体目标，按照浙江全省数字化改革要求和台州市委党校信息化建设规划，以“融合一体、协同共享、系统集成”为理念，采用自主、灵活、稳定、安全可靠的国产化平台，以用户需求为导向，以服务用户为核心，以智慧校园基础设施为基础，构建“高安全、高可靠、高可扩展、高融合”的智慧校园管理平台，实现以智慧校园教学环境、智慧校园资源、智慧校园管理、智慧校园服务为一体的综合管理平台。形成全面统一、技术先进、功能全面、应用深入、高效稳定、安全可靠的国内领先省内一流的工作、学习和生活环境，使学校信息资源数字化、协同工作流程化、决策支持智能化。</w:t>
      </w:r>
    </w:p>
    <w:p>
      <w:pPr>
        <w:ind w:firstLine="6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项目建设围绕学校中心工作，结合学校当前实际和数字化改革要求、十四五发展规划，顶层设计，总体规划，统一标准，分步实施。基于“顶层设计”的思想，为学校搭建了统一高效、业务协同、信息共享的综合管理平台，并通过应用的不断升级和改进，实现对管理过程和师生服务能力的提升。</w:t>
      </w:r>
    </w:p>
    <w:p>
      <w:pPr>
        <w:pStyle w:val="2"/>
        <w:numPr>
          <w:ilvl w:val="0"/>
          <w:numId w:val="2"/>
        </w:numPr>
        <w:ind w:left="0" w:leftChars="0" w:firstLine="0" w:firstLineChars="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项目依据</w:t>
      </w:r>
      <w:bookmarkStart w:id="8" w:name="_Toc87447030"/>
      <w:bookmarkStart w:id="9" w:name="_Toc86160918"/>
      <w:bookmarkStart w:id="10" w:name="_Toc84975382"/>
    </w:p>
    <w:p>
      <w:pPr>
        <w:numPr>
          <w:ilvl w:val="0"/>
          <w:numId w:val="0"/>
        </w:numPr>
        <w:ind w:leftChars="0"/>
        <w:rPr>
          <w:rFonts w:hint="eastAsia" w:asciiTheme="minorEastAsia" w:hAnsiTheme="minorEastAsia" w:eastAsiaTheme="minorEastAsia" w:cstheme="minorEastAsia"/>
          <w:b/>
          <w:bCs/>
          <w:sz w:val="24"/>
          <w:szCs w:val="24"/>
          <w:highlight w:val="none"/>
          <w:lang w:val="en-US" w:eastAsia="zh-CN"/>
        </w:rPr>
      </w:pPr>
      <w:r>
        <w:rPr>
          <w:rFonts w:hint="eastAsia" w:asciiTheme="minorEastAsia" w:hAnsiTheme="minorEastAsia" w:eastAsiaTheme="minorEastAsia" w:cstheme="minorEastAsia"/>
          <w:b/>
          <w:bCs/>
          <w:sz w:val="24"/>
          <w:szCs w:val="24"/>
          <w:highlight w:val="none"/>
          <w:lang w:val="en-US" w:eastAsia="zh-CN"/>
        </w:rPr>
        <w:t>1、政策依据</w:t>
      </w:r>
      <w:bookmarkEnd w:id="8"/>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《中国共产党党员教育管理工作条例》（2019年5月）；</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《中国共产党党校（行政学院）工作条例》（2019年10月25日）；</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《中共中央关于加强和改进新形势下党校工作的意见》（2015年12月）；</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《2018－2022年全国干部教育培训规划》；</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《中共中央关于加强和改进新形势下党校工作的意见》（2015年12月）；</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《关于进一步加强政务部门信息共享建设管理的指导意见》（发改高技[2013]733号）</w:t>
      </w:r>
      <w:bookmarkStart w:id="11" w:name="_Toc87447031"/>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p>
    <w:p>
      <w:pPr>
        <w:numPr>
          <w:ilvl w:val="0"/>
          <w:numId w:val="0"/>
        </w:numPr>
        <w:ind w:leftChars="0"/>
        <w:rPr>
          <w:rFonts w:hint="eastAsia" w:asciiTheme="minorEastAsia" w:hAnsiTheme="minorEastAsia" w:eastAsiaTheme="minorEastAsia" w:cstheme="minorEastAsia"/>
          <w:b/>
          <w:bCs/>
          <w:sz w:val="24"/>
          <w:szCs w:val="24"/>
          <w:highlight w:val="none"/>
          <w:lang w:val="en-US" w:eastAsia="zh-CN"/>
        </w:rPr>
      </w:pPr>
      <w:r>
        <w:rPr>
          <w:rFonts w:hint="eastAsia" w:asciiTheme="minorEastAsia" w:hAnsiTheme="minorEastAsia" w:eastAsiaTheme="minorEastAsia" w:cstheme="minorEastAsia"/>
          <w:b/>
          <w:bCs/>
          <w:sz w:val="24"/>
          <w:szCs w:val="24"/>
          <w:highlight w:val="none"/>
          <w:lang w:val="en-US" w:eastAsia="zh-CN"/>
        </w:rPr>
        <w:t>2、行业标准</w:t>
      </w:r>
      <w:bookmarkEnd w:id="9"/>
      <w:bookmarkEnd w:id="10"/>
      <w:bookmarkEnd w:id="11"/>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《干部网络培训业务管理规范》ZWY001—2017；</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《干部网络培训课程设计和制作规范》ZWY002—2017；</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《干部网络培训课程评价规范》ZWY003—2017；</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《干部网络培训平台数据规范》ZWY004—2017；</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《干部网络培训平台接口规范》ZWY005—2017；</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《基础教育教学资源元数据规范》CELTS-42；</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《教育信息化技术标准》CELTS-41.1；</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《教育资源建设技术规范》CELTS-31；</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《教育管理信息教育统计信息》JY/T 1007—2012；</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《教育管理信息教育管理基础代码》JY/T 1001—2012；</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《教育管理信息教育管理基础信息》JY/T 1002—2012；</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《教育管理信息教育行政管理信息》JY/T 1003—2012；</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《教育管理信息系统互操作规范》CELTS-40。</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《国家信息化发展战略纲要》（中办发[2016]）</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《关于进一步加强政务部门信息共享建设管理的指导意见》（发改高技[2013]733号）</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《电子政务业务流程设计方法通用规范》(GB/T 19487)</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《安全防范监控数字视音频编解码技术要求》（GB/T 25724）</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《信息安全技术大数据安全管理指南》（GB/T 37973-2019）</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《基于云计算的电子政务公共平台技术规范》（GB/T 33780.1-2017）</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《信息安全技术网络安全等级保护实施指南》（GB/T 25058-2019）</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《信息安全技术网络安全等级保护基本要求》（GB/T 22239-2019）</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《信息安全技术网络安全等级保护测评要求》（GB/T 28448-2019）</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《计算机软件可靠性和可维护性管理》（GB/T14394-2016）</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《计算机软件文档编制规范》（GB/T8567-2019）</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《计算机软件需求规格说明规范》（GB/T9385-8）</w:t>
      </w:r>
      <w:bookmarkStart w:id="12" w:name="_Toc20341"/>
      <w:bookmarkEnd w:id="12"/>
      <w:bookmarkStart w:id="13" w:name="_Toc84975383"/>
      <w:bookmarkEnd w:id="13"/>
      <w:bookmarkStart w:id="14" w:name="_Toc77873211"/>
      <w:bookmarkEnd w:id="14"/>
      <w:bookmarkStart w:id="15" w:name="_Toc87447032"/>
      <w:bookmarkStart w:id="16" w:name="_Toc72249682"/>
      <w:bookmarkStart w:id="17" w:name="_Toc86160919"/>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p>
    <w:p>
      <w:pPr>
        <w:numPr>
          <w:ilvl w:val="0"/>
          <w:numId w:val="0"/>
        </w:numPr>
        <w:ind w:leftChars="0"/>
        <w:rPr>
          <w:rFonts w:hint="eastAsia" w:asciiTheme="minorEastAsia" w:hAnsiTheme="minorEastAsia" w:eastAsiaTheme="minorEastAsia" w:cstheme="minorEastAsia"/>
          <w:b/>
          <w:bCs/>
          <w:sz w:val="24"/>
          <w:szCs w:val="24"/>
          <w:highlight w:val="none"/>
          <w:lang w:val="en-US" w:eastAsia="zh-CN"/>
        </w:rPr>
      </w:pPr>
      <w:r>
        <w:rPr>
          <w:rFonts w:hint="eastAsia" w:asciiTheme="minorEastAsia" w:hAnsiTheme="minorEastAsia" w:eastAsiaTheme="minorEastAsia" w:cstheme="minorEastAsia"/>
          <w:b/>
          <w:bCs/>
          <w:sz w:val="24"/>
          <w:szCs w:val="24"/>
          <w:highlight w:val="none"/>
          <w:lang w:val="en-US" w:eastAsia="zh-CN"/>
        </w:rPr>
        <w:t>3、省市级发文、规范</w:t>
      </w:r>
      <w:bookmarkEnd w:id="15"/>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《中共浙江省委全面深化改革委员会关于印发&lt;浙江省数字化改革总体方案&gt;的通知》；</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《浙江省数字化改革总体方案》（浙委改发〔2021〕2号）；</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《台州市数字化改革总体方案》（台委改发[2021]1号）；</w:t>
      </w:r>
    </w:p>
    <w:p>
      <w:pPr>
        <w:numPr>
          <w:ilvl w:val="0"/>
          <w:numId w:val="0"/>
        </w:numPr>
        <w:ind w:leftChars="0"/>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sz w:val="24"/>
          <w:szCs w:val="24"/>
          <w:highlight w:val="none"/>
          <w:lang w:val="en-US" w:eastAsia="zh-CN"/>
        </w:rPr>
        <w:t>《台州市人民政府办公室关于印发台州市政府数字化转型项目管理办法的通知》（台政办函[2019]56号）文件。</w:t>
      </w:r>
      <w:bookmarkEnd w:id="16"/>
      <w:bookmarkEnd w:id="17"/>
    </w:p>
    <w:p>
      <w:pPr>
        <w:pStyle w:val="2"/>
        <w:numPr>
          <w:ilvl w:val="0"/>
          <w:numId w:val="0"/>
        </w:numPr>
        <w:ind w:leftChars="0"/>
        <w:rPr>
          <w:rFonts w:hint="default"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三、项目采购需求</w:t>
      </w:r>
    </w:p>
    <w:tbl>
      <w:tblPr>
        <w:tblStyle w:val="37"/>
        <w:tblW w:w="5000" w:type="pct"/>
        <w:tblInd w:w="0" w:type="dxa"/>
        <w:tblLayout w:type="autofit"/>
        <w:tblCellMar>
          <w:top w:w="0" w:type="dxa"/>
          <w:left w:w="108" w:type="dxa"/>
          <w:bottom w:w="0" w:type="dxa"/>
          <w:right w:w="108" w:type="dxa"/>
        </w:tblCellMar>
      </w:tblPr>
      <w:tblGrid>
        <w:gridCol w:w="538"/>
        <w:gridCol w:w="2377"/>
        <w:gridCol w:w="2136"/>
        <w:gridCol w:w="4349"/>
      </w:tblGrid>
      <w:tr>
        <w:tblPrEx>
          <w:tblCellMar>
            <w:top w:w="0" w:type="dxa"/>
            <w:left w:w="108" w:type="dxa"/>
            <w:bottom w:w="0" w:type="dxa"/>
            <w:right w:w="108" w:type="dxa"/>
          </w:tblCellMar>
        </w:tblPrEx>
        <w:trPr>
          <w:trHeight w:val="315" w:hRule="atLeast"/>
        </w:trPr>
        <w:tc>
          <w:tcPr>
            <w:tcW w:w="286" w:type="pct"/>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子系统</w:t>
            </w:r>
          </w:p>
        </w:tc>
        <w:tc>
          <w:tcPr>
            <w:tcW w:w="1264" w:type="pct"/>
            <w:tcBorders>
              <w:top w:val="single" w:color="000000" w:sz="8" w:space="0"/>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功能模块</w:t>
            </w:r>
          </w:p>
        </w:tc>
        <w:tc>
          <w:tcPr>
            <w:tcW w:w="1136" w:type="pct"/>
            <w:tcBorders>
              <w:top w:val="single" w:color="000000" w:sz="8" w:space="0"/>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子功能模块</w:t>
            </w:r>
          </w:p>
        </w:tc>
        <w:tc>
          <w:tcPr>
            <w:tcW w:w="2313" w:type="pct"/>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功能描述</w:t>
            </w:r>
          </w:p>
        </w:tc>
      </w:tr>
      <w:tr>
        <w:tblPrEx>
          <w:tblCellMar>
            <w:top w:w="0" w:type="dxa"/>
            <w:left w:w="108" w:type="dxa"/>
            <w:bottom w:w="0" w:type="dxa"/>
            <w:right w:w="108" w:type="dxa"/>
          </w:tblCellMar>
        </w:tblPrEx>
        <w:trPr>
          <w:trHeight w:val="915" w:hRule="atLeast"/>
        </w:trPr>
        <w:tc>
          <w:tcPr>
            <w:tcW w:w="1550" w:type="pct"/>
            <w:gridSpan w:val="2"/>
            <w:vMerge w:val="restart"/>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应用支撑平台</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统一用户管理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统一用户管理实现用户和组织结构的管理功能，能够支持分级管理，支持数据库、AD和LDAP三种存储方式，功能包括: 组织机构管理、群组信息管理、职务管理等。</w:t>
            </w:r>
          </w:p>
        </w:tc>
      </w:tr>
      <w:tr>
        <w:tblPrEx>
          <w:tblCellMar>
            <w:top w:w="0" w:type="dxa"/>
            <w:left w:w="108" w:type="dxa"/>
            <w:bottom w:w="0" w:type="dxa"/>
            <w:right w:w="108" w:type="dxa"/>
          </w:tblCellMar>
        </w:tblPrEx>
        <w:trPr>
          <w:trHeight w:val="915" w:hRule="atLeast"/>
        </w:trPr>
        <w:tc>
          <w:tcPr>
            <w:tcW w:w="1550" w:type="pct"/>
            <w:gridSpan w:val="2"/>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统一认证管理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随着党校应用建设的逐步深入，各种应用系统之间出现诸如账号、密码不统一等身份认证方面问题会越来越多，所以本次建设需要构建统一认证服务管理。</w:t>
            </w:r>
          </w:p>
        </w:tc>
      </w:tr>
      <w:tr>
        <w:tblPrEx>
          <w:tblCellMar>
            <w:top w:w="0" w:type="dxa"/>
            <w:left w:w="108" w:type="dxa"/>
            <w:bottom w:w="0" w:type="dxa"/>
            <w:right w:w="108" w:type="dxa"/>
          </w:tblCellMar>
        </w:tblPrEx>
        <w:trPr>
          <w:trHeight w:val="1215" w:hRule="atLeast"/>
        </w:trPr>
        <w:tc>
          <w:tcPr>
            <w:tcW w:w="1550" w:type="pct"/>
            <w:gridSpan w:val="2"/>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统一授权管理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一授权管理对各应用系统的权限进行统一管理，支持基于RBAC的授权管理机制。对各应用系统提供三种不同级别的权限管理服务，即：顶层权限管理模式（入口和部件）、系统功能权限管理模式（菜单）和全部权限管理模式。</w:t>
            </w:r>
          </w:p>
        </w:tc>
      </w:tr>
      <w:tr>
        <w:tblPrEx>
          <w:tblCellMar>
            <w:top w:w="0" w:type="dxa"/>
            <w:left w:w="108" w:type="dxa"/>
            <w:bottom w:w="0" w:type="dxa"/>
            <w:right w:w="108" w:type="dxa"/>
          </w:tblCellMar>
        </w:tblPrEx>
        <w:trPr>
          <w:trHeight w:val="315" w:hRule="atLeast"/>
        </w:trPr>
        <w:tc>
          <w:tcPr>
            <w:tcW w:w="1550" w:type="pct"/>
            <w:gridSpan w:val="2"/>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统一消息管理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统一消息服务包括即时通讯和消息中心。</w:t>
            </w:r>
          </w:p>
        </w:tc>
      </w:tr>
      <w:tr>
        <w:tblPrEx>
          <w:tblCellMar>
            <w:top w:w="0" w:type="dxa"/>
            <w:left w:w="108" w:type="dxa"/>
            <w:bottom w:w="0" w:type="dxa"/>
            <w:right w:w="108" w:type="dxa"/>
          </w:tblCellMar>
        </w:tblPrEx>
        <w:trPr>
          <w:trHeight w:val="615" w:hRule="atLeast"/>
        </w:trPr>
        <w:tc>
          <w:tcPr>
            <w:tcW w:w="1550" w:type="pct"/>
            <w:gridSpan w:val="2"/>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统一工作流引擎</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统一工作流平台用于实现图形化定义流程、监控功能、前端的任务管理功能以及工作流执行服务。</w:t>
            </w:r>
          </w:p>
        </w:tc>
      </w:tr>
      <w:tr>
        <w:tblPrEx>
          <w:tblCellMar>
            <w:top w:w="0" w:type="dxa"/>
            <w:left w:w="108" w:type="dxa"/>
            <w:bottom w:w="0" w:type="dxa"/>
            <w:right w:w="108" w:type="dxa"/>
          </w:tblCellMar>
        </w:tblPrEx>
        <w:trPr>
          <w:trHeight w:val="315" w:hRule="atLeast"/>
        </w:trPr>
        <w:tc>
          <w:tcPr>
            <w:tcW w:w="1550" w:type="pct"/>
            <w:gridSpan w:val="2"/>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统一接口管理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采用SOA架构，实现与各应用系统的统一接口管理。</w:t>
            </w:r>
          </w:p>
        </w:tc>
      </w:tr>
      <w:tr>
        <w:tblPrEx>
          <w:tblCellMar>
            <w:top w:w="0" w:type="dxa"/>
            <w:left w:w="108" w:type="dxa"/>
            <w:bottom w:w="0" w:type="dxa"/>
            <w:right w:w="108" w:type="dxa"/>
          </w:tblCellMar>
        </w:tblPrEx>
        <w:trPr>
          <w:trHeight w:val="315" w:hRule="atLeast"/>
        </w:trPr>
        <w:tc>
          <w:tcPr>
            <w:tcW w:w="286" w:type="pct"/>
            <w:vMerge w:val="restart"/>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智慧门户</w:t>
            </w:r>
          </w:p>
        </w:tc>
        <w:tc>
          <w:tcPr>
            <w:tcW w:w="1264" w:type="pct"/>
            <w:vMerge w:val="restart"/>
            <w:tcBorders>
              <w:top w:val="nil"/>
              <w:left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教职工门户</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信息发布</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党校各业务系统的相关通知、党校运行的相关通知等公共信息发布。</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left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大事记</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记录学校发生的大事，如周年庆祝、机构改革、信息化建设、党建等。</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left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系统消息</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系统消息分为待阅信息、已阅信息和已发信息。</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left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待办事项</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在登录进系统时，提示用户各业务系统内待用户处理的信息。</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left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已办事项</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已办事项模块集中用户当前已办理的工作和各类工作流程。</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left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通讯录</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主要包括个人通讯录、部门通讯录、单位通讯录，支持自定义分类、自建联系人、显示模式切换、信息检索等。</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left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个人事务</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主要包括我的信息、我的课表、我的科研、我的资产、我的工资、我的一卡通和我的U盘。</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left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帮助</w:t>
            </w:r>
          </w:p>
        </w:tc>
        <w:tc>
          <w:tcPr>
            <w:tcW w:w="2313" w:type="pct"/>
            <w:tcBorders>
              <w:top w:val="nil"/>
              <w:left w:val="single" w:color="000000" w:sz="8" w:space="0"/>
              <w:bottom w:val="nil"/>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流程指导：对系统中各业务系统中的各流程展示；</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常见问题：对系统使用过程中经常遇到的问题解释说明。</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right w:val="single" w:color="000000" w:sz="8" w:space="0"/>
            </w:tcBorders>
            <w:shd w:val="clear" w:color="auto" w:fill="auto"/>
            <w:noWrap/>
            <w:vAlign w:val="center"/>
          </w:tcPr>
          <w:p>
            <w:pPr>
              <w:widowControl/>
              <w:ind w:left="0" w:leftChars="0" w:firstLine="0" w:firstLineChars="0"/>
              <w:textAlignment w:val="center"/>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领导门户</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统计汇总展示</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展示各业务系统的汇总分析数据，包括教学教务数据、后勤统计数据、能源运行数据等。</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left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待办事项</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在登录进系统时，提示用户各业务系统内待用户处理的信息。</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left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已办事项</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已办事项模块集中用户当前已办理的工作和各类工作流程。</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个人事务</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主要包括我的信息、我的课表、我的科研、我的资产、我的工资、我的一卡通和我的U盘。</w:t>
            </w:r>
          </w:p>
        </w:tc>
      </w:tr>
      <w:tr>
        <w:tblPrEx>
          <w:tblCellMar>
            <w:top w:w="0" w:type="dxa"/>
            <w:left w:w="108" w:type="dxa"/>
            <w:bottom w:w="0" w:type="dxa"/>
            <w:right w:w="108" w:type="dxa"/>
          </w:tblCellMar>
        </w:tblPrEx>
        <w:trPr>
          <w:trHeight w:val="615" w:hRule="atLeast"/>
        </w:trPr>
        <w:tc>
          <w:tcPr>
            <w:tcW w:w="286" w:type="pct"/>
            <w:vMerge w:val="restart"/>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智慧教学</w:t>
            </w: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网上报名模块</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报名通知</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当培训班级建好以后，单位用户就会看到该班级的基本信息，如：班级名称，限额，单位上报，已审，锁定和解锁状态，下发通知书。</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在线报名</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实现培训网上报名，提交报名资料和信息，实时短信通信服务功能等，为办班管理提供便捷的组织管理功能。</w:t>
            </w: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办班通知</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确认服务资源后，办班者可以通过在线安排学员课程、食宿、组织活动计划等，并可通过网站和短信平台直接向学员发送学习通知、公告等。</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信息查询</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提供网上报名，报名成功后，相关食宿信息、学习信息及课程信息等均可以在线查询，相关业务功能也一并开通。</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协作管理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组织单位确认办班信息和报名信息后，在线办班及报名信息按工作职责分发给相关责任科室。</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学员报到模块</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身份确认</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对于已经通过培训报名模块采集信息的学员，到校后凭借身份证到部党校指定报到地点进行身份确认和手续办理。</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报到确认</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只有在确认培训学员已交费或无需缴费（某些特定部办培训班）情况下，系统才可以进行报到或刷身份证报到工作。</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信息完善</w:t>
            </w:r>
          </w:p>
        </w:tc>
        <w:tc>
          <w:tcPr>
            <w:tcW w:w="2313" w:type="pct"/>
            <w:tcBorders>
              <w:top w:val="nil"/>
              <w:left w:val="single" w:color="000000" w:sz="8" w:space="0"/>
              <w:bottom w:val="nil"/>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对提交的学员报到信息进行完善，包括兴趣爱好和个人简历等内容。支持补充填写注册表，并可以上传个人照片，修改个人密码。</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签到查看</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班主任可以查看已报到和未报到学员的人数和基本信息，并支持批量导出数据。</w:t>
            </w: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健康监测</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疫情期间对所有学员实行入学前连续14天健康监测登记管理，学员在入学前14天内，每天需登记上报个人的健康情况，包括体温登记及行动轨迹登记，并生成健康日报、月报。</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班主任管理模块</w:t>
            </w:r>
          </w:p>
        </w:tc>
        <w:tc>
          <w:tcPr>
            <w:tcW w:w="1136"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公告维护</w:t>
            </w:r>
          </w:p>
        </w:tc>
        <w:tc>
          <w:tcPr>
            <w:tcW w:w="2313" w:type="pct"/>
            <w:tcBorders>
              <w:top w:val="nil"/>
              <w:left w:val="single" w:color="000000" w:sz="8" w:space="0"/>
              <w:bottom w:val="nil"/>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班主任通过公告来向学员传达信息。</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新建公告后，填写公告的相关信息，保存后，如果不发布，则会在发布时间里显示未发布，发布过后，会在公告栏显示。</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课程安排</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班主任对教务处发布的课程填写备注。</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双百分管理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班主任根据学员在校表现进行双百分考核，支持学员批量考核。班主任修改成绩后，学员登陆自己的账号后实时看到双百分情况</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选修课管理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班主任查看学员选修课选择情况，对于未进行选修课选择的学员进行提醒。</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评价管理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班主任查看学员对课程、现场教学、单元、后勤等评价的情况，对未评价的学员进行提醒。</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作业情况</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班主任设置提交作业时间和查看学员提交作业情况，也可以帮学员代交作业。</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考勤管理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班主任对学员出勤情况的统计和查看。对学员的请假申请进行审核，对到课率进行计算。</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排座位</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需要对其学员进行分组，才能够进行排坐位，可以对坐位进行设置，可以导入和导出。</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房态查询</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系统与酒店管理系统对接，班主任可查看当前房态信息。</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学员就餐管理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班主任可查看学员每日的用餐信息得记录和统计，也可对来校学习各培训班的餐饮信息进行分类查询。</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教学引导模块</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刷卡管理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实现与一卡通整合，刷卡考勤后数据直接保存到服务器端，实现与平台一期考勤联动。学员部可以看到每个班学员考勤情况。</w:t>
            </w: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教学引导管理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刷卡后与服务器端程序联动动态获取当前教室的上课信息，如班级、课程名称、教师、上课时间等，同时刷卡后统计本教室有多少人，如不是本教室人员，提醒学员，在其他教室上课。</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教学宣传管理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平时教室不上课，可以播放学校宣传片，提供广告宣传功能。</w:t>
            </w: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考勤管理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学员进入教室时通过在引导屏上刷卡实现上课考勤，数据实施上传智慧校园综合应用系统，方便老师、教务管理人员、组织员查看学员上课考勤情况。</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教学评估模块</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授课老师评估</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学员可对授课老师整个讲课过程、老师仪表、状态等方面进行评估。</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课程评估</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学员在每门课程授课结束后一定时间内对课程内容、课程整体情况进行评估。</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现场教学评估</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学员对现场教学和教学点的情况进行整体评估，不同的现场教学点使用不同的评估标准。</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后勤服务评估</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学员对党校所提供的后期保障、客房服务、餐饮等服务进行满意度评估。</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评估管理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每个班次对所有上的课程进行汇总、分析、反馈。</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学员管理模块</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班主任信息</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能够自动取得院内班主任信息。</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班级通讯录</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能够对班级通讯录进行发布和查询，根据检索结果生成打印单。</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学员报名</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学员可以在外网进行培训报名。</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学员的信息</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除了基本信息，要求系统能够自动抓取和该学员有关的信息。</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教学信息</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系统能够将最近的教学安排显示给所有学员查看，包括单班课程表；教学安排周表，现场教学点介绍等。</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教学计划</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学员在自助平台上可以随时查看教学计划，便于学员对学习内容的比较。</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学员小结</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本班学员的小结。</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学员评价</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学员根据学校要求对相关事项进行评价</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问卷调查</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 xml:space="preserve">  管理员可以自定义调查问卷，征集学员对学校的各种意见、建议等。</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学员考勤管理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班级考勤管理包括考勤管理、考勤统计、外出考勤、考勤数据导出、考勤任务管理。</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教学资源库管理模块</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学员库管理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学员库管理系统要求能够实现党校内所有学员的管理</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师资库管理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师资库管理系统实现师资信息管理</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课程库管理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课程库基本信息管理</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现场教学点管理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现场教学主要针对在学校外的课程信息以及各教学点基本信息的管理</w:t>
            </w: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案例库管理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案例库管理主要针对各类案例以及师资在上课过程中，积累下来的各类教学案例，通过统一的存储将这些案例有效的存储在一个安全可靠的区域内，并与各类师资、课程相关联，供今后教学使用。</w:t>
            </w: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班主任库管理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对班主任当前的状态（当前所带班级名称，到目前为止所带班级名称，当前带班数量，累计带班数量，目前所带班级总人数，累计总人数）进行查询。</w:t>
            </w: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统计查询</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功能要求包括：学员信息查询、参训名册查询、调训单位查询、教材查询、课程查询、案例查询、教学工作量统计、课题统计、教学计划执行、教师上课情况、办班统计、课程优秀率统计等。</w:t>
            </w: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教学教务管理模块</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教学计划管理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提供教学计划模板，用户可设置不同类型的教学计划模板并保存，系统支持智能提取培训主题及标签，基于往期培训计划自动推荐同类型计划。</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班级信息管理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班级信息管理主要实现班级信息、教学任务计划书等内容的管理。</w:t>
            </w: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排课管理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根据项目计划书中所安排的课程名称、授课人、教学方式，然后再根据学校的教室使用情况，排课老师编排课程表。并经过审核后发布。并短信通知相关教师。</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课表管理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课表管理包括新建课表、修改课表、删除课表、课表统计管理</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调课管理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功能包括调课申请、审批、通知、统计管理</w:t>
            </w: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证书管理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要求系统根据学员的结业情况，能够批量生成学员的结业证书，在系统内进行证书的套打，并进行批量发放Email通知，以及其他相关的管理。</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学员成绩统计</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对学员成绩进行的统计分析。细化到每一个学员，而且还可以形成详细的学习记录统计表。</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作业管理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系统可以对授课过程进行管理，包括对学员的作业进行管理等。</w:t>
            </w:r>
          </w:p>
        </w:tc>
      </w:tr>
      <w:tr>
        <w:tblPrEx>
          <w:tblCellMar>
            <w:top w:w="0" w:type="dxa"/>
            <w:left w:w="108" w:type="dxa"/>
            <w:bottom w:w="0" w:type="dxa"/>
            <w:right w:w="108" w:type="dxa"/>
          </w:tblCellMar>
        </w:tblPrEx>
        <w:trPr>
          <w:trHeight w:val="615" w:hRule="atLeast"/>
        </w:trPr>
        <w:tc>
          <w:tcPr>
            <w:tcW w:w="286" w:type="pct"/>
            <w:vMerge w:val="restart"/>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智慧培训</w:t>
            </w: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对外培训管理模块</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接班预约</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实现培训单位注册与登录、培训班预约审核、培训班管理、培训预约记录。</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选课管理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实现培训单位注册与登录、创建培训班、选课管理、排课优选管理、选课审批。</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办班管理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实现班次管理、预算管理、排课管理、调课管理、学员管理、证书管理、档案管理。</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评价管理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对班次进行评价、评价汇总、师资评价汇总。</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培训数据分析管理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实现班次情况分析、一周课表分析、费用结算分析。</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资源管理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包括委托单位库、自定义标签库、培训档案库</w:t>
            </w:r>
          </w:p>
        </w:tc>
      </w:tr>
      <w:tr>
        <w:tblPrEx>
          <w:tblCellMar>
            <w:top w:w="0" w:type="dxa"/>
            <w:left w:w="108" w:type="dxa"/>
            <w:bottom w:w="0" w:type="dxa"/>
            <w:right w:w="108" w:type="dxa"/>
          </w:tblCellMar>
        </w:tblPrEx>
        <w:trPr>
          <w:trHeight w:val="615" w:hRule="atLeast"/>
        </w:trPr>
        <w:tc>
          <w:tcPr>
            <w:tcW w:w="286" w:type="pct"/>
            <w:vMerge w:val="restart"/>
            <w:tcBorders>
              <w:top w:val="nil"/>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智慧科研</w:t>
            </w: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科研管理模块</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项目申报管理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该系统功能包括新建新课题，申报新课题，课题管理，申报课题汇总，立项管理等功能</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会议评奖管理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该系统功能包括新建会议，会议管理，我的会议，新建评奖，评奖管理，我的评奖等功能</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成果管理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该系统功能包括成果申报，成果审核，成果登记，成果奖励，成果查询统计，成果汇总查询等功能</w:t>
            </w:r>
          </w:p>
        </w:tc>
      </w:tr>
      <w:tr>
        <w:tblPrEx>
          <w:tblCellMar>
            <w:top w:w="0" w:type="dxa"/>
            <w:left w:w="108" w:type="dxa"/>
            <w:bottom w:w="0" w:type="dxa"/>
            <w:right w:w="108" w:type="dxa"/>
          </w:tblCellMar>
        </w:tblPrEx>
        <w:trPr>
          <w:trHeight w:val="55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专家评审</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该系统功能包括课题申报评审，课题结项评审，会议评审，评奖评审，专家信息，中期检查，延期管理，结项管理，专家库管理，期刊库管理等功能。</w:t>
            </w:r>
          </w:p>
        </w:tc>
      </w:tr>
      <w:tr>
        <w:tblPrEx>
          <w:tblCellMar>
            <w:top w:w="0" w:type="dxa"/>
            <w:left w:w="108" w:type="dxa"/>
            <w:bottom w:w="0" w:type="dxa"/>
            <w:right w:w="108" w:type="dxa"/>
          </w:tblCellMar>
        </w:tblPrEx>
        <w:trPr>
          <w:trHeight w:val="915" w:hRule="atLeast"/>
        </w:trPr>
        <w:tc>
          <w:tcPr>
            <w:tcW w:w="286" w:type="pct"/>
            <w:vMerge w:val="continue"/>
            <w:tcBorders>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表格下载</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系统管理员根据需要预先录入各类表格（包括在科研管理过程中需要使用到的各类表格），管理员可以对所录入的表格进行增加、修改、删除等操作，用户登录系统可直接下载使用。</w:t>
            </w:r>
          </w:p>
        </w:tc>
      </w:tr>
      <w:tr>
        <w:tblPrEx>
          <w:tblCellMar>
            <w:top w:w="0" w:type="dxa"/>
            <w:left w:w="108" w:type="dxa"/>
            <w:bottom w:w="0" w:type="dxa"/>
            <w:right w:w="108" w:type="dxa"/>
          </w:tblCellMar>
        </w:tblPrEx>
        <w:trPr>
          <w:trHeight w:val="2115" w:hRule="atLeast"/>
        </w:trPr>
        <w:tc>
          <w:tcPr>
            <w:tcW w:w="286" w:type="pct"/>
            <w:vMerge w:val="restart"/>
            <w:tcBorders>
              <w:top w:val="nil"/>
              <w:left w:val="single" w:color="000000" w:sz="8" w:space="0"/>
              <w:right w:val="single" w:color="000000" w:sz="8" w:space="0"/>
            </w:tcBorders>
            <w:shd w:val="clear" w:color="auto" w:fill="auto"/>
            <w:vAlign w:val="center"/>
          </w:tcPr>
          <w:p>
            <w:pPr>
              <w:widowControl/>
              <w:ind w:firstLine="0" w:firstLineChars="0"/>
              <w:textAlignment w:val="center"/>
              <w:rPr>
                <w:rFonts w:hint="default" w:ascii="宋体" w:hAnsi="宋体" w:eastAsia="宋体" w:cs="宋体"/>
                <w:color w:val="000000"/>
                <w:kern w:val="0"/>
                <w:sz w:val="24"/>
                <w:szCs w:val="24"/>
                <w:highlight w:val="none"/>
                <w:lang w:val="en-US" w:eastAsia="zh-CN" w:bidi="ar"/>
              </w:rPr>
            </w:pPr>
            <w:r>
              <w:rPr>
                <w:rFonts w:hint="eastAsia" w:ascii="宋体" w:hAnsi="宋体" w:cs="宋体"/>
                <w:color w:val="000000"/>
                <w:kern w:val="0"/>
                <w:sz w:val="24"/>
                <w:szCs w:val="24"/>
                <w:highlight w:val="none"/>
                <w:lang w:val="en-US" w:eastAsia="zh-CN" w:bidi="ar"/>
              </w:rPr>
              <w:t>人事管理系统</w:t>
            </w: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人事管理模块</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机构管理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机构管理包括机构设置、信息录入、查询统计、各类报表等功能，机构管理包括机构信息维护和统计，机构信息维护主要用于定义部门的组织机构图，通过定义部门的属性及其之间的关系，可以形成树状组织机构图。</w:t>
            </w:r>
          </w:p>
        </w:tc>
      </w:tr>
      <w:tr>
        <w:tblPrEx>
          <w:tblCellMar>
            <w:top w:w="0" w:type="dxa"/>
            <w:left w:w="108" w:type="dxa"/>
            <w:bottom w:w="0" w:type="dxa"/>
            <w:right w:w="108" w:type="dxa"/>
          </w:tblCellMar>
        </w:tblPrEx>
        <w:trPr>
          <w:trHeight w:val="9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岗位管理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岗位管理用来记录校内岗位变化，记录调进、录取、升级、降级、调离、辞职等情况，主要包括岗位设置、岗位聘任、岗位备案及简历表格。</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职称评审</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实现职称评审登记，并按要求打印相应表格材料等。</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统计查询</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可以进行多种关键字查询；可以根据不同的需求导出不同的信息数据。</w:t>
            </w:r>
          </w:p>
        </w:tc>
      </w:tr>
      <w:tr>
        <w:tblPrEx>
          <w:tblCellMar>
            <w:top w:w="0" w:type="dxa"/>
            <w:left w:w="108" w:type="dxa"/>
            <w:bottom w:w="0" w:type="dxa"/>
            <w:right w:w="108" w:type="dxa"/>
          </w:tblCellMar>
        </w:tblPrEx>
        <w:trPr>
          <w:trHeight w:val="3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帮助</w:t>
            </w:r>
          </w:p>
        </w:tc>
        <w:tc>
          <w:tcPr>
            <w:tcW w:w="2313" w:type="pct"/>
            <w:tcBorders>
              <w:top w:val="nil"/>
              <w:left w:val="single" w:color="000000" w:sz="8" w:space="0"/>
              <w:bottom w:val="nil"/>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对人事管理系统中的各个业务流程进行指导与展示；</w:t>
            </w:r>
          </w:p>
        </w:tc>
      </w:tr>
      <w:tr>
        <w:tblPrEx>
          <w:tblCellMar>
            <w:top w:w="0" w:type="dxa"/>
            <w:left w:w="108" w:type="dxa"/>
            <w:bottom w:w="0" w:type="dxa"/>
            <w:right w:w="108" w:type="dxa"/>
          </w:tblCellMar>
        </w:tblPrEx>
        <w:trPr>
          <w:trHeight w:val="3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对系统使用过程中经常遇到的问题进行解释说明。</w:t>
            </w:r>
          </w:p>
        </w:tc>
      </w:tr>
      <w:tr>
        <w:tblPrEx>
          <w:tblCellMar>
            <w:top w:w="0" w:type="dxa"/>
            <w:left w:w="108" w:type="dxa"/>
            <w:bottom w:w="0" w:type="dxa"/>
            <w:right w:w="108" w:type="dxa"/>
          </w:tblCellMar>
        </w:tblPrEx>
        <w:trPr>
          <w:trHeight w:val="315" w:hRule="atLeast"/>
        </w:trPr>
        <w:tc>
          <w:tcPr>
            <w:tcW w:w="286" w:type="pct"/>
            <w:vMerge w:val="continue"/>
            <w:tcBorders>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下载专区</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对人事管理系统中的各类表格提供模板下载专区。</w:t>
            </w:r>
          </w:p>
        </w:tc>
      </w:tr>
      <w:tr>
        <w:tblPrEx>
          <w:tblCellMar>
            <w:top w:w="0" w:type="dxa"/>
            <w:left w:w="108" w:type="dxa"/>
            <w:bottom w:w="0" w:type="dxa"/>
            <w:right w:w="108" w:type="dxa"/>
          </w:tblCellMar>
        </w:tblPrEx>
        <w:trPr>
          <w:trHeight w:val="1215" w:hRule="atLeast"/>
        </w:trPr>
        <w:tc>
          <w:tcPr>
            <w:tcW w:w="286" w:type="pct"/>
            <w:vMerge w:val="restart"/>
            <w:tcBorders>
              <w:top w:val="nil"/>
              <w:left w:val="single" w:color="000000" w:sz="8" w:space="0"/>
              <w:right w:val="single" w:color="000000" w:sz="8" w:space="0"/>
            </w:tcBorders>
            <w:shd w:val="clear" w:color="auto" w:fill="auto"/>
            <w:vAlign w:val="center"/>
          </w:tcPr>
          <w:p>
            <w:pPr>
              <w:widowControl/>
              <w:ind w:firstLine="0" w:firstLineChars="0"/>
              <w:textAlignment w:val="center"/>
              <w:rPr>
                <w:rFonts w:hint="default" w:ascii="宋体" w:hAnsi="宋体" w:eastAsia="宋体" w:cs="宋体"/>
                <w:color w:val="000000"/>
                <w:kern w:val="0"/>
                <w:sz w:val="24"/>
                <w:szCs w:val="24"/>
                <w:highlight w:val="none"/>
                <w:lang w:val="en-US" w:eastAsia="zh-CN" w:bidi="ar"/>
              </w:rPr>
            </w:pPr>
            <w:r>
              <w:rPr>
                <w:rFonts w:hint="eastAsia" w:ascii="宋体" w:hAnsi="宋体" w:cs="宋体"/>
                <w:color w:val="000000"/>
                <w:kern w:val="0"/>
                <w:sz w:val="24"/>
                <w:szCs w:val="24"/>
                <w:highlight w:val="none"/>
                <w:lang w:val="en-US" w:eastAsia="zh-CN" w:bidi="ar"/>
              </w:rPr>
              <w:t>后勤管理系统</w:t>
            </w: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教室管理</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教室预定</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校内教室统一由教务部管理，所有需使用教室资源的，需事先预约教室，填写教室使用登记单，将使用教室的目的，时间段、规模、人数、服务内容，硬件设备等都填写到登记表上，并交由教务部统一排定，后反馈给登记人具体的教室名称和地点。</w:t>
            </w:r>
          </w:p>
        </w:tc>
      </w:tr>
      <w:tr>
        <w:tblPrEx>
          <w:tblCellMar>
            <w:top w:w="0" w:type="dxa"/>
            <w:left w:w="108" w:type="dxa"/>
            <w:bottom w:w="0" w:type="dxa"/>
            <w:right w:w="108" w:type="dxa"/>
          </w:tblCellMar>
        </w:tblPrEx>
        <w:trPr>
          <w:trHeight w:val="9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培训通知</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提供模版支持生成教室培训通知，使学员能够实时获取教室管理相关信息。发布通知时可以选择指定教室，也可以统一发送到所有教室。</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教室状态查询</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管理员可以查看全校教室使用状态，本模块也可以集成在教工门户的数据中心区域，供各个培训部门查看教室状态。</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统计报表</w:t>
            </w:r>
          </w:p>
        </w:tc>
        <w:tc>
          <w:tcPr>
            <w:tcW w:w="2313" w:type="pct"/>
            <w:tcBorders>
              <w:top w:val="nil"/>
              <w:left w:val="single" w:color="000000" w:sz="8" w:space="0"/>
              <w:bottom w:val="nil"/>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可以查看全校所有教室及会议室一周占用情况图表和一天占用情况图表。</w:t>
            </w:r>
          </w:p>
        </w:tc>
      </w:tr>
      <w:tr>
        <w:tblPrEx>
          <w:tblCellMar>
            <w:top w:w="0" w:type="dxa"/>
            <w:left w:w="108" w:type="dxa"/>
            <w:bottom w:w="0" w:type="dxa"/>
            <w:right w:w="108" w:type="dxa"/>
          </w:tblCellMar>
        </w:tblPrEx>
        <w:trPr>
          <w:trHeight w:val="3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对校内全部教室资源进行数据统计，形成报表，支持打印。</w:t>
            </w:r>
          </w:p>
        </w:tc>
      </w:tr>
      <w:tr>
        <w:tblPrEx>
          <w:tblCellMar>
            <w:top w:w="0" w:type="dxa"/>
            <w:left w:w="108" w:type="dxa"/>
            <w:bottom w:w="0" w:type="dxa"/>
            <w:right w:w="108" w:type="dxa"/>
          </w:tblCellMar>
        </w:tblPrEx>
        <w:trPr>
          <w:trHeight w:val="12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车辆管理</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车辆基本信息</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对党校所有车辆进行基本信息维护，所有公务车归各部门管理，通过本功能输入车辆基本信息。车辆基本信息包括：车牌号、车辆名称、型号、颜色、司机、购入日期、维修时间、维修金额、车辆类型、状态等。</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用车申请</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本功能由全校的所有用户使用，任何人均可通过本功能提出用车申请，并经本部门批准。</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用餐管理</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用餐信息记录</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是指对每日的用餐信息进行记录与统计，可对来校学习各培训班的餐饮信息进行分类查询。</w:t>
            </w:r>
          </w:p>
        </w:tc>
      </w:tr>
      <w:tr>
        <w:tblPrEx>
          <w:tblCellMar>
            <w:top w:w="0" w:type="dxa"/>
            <w:left w:w="108" w:type="dxa"/>
            <w:bottom w:w="0" w:type="dxa"/>
            <w:right w:w="108" w:type="dxa"/>
          </w:tblCellMar>
        </w:tblPrEx>
        <w:trPr>
          <w:trHeight w:val="9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每周菜谱</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指对销售产品进行规划。用以指导采购与库存情况的落实，及让其他人员对与饮食计划的提前了解。主要包括有菜谱的安排（增加）、分享（查看或公告）。</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统计台账</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以报表形式展示各类用餐的统计信息，支持对具体时间区段内用餐情况的信息统计。</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客房预排管理</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住宿查询</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是指对当前状态下平台目前还有闲置的房间数量与房间详细信息的查看，通过与后台系统的对接以实现数据实时化、一体化。</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预定管理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主要是指根据查询的结果进行住宿的预定操作。主要包括有预定信息的新增、取消。</w:t>
            </w:r>
          </w:p>
        </w:tc>
      </w:tr>
      <w:tr>
        <w:tblPrEx>
          <w:tblCellMar>
            <w:top w:w="0" w:type="dxa"/>
            <w:left w:w="108" w:type="dxa"/>
            <w:bottom w:w="0" w:type="dxa"/>
            <w:right w:w="108" w:type="dxa"/>
          </w:tblCellMar>
        </w:tblPrEx>
        <w:trPr>
          <w:trHeight w:val="3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客房状态设置</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客房管理员可以设置房间的状态，如停用，维护等。</w:t>
            </w:r>
          </w:p>
        </w:tc>
      </w:tr>
      <w:tr>
        <w:tblPrEx>
          <w:tblCellMar>
            <w:top w:w="0" w:type="dxa"/>
            <w:left w:w="108" w:type="dxa"/>
            <w:bottom w:w="0" w:type="dxa"/>
            <w:right w:w="108" w:type="dxa"/>
          </w:tblCellMar>
        </w:tblPrEx>
        <w:trPr>
          <w:trHeight w:val="3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客房预排统计</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实时统计每个月的房间的预排使用率。</w:t>
            </w:r>
          </w:p>
        </w:tc>
      </w:tr>
      <w:tr>
        <w:tblPrEx>
          <w:tblCellMar>
            <w:top w:w="0" w:type="dxa"/>
            <w:left w:w="108" w:type="dxa"/>
            <w:bottom w:w="0" w:type="dxa"/>
            <w:right w:w="108" w:type="dxa"/>
          </w:tblCellMar>
        </w:tblPrEx>
        <w:trPr>
          <w:trHeight w:val="9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维修管理</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维修申请</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主要对已经损坏或已濒临维修边缘的设备内容申请维修，学员、教职工等用户进入报修单填写页面填写报修内容，包括房间号、故障说明、联系方式等内容。</w:t>
            </w:r>
          </w:p>
        </w:tc>
      </w:tr>
      <w:tr>
        <w:tblPrEx>
          <w:tblCellMar>
            <w:top w:w="0" w:type="dxa"/>
            <w:left w:w="108" w:type="dxa"/>
            <w:bottom w:w="0" w:type="dxa"/>
            <w:right w:w="108" w:type="dxa"/>
          </w:tblCellMar>
        </w:tblPrEx>
        <w:trPr>
          <w:trHeight w:val="3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维修任务分派</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是指对已经发起的维修申请，同意并指派或者自动分配给专人维修。</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满意度评价</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用户利用此功能进行满意度评价，管理人员可以查看评价结果及统计分析信息。</w:t>
            </w:r>
          </w:p>
        </w:tc>
      </w:tr>
      <w:tr>
        <w:tblPrEx>
          <w:tblCellMar>
            <w:top w:w="0" w:type="dxa"/>
            <w:left w:w="108" w:type="dxa"/>
            <w:bottom w:w="0" w:type="dxa"/>
            <w:right w:w="108" w:type="dxa"/>
          </w:tblCellMar>
        </w:tblPrEx>
        <w:trPr>
          <w:trHeight w:val="9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资产管理</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资产采购</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资产使用部门资产管理员提交资产采购申请，购置要求包含：资产类别、资产名称、型号、数量、单价、合计总额等信息；根据学院资产管理员设定的流程发送相关部门及人员审核批准。</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资产归还</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对于工作变动离校、退休人员等，需办理资产归还流程。资产归还办结后资产管理卡片中的资产状态信息自动更新，并保留历史记录。</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资产领用</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各部门资产使用人提交资产领用流程，要求填写：使用部门、领用人、资产类别、资产名称、性能要求等信息。</w:t>
            </w:r>
          </w:p>
        </w:tc>
      </w:tr>
      <w:tr>
        <w:tblPrEx>
          <w:tblCellMar>
            <w:top w:w="0" w:type="dxa"/>
            <w:left w:w="108" w:type="dxa"/>
            <w:bottom w:w="0" w:type="dxa"/>
            <w:right w:w="108" w:type="dxa"/>
          </w:tblCellMar>
        </w:tblPrEx>
        <w:trPr>
          <w:trHeight w:val="9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统计分析</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利用系统中各类数据，根据固定资产管理需要，设定各类统计、分析条件，可以对固定资产进行全面的统计与分析，并生成样式丰富的分析图表和账单。</w:t>
            </w:r>
          </w:p>
        </w:tc>
      </w:tr>
      <w:tr>
        <w:tblPrEx>
          <w:tblCellMar>
            <w:top w:w="0" w:type="dxa"/>
            <w:left w:w="108" w:type="dxa"/>
            <w:bottom w:w="0" w:type="dxa"/>
            <w:right w:w="108" w:type="dxa"/>
          </w:tblCellMar>
        </w:tblPrEx>
        <w:trPr>
          <w:trHeight w:val="9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统计报表</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根据设定条件，生成各类常见的统计表，同时输出图形的方式有柱形图、饼形图、走势图、立体柱形图、立体饼形图等，系统支持各类报表的下载、打印、导入、导出等功能。</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访客管理</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访客预约</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来访人通过关注微信公众号或本单位人员发送链接的方式打开访客表单，填写相关信息</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预约信息审核</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访客预约信息提交后系统自动通知被访人，包括系统消息通知、短信通知等方式，被访人收到通知后进入系统进行审核。</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访客登记</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支持二代身份证的扫描和读取，支持人证对比功能，实现人员信息登记</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车辆信息登记</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系统支持对接停车出入口管理系统，通过微信预约端录入车牌信息，实现访客来访时，访客车辆直接识别车牌进出。</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门禁与签入签出</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系统可在确认访客身份后自动打印二维码标签或生成临时门禁卡、授权门禁系统或闸机实现自助扫描，自助签入/签出。</w:t>
            </w:r>
          </w:p>
        </w:tc>
      </w:tr>
      <w:tr>
        <w:tblPrEx>
          <w:tblCellMar>
            <w:top w:w="0" w:type="dxa"/>
            <w:left w:w="108" w:type="dxa"/>
            <w:bottom w:w="0" w:type="dxa"/>
            <w:right w:w="108" w:type="dxa"/>
          </w:tblCellMar>
        </w:tblPrEx>
        <w:trPr>
          <w:trHeight w:val="3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权限设置</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对访客权限的管理</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访客信息统计</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提供访客情况查询与统计，生成访客记录表、进出记录表、访客人脸登记失败列表等，支持报表的查询与导出。</w:t>
            </w:r>
          </w:p>
        </w:tc>
      </w:tr>
      <w:tr>
        <w:tblPrEx>
          <w:tblCellMar>
            <w:top w:w="0" w:type="dxa"/>
            <w:left w:w="108" w:type="dxa"/>
            <w:bottom w:w="0" w:type="dxa"/>
            <w:right w:w="108" w:type="dxa"/>
          </w:tblCellMar>
        </w:tblPrEx>
        <w:trPr>
          <w:trHeight w:val="1215" w:hRule="atLeast"/>
        </w:trPr>
        <w:tc>
          <w:tcPr>
            <w:tcW w:w="286" w:type="pct"/>
            <w:vMerge w:val="restart"/>
            <w:tcBorders>
              <w:top w:val="nil"/>
              <w:left w:val="single" w:color="000000" w:sz="8" w:space="0"/>
              <w:right w:val="single" w:color="000000" w:sz="8" w:space="0"/>
            </w:tcBorders>
            <w:shd w:val="clear" w:color="auto" w:fill="auto"/>
            <w:vAlign w:val="center"/>
          </w:tcPr>
          <w:p>
            <w:pPr>
              <w:widowControl/>
              <w:ind w:firstLine="0" w:firstLineChars="0"/>
              <w:textAlignment w:val="center"/>
              <w:rPr>
                <w:rFonts w:hint="default" w:ascii="宋体" w:hAnsi="宋体" w:eastAsia="宋体" w:cs="宋体"/>
                <w:color w:val="000000"/>
                <w:kern w:val="0"/>
                <w:sz w:val="24"/>
                <w:szCs w:val="24"/>
                <w:highlight w:val="none"/>
                <w:lang w:val="en-US" w:eastAsia="zh-CN" w:bidi="ar"/>
              </w:rPr>
            </w:pPr>
            <w:r>
              <w:rPr>
                <w:rFonts w:hint="eastAsia" w:ascii="宋体" w:hAnsi="宋体" w:cs="宋体"/>
                <w:color w:val="000000"/>
                <w:kern w:val="0"/>
                <w:sz w:val="24"/>
                <w:szCs w:val="24"/>
                <w:highlight w:val="none"/>
                <w:lang w:val="en-US" w:eastAsia="zh-CN" w:bidi="ar"/>
              </w:rPr>
              <w:t>辅助决策</w:t>
            </w:r>
          </w:p>
        </w:tc>
        <w:tc>
          <w:tcPr>
            <w:tcW w:w="1264" w:type="pct"/>
            <w:vMerge w:val="restart"/>
            <w:tcBorders>
              <w:top w:val="nil"/>
              <w:left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领导驾驶舱</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统计查询</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根据用户需求定制固定报表，将所有业务系统的综合信息，按照日、周、月、季、年等周期制作成固定复杂格式的报表，以统一的数据实时供业务人员和领导查询。如教学日报、教学评估月报、科研月报、固定资产月报、统计月报等。</w:t>
            </w:r>
          </w:p>
        </w:tc>
      </w:tr>
      <w:tr>
        <w:tblPrEx>
          <w:tblCellMar>
            <w:top w:w="0" w:type="dxa"/>
            <w:left w:w="108" w:type="dxa"/>
            <w:bottom w:w="0" w:type="dxa"/>
            <w:right w:w="108" w:type="dxa"/>
          </w:tblCellMar>
        </w:tblPrEx>
        <w:trPr>
          <w:trHeight w:val="1515" w:hRule="atLeast"/>
        </w:trPr>
        <w:tc>
          <w:tcPr>
            <w:tcW w:w="286"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left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综合分析</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教学、科研、管理等决策主题进行分析、挖掘，从大量教学、科研、管理等数据或选定样本中寻找预测性信息、发现教学、科研、管理等变量之间的关联、共性和差异性，实现预测、决策分析及各种指标的结构分析、趋势分析、相关性分析、离散度分析、ABC分析等，并建立预警机制。</w:t>
            </w:r>
          </w:p>
        </w:tc>
      </w:tr>
      <w:tr>
        <w:tblPrEx>
          <w:tblCellMar>
            <w:top w:w="0" w:type="dxa"/>
            <w:left w:w="108" w:type="dxa"/>
            <w:bottom w:w="0" w:type="dxa"/>
            <w:right w:w="108" w:type="dxa"/>
          </w:tblCellMar>
        </w:tblPrEx>
        <w:trPr>
          <w:trHeight w:val="615" w:hRule="atLeast"/>
        </w:trPr>
        <w:tc>
          <w:tcPr>
            <w:tcW w:w="286" w:type="pct"/>
            <w:vMerge w:val="continue"/>
            <w:tcBorders>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可视化展示</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支持通过拖拽方式的可视化界面，实现数据的统计以及分类汇总。结合图形展现方式，如仪表盘、圆饼图、直方图、曲线图等可视图形。</w:t>
            </w:r>
          </w:p>
        </w:tc>
      </w:tr>
      <w:tr>
        <w:tblPrEx>
          <w:tblCellMar>
            <w:top w:w="0" w:type="dxa"/>
            <w:left w:w="108" w:type="dxa"/>
            <w:bottom w:w="0" w:type="dxa"/>
            <w:right w:w="108" w:type="dxa"/>
          </w:tblCellMar>
        </w:tblPrEx>
        <w:trPr>
          <w:trHeight w:val="615" w:hRule="atLeast"/>
        </w:trPr>
        <w:tc>
          <w:tcPr>
            <w:tcW w:w="286" w:type="pct"/>
            <w:vMerge w:val="restart"/>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智慧移动</w:t>
            </w: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移动办公</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通知公告</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显示办公类通知公告，由管理员在后端发布显示，可供相应权限的用户进行浏览。</w:t>
            </w:r>
          </w:p>
        </w:tc>
      </w:tr>
      <w:tr>
        <w:tblPrEx>
          <w:tblCellMar>
            <w:top w:w="0" w:type="dxa"/>
            <w:left w:w="108" w:type="dxa"/>
            <w:bottom w:w="0" w:type="dxa"/>
            <w:right w:w="108" w:type="dxa"/>
          </w:tblCellMar>
        </w:tblPrEx>
        <w:trPr>
          <w:trHeight w:val="780"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日程管理</w:t>
            </w:r>
          </w:p>
        </w:tc>
        <w:tc>
          <w:tcPr>
            <w:tcW w:w="2313" w:type="pct"/>
            <w:vMerge w:val="restar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将信息化应用平台的日程管理的相关功能在移动端进行重新实现。将各种与用户自己有关的会议安排、课程安排及自定义日程进行统一管理，具有日程到期提醒功能。</w:t>
            </w:r>
          </w:p>
        </w:tc>
      </w:tr>
      <w:tr>
        <w:tblPrEx>
          <w:tblCellMar>
            <w:top w:w="0" w:type="dxa"/>
            <w:left w:w="108" w:type="dxa"/>
            <w:bottom w:w="0" w:type="dxa"/>
            <w:right w:w="108" w:type="dxa"/>
          </w:tblCellMar>
        </w:tblPrEx>
        <w:trPr>
          <w:trHeight w:val="780"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2313" w:type="pct"/>
            <w:vMerge w:val="continue"/>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待办事项</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将各应用系统中的个人待办任务合并在该模块中显示。如有新的待办事项，待办事项图标右上角会有角标提醒，角标数字根据已读待办事项变化。</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课表查看</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教师可查看本人本周、本月内课表信息，包括课程时间、地点、班次、学员人数。</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资源共享</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教师查看系统内的共享资料。</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移动点名</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班主任可通过移动端对本班学员发起移动点名。</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教学评议</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显示专题课程、其它课程、教学组长、综合表共4个模块。</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评价查询</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查看教学评议详情，方便有权限的教职工查看教学评议的进展情况。</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我的工资</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查看个人月、年、累计的工资明细。</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考勤查看</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查看学员考勤情况，管理学员考勤状态。</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校园地图</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提供校园地图展示，可以帮助用户快速找到党校具体的位置以及校园内各建筑物分布情况。</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个人中心</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在教职工移动端可以浏览和修改用户自己的信息。</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移动学习</w:t>
            </w: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通知公告</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显示公告信息，学员可以查看教师或班主任发布的班级通知或系统管理员发布的系统公告。</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信息完善</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报到时，通过移动端上传简历和兴趣爱好。</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两带来</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学员能够通过移动端提交自己关注的热点问题以及有所不解的理论问题。</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教学资料</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可在此浏览并下载老师上传的教学资料，并支持Office文件、图片文件、PDF文件、音视频文件在移动设备上的直接查看。</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课表查询</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学员可以浏览自己所在班级的课程安排信息。对每门课程，可以点击查看详细信息。</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问卷调查</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老师可以在系统内发起问卷调查，当前班次的学员可以在线填写，学员的问卷调查的内容可以统计显示在移动端。</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教学评估</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学员可以对专题课程、其它课程、教学组长、综合表进行教学评议。</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请假申请</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学员申请请假，班主任批准或不同意请假申请；在班主任批准请假申请前，学员可撤回；学员可查看请假记录。</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学员须知</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查看学员守则，入学须知，请加须知。</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校院地图</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显示校院地图。</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个人考勤</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学员通过移动端查看自己在当前培训班次的所有考勤信息。</w:t>
            </w: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我的电子证书</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系统根据学员的结业情况，能够批量生成学员的结业证书，学员可以个性化选择自己喜欢的校园场景，在系统内进行证书的套打，并进行批量发放Email通知，以及其他相关的管理。</w:t>
            </w: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健康检测</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疫情期间对所有学员实行入学前连续14天健康监测登记管理，学员在入学前14天内，每天需登记上报个人的健康情况，包括体温登记及行动轨迹登记，并生成健康日报、月报。</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车辆信息填报</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学员在系统填写详细信息时可录入自己的车辆信息，并上传身份证、驾驶证、行驶证等附件。</w:t>
            </w:r>
          </w:p>
        </w:tc>
      </w:tr>
      <w:tr>
        <w:tblPrEx>
          <w:tblCellMar>
            <w:top w:w="0" w:type="dxa"/>
            <w:left w:w="108" w:type="dxa"/>
            <w:bottom w:w="0" w:type="dxa"/>
            <w:right w:w="108" w:type="dxa"/>
          </w:tblCellMar>
        </w:tblPrEx>
        <w:trPr>
          <w:trHeight w:val="780"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移动班务管理</w:t>
            </w:r>
          </w:p>
        </w:tc>
        <w:tc>
          <w:tcPr>
            <w:tcW w:w="1136"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班务提醒</w:t>
            </w:r>
          </w:p>
        </w:tc>
        <w:tc>
          <w:tcPr>
            <w:tcW w:w="2313" w:type="pct"/>
            <w:vMerge w:val="restar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班主任可以查看调课提醒等消息。</w:t>
            </w:r>
          </w:p>
        </w:tc>
      </w:tr>
      <w:tr>
        <w:tblPrEx>
          <w:tblCellMar>
            <w:top w:w="0" w:type="dxa"/>
            <w:left w:w="108" w:type="dxa"/>
            <w:bottom w:w="0" w:type="dxa"/>
            <w:right w:w="108" w:type="dxa"/>
          </w:tblCellMar>
        </w:tblPrEx>
        <w:trPr>
          <w:trHeight w:val="780"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2313" w:type="pct"/>
            <w:vMerge w:val="continue"/>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班次切换</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列表显示计划班、外培班等班次信息，支持查看“带班信息”：显示班次名称、开班时间、结束时间、学年、学期、班次类型、班主任、指导老师、随班领导等班次信息。</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发布公告</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班主任可以在移动端发布班级通知公告。</w:t>
            </w:r>
          </w:p>
        </w:tc>
      </w:tr>
      <w:tr>
        <w:tblPrEx>
          <w:tblCellMar>
            <w:top w:w="0" w:type="dxa"/>
            <w:left w:w="108" w:type="dxa"/>
            <w:bottom w:w="0" w:type="dxa"/>
            <w:right w:w="108" w:type="dxa"/>
          </w:tblCellMar>
        </w:tblPrEx>
        <w:trPr>
          <w:trHeight w:val="780"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班级课表</w:t>
            </w:r>
          </w:p>
        </w:tc>
        <w:tc>
          <w:tcPr>
            <w:tcW w:w="2313" w:type="pct"/>
            <w:vMerge w:val="restar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班主任可查看所带班级的一周课表信息，包括课程时间、地点、班次、学员人数。</w:t>
            </w:r>
          </w:p>
        </w:tc>
      </w:tr>
      <w:tr>
        <w:tblPrEx>
          <w:tblCellMar>
            <w:top w:w="0" w:type="dxa"/>
            <w:left w:w="108" w:type="dxa"/>
            <w:bottom w:w="0" w:type="dxa"/>
            <w:right w:w="108" w:type="dxa"/>
          </w:tblCellMar>
        </w:tblPrEx>
        <w:trPr>
          <w:trHeight w:val="780"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2313" w:type="pct"/>
            <w:vMerge w:val="continue"/>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请假审批</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对学员发送的请假申请进行审批，班主任查看正在请假的班级学员，核查请假详情，可同意或不同意请假。</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报备管理</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当学员需要外出时，将外出地点和时间报备给班主任。</w:t>
            </w:r>
          </w:p>
        </w:tc>
      </w:tr>
      <w:tr>
        <w:tblPrEx>
          <w:tblCellMar>
            <w:top w:w="0" w:type="dxa"/>
            <w:left w:w="108" w:type="dxa"/>
            <w:bottom w:w="0" w:type="dxa"/>
            <w:right w:w="108" w:type="dxa"/>
          </w:tblCellMar>
        </w:tblPrEx>
        <w:trPr>
          <w:trHeight w:val="12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学员考勤</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系统显示班级列表，选择考勤班级，系统显示课程信息，用户选择考勤的课程信息， 系统显示学员信息及考勤情况，考勤情况有公假、出勤、早退、事假、未签、迟到、病假。老师可点击考勤状态完成学员考勤状态。</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双百分考核</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该模块主要用于班主任随时查看和维护学员的双百分量化考核情况登记表。</w:t>
            </w:r>
          </w:p>
        </w:tc>
      </w:tr>
      <w:tr>
        <w:tblPrEx>
          <w:tblCellMar>
            <w:top w:w="0" w:type="dxa"/>
            <w:left w:w="108" w:type="dxa"/>
            <w:bottom w:w="0" w:type="dxa"/>
            <w:right w:w="108" w:type="dxa"/>
          </w:tblCellMar>
        </w:tblPrEx>
        <w:trPr>
          <w:trHeight w:val="9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学员评价</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系统显示班级列表，班主任选择需要查看评价信息的班级，系统显示每门课程或者活动的学员评价提交情况，点击未评价系统将显示未评学员姓名、未评课程数量、学员评估率。</w:t>
            </w:r>
          </w:p>
        </w:tc>
      </w:tr>
      <w:tr>
        <w:tblPrEx>
          <w:tblCellMar>
            <w:top w:w="0" w:type="dxa"/>
            <w:left w:w="108" w:type="dxa"/>
            <w:bottom w:w="0" w:type="dxa"/>
            <w:right w:w="108" w:type="dxa"/>
          </w:tblCellMar>
        </w:tblPrEx>
        <w:trPr>
          <w:trHeight w:val="3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资料共享</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班主任可以查看自己及授课教师上传的班级共享资料。</w:t>
            </w:r>
          </w:p>
        </w:tc>
      </w:tr>
      <w:tr>
        <w:tblPrEx>
          <w:tblCellMar>
            <w:top w:w="0" w:type="dxa"/>
            <w:left w:w="108" w:type="dxa"/>
            <w:bottom w:w="0" w:type="dxa"/>
            <w:right w:w="108" w:type="dxa"/>
          </w:tblCellMar>
        </w:tblPrEx>
        <w:trPr>
          <w:trHeight w:val="615" w:hRule="atLeast"/>
        </w:trPr>
        <w:tc>
          <w:tcPr>
            <w:tcW w:w="286"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264"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p>
        </w:tc>
        <w:tc>
          <w:tcPr>
            <w:tcW w:w="1136"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个人中心</w:t>
            </w:r>
          </w:p>
        </w:tc>
        <w:tc>
          <w:tcPr>
            <w:tcW w:w="2313"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在移动端班主任可以浏览和修改用户自己的信息，包括上传个人照片、政治面貌、联系方式、职务、工作单位等信息。</w:t>
            </w:r>
          </w:p>
        </w:tc>
      </w:tr>
    </w:tbl>
    <w:tbl>
      <w:tblPr>
        <w:tblStyle w:val="37"/>
        <w:tblpPr w:leftFromText="180" w:rightFromText="180" w:vertAnchor="text" w:horzAnchor="page" w:tblpX="1385" w:tblpY="628"/>
        <w:tblOverlap w:val="never"/>
        <w:tblW w:w="4995" w:type="pct"/>
        <w:tblInd w:w="0" w:type="dxa"/>
        <w:tblLayout w:type="autofit"/>
        <w:tblCellMar>
          <w:top w:w="0" w:type="dxa"/>
          <w:left w:w="108" w:type="dxa"/>
          <w:bottom w:w="0" w:type="dxa"/>
          <w:right w:w="108" w:type="dxa"/>
        </w:tblCellMar>
      </w:tblPr>
      <w:tblGrid>
        <w:gridCol w:w="456"/>
        <w:gridCol w:w="1656"/>
        <w:gridCol w:w="3096"/>
        <w:gridCol w:w="4183"/>
      </w:tblGrid>
      <w:tr>
        <w:tblPrEx>
          <w:tblCellMar>
            <w:top w:w="0" w:type="dxa"/>
            <w:left w:w="108" w:type="dxa"/>
            <w:bottom w:w="0" w:type="dxa"/>
            <w:right w:w="108" w:type="dxa"/>
          </w:tblCellMar>
        </w:tblPrEx>
        <w:trPr>
          <w:trHeight w:val="1215" w:hRule="atLeast"/>
        </w:trPr>
        <w:tc>
          <w:tcPr>
            <w:tcW w:w="242" w:type="pct"/>
            <w:vMerge w:val="restart"/>
            <w:tcBorders>
              <w:top w:val="nil"/>
              <w:left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881" w:type="pct"/>
            <w:vMerge w:val="restart"/>
            <w:tcBorders>
              <w:top w:val="nil"/>
              <w:left w:val="single" w:color="000000" w:sz="8" w:space="0"/>
              <w:right w:val="single" w:color="000000" w:sz="8" w:space="0"/>
            </w:tcBorders>
            <w:shd w:val="clear" w:color="auto" w:fill="auto"/>
            <w:noWrap/>
            <w:vAlign w:val="center"/>
          </w:tcPr>
          <w:p>
            <w:pPr>
              <w:bidi w:val="0"/>
              <w:ind w:left="0" w:leftChars="0" w:firstLine="0" w:firstLineChars="0"/>
              <w:jc w:val="both"/>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校园电子地图</w:t>
            </w:r>
          </w:p>
        </w:tc>
        <w:tc>
          <w:tcPr>
            <w:tcW w:w="1648" w:type="pct"/>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目标查询</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根据用户输入关键字（可自动智能补全，并提供相关下拉框选项供选择）查询校内教室、实验室、办公室、校内各生活设施位置，并在电子地图上标识出该位置，同时显示简介信息，如果用户想更详细了解相关信息可通过链接访问相关网页。</w:t>
            </w:r>
          </w:p>
        </w:tc>
      </w:tr>
      <w:tr>
        <w:tblPrEx>
          <w:tblCellMar>
            <w:top w:w="0" w:type="dxa"/>
            <w:left w:w="108" w:type="dxa"/>
            <w:bottom w:w="0" w:type="dxa"/>
            <w:right w:w="108" w:type="dxa"/>
          </w:tblCellMar>
        </w:tblPrEx>
        <w:trPr>
          <w:trHeight w:val="615" w:hRule="atLeast"/>
        </w:trPr>
        <w:tc>
          <w:tcPr>
            <w:tcW w:w="242"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881" w:type="pct"/>
            <w:vMerge w:val="continue"/>
            <w:tcBorders>
              <w:left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1648" w:type="pct"/>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校园浏览</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通过分类目录查找管理机构、院系设置、科研机构以及各类生活设施分布图及详细信息。</w:t>
            </w:r>
          </w:p>
        </w:tc>
      </w:tr>
      <w:tr>
        <w:tblPrEx>
          <w:tblCellMar>
            <w:top w:w="0" w:type="dxa"/>
            <w:left w:w="108" w:type="dxa"/>
            <w:bottom w:w="0" w:type="dxa"/>
            <w:right w:w="108" w:type="dxa"/>
          </w:tblCellMar>
        </w:tblPrEx>
        <w:trPr>
          <w:trHeight w:val="1815" w:hRule="atLeast"/>
        </w:trPr>
        <w:tc>
          <w:tcPr>
            <w:tcW w:w="242"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881" w:type="pct"/>
            <w:vMerge w:val="continue"/>
            <w:tcBorders>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1648" w:type="pct"/>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全景校园</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采用专业数码相机和鱼眼镜头，使用专业可升降和旋转云台，在校园内重要场所进行360度旋转拍摄，将拍摄后的照片使用专业漫游软件进行合成，生成Flash文件（生成时内嵌入箭头指示和标记，并同步生成缩略鸟瞰图），然后加载到校园的360度实景播放平台上，通过Flash自动播放和鼠标控制播放，这样就可以在校园内全方位看到重要场所实际的情况，并根据场景箭头指示实现漫游，犹如身临其境。</w:t>
            </w:r>
          </w:p>
        </w:tc>
      </w:tr>
      <w:tr>
        <w:tblPrEx>
          <w:tblCellMar>
            <w:top w:w="0" w:type="dxa"/>
            <w:left w:w="108" w:type="dxa"/>
            <w:bottom w:w="0" w:type="dxa"/>
            <w:right w:w="108" w:type="dxa"/>
          </w:tblCellMar>
        </w:tblPrEx>
        <w:trPr>
          <w:trHeight w:val="1515" w:hRule="atLeast"/>
        </w:trPr>
        <w:tc>
          <w:tcPr>
            <w:tcW w:w="242" w:type="pct"/>
            <w:vMerge w:val="restart"/>
            <w:tcBorders>
              <w:top w:val="nil"/>
              <w:left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数据资源</w:t>
            </w:r>
          </w:p>
        </w:tc>
        <w:tc>
          <w:tcPr>
            <w:tcW w:w="881" w:type="pct"/>
            <w:vMerge w:val="restar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系统数据接口</w:t>
            </w:r>
          </w:p>
        </w:tc>
        <w:tc>
          <w:tcPr>
            <w:tcW w:w="1648" w:type="pct"/>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与省委党校系统平台数据对接</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通过与省委党校系统平台数据接口开发，从而实现台州市委党校与浙江省委党校领导驾驶舱对接，帮助省委党校实时获取台州市委党校培训教育情况，并提供数据查询与统计，实现数据传输。同是，需要与省委党校的红色学府网做数据对接，与省委党校浙里好课做教学互通。</w:t>
            </w:r>
          </w:p>
        </w:tc>
      </w:tr>
      <w:tr>
        <w:tblPrEx>
          <w:tblCellMar>
            <w:top w:w="0" w:type="dxa"/>
            <w:left w:w="108" w:type="dxa"/>
            <w:bottom w:w="0" w:type="dxa"/>
            <w:right w:w="108" w:type="dxa"/>
          </w:tblCellMar>
        </w:tblPrEx>
        <w:trPr>
          <w:trHeight w:val="615" w:hRule="atLeast"/>
        </w:trPr>
        <w:tc>
          <w:tcPr>
            <w:tcW w:w="242"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881"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1648"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与图书馆管理系统的对接</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通过页面集成、用户集成、数据集成等方式实现数字校园管理平台与图书馆管理系统的对接，</w:t>
            </w:r>
          </w:p>
        </w:tc>
      </w:tr>
      <w:tr>
        <w:tblPrEx>
          <w:tblCellMar>
            <w:top w:w="0" w:type="dxa"/>
            <w:left w:w="108" w:type="dxa"/>
            <w:bottom w:w="0" w:type="dxa"/>
            <w:right w:w="108" w:type="dxa"/>
          </w:tblCellMar>
        </w:tblPrEx>
        <w:trPr>
          <w:trHeight w:val="315" w:hRule="atLeast"/>
        </w:trPr>
        <w:tc>
          <w:tcPr>
            <w:tcW w:w="242"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881"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1648"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与酒店管理系统对接</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通过页面集成、用户集成、数据集成等方式实现与酒店管理系统对接</w:t>
            </w:r>
          </w:p>
        </w:tc>
      </w:tr>
      <w:tr>
        <w:tblPrEx>
          <w:tblCellMar>
            <w:top w:w="0" w:type="dxa"/>
            <w:left w:w="108" w:type="dxa"/>
            <w:bottom w:w="0" w:type="dxa"/>
            <w:right w:w="108" w:type="dxa"/>
          </w:tblCellMar>
        </w:tblPrEx>
        <w:trPr>
          <w:trHeight w:val="615" w:hRule="atLeast"/>
        </w:trPr>
        <w:tc>
          <w:tcPr>
            <w:tcW w:w="242"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881"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1648"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与一卡通设备对接</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一卡通设备需要与门襟、酒店系统、消费、考勤、移动平台、车辆管理系统对接，相互调用数据，实现一卡通和数字校园管理平台系统相关人员信息的绑定和数据的互联互通</w:t>
            </w:r>
          </w:p>
        </w:tc>
      </w:tr>
      <w:tr>
        <w:tblPrEx>
          <w:tblCellMar>
            <w:top w:w="0" w:type="dxa"/>
            <w:left w:w="108" w:type="dxa"/>
            <w:bottom w:w="0" w:type="dxa"/>
            <w:right w:w="108" w:type="dxa"/>
          </w:tblCellMar>
        </w:tblPrEx>
        <w:trPr>
          <w:trHeight w:val="315" w:hRule="atLeast"/>
        </w:trPr>
        <w:tc>
          <w:tcPr>
            <w:tcW w:w="242"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881"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1648"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与停车管理系统对接</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通过与停车管理系统对接完成车辆号牌登记管理。</w:t>
            </w:r>
          </w:p>
        </w:tc>
      </w:tr>
      <w:tr>
        <w:tblPrEx>
          <w:tblCellMar>
            <w:top w:w="0" w:type="dxa"/>
            <w:left w:w="108" w:type="dxa"/>
            <w:bottom w:w="0" w:type="dxa"/>
            <w:right w:w="108" w:type="dxa"/>
          </w:tblCellMar>
        </w:tblPrEx>
        <w:trPr>
          <w:trHeight w:val="315" w:hRule="atLeast"/>
        </w:trPr>
        <w:tc>
          <w:tcPr>
            <w:tcW w:w="242"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881"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1648"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与短信平台对接</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通过与短信平台对接，实现党校内部消息的短信提醒</w:t>
            </w:r>
          </w:p>
        </w:tc>
      </w:tr>
      <w:tr>
        <w:tblPrEx>
          <w:tblCellMar>
            <w:top w:w="0" w:type="dxa"/>
            <w:left w:w="108" w:type="dxa"/>
            <w:bottom w:w="0" w:type="dxa"/>
            <w:right w:w="108" w:type="dxa"/>
          </w:tblCellMar>
        </w:tblPrEx>
        <w:trPr>
          <w:trHeight w:val="915" w:hRule="atLeast"/>
        </w:trPr>
        <w:tc>
          <w:tcPr>
            <w:tcW w:w="242"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881"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1648"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与浙政钉对接</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针对已有的智慧移动服务业务进行功能分析，根据钉钉程序特点和党校移动功能特性进行业务功能模块划分，将部分功能模块移植到党校的钉钉平台上去。</w:t>
            </w:r>
          </w:p>
        </w:tc>
      </w:tr>
      <w:tr>
        <w:tblPrEx>
          <w:tblCellMar>
            <w:top w:w="0" w:type="dxa"/>
            <w:left w:w="108" w:type="dxa"/>
            <w:bottom w:w="0" w:type="dxa"/>
            <w:right w:w="108" w:type="dxa"/>
          </w:tblCellMar>
        </w:tblPrEx>
        <w:trPr>
          <w:trHeight w:val="1215" w:hRule="atLeast"/>
        </w:trPr>
        <w:tc>
          <w:tcPr>
            <w:tcW w:w="242" w:type="pct"/>
            <w:vMerge w:val="continue"/>
            <w:tcBorders>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881" w:type="pct"/>
            <w:vMerge w:val="continue"/>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1648"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与一体化资源管理系统对接</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本项目需提供党校数据中台与全省统一的“一体化资源管理系统（IRS）”的对接，实现数据“按需归集、应归尽归”，推动市委党校公共数据与政府公共数据的融合打通，并依托省市县一体的协同高效数据共享协调机制，实现数据调用与共享。</w:t>
            </w:r>
          </w:p>
        </w:tc>
      </w:tr>
      <w:tr>
        <w:tblPrEx>
          <w:tblCellMar>
            <w:top w:w="0" w:type="dxa"/>
            <w:left w:w="108" w:type="dxa"/>
            <w:bottom w:w="0" w:type="dxa"/>
            <w:right w:w="108" w:type="dxa"/>
          </w:tblCellMar>
        </w:tblPrEx>
        <w:trPr>
          <w:trHeight w:val="615" w:hRule="atLeast"/>
        </w:trPr>
        <w:tc>
          <w:tcPr>
            <w:tcW w:w="242" w:type="pct"/>
            <w:vMerge w:val="restart"/>
            <w:tcBorders>
              <w:top w:val="nil"/>
              <w:left w:val="single" w:color="000000" w:sz="8" w:space="0"/>
              <w:right w:val="single" w:color="000000" w:sz="8" w:space="0"/>
            </w:tcBorders>
            <w:shd w:val="clear" w:color="auto" w:fill="auto"/>
            <w:vAlign w:val="center"/>
          </w:tcPr>
          <w:p>
            <w:pPr>
              <w:widowControl/>
              <w:ind w:firstLine="0" w:firstLineChars="0"/>
              <w:textAlignment w:val="center"/>
              <w:rPr>
                <w:rFonts w:hint="default" w:asciiTheme="minorEastAsia" w:hAnsiTheme="minorEastAsia" w:eastAsiaTheme="minorEastAsia" w:cstheme="minorEastAsia"/>
                <w:color w:val="000000"/>
                <w:kern w:val="0"/>
                <w:sz w:val="24"/>
                <w:szCs w:val="24"/>
                <w:highlight w:val="none"/>
                <w:lang w:val="en-US" w:eastAsia="zh-CN" w:bidi="ar"/>
              </w:rPr>
            </w:pPr>
            <w:r>
              <w:rPr>
                <w:rFonts w:hint="eastAsia" w:asciiTheme="minorEastAsia" w:hAnsiTheme="minorEastAsia" w:eastAsiaTheme="minorEastAsia" w:cstheme="minorEastAsia"/>
                <w:color w:val="000000"/>
                <w:kern w:val="0"/>
                <w:sz w:val="24"/>
                <w:szCs w:val="24"/>
                <w:highlight w:val="none"/>
                <w:lang w:val="en-US" w:eastAsia="zh-CN" w:bidi="ar"/>
              </w:rPr>
              <w:t>数据中台</w:t>
            </w:r>
          </w:p>
        </w:tc>
        <w:tc>
          <w:tcPr>
            <w:tcW w:w="881" w:type="pct"/>
            <w:vMerge w:val="restart"/>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数据中台建设</w:t>
            </w:r>
          </w:p>
        </w:tc>
        <w:tc>
          <w:tcPr>
            <w:tcW w:w="1648"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微服务架构</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基于微服务框架设计，通过提供微服务框架，解决微服务的各类注册、发现、服务、调度、容错等各类通用性服务功能。</w:t>
            </w:r>
          </w:p>
        </w:tc>
      </w:tr>
      <w:tr>
        <w:tblPrEx>
          <w:tblCellMar>
            <w:top w:w="0" w:type="dxa"/>
            <w:left w:w="108" w:type="dxa"/>
            <w:bottom w:w="0" w:type="dxa"/>
            <w:right w:w="108" w:type="dxa"/>
          </w:tblCellMar>
        </w:tblPrEx>
        <w:trPr>
          <w:trHeight w:val="1515" w:hRule="atLeast"/>
        </w:trPr>
        <w:tc>
          <w:tcPr>
            <w:tcW w:w="242"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881"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1648"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技术中台</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技术中台为业务能力层和核心能力层及能力开放管理平台提供最基本的服务、消息、数据处理功能。包括：分布式服务框架、分布式消息服务、分布式数据服务、分布式内存数据库、分布式缓存服务、分布式文件服务、传统关系型数据库、分布式列存储等基础技术组件，以及管理业务能力和技术组件的PaaS运维管理组件。</w:t>
            </w:r>
          </w:p>
        </w:tc>
      </w:tr>
      <w:tr>
        <w:tblPrEx>
          <w:tblCellMar>
            <w:top w:w="0" w:type="dxa"/>
            <w:left w:w="108" w:type="dxa"/>
            <w:bottom w:w="0" w:type="dxa"/>
            <w:right w:w="108" w:type="dxa"/>
          </w:tblCellMar>
        </w:tblPrEx>
        <w:trPr>
          <w:trHeight w:val="915" w:hRule="atLeast"/>
        </w:trPr>
        <w:tc>
          <w:tcPr>
            <w:tcW w:w="242" w:type="pct"/>
            <w:vMerge w:val="continue"/>
            <w:tcBorders>
              <w:left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881"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1648"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数据中台</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利用数据中台的理念和方法论，建设数据中台，集中存储各类数据，实现数据整合、标准化管理和价值挖掘，最终形成台州市委党校数字校园平台。</w:t>
            </w:r>
          </w:p>
        </w:tc>
      </w:tr>
      <w:tr>
        <w:tblPrEx>
          <w:tblCellMar>
            <w:top w:w="0" w:type="dxa"/>
            <w:left w:w="108" w:type="dxa"/>
            <w:bottom w:w="0" w:type="dxa"/>
            <w:right w:w="108" w:type="dxa"/>
          </w:tblCellMar>
        </w:tblPrEx>
        <w:trPr>
          <w:trHeight w:val="615" w:hRule="atLeast"/>
        </w:trPr>
        <w:tc>
          <w:tcPr>
            <w:tcW w:w="242" w:type="pct"/>
            <w:vMerge w:val="continue"/>
            <w:tcBorders>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881" w:type="pct"/>
            <w:vMerge w:val="continue"/>
            <w:tcBorders>
              <w:top w:val="nil"/>
              <w:left w:val="single" w:color="000000" w:sz="8" w:space="0"/>
              <w:bottom w:val="single" w:color="000000" w:sz="8" w:space="0"/>
              <w:right w:val="single" w:color="000000" w:sz="8" w:space="0"/>
            </w:tcBorders>
            <w:shd w:val="clear" w:color="auto" w:fill="auto"/>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p>
        </w:tc>
        <w:tc>
          <w:tcPr>
            <w:tcW w:w="1648" w:type="pct"/>
            <w:tcBorders>
              <w:top w:val="nil"/>
              <w:left w:val="single" w:color="000000" w:sz="8" w:space="0"/>
              <w:bottom w:val="single" w:color="000000" w:sz="8" w:space="0"/>
              <w:right w:val="single" w:color="000000" w:sz="8" w:space="0"/>
            </w:tcBorders>
            <w:shd w:val="clear" w:color="auto" w:fill="auto"/>
            <w:noWrap/>
            <w:vAlign w:val="center"/>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集成平台</w:t>
            </w:r>
          </w:p>
        </w:tc>
        <w:tc>
          <w:tcPr>
            <w:tcW w:w="2227" w:type="pct"/>
            <w:tcBorders>
              <w:top w:val="nil"/>
              <w:left w:val="single" w:color="000000" w:sz="8" w:space="0"/>
              <w:bottom w:val="single" w:color="000000" w:sz="8" w:space="0"/>
              <w:right w:val="single" w:color="000000" w:sz="8" w:space="0"/>
            </w:tcBorders>
            <w:shd w:val="clear" w:color="auto" w:fill="auto"/>
          </w:tcPr>
          <w:p>
            <w:pPr>
              <w:widowControl/>
              <w:ind w:firstLine="0" w:firstLineChars="0"/>
              <w:textAlignment w:val="center"/>
              <w:rPr>
                <w:rFonts w:hint="eastAsia" w:asciiTheme="minorEastAsia" w:hAnsiTheme="minorEastAsia" w:eastAsiaTheme="minorEastAsia" w:cstheme="minorEastAsia"/>
                <w:color w:val="000000"/>
                <w:kern w:val="0"/>
                <w:sz w:val="24"/>
                <w:szCs w:val="24"/>
                <w:highlight w:val="none"/>
                <w:lang w:bidi="ar"/>
              </w:rPr>
            </w:pPr>
            <w:r>
              <w:rPr>
                <w:rFonts w:hint="eastAsia" w:asciiTheme="minorEastAsia" w:hAnsiTheme="minorEastAsia" w:eastAsiaTheme="minorEastAsia" w:cstheme="minorEastAsia"/>
                <w:color w:val="000000"/>
                <w:kern w:val="0"/>
                <w:sz w:val="24"/>
                <w:szCs w:val="24"/>
                <w:highlight w:val="none"/>
                <w:lang w:bidi="ar"/>
              </w:rPr>
              <w:t>集成平台的建设将通过“泛应用前台、强能力中台、大智能后台”来实现，包括应用集成、数据集成、界面集成。</w:t>
            </w:r>
          </w:p>
        </w:tc>
      </w:tr>
    </w:tbl>
    <w:p>
      <w:pPr>
        <w:pStyle w:val="2"/>
        <w:numPr>
          <w:ilvl w:val="0"/>
          <w:numId w:val="0"/>
        </w:numPr>
        <w:ind w:leftChars="0"/>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四、总体技术设计要求</w:t>
      </w:r>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18" w:name="_Toc74298851"/>
      <w:bookmarkStart w:id="19" w:name="_Toc43836688"/>
      <w:r>
        <w:rPr>
          <w:rFonts w:hint="eastAsia" w:asciiTheme="minorEastAsia" w:hAnsiTheme="minorEastAsia" w:eastAsiaTheme="minorEastAsia" w:cstheme="minorEastAsia"/>
          <w:b/>
          <w:bCs/>
          <w:sz w:val="24"/>
          <w:szCs w:val="24"/>
          <w:highlight w:val="none"/>
          <w:lang w:val="en-US" w:eastAsia="zh-CN"/>
        </w:rPr>
        <w:t>1、</w:t>
      </w:r>
      <w:r>
        <w:rPr>
          <w:rFonts w:hint="eastAsia" w:asciiTheme="minorEastAsia" w:hAnsiTheme="minorEastAsia" w:eastAsiaTheme="minorEastAsia" w:cstheme="minorEastAsia"/>
          <w:b/>
          <w:bCs/>
          <w:sz w:val="24"/>
          <w:szCs w:val="24"/>
          <w:highlight w:val="none"/>
          <w:lang w:eastAsia="zh-CN"/>
        </w:rPr>
        <w:t>业务</w:t>
      </w:r>
      <w:r>
        <w:rPr>
          <w:rFonts w:hint="eastAsia" w:asciiTheme="minorEastAsia" w:hAnsiTheme="minorEastAsia" w:eastAsiaTheme="minorEastAsia" w:cstheme="minorEastAsia"/>
          <w:b/>
          <w:bCs/>
          <w:sz w:val="24"/>
          <w:szCs w:val="24"/>
          <w:highlight w:val="none"/>
        </w:rPr>
        <w:t>需求分析要求</w:t>
      </w:r>
      <w:bookmarkEnd w:id="18"/>
      <w:bookmarkEnd w:id="19"/>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需求分析的目标是把学校相关用户对提出的需求进行分析与整理，确认后形成描述完整、清晰与规范的文档来作为设计基础，包括功能性、非功能性及运行时与其他软件的关系等。从而将分院各方面需求梳理清晰、抽象化、程序化，利用计算机技术、流程自动化机制和手段，实现各校区业务协同，优化业务流程，提高效率。</w:t>
      </w:r>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20" w:name="_Toc74298852"/>
      <w:bookmarkStart w:id="21" w:name="_Toc43836689"/>
      <w:r>
        <w:rPr>
          <w:rFonts w:hint="eastAsia" w:asciiTheme="minorEastAsia" w:hAnsiTheme="minorEastAsia" w:eastAsiaTheme="minorEastAsia" w:cstheme="minorEastAsia"/>
          <w:b/>
          <w:bCs/>
          <w:sz w:val="24"/>
          <w:szCs w:val="24"/>
          <w:highlight w:val="none"/>
          <w:lang w:val="en-US" w:eastAsia="zh-CN"/>
        </w:rPr>
        <w:t>2、</w:t>
      </w:r>
      <w:r>
        <w:rPr>
          <w:rFonts w:hint="eastAsia" w:asciiTheme="minorEastAsia" w:hAnsiTheme="minorEastAsia" w:eastAsiaTheme="minorEastAsia" w:cstheme="minorEastAsia"/>
          <w:b/>
          <w:bCs/>
          <w:sz w:val="24"/>
          <w:szCs w:val="24"/>
          <w:highlight w:val="none"/>
        </w:rPr>
        <w:t>技术架构要求</w:t>
      </w:r>
      <w:bookmarkEnd w:id="20"/>
      <w:bookmarkEnd w:id="21"/>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本期项目需采用J2EE技术规范构架方式进行设计和构建，遵循面向业务、面向构件的原则，按照开放的业界标准，保障平台强壮性、稳定性，形成业务导向，来构建、整合、扩展、管理业务应用系统。根据业务需求，建设一组标准化、可复用的服务组件，以服务组件为基础进行组合开发各类业务系统，减少重复建设并方便后续功能调整。通过J2EE组件、构件化与标准化设计，提高系统运行的可用性、可靠性、安全性、可扩展性，实现对党校业务的服务化、构件化、定制化管理，促进党校全业务、全流程联网运行和综合信息管理。</w:t>
      </w:r>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22" w:name="_Toc515845422"/>
      <w:bookmarkStart w:id="23" w:name="_Toc74298853"/>
      <w:bookmarkStart w:id="24" w:name="_Toc23669057"/>
      <w:bookmarkStart w:id="25" w:name="_Toc43836690"/>
      <w:bookmarkStart w:id="26" w:name="_Toc515846283"/>
      <w:r>
        <w:rPr>
          <w:rFonts w:hint="eastAsia" w:asciiTheme="minorEastAsia" w:hAnsiTheme="minorEastAsia" w:eastAsiaTheme="minorEastAsia" w:cstheme="minorEastAsia"/>
          <w:b/>
          <w:bCs/>
          <w:sz w:val="24"/>
          <w:szCs w:val="24"/>
          <w:highlight w:val="none"/>
          <w:lang w:val="en-US" w:eastAsia="zh-CN"/>
        </w:rPr>
        <w:t>3、</w:t>
      </w:r>
      <w:r>
        <w:rPr>
          <w:rFonts w:hint="eastAsia" w:asciiTheme="minorEastAsia" w:hAnsiTheme="minorEastAsia" w:eastAsiaTheme="minorEastAsia" w:cstheme="minorEastAsia"/>
          <w:b/>
          <w:bCs/>
          <w:sz w:val="24"/>
          <w:szCs w:val="24"/>
          <w:highlight w:val="none"/>
        </w:rPr>
        <w:t>总体设计要求</w:t>
      </w:r>
      <w:bookmarkEnd w:id="22"/>
      <w:bookmarkEnd w:id="23"/>
      <w:bookmarkEnd w:id="24"/>
      <w:bookmarkEnd w:id="25"/>
      <w:bookmarkEnd w:id="26"/>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系统设计应当首先设计总体结构，根据用户确认的需求调研再逐层深入，直至进行每一个模块的设计。总体设计主要是指在系统分析的基础上，对整个系统的划分、数据的存贮规律以及整个系统实现规划等方面进行合理的安排。</w:t>
      </w:r>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27" w:name="_Toc74298854"/>
      <w:bookmarkStart w:id="28" w:name="_Toc23669063"/>
      <w:bookmarkStart w:id="29" w:name="_Toc43836691"/>
      <w:bookmarkStart w:id="30" w:name="_Toc515845428"/>
      <w:bookmarkStart w:id="31" w:name="_Toc515846289"/>
      <w:r>
        <w:rPr>
          <w:rFonts w:hint="eastAsia" w:asciiTheme="minorEastAsia" w:hAnsiTheme="minorEastAsia" w:eastAsiaTheme="minorEastAsia" w:cstheme="minorEastAsia"/>
          <w:b/>
          <w:bCs/>
          <w:sz w:val="24"/>
          <w:szCs w:val="24"/>
          <w:highlight w:val="none"/>
          <w:lang w:val="en-US" w:eastAsia="zh-CN"/>
        </w:rPr>
        <w:t>4、</w:t>
      </w:r>
      <w:r>
        <w:rPr>
          <w:rFonts w:hint="eastAsia" w:asciiTheme="minorEastAsia" w:hAnsiTheme="minorEastAsia" w:eastAsiaTheme="minorEastAsia" w:cstheme="minorEastAsia"/>
          <w:b/>
          <w:bCs/>
          <w:sz w:val="24"/>
          <w:szCs w:val="24"/>
          <w:highlight w:val="none"/>
          <w:lang w:eastAsia="zh-CN"/>
        </w:rPr>
        <w:t>信创</w:t>
      </w:r>
      <w:r>
        <w:rPr>
          <w:rFonts w:hint="eastAsia" w:asciiTheme="minorEastAsia" w:hAnsiTheme="minorEastAsia" w:eastAsiaTheme="minorEastAsia" w:cstheme="minorEastAsia"/>
          <w:b/>
          <w:bCs/>
          <w:sz w:val="24"/>
          <w:szCs w:val="24"/>
          <w:highlight w:val="none"/>
        </w:rPr>
        <w:t>要求</w:t>
      </w:r>
      <w:bookmarkEnd w:id="27"/>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为了落实国家战略、维护国家信息安全的迫切需要，本项目需遵循国家、行业、本单位三个层面上的相关安全制度、标准规范，全面实现信创软硬件的选型和适配，达到技术自主可控、安全保障有效的目的，本次系统建设须满足信创环境的全面适配。</w:t>
      </w:r>
      <w:bookmarkStart w:id="32" w:name="_Toc74298855"/>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lang w:val="en-US" w:eastAsia="zh-CN"/>
        </w:rPr>
        <w:t>5、</w:t>
      </w:r>
      <w:r>
        <w:rPr>
          <w:rFonts w:hint="eastAsia" w:asciiTheme="minorEastAsia" w:hAnsiTheme="minorEastAsia" w:eastAsiaTheme="minorEastAsia" w:cstheme="minorEastAsia"/>
          <w:b/>
          <w:bCs/>
          <w:sz w:val="24"/>
          <w:szCs w:val="24"/>
          <w:highlight w:val="none"/>
        </w:rPr>
        <w:t>总体性能要求</w:t>
      </w:r>
      <w:bookmarkEnd w:id="28"/>
      <w:bookmarkEnd w:id="29"/>
      <w:bookmarkEnd w:id="30"/>
      <w:bookmarkEnd w:id="31"/>
      <w:bookmarkEnd w:id="32"/>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33" w:name="_Toc515845429"/>
      <w:bookmarkStart w:id="34" w:name="_Toc23669064"/>
      <w:bookmarkStart w:id="35" w:name="_Toc74298856"/>
      <w:bookmarkStart w:id="36" w:name="_Toc515846290"/>
      <w:r>
        <w:rPr>
          <w:rFonts w:hint="eastAsia" w:asciiTheme="minorEastAsia" w:hAnsiTheme="minorEastAsia" w:eastAsiaTheme="minorEastAsia" w:cstheme="minorEastAsia"/>
          <w:b/>
          <w:bCs/>
          <w:sz w:val="24"/>
          <w:szCs w:val="24"/>
          <w:highlight w:val="none"/>
          <w:lang w:val="en-US" w:eastAsia="zh-CN"/>
        </w:rPr>
        <w:t>5.1</w:t>
      </w:r>
      <w:r>
        <w:rPr>
          <w:rFonts w:hint="eastAsia" w:asciiTheme="minorEastAsia" w:hAnsiTheme="minorEastAsia" w:eastAsiaTheme="minorEastAsia" w:cstheme="minorEastAsia"/>
          <w:b/>
          <w:bCs/>
          <w:sz w:val="24"/>
          <w:szCs w:val="24"/>
          <w:highlight w:val="none"/>
        </w:rPr>
        <w:t>可靠性要求</w:t>
      </w:r>
      <w:bookmarkEnd w:id="33"/>
      <w:bookmarkEnd w:id="34"/>
      <w:bookmarkEnd w:id="35"/>
      <w:bookmarkEnd w:id="36"/>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应用系统应具备满足党校智慧校园全面应用的条件下的高可靠性，应用系统试运行期间，在其他软件运行正常的情况下，应用系统中断的故障次数不应超过1次/月；在系统保证期内，应用系统中断的故障次数不应超过1次/季。应用系统应具备完善的错误处理机制，对系统运行过程中的错误处理有明确的提示信息，指导用户操作；系统应具备数据的自动转存和恢复机制；</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应用系统应具备恢复保障机制，在软硬件平台正常运行的情况下，应用系统故障的恢复时间不超过30分钟。</w:t>
      </w:r>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37" w:name="_Toc23669099"/>
      <w:bookmarkStart w:id="38" w:name="_Toc12114605"/>
      <w:bookmarkStart w:id="39" w:name="_Toc485053140"/>
      <w:bookmarkStart w:id="40" w:name="_Toc74298857"/>
      <w:bookmarkStart w:id="41" w:name="_Toc515845431"/>
      <w:bookmarkStart w:id="42" w:name="_Toc515846292"/>
      <w:bookmarkStart w:id="43" w:name="_Toc23669066"/>
      <w:r>
        <w:rPr>
          <w:rFonts w:hint="eastAsia" w:asciiTheme="minorEastAsia" w:hAnsiTheme="minorEastAsia" w:eastAsiaTheme="minorEastAsia" w:cstheme="minorEastAsia"/>
          <w:b/>
          <w:bCs/>
          <w:sz w:val="24"/>
          <w:szCs w:val="24"/>
          <w:highlight w:val="none"/>
          <w:lang w:val="en-US" w:eastAsia="zh-CN"/>
        </w:rPr>
        <w:t>5.2</w:t>
      </w:r>
      <w:r>
        <w:rPr>
          <w:rFonts w:hint="eastAsia" w:asciiTheme="minorEastAsia" w:hAnsiTheme="minorEastAsia" w:eastAsiaTheme="minorEastAsia" w:cstheme="minorEastAsia"/>
          <w:b/>
          <w:bCs/>
          <w:sz w:val="24"/>
          <w:szCs w:val="24"/>
          <w:highlight w:val="none"/>
        </w:rPr>
        <w:t>性能</w:t>
      </w:r>
      <w:bookmarkEnd w:id="37"/>
      <w:bookmarkEnd w:id="38"/>
      <w:bookmarkEnd w:id="39"/>
      <w:r>
        <w:rPr>
          <w:rFonts w:hint="eastAsia" w:asciiTheme="minorEastAsia" w:hAnsiTheme="minorEastAsia" w:eastAsiaTheme="minorEastAsia" w:cstheme="minorEastAsia"/>
          <w:b/>
          <w:bCs/>
          <w:sz w:val="24"/>
          <w:szCs w:val="24"/>
          <w:highlight w:val="none"/>
        </w:rPr>
        <w:t>指标</w:t>
      </w:r>
      <w:bookmarkEnd w:id="40"/>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 xml:space="preserve">5.2.1 </w:t>
      </w:r>
      <w:r>
        <w:rPr>
          <w:rFonts w:hint="eastAsia" w:asciiTheme="minorEastAsia" w:hAnsiTheme="minorEastAsia" w:eastAsiaTheme="minorEastAsia" w:cstheme="minorEastAsia"/>
          <w:sz w:val="24"/>
          <w:szCs w:val="24"/>
          <w:highlight w:val="none"/>
        </w:rPr>
        <w:t>支持不少于50000个系统注册用户</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 xml:space="preserve">5.2.2 </w:t>
      </w:r>
      <w:r>
        <w:rPr>
          <w:rFonts w:hint="eastAsia" w:asciiTheme="minorEastAsia" w:hAnsiTheme="minorEastAsia" w:eastAsiaTheme="minorEastAsia" w:cstheme="minorEastAsia"/>
          <w:sz w:val="24"/>
          <w:szCs w:val="24"/>
          <w:highlight w:val="none"/>
        </w:rPr>
        <w:t>每个年度支持管理不少于500个班次、30000名学员；</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 xml:space="preserve">5.2.3 </w:t>
      </w:r>
      <w:r>
        <w:rPr>
          <w:rFonts w:hint="eastAsia" w:asciiTheme="minorEastAsia" w:hAnsiTheme="minorEastAsia" w:eastAsiaTheme="minorEastAsia" w:cstheme="minorEastAsia"/>
          <w:sz w:val="24"/>
          <w:szCs w:val="24"/>
          <w:highlight w:val="none"/>
        </w:rPr>
        <w:t>系统支持负载均衡和服务器集群并发配置；</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 xml:space="preserve">5.2.4 </w:t>
      </w:r>
      <w:r>
        <w:rPr>
          <w:rFonts w:hint="eastAsia" w:asciiTheme="minorEastAsia" w:hAnsiTheme="minorEastAsia" w:eastAsiaTheme="minorEastAsia" w:cstheme="minorEastAsia"/>
          <w:sz w:val="24"/>
          <w:szCs w:val="24"/>
          <w:highlight w:val="none"/>
        </w:rPr>
        <w:t>可以同时支持500个在线用户进行系统操作，简单查询不超过2秒，复杂的关联查询不超过5秒。对于较长时间处理和响应的，需有相应消息提醒或进度条提示；</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 xml:space="preserve">5.2.5 </w:t>
      </w:r>
      <w:r>
        <w:rPr>
          <w:rFonts w:hint="eastAsia" w:asciiTheme="minorEastAsia" w:hAnsiTheme="minorEastAsia" w:eastAsiaTheme="minorEastAsia" w:cstheme="minorEastAsia"/>
          <w:sz w:val="24"/>
          <w:szCs w:val="24"/>
          <w:highlight w:val="none"/>
        </w:rPr>
        <w:t>随着系统的运行，业务数据、文件和用户数将不断增长，开发商需提供切实可行的技术措施以保证系统稳定和高效运行。</w:t>
      </w:r>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44" w:name="_Toc74298858"/>
      <w:bookmarkStart w:id="45" w:name="_Toc43836692"/>
      <w:r>
        <w:rPr>
          <w:rFonts w:hint="eastAsia" w:asciiTheme="minorEastAsia" w:hAnsiTheme="minorEastAsia" w:eastAsiaTheme="minorEastAsia" w:cstheme="minorEastAsia"/>
          <w:b/>
          <w:bCs/>
          <w:sz w:val="24"/>
          <w:szCs w:val="24"/>
          <w:highlight w:val="none"/>
          <w:lang w:val="en-US" w:eastAsia="zh-CN"/>
        </w:rPr>
        <w:t>6、</w:t>
      </w:r>
      <w:r>
        <w:rPr>
          <w:rFonts w:hint="eastAsia" w:asciiTheme="minorEastAsia" w:hAnsiTheme="minorEastAsia" w:eastAsiaTheme="minorEastAsia" w:cstheme="minorEastAsia"/>
          <w:b/>
          <w:bCs/>
          <w:sz w:val="24"/>
          <w:szCs w:val="24"/>
          <w:highlight w:val="none"/>
        </w:rPr>
        <w:t>数据库设计要求</w:t>
      </w:r>
      <w:bookmarkEnd w:id="44"/>
      <w:bookmarkEnd w:id="45"/>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46" w:name="_Toc74298859"/>
      <w:r>
        <w:rPr>
          <w:rFonts w:hint="eastAsia" w:asciiTheme="minorEastAsia" w:hAnsiTheme="minorEastAsia" w:eastAsiaTheme="minorEastAsia" w:cstheme="minorEastAsia"/>
          <w:b/>
          <w:bCs/>
          <w:sz w:val="24"/>
          <w:szCs w:val="24"/>
          <w:highlight w:val="none"/>
          <w:lang w:val="en-US" w:eastAsia="zh-CN"/>
        </w:rPr>
        <w:t>6.1</w:t>
      </w:r>
      <w:r>
        <w:rPr>
          <w:rFonts w:hint="eastAsia" w:asciiTheme="minorEastAsia" w:hAnsiTheme="minorEastAsia" w:eastAsiaTheme="minorEastAsia" w:cstheme="minorEastAsia"/>
          <w:b/>
          <w:bCs/>
          <w:sz w:val="24"/>
          <w:szCs w:val="24"/>
          <w:highlight w:val="none"/>
        </w:rPr>
        <w:t>总体说明</w:t>
      </w:r>
      <w:bookmarkEnd w:id="46"/>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数据库是信息化建设的重要基础。数据库设计通常是作为应用系统开发的一部分进行的，但在应用系统开发中数据库设计具有特殊的重要性和相对独立性。</w:t>
      </w:r>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47" w:name="_Toc74298860"/>
      <w:r>
        <w:rPr>
          <w:rFonts w:hint="eastAsia" w:asciiTheme="minorEastAsia" w:hAnsiTheme="minorEastAsia" w:eastAsiaTheme="minorEastAsia" w:cstheme="minorEastAsia"/>
          <w:b/>
          <w:bCs/>
          <w:sz w:val="24"/>
          <w:szCs w:val="24"/>
          <w:highlight w:val="none"/>
          <w:lang w:val="en-US" w:eastAsia="zh-CN"/>
        </w:rPr>
        <w:t>6.2</w:t>
      </w:r>
      <w:r>
        <w:rPr>
          <w:rFonts w:hint="eastAsia" w:asciiTheme="minorEastAsia" w:hAnsiTheme="minorEastAsia" w:eastAsiaTheme="minorEastAsia" w:cstheme="minorEastAsia"/>
          <w:b/>
          <w:bCs/>
          <w:sz w:val="24"/>
          <w:szCs w:val="24"/>
          <w:highlight w:val="none"/>
        </w:rPr>
        <w:t>设计要求</w:t>
      </w:r>
      <w:bookmarkEnd w:id="47"/>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数据库建设规范主要包括数据库设计规范、数据库对象命名规则和数据库程序开发编码规范、数据字典文档编写格式等内容。</w:t>
      </w:r>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48" w:name="_Toc74298861"/>
      <w:r>
        <w:rPr>
          <w:rFonts w:hint="eastAsia" w:asciiTheme="minorEastAsia" w:hAnsiTheme="minorEastAsia" w:eastAsiaTheme="minorEastAsia" w:cstheme="minorEastAsia"/>
          <w:b/>
          <w:bCs/>
          <w:sz w:val="24"/>
          <w:szCs w:val="24"/>
          <w:highlight w:val="none"/>
          <w:lang w:val="en-US" w:eastAsia="zh-CN"/>
        </w:rPr>
        <w:t>6.3</w:t>
      </w:r>
      <w:r>
        <w:rPr>
          <w:rFonts w:hint="eastAsia" w:asciiTheme="minorEastAsia" w:hAnsiTheme="minorEastAsia" w:eastAsiaTheme="minorEastAsia" w:cstheme="minorEastAsia"/>
          <w:b/>
          <w:bCs/>
          <w:sz w:val="24"/>
          <w:szCs w:val="24"/>
          <w:highlight w:val="none"/>
        </w:rPr>
        <w:t>数据库总体要求</w:t>
      </w:r>
      <w:bookmarkEnd w:id="48"/>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（1）开发者在系统设计阶段，应采用合理的设计方法进行数据库设计，建立数据库的逻辑模型和物理模型，最终设计出高性能、易扩展、易维护、少冗余、高安全性、高可靠性、一致性和完整性好的数据库。</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（2）在数据库设计完成后，开发者应提交《数据库设计报告》。</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（3）在软件鉴定验收时，开发者应提交完整的《数据库设计报告》、《数据字典》和在开发过程中发生的变更记录。</w:t>
      </w:r>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49" w:name="_Toc74298862"/>
      <w:r>
        <w:rPr>
          <w:rFonts w:hint="eastAsia" w:asciiTheme="minorEastAsia" w:hAnsiTheme="minorEastAsia" w:eastAsiaTheme="minorEastAsia" w:cstheme="minorEastAsia"/>
          <w:b/>
          <w:bCs/>
          <w:sz w:val="24"/>
          <w:szCs w:val="24"/>
          <w:highlight w:val="none"/>
          <w:lang w:val="en-US" w:eastAsia="zh-CN"/>
        </w:rPr>
        <w:t>6.4</w:t>
      </w:r>
      <w:r>
        <w:rPr>
          <w:rFonts w:hint="eastAsia" w:asciiTheme="minorEastAsia" w:hAnsiTheme="minorEastAsia" w:eastAsiaTheme="minorEastAsia" w:cstheme="minorEastAsia"/>
          <w:b/>
          <w:bCs/>
          <w:sz w:val="24"/>
          <w:szCs w:val="24"/>
          <w:highlight w:val="none"/>
        </w:rPr>
        <w:t>数据库对象命名要求</w:t>
      </w:r>
      <w:bookmarkEnd w:id="49"/>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（1）数据库对象如表、存储过程等的名称一般根据对象的类别、所在的系统代号和自定义代号来确定，但对各类对象的命名有其特定要求，具体的各种对象的命名要求请见本规范命名规范部分。</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（2）自定义代号全部采用英文名称缩写构成。</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（3）数据库对象不得使用数据库的关键字作为名字。</w:t>
      </w:r>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50" w:name="_Toc74298863"/>
      <w:r>
        <w:rPr>
          <w:rFonts w:hint="eastAsia" w:asciiTheme="minorEastAsia" w:hAnsiTheme="minorEastAsia" w:eastAsiaTheme="minorEastAsia" w:cstheme="minorEastAsia"/>
          <w:b/>
          <w:bCs/>
          <w:sz w:val="24"/>
          <w:szCs w:val="24"/>
          <w:highlight w:val="none"/>
          <w:lang w:val="en-US" w:eastAsia="zh-CN"/>
        </w:rPr>
        <w:t>6.5</w:t>
      </w:r>
      <w:r>
        <w:rPr>
          <w:rFonts w:hint="eastAsia" w:asciiTheme="minorEastAsia" w:hAnsiTheme="minorEastAsia" w:eastAsiaTheme="minorEastAsia" w:cstheme="minorEastAsia"/>
          <w:b/>
          <w:bCs/>
          <w:sz w:val="24"/>
          <w:szCs w:val="24"/>
          <w:highlight w:val="none"/>
        </w:rPr>
        <w:t>数据库程序编码要求</w:t>
      </w:r>
      <w:bookmarkEnd w:id="50"/>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（1）通过对数据库程序编码制定规则，来提高程序的可读性。这其中主要包括变量命名规则、代码排版规则、代码注释规则等。</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（2）本部分的代码注释规则是对开发者编写注释的基本要求，开发者自己可以提出对代码注释的更高要求，但不得低于本规则的要求。</w:t>
      </w:r>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51" w:name="_Toc74298864"/>
      <w:r>
        <w:rPr>
          <w:rFonts w:hint="eastAsia" w:asciiTheme="minorEastAsia" w:hAnsiTheme="minorEastAsia" w:eastAsiaTheme="minorEastAsia" w:cstheme="minorEastAsia"/>
          <w:b/>
          <w:bCs/>
          <w:sz w:val="24"/>
          <w:szCs w:val="24"/>
          <w:highlight w:val="none"/>
          <w:lang w:val="en-US" w:eastAsia="zh-CN"/>
        </w:rPr>
        <w:t>6.6</w:t>
      </w:r>
      <w:r>
        <w:rPr>
          <w:rFonts w:hint="eastAsia" w:asciiTheme="minorEastAsia" w:hAnsiTheme="minorEastAsia" w:eastAsiaTheme="minorEastAsia" w:cstheme="minorEastAsia"/>
          <w:b/>
          <w:bCs/>
          <w:sz w:val="24"/>
          <w:szCs w:val="24"/>
          <w:highlight w:val="none"/>
        </w:rPr>
        <w:t>数据库设计规范</w:t>
      </w:r>
      <w:bookmarkEnd w:id="51"/>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数据库概念模型设计</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概念模型设计的目标是反映系统信息需求的系统概念结构，概念模型不依赖于具体的计算机系统和数据库产品。概念设计应采用E-R模型进行，针对各个业务系统进行局部数据视图设计，然后进行局部数据视图集成，进行整体数据视图的设计。在整体设计中找到最大的共享数据集，同时对这些共享数据进行语义上的描述(数据产生的业务系统、数据使用的业务系统等)。面向信息服务的数据建模采用E-R模型描述，但所有的数据模式按照中心主题建立。</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数据库逻辑设计</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逻辑设计又称为实现设计，逻辑设计的目的是从概念结构中导出特定的关系数据库产品可实现的数据逻辑模式结构和功能。这些模式在功能、性能、完整性、一致性约束和数据库的可扩展性等方面均应满足用户的各种要求。</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逻辑设计的主要任务是根据得到的全局概念模式进行关系逻辑设计，并作规范化分解，建立一系列的规范化分解，对于概念模式中的数据集进行数据表的设计。所有的公共共享数据集，业务数据要保证数据源唯一。</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数据库建设内容</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通过对应用系统的数据需求梳理可以看出，本项目需要建设的数据库/表主要包括如下内容：组织机构数据、培训学员数据、教职员工数据、师资专家数据、证书数据、课程授课数据、课程考勤数据、教学培训评价数据、生活服务评价数据、培训教材基础数据、视频课件基础数据、科研成果数据等。</w:t>
      </w:r>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52" w:name="_Toc74298865"/>
      <w:bookmarkStart w:id="53" w:name="_Toc43836694"/>
      <w:r>
        <w:rPr>
          <w:rFonts w:hint="eastAsia" w:asciiTheme="minorEastAsia" w:hAnsiTheme="minorEastAsia" w:eastAsiaTheme="minorEastAsia" w:cstheme="minorEastAsia"/>
          <w:b/>
          <w:bCs/>
          <w:sz w:val="24"/>
          <w:szCs w:val="24"/>
          <w:highlight w:val="none"/>
          <w:lang w:val="en-US" w:eastAsia="zh-CN"/>
        </w:rPr>
        <w:t>7、</w:t>
      </w:r>
      <w:r>
        <w:rPr>
          <w:rFonts w:hint="eastAsia" w:asciiTheme="minorEastAsia" w:hAnsiTheme="minorEastAsia" w:eastAsiaTheme="minorEastAsia" w:cstheme="minorEastAsia"/>
          <w:b/>
          <w:bCs/>
          <w:sz w:val="24"/>
          <w:szCs w:val="24"/>
          <w:highlight w:val="none"/>
        </w:rPr>
        <w:t>系统安全要求</w:t>
      </w:r>
      <w:bookmarkEnd w:id="41"/>
      <w:bookmarkEnd w:id="42"/>
      <w:bookmarkEnd w:id="43"/>
      <w:bookmarkEnd w:id="52"/>
      <w:bookmarkEnd w:id="53"/>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重要系统的应用、主机，关键网络节点，应做好冗余技术处理。重要数据应加强保护，避免未授权访问和篡改，并做好备份工作。</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由于网络的互联性和开放性，使得数据传输面临种种危险，也由此提出了相应的系统安全要求，应按照信息系统安全等级保护二级相关要求对本项目涉及的应用、数据、支撑平台等安全进行建设，并对管理提出有效方案。保证系统的安全，对于信息的安全性、完整性都非常重要。因此在构建系统时，必须考虑安全因素，制定一套信息安全的整体解决方案。</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系统对安全要求包括信息保密性、身份的确定性、身份的不可否认性、文件的不可修改性、访问控制、身份验证和授权等。每一部分都非常重要。具体要求如下：</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实现信息传输的加密，以密文方式传输，以防止数据被监听。</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对接收后数据需进行必要的完整性校验，保证信息的完整性。</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对保密程度较高的信息，在信息存储时实现信息的加密存储。</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实现有效的用户身份认证，并支持CA认证在内的多种认证方式，最大限度的保证了数据传输的可靠性。</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由于组织机关文件的严肃性，实现信息确认发出后的不可否认性。</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实现信息确认发出后的不可篡改性，保证整个数据传输过程的严肃和公正。</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提供完善的、灵活的授权管理机制，实现不同权限的用户只能访问自己权限内的资源，保证系统资源的安全和完整性。</w:t>
      </w:r>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提供完善的日志管理功能，能完整的记录系统资源使用情况、用户登录及访问等应用情况。通过日志信息的分析可以及时发现系统级和应用级的安全问题，消除安全隐患。</w:t>
      </w:r>
    </w:p>
    <w:p>
      <w:pPr>
        <w:pStyle w:val="46"/>
        <w:spacing w:line="360" w:lineRule="auto"/>
        <w:ind w:left="0" w:leftChars="0" w:firstLine="0" w:firstLineChars="0"/>
        <w:jc w:val="left"/>
        <w:rPr>
          <w:rFonts w:hint="eastAsia" w:asciiTheme="minorEastAsia" w:hAnsiTheme="minorEastAsia" w:eastAsiaTheme="minorEastAsia" w:cstheme="minorEastAsia"/>
          <w:b/>
          <w:bCs/>
          <w:sz w:val="24"/>
          <w:szCs w:val="24"/>
          <w:highlight w:val="none"/>
        </w:rPr>
      </w:pPr>
      <w:bookmarkStart w:id="54" w:name="_Toc515846293"/>
      <w:bookmarkStart w:id="55" w:name="_Toc23669067"/>
      <w:bookmarkStart w:id="56" w:name="_Toc43836695"/>
      <w:bookmarkStart w:id="57" w:name="_Toc74298866"/>
      <w:bookmarkStart w:id="58" w:name="_Toc515845432"/>
      <w:r>
        <w:rPr>
          <w:rFonts w:hint="eastAsia" w:asciiTheme="minorEastAsia" w:hAnsiTheme="minorEastAsia" w:eastAsiaTheme="minorEastAsia" w:cstheme="minorEastAsia"/>
          <w:b/>
          <w:bCs/>
          <w:sz w:val="24"/>
          <w:szCs w:val="24"/>
          <w:highlight w:val="none"/>
          <w:lang w:val="en-US" w:eastAsia="zh-CN"/>
        </w:rPr>
        <w:t>8、</w:t>
      </w:r>
      <w:r>
        <w:rPr>
          <w:rFonts w:hint="eastAsia" w:asciiTheme="minorEastAsia" w:hAnsiTheme="minorEastAsia" w:eastAsiaTheme="minorEastAsia" w:cstheme="minorEastAsia"/>
          <w:b/>
          <w:bCs/>
          <w:sz w:val="24"/>
          <w:szCs w:val="24"/>
          <w:highlight w:val="none"/>
        </w:rPr>
        <w:t>系统对接要求</w:t>
      </w:r>
      <w:bookmarkEnd w:id="54"/>
      <w:bookmarkEnd w:id="55"/>
      <w:bookmarkEnd w:id="56"/>
      <w:bookmarkEnd w:id="57"/>
      <w:bookmarkEnd w:id="58"/>
    </w:p>
    <w:p>
      <w:pPr>
        <w:pStyle w:val="46"/>
        <w:spacing w:line="360" w:lineRule="auto"/>
        <w:ind w:firstLine="6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智慧校园综合管理平台涉及到对内和对外的各平台和应用系统的对接。对内要实现数据集成统一，需要和一卡通系统、酒店系统、浙政钉、浙江省委党校数字化改革要求、短信平台等系统的对接工作。</w:t>
      </w:r>
    </w:p>
    <w:p>
      <w:pPr>
        <w:pStyle w:val="2"/>
        <w:numPr>
          <w:ilvl w:val="0"/>
          <w:numId w:val="0"/>
        </w:numPr>
        <w:ind w:leftChars="0"/>
        <w:rPr>
          <w:rFonts w:hint="default"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五、商务要求</w:t>
      </w:r>
    </w:p>
    <w:p>
      <w:pPr>
        <w:pStyle w:val="112"/>
        <w:numPr>
          <w:ilvl w:val="1"/>
          <w:numId w:val="0"/>
        </w:numPr>
        <w:spacing w:line="360" w:lineRule="auto"/>
        <w:rPr>
          <w:rFonts w:hint="eastAsia" w:asciiTheme="minorEastAsia" w:hAnsiTheme="minorEastAsia" w:eastAsiaTheme="minorEastAsia" w:cstheme="minorEastAsia"/>
          <w:b/>
          <w:bCs/>
          <w:sz w:val="24"/>
          <w:szCs w:val="24"/>
          <w:highlight w:val="none"/>
        </w:rPr>
      </w:pPr>
      <w:bookmarkStart w:id="59" w:name="_Toc43836720"/>
      <w:bookmarkStart w:id="60" w:name="_Toc74298890"/>
      <w:r>
        <w:rPr>
          <w:rFonts w:hint="eastAsia" w:asciiTheme="minorEastAsia" w:hAnsiTheme="minorEastAsia" w:eastAsiaTheme="minorEastAsia" w:cstheme="minorEastAsia"/>
          <w:b/>
          <w:bCs/>
          <w:sz w:val="24"/>
          <w:szCs w:val="24"/>
          <w:highlight w:val="none"/>
          <w:lang w:val="en-US" w:eastAsia="zh-CN"/>
        </w:rPr>
        <w:t>1、</w:t>
      </w:r>
      <w:r>
        <w:rPr>
          <w:rFonts w:hint="eastAsia" w:asciiTheme="minorEastAsia" w:hAnsiTheme="minorEastAsia" w:eastAsiaTheme="minorEastAsia" w:cstheme="minorEastAsia"/>
          <w:b/>
          <w:bCs/>
          <w:sz w:val="24"/>
          <w:szCs w:val="24"/>
          <w:highlight w:val="none"/>
        </w:rPr>
        <w:t>项目进度要求</w:t>
      </w:r>
      <w:bookmarkEnd w:id="59"/>
      <w:bookmarkEnd w:id="60"/>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应用软件系统建设项目建设期为1</w:t>
      </w:r>
      <w:r>
        <w:rPr>
          <w:rFonts w:hint="eastAsia" w:asciiTheme="minorEastAsia" w:hAnsiTheme="minorEastAsia" w:eastAsiaTheme="minorEastAsia" w:cstheme="minorEastAsia"/>
          <w:sz w:val="24"/>
          <w:szCs w:val="24"/>
          <w:highlight w:val="none"/>
          <w:lang w:val="en-US" w:eastAsia="zh-CN"/>
        </w:rPr>
        <w:t>8</w:t>
      </w:r>
      <w:r>
        <w:rPr>
          <w:rFonts w:hint="eastAsia" w:asciiTheme="minorEastAsia" w:hAnsiTheme="minorEastAsia" w:eastAsiaTheme="minorEastAsia" w:cstheme="minorEastAsia"/>
          <w:sz w:val="24"/>
          <w:szCs w:val="24"/>
          <w:highlight w:val="none"/>
        </w:rPr>
        <w:t>个月：其中2022年</w:t>
      </w:r>
      <w:r>
        <w:rPr>
          <w:rFonts w:hint="eastAsia" w:asciiTheme="minorEastAsia" w:hAnsiTheme="minorEastAsia" w:eastAsiaTheme="minorEastAsia" w:cstheme="minorEastAsia"/>
          <w:sz w:val="24"/>
          <w:szCs w:val="24"/>
          <w:highlight w:val="none"/>
          <w:lang w:val="en-US" w:eastAsia="zh-CN"/>
        </w:rPr>
        <w:t>6</w:t>
      </w:r>
      <w:r>
        <w:rPr>
          <w:rFonts w:hint="eastAsia" w:asciiTheme="minorEastAsia" w:hAnsiTheme="minorEastAsia" w:eastAsiaTheme="minorEastAsia" w:cstheme="minorEastAsia"/>
          <w:sz w:val="24"/>
          <w:szCs w:val="24"/>
          <w:highlight w:val="none"/>
        </w:rPr>
        <w:t>月前，完成</w:t>
      </w:r>
      <w:r>
        <w:rPr>
          <w:rFonts w:hint="eastAsia" w:asciiTheme="minorEastAsia" w:hAnsiTheme="minorEastAsia" w:eastAsiaTheme="minorEastAsia" w:cstheme="minorEastAsia"/>
          <w:sz w:val="24"/>
          <w:szCs w:val="24"/>
          <w:highlight w:val="none"/>
          <w:lang w:val="en-US" w:eastAsia="zh-CN"/>
        </w:rPr>
        <w:t>统一应用支撑平台、</w:t>
      </w:r>
      <w:r>
        <w:rPr>
          <w:rFonts w:hint="eastAsia" w:asciiTheme="minorEastAsia" w:hAnsiTheme="minorEastAsia" w:eastAsiaTheme="minorEastAsia" w:cstheme="minorEastAsia"/>
          <w:sz w:val="24"/>
          <w:szCs w:val="24"/>
          <w:highlight w:val="none"/>
        </w:rPr>
        <w:t>智慧门户、智慧教学</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rPr>
        <w:t>智慧移动</w:t>
      </w:r>
      <w:r>
        <w:rPr>
          <w:rFonts w:hint="eastAsia" w:asciiTheme="minorEastAsia" w:hAnsiTheme="minorEastAsia" w:eastAsiaTheme="minorEastAsia" w:cstheme="minorEastAsia"/>
          <w:sz w:val="24"/>
          <w:szCs w:val="24"/>
          <w:highlight w:val="none"/>
          <w:lang w:val="en-US" w:eastAsia="zh-CN"/>
        </w:rPr>
        <w:t>等系统</w:t>
      </w:r>
      <w:r>
        <w:rPr>
          <w:rFonts w:hint="eastAsia" w:asciiTheme="minorEastAsia" w:hAnsiTheme="minorEastAsia" w:eastAsiaTheme="minorEastAsia" w:cstheme="minorEastAsia"/>
          <w:sz w:val="24"/>
          <w:szCs w:val="24"/>
          <w:highlight w:val="none"/>
        </w:rPr>
        <w:t>上线并投入运行；合同签订个12月内完成其他应用软件系统建设；合同签订1</w:t>
      </w:r>
      <w:r>
        <w:rPr>
          <w:rFonts w:hint="eastAsia" w:asciiTheme="minorEastAsia" w:hAnsiTheme="minorEastAsia" w:eastAsiaTheme="minorEastAsia" w:cstheme="minorEastAsia"/>
          <w:sz w:val="24"/>
          <w:szCs w:val="24"/>
          <w:highlight w:val="none"/>
          <w:lang w:val="en-US" w:eastAsia="zh-CN"/>
        </w:rPr>
        <w:t>8</w:t>
      </w:r>
      <w:r>
        <w:rPr>
          <w:rFonts w:hint="eastAsia" w:asciiTheme="minorEastAsia" w:hAnsiTheme="minorEastAsia" w:eastAsiaTheme="minorEastAsia" w:cstheme="minorEastAsia"/>
          <w:sz w:val="24"/>
          <w:szCs w:val="24"/>
          <w:highlight w:val="none"/>
        </w:rPr>
        <w:t>个月内完成终验收。</w:t>
      </w:r>
    </w:p>
    <w:p>
      <w:pPr>
        <w:pStyle w:val="112"/>
        <w:numPr>
          <w:ilvl w:val="1"/>
          <w:numId w:val="0"/>
        </w:numPr>
        <w:spacing w:line="360" w:lineRule="auto"/>
        <w:rPr>
          <w:rFonts w:hint="eastAsia" w:asciiTheme="minorEastAsia" w:hAnsiTheme="minorEastAsia" w:eastAsiaTheme="minorEastAsia" w:cstheme="minorEastAsia"/>
          <w:b/>
          <w:bCs/>
          <w:sz w:val="24"/>
          <w:szCs w:val="24"/>
          <w:highlight w:val="none"/>
        </w:rPr>
      </w:pPr>
      <w:bookmarkStart w:id="61" w:name="_Toc43836715"/>
      <w:bookmarkStart w:id="62" w:name="_Toc74298891"/>
      <w:bookmarkStart w:id="63" w:name="_Toc43836721"/>
      <w:r>
        <w:rPr>
          <w:rFonts w:hint="eastAsia" w:asciiTheme="minorEastAsia" w:hAnsiTheme="minorEastAsia" w:eastAsiaTheme="minorEastAsia" w:cstheme="minorEastAsia"/>
          <w:b/>
          <w:bCs/>
          <w:sz w:val="24"/>
          <w:szCs w:val="24"/>
          <w:highlight w:val="none"/>
          <w:lang w:val="en-US" w:eastAsia="zh-CN"/>
        </w:rPr>
        <w:t>2、</w:t>
      </w:r>
      <w:r>
        <w:rPr>
          <w:rFonts w:hint="eastAsia" w:asciiTheme="minorEastAsia" w:hAnsiTheme="minorEastAsia" w:eastAsiaTheme="minorEastAsia" w:cstheme="minorEastAsia"/>
          <w:b/>
          <w:bCs/>
          <w:sz w:val="24"/>
          <w:szCs w:val="24"/>
          <w:highlight w:val="none"/>
        </w:rPr>
        <w:t>项目实施要求</w:t>
      </w:r>
      <w:bookmarkEnd w:id="61"/>
      <w:bookmarkEnd w:id="62"/>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投标人必须成立合理的组织机构，建立健全保障项目顺利实施的各项管理制度和质量保证体系，项目实施计划和实施方案中应至少包括以下内容：</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2.1</w:t>
      </w:r>
      <w:r>
        <w:rPr>
          <w:rFonts w:hint="eastAsia" w:asciiTheme="minorEastAsia" w:hAnsiTheme="minorEastAsia" w:eastAsiaTheme="minorEastAsia" w:cstheme="minorEastAsia"/>
          <w:sz w:val="24"/>
          <w:szCs w:val="24"/>
          <w:highlight w:val="none"/>
        </w:rPr>
        <w:t>工作任务按照项目建设内容、时间进行结构化分解，细化到具体实施工作安排上，明确每个具体任务的工作过程、方法和产出物。</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2.2</w:t>
      </w:r>
      <w:r>
        <w:rPr>
          <w:rFonts w:hint="eastAsia" w:asciiTheme="minorEastAsia" w:hAnsiTheme="minorEastAsia" w:eastAsiaTheme="minorEastAsia" w:cstheme="minorEastAsia"/>
          <w:sz w:val="24"/>
          <w:szCs w:val="24"/>
          <w:highlight w:val="none"/>
        </w:rPr>
        <w:t>进度计划要求划分项目的实施阶段，确定项目的重大节点和里程碑，提出有效的节点控制办法，保证项目的整体时间进度要求，项目实施计划要细化到周。</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2.3</w:t>
      </w:r>
      <w:r>
        <w:rPr>
          <w:rFonts w:hint="eastAsia" w:asciiTheme="minorEastAsia" w:hAnsiTheme="minorEastAsia" w:eastAsiaTheme="minorEastAsia" w:cstheme="minorEastAsia"/>
          <w:sz w:val="24"/>
          <w:szCs w:val="24"/>
          <w:highlight w:val="none"/>
        </w:rPr>
        <w:t>实施本项目各个阶段任务的组织框架，具体岗位和职责，以及各阶段人力资源配置。</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2.4</w:t>
      </w:r>
      <w:r>
        <w:rPr>
          <w:rFonts w:hint="eastAsia" w:asciiTheme="minorEastAsia" w:hAnsiTheme="minorEastAsia" w:eastAsiaTheme="minorEastAsia" w:cstheme="minorEastAsia"/>
          <w:sz w:val="24"/>
          <w:szCs w:val="24"/>
          <w:highlight w:val="none"/>
        </w:rPr>
        <w:t>在项目每个阶段或重要节点时向采购人提供书面进度报告。</w:t>
      </w:r>
    </w:p>
    <w:p>
      <w:pPr>
        <w:pStyle w:val="112"/>
        <w:numPr>
          <w:ilvl w:val="1"/>
          <w:numId w:val="0"/>
        </w:numPr>
        <w:spacing w:line="360" w:lineRule="auto"/>
        <w:rPr>
          <w:rFonts w:hint="eastAsia" w:asciiTheme="minorEastAsia" w:hAnsiTheme="minorEastAsia" w:eastAsiaTheme="minorEastAsia" w:cstheme="minorEastAsia"/>
          <w:b/>
          <w:bCs/>
          <w:sz w:val="24"/>
          <w:szCs w:val="24"/>
          <w:highlight w:val="none"/>
        </w:rPr>
      </w:pPr>
      <w:bookmarkStart w:id="64" w:name="_Toc74298892"/>
      <w:bookmarkStart w:id="65" w:name="_Toc43836716"/>
      <w:bookmarkStart w:id="66" w:name="_Toc29755822"/>
      <w:r>
        <w:rPr>
          <w:rFonts w:hint="eastAsia" w:asciiTheme="minorEastAsia" w:hAnsiTheme="minorEastAsia" w:eastAsiaTheme="minorEastAsia" w:cstheme="minorEastAsia"/>
          <w:b/>
          <w:bCs/>
          <w:sz w:val="24"/>
          <w:szCs w:val="24"/>
          <w:highlight w:val="none"/>
          <w:lang w:val="en-US" w:eastAsia="zh-CN"/>
        </w:rPr>
        <w:t>3、</w:t>
      </w:r>
      <w:r>
        <w:rPr>
          <w:rFonts w:hint="eastAsia" w:asciiTheme="minorEastAsia" w:hAnsiTheme="minorEastAsia" w:eastAsiaTheme="minorEastAsia" w:cstheme="minorEastAsia"/>
          <w:b/>
          <w:bCs/>
          <w:sz w:val="24"/>
          <w:szCs w:val="24"/>
          <w:highlight w:val="none"/>
        </w:rPr>
        <w:t>对实施人员要求</w:t>
      </w:r>
      <w:bookmarkEnd w:id="64"/>
      <w:bookmarkEnd w:id="65"/>
      <w:bookmarkEnd w:id="66"/>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项目开发实施过程中投标人至少投入10人项目开发实施团队，实施期间根据项目计划要求需要人员现场服务时，投标人需提供不少于3人进行现场驻点；项目质保期投标人至少投入1人对本项目进行专项运维。</w:t>
      </w:r>
    </w:p>
    <w:p>
      <w:pPr>
        <w:spacing w:line="360" w:lineRule="auto"/>
        <w:ind w:firstLine="482" w:firstLineChars="200"/>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lang w:val="en-US" w:eastAsia="zh-CN"/>
        </w:rPr>
        <w:t xml:space="preserve">3.1 </w:t>
      </w:r>
      <w:r>
        <w:rPr>
          <w:rFonts w:hint="eastAsia" w:asciiTheme="minorEastAsia" w:hAnsiTheme="minorEastAsia" w:eastAsiaTheme="minorEastAsia" w:cstheme="minorEastAsia"/>
          <w:b/>
          <w:bCs/>
          <w:sz w:val="24"/>
          <w:szCs w:val="24"/>
          <w:highlight w:val="none"/>
        </w:rPr>
        <w:t>项目经理、技术经理要求</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投标方应配备经验丰富的项目经理、技术经理承担本项目工作。项目经理和技术经理需具备软件项目管理、软件开发的相关证书，在投标方单位工作3年以上，具有丰富的党校智慧校园项目实施管理经验。并出具该项目经理、技术经理在投标人单位的劳动关系证明和相关证书。</w:t>
      </w:r>
    </w:p>
    <w:p>
      <w:pPr>
        <w:spacing w:line="360" w:lineRule="auto"/>
        <w:ind w:firstLine="480"/>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lang w:val="en-US" w:eastAsia="zh-CN"/>
        </w:rPr>
        <w:t xml:space="preserve">3.2 </w:t>
      </w:r>
      <w:r>
        <w:rPr>
          <w:rFonts w:hint="eastAsia" w:asciiTheme="minorEastAsia" w:hAnsiTheme="minorEastAsia" w:eastAsiaTheme="minorEastAsia" w:cstheme="minorEastAsia"/>
          <w:b/>
          <w:bCs/>
          <w:sz w:val="24"/>
          <w:szCs w:val="24"/>
          <w:highlight w:val="none"/>
        </w:rPr>
        <w:t>项目团队要求</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投标方必须成立合理的组织机构，建立健全保障项目顺利实施的各项管理制度和质量保证体系，项目团队人员配置科学合理、分工明确，至少应包括网络系统建设人员、系统集成人员、系统分析人员、数据库设计人员、系统架构设计人员、软件开发人员、测试人员、配置管理员、用户培训人员、部署实施人员、运行维护人员等角色。</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投标人必须针对上述团队要求列出详细人员计划，包括人员姓名、简历、资质证书和在本项目中的职责分工，团队成员具有丰富的党校智慧校园项目开发实施经验。应明确项目经理和技术负责人在本项目中的岗位职责、任职资格及管理权限，并明确项目经理和技术负责人调动相关资源的权力，以确保项目顺利实施。</w:t>
      </w:r>
    </w:p>
    <w:p>
      <w:pPr>
        <w:pStyle w:val="112"/>
        <w:numPr>
          <w:ilvl w:val="1"/>
          <w:numId w:val="0"/>
        </w:numPr>
        <w:spacing w:line="360" w:lineRule="auto"/>
        <w:rPr>
          <w:rFonts w:hint="eastAsia" w:asciiTheme="minorEastAsia" w:hAnsiTheme="minorEastAsia" w:eastAsiaTheme="minorEastAsia" w:cstheme="minorEastAsia"/>
          <w:b/>
          <w:bCs/>
          <w:sz w:val="24"/>
          <w:szCs w:val="24"/>
          <w:highlight w:val="none"/>
        </w:rPr>
      </w:pPr>
      <w:bookmarkStart w:id="67" w:name="_Toc74298893"/>
      <w:r>
        <w:rPr>
          <w:rFonts w:hint="eastAsia" w:asciiTheme="minorEastAsia" w:hAnsiTheme="minorEastAsia" w:eastAsiaTheme="minorEastAsia" w:cstheme="minorEastAsia"/>
          <w:b/>
          <w:bCs/>
          <w:sz w:val="24"/>
          <w:szCs w:val="24"/>
          <w:highlight w:val="none"/>
          <w:lang w:val="en-US" w:eastAsia="zh-CN"/>
        </w:rPr>
        <w:t>4、</w:t>
      </w:r>
      <w:r>
        <w:rPr>
          <w:rFonts w:hint="eastAsia" w:asciiTheme="minorEastAsia" w:hAnsiTheme="minorEastAsia" w:eastAsiaTheme="minorEastAsia" w:cstheme="minorEastAsia"/>
          <w:b/>
          <w:bCs/>
          <w:sz w:val="24"/>
          <w:szCs w:val="24"/>
          <w:highlight w:val="none"/>
        </w:rPr>
        <w:t>付款方式</w:t>
      </w:r>
      <w:bookmarkEnd w:id="63"/>
      <w:bookmarkEnd w:id="67"/>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付款条件：合同签订一周内预付合同总价的40%；</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系统开发完成上线试运行后，一周内支付合同总价的30%；</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系统上线正式运行通过最终验收后，一周内支付合同总价的25%；</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余款5%在质保期结束之日起两周内一次付清。</w:t>
      </w:r>
    </w:p>
    <w:p>
      <w:pPr>
        <w:pStyle w:val="112"/>
        <w:numPr>
          <w:ilvl w:val="1"/>
          <w:numId w:val="0"/>
        </w:numPr>
        <w:spacing w:line="360" w:lineRule="auto"/>
        <w:rPr>
          <w:rFonts w:hint="eastAsia" w:asciiTheme="minorEastAsia" w:hAnsiTheme="minorEastAsia" w:eastAsiaTheme="minorEastAsia" w:cstheme="minorEastAsia"/>
          <w:b/>
          <w:bCs/>
          <w:sz w:val="24"/>
          <w:szCs w:val="24"/>
          <w:highlight w:val="none"/>
        </w:rPr>
      </w:pPr>
      <w:bookmarkStart w:id="68" w:name="_Toc43836722"/>
      <w:bookmarkStart w:id="69" w:name="_Toc74298894"/>
      <w:bookmarkStart w:id="70" w:name="_Toc29755821"/>
      <w:r>
        <w:rPr>
          <w:rFonts w:hint="eastAsia" w:asciiTheme="minorEastAsia" w:hAnsiTheme="minorEastAsia" w:eastAsiaTheme="minorEastAsia" w:cstheme="minorEastAsia"/>
          <w:b/>
          <w:bCs/>
          <w:sz w:val="24"/>
          <w:szCs w:val="24"/>
          <w:highlight w:val="none"/>
          <w:lang w:val="en-US" w:eastAsia="zh-CN"/>
        </w:rPr>
        <w:t>5、</w:t>
      </w:r>
      <w:r>
        <w:rPr>
          <w:rFonts w:hint="eastAsia" w:asciiTheme="minorEastAsia" w:hAnsiTheme="minorEastAsia" w:eastAsiaTheme="minorEastAsia" w:cstheme="minorEastAsia"/>
          <w:b/>
          <w:bCs/>
          <w:sz w:val="24"/>
          <w:szCs w:val="24"/>
          <w:highlight w:val="none"/>
        </w:rPr>
        <w:t>服务地点</w:t>
      </w:r>
      <w:bookmarkEnd w:id="68"/>
      <w:bookmarkEnd w:id="69"/>
      <w:bookmarkEnd w:id="70"/>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中共台州市委党校内。</w:t>
      </w:r>
    </w:p>
    <w:p>
      <w:pPr>
        <w:pStyle w:val="112"/>
        <w:numPr>
          <w:ilvl w:val="1"/>
          <w:numId w:val="0"/>
        </w:numPr>
        <w:spacing w:line="360" w:lineRule="auto"/>
        <w:rPr>
          <w:rFonts w:hint="eastAsia" w:asciiTheme="minorEastAsia" w:hAnsiTheme="minorEastAsia" w:eastAsiaTheme="minorEastAsia" w:cstheme="minorEastAsia"/>
          <w:b/>
          <w:bCs/>
          <w:sz w:val="24"/>
          <w:szCs w:val="24"/>
          <w:highlight w:val="none"/>
        </w:rPr>
      </w:pPr>
      <w:bookmarkStart w:id="71" w:name="_Toc24441"/>
      <w:bookmarkStart w:id="72" w:name="_Toc23669103"/>
      <w:bookmarkStart w:id="73" w:name="_Toc12114609"/>
      <w:bookmarkStart w:id="74" w:name="_Toc43836723"/>
      <w:bookmarkStart w:id="75" w:name="_Toc493231635"/>
      <w:bookmarkStart w:id="76" w:name="_Toc74298895"/>
      <w:bookmarkStart w:id="77" w:name="_Toc15000"/>
      <w:bookmarkStart w:id="78" w:name="_Toc29755823"/>
      <w:r>
        <w:rPr>
          <w:rFonts w:hint="eastAsia" w:asciiTheme="minorEastAsia" w:hAnsiTheme="minorEastAsia" w:eastAsiaTheme="minorEastAsia" w:cstheme="minorEastAsia"/>
          <w:b/>
          <w:bCs/>
          <w:sz w:val="24"/>
          <w:szCs w:val="24"/>
          <w:highlight w:val="none"/>
          <w:lang w:val="en-US" w:eastAsia="zh-CN"/>
        </w:rPr>
        <w:t>6、</w:t>
      </w:r>
      <w:r>
        <w:rPr>
          <w:rFonts w:hint="eastAsia" w:asciiTheme="minorEastAsia" w:hAnsiTheme="minorEastAsia" w:eastAsiaTheme="minorEastAsia" w:cstheme="minorEastAsia"/>
          <w:b/>
          <w:bCs/>
          <w:sz w:val="24"/>
          <w:szCs w:val="24"/>
          <w:highlight w:val="none"/>
        </w:rPr>
        <w:t>知识产权和保密要求</w:t>
      </w:r>
      <w:bookmarkEnd w:id="71"/>
      <w:bookmarkEnd w:id="72"/>
      <w:bookmarkEnd w:id="73"/>
      <w:bookmarkEnd w:id="74"/>
      <w:bookmarkEnd w:id="75"/>
      <w:bookmarkEnd w:id="76"/>
      <w:bookmarkEnd w:id="77"/>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本项目的最终用户为中共台州市委党校，本项目所产生的知识产权与中共台州市委党校，中标方必须提供项目的所有开发文档。本项目中的应用系统最终许可用户名为：中共台州市委党校。</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中标方须承诺且不限于以下保密条款要求：</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中标方对本项目所产生的业务资料、技术信息等负有保密责任，未经招标单位同意不得提供给任何第三方，包括中标方的分支机构、子公司、委托顾问方或接受咨询方。</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中标方应妥善保管有关的文件和资料，未经采购方许可，不得对其复制、仿造等。</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中标方应对有关人员进行有效管理，包括制定规章制度，以确保本承诺书的履行。</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中标方若违反本承诺的约定，应赔偿招标单位由此遭受的一切损失。</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保密期限：中标方需对本项目的业务资料、技术信息等在软件生命周期内一直保密，直至采购方同意或该业务资料、技术信息在同行业中已成为公开信息后方可解除保密义务。</w:t>
      </w:r>
    </w:p>
    <w:bookmarkEnd w:id="78"/>
    <w:p>
      <w:pPr>
        <w:pStyle w:val="112"/>
        <w:numPr>
          <w:ilvl w:val="1"/>
          <w:numId w:val="0"/>
        </w:numPr>
        <w:spacing w:line="360" w:lineRule="auto"/>
        <w:rPr>
          <w:rFonts w:hint="eastAsia" w:asciiTheme="minorEastAsia" w:hAnsiTheme="minorEastAsia" w:eastAsiaTheme="minorEastAsia" w:cstheme="minorEastAsia"/>
          <w:b/>
          <w:bCs/>
          <w:sz w:val="24"/>
          <w:szCs w:val="24"/>
          <w:highlight w:val="none"/>
        </w:rPr>
      </w:pPr>
      <w:bookmarkStart w:id="79" w:name="_Toc43836724"/>
      <w:bookmarkStart w:id="80" w:name="_Toc74298896"/>
      <w:bookmarkStart w:id="81" w:name="_Toc29755824"/>
      <w:r>
        <w:rPr>
          <w:rFonts w:hint="eastAsia" w:asciiTheme="minorEastAsia" w:hAnsiTheme="minorEastAsia" w:eastAsiaTheme="minorEastAsia" w:cstheme="minorEastAsia"/>
          <w:b/>
          <w:bCs/>
          <w:sz w:val="24"/>
          <w:szCs w:val="24"/>
          <w:highlight w:val="none"/>
          <w:lang w:val="en-US" w:eastAsia="zh-CN"/>
        </w:rPr>
        <w:t>7、</w:t>
      </w:r>
      <w:r>
        <w:rPr>
          <w:rFonts w:hint="eastAsia" w:asciiTheme="minorEastAsia" w:hAnsiTheme="minorEastAsia" w:eastAsiaTheme="minorEastAsia" w:cstheme="minorEastAsia"/>
          <w:b/>
          <w:bCs/>
          <w:sz w:val="24"/>
          <w:szCs w:val="24"/>
          <w:highlight w:val="none"/>
        </w:rPr>
        <w:t>培训要求</w:t>
      </w:r>
      <w:bookmarkEnd w:id="79"/>
      <w:bookmarkEnd w:id="80"/>
      <w:bookmarkEnd w:id="81"/>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中标方须在项目实施工程中和项目实施结束后，针对招标单位相关业务部门进行软件培训工作。培训计划根据招标单位的人员培训安排进行培训，投标方应制定详细的培训方案，说明日常操作培训和运维培训及提供其他形式培训的情况。具体培训要求包括：</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lang w:val="en-US" w:eastAsia="zh-CN"/>
        </w:rPr>
        <w:t>7.1</w:t>
      </w:r>
      <w:r>
        <w:rPr>
          <w:rFonts w:hint="eastAsia" w:asciiTheme="minorEastAsia" w:hAnsiTheme="minorEastAsia" w:eastAsiaTheme="minorEastAsia" w:cstheme="minorEastAsia"/>
          <w:sz w:val="24"/>
          <w:szCs w:val="24"/>
          <w:highlight w:val="none"/>
        </w:rPr>
        <w:t>在系统运行期间，若招标单位有其它培训要求，中标方应协助招标单位完成相关培训，并负责提供电子材料及教师。</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lang w:val="en-US" w:eastAsia="zh-CN"/>
        </w:rPr>
        <w:t>7.2</w:t>
      </w:r>
      <w:r>
        <w:rPr>
          <w:rFonts w:hint="eastAsia" w:asciiTheme="minorEastAsia" w:hAnsiTheme="minorEastAsia" w:eastAsiaTheme="minorEastAsia" w:cstheme="minorEastAsia"/>
          <w:sz w:val="24"/>
          <w:szCs w:val="24"/>
          <w:highlight w:val="none"/>
        </w:rPr>
        <w:t>中标方必须提供具有相应专业知识、实际工作和教学经验的培训讲师、辅导人员和相应的教材（ppt演示、word操作手册、操作讲解视频、纸质培训文档）。培训所使用的语言和教材必须是中文。培训方式以现场操作系统讲解方式为主，线上培训为辅，结合ppt演示、word操作手册、操作讲解视频、纸质培训文档。</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lang w:val="en-US" w:eastAsia="zh-CN"/>
        </w:rPr>
        <w:t>7.3</w:t>
      </w:r>
      <w:r>
        <w:rPr>
          <w:rFonts w:hint="eastAsia" w:asciiTheme="minorEastAsia" w:hAnsiTheme="minorEastAsia" w:eastAsiaTheme="minorEastAsia" w:cstheme="minorEastAsia"/>
          <w:sz w:val="24"/>
          <w:szCs w:val="24"/>
          <w:highlight w:val="none"/>
        </w:rPr>
        <w:t>中标方培训人员务必解答所有参加培训的人员在使用中遇到的相关问题，并且记录在案，将遇到的问题进行汇总，编写常见问题说明，以便遇相同问题时可以快速处理。必须保证所有使用人员在培训计划内学会使用系统软件操作。</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lang w:val="en-US" w:eastAsia="zh-CN"/>
        </w:rPr>
        <w:t>7.3.1</w:t>
      </w:r>
      <w:r>
        <w:rPr>
          <w:rFonts w:hint="eastAsia" w:asciiTheme="minorEastAsia" w:hAnsiTheme="minorEastAsia" w:eastAsiaTheme="minorEastAsia" w:cstheme="minorEastAsia"/>
          <w:sz w:val="24"/>
          <w:szCs w:val="24"/>
          <w:highlight w:val="none"/>
        </w:rPr>
        <w:t>面向使用人员的培训（各处室使用人员的培训）</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软件使用、维护培训面向系统使用人员，包括软件安装、配置和操作，常见故障处理等内容，通过此项培训，确保使用人员能够熟练地对软件进行使用。</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lang w:val="en-US" w:eastAsia="zh-CN"/>
        </w:rPr>
        <w:t>7.3.2</w:t>
      </w:r>
      <w:r>
        <w:rPr>
          <w:rFonts w:hint="eastAsia" w:asciiTheme="minorEastAsia" w:hAnsiTheme="minorEastAsia" w:eastAsiaTheme="minorEastAsia" w:cstheme="minorEastAsia"/>
          <w:sz w:val="24"/>
          <w:szCs w:val="24"/>
          <w:highlight w:val="none"/>
        </w:rPr>
        <w:t>面向系统管理员的培训（信息中心管理人员的培训）</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培训系统管理员在云平台管理、服务器管理、软件安装、配置、操作，故障处理，故障报修等方面的使用和运维。</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lang w:val="en-US" w:eastAsia="zh-CN"/>
        </w:rPr>
        <w:t>7.3.3</w:t>
      </w:r>
      <w:r>
        <w:rPr>
          <w:rFonts w:hint="eastAsia" w:asciiTheme="minorEastAsia" w:hAnsiTheme="minorEastAsia" w:eastAsiaTheme="minorEastAsia" w:cstheme="minorEastAsia"/>
          <w:sz w:val="24"/>
          <w:szCs w:val="24"/>
          <w:highlight w:val="none"/>
        </w:rPr>
        <w:t>面向班主任的培训（班主任的培训）</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主要培训班主任向学员介绍系统的使用。并且需要提供对招标方学员的培训，为班主任做演示。</w:t>
      </w:r>
    </w:p>
    <w:p>
      <w:pPr>
        <w:spacing w:line="360" w:lineRule="auto"/>
        <w:ind w:firstLine="480"/>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lang w:val="en-US" w:eastAsia="zh-CN"/>
        </w:rPr>
        <w:t>7.4</w:t>
      </w:r>
      <w:r>
        <w:rPr>
          <w:rFonts w:hint="eastAsia" w:asciiTheme="minorEastAsia" w:hAnsiTheme="minorEastAsia" w:eastAsiaTheme="minorEastAsia" w:cstheme="minorEastAsia"/>
          <w:b/>
          <w:bCs/>
          <w:sz w:val="24"/>
          <w:szCs w:val="24"/>
          <w:highlight w:val="none"/>
        </w:rPr>
        <w:t>线上培训</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除了提供集中培训，为了达到持续培训的效果，还应该提供网上培训的方式对各级人员进行培训。网上培训的电子课件（ppt、word操作手册、操作讲解视频）由中标方负责编制，由招标单位负责通过现有网站或内网门户或其他在线平台对课件进行发布和管理，用户可以下载自己所需的培训教材进行学习，并反馈相关问题。</w:t>
      </w:r>
    </w:p>
    <w:p>
      <w:pPr>
        <w:pStyle w:val="112"/>
        <w:numPr>
          <w:ilvl w:val="1"/>
          <w:numId w:val="0"/>
        </w:numPr>
        <w:spacing w:line="360" w:lineRule="auto"/>
        <w:rPr>
          <w:rFonts w:hint="eastAsia" w:asciiTheme="minorEastAsia" w:hAnsiTheme="minorEastAsia" w:eastAsiaTheme="minorEastAsia" w:cstheme="minorEastAsia"/>
          <w:b/>
          <w:bCs/>
          <w:sz w:val="24"/>
          <w:szCs w:val="24"/>
          <w:highlight w:val="none"/>
        </w:rPr>
      </w:pPr>
      <w:bookmarkStart w:id="82" w:name="_Toc29755825"/>
      <w:bookmarkStart w:id="83" w:name="_Toc43836725"/>
      <w:bookmarkStart w:id="84" w:name="_Toc74298897"/>
      <w:r>
        <w:rPr>
          <w:rFonts w:hint="eastAsia" w:asciiTheme="minorEastAsia" w:hAnsiTheme="minorEastAsia" w:eastAsiaTheme="minorEastAsia" w:cstheme="minorEastAsia"/>
          <w:b/>
          <w:bCs/>
          <w:sz w:val="24"/>
          <w:szCs w:val="24"/>
          <w:highlight w:val="none"/>
          <w:lang w:val="en-US" w:eastAsia="zh-CN"/>
        </w:rPr>
        <w:t>8、</w:t>
      </w:r>
      <w:r>
        <w:rPr>
          <w:rFonts w:hint="eastAsia" w:asciiTheme="minorEastAsia" w:hAnsiTheme="minorEastAsia" w:eastAsiaTheme="minorEastAsia" w:cstheme="minorEastAsia"/>
          <w:b/>
          <w:bCs/>
          <w:sz w:val="24"/>
          <w:szCs w:val="24"/>
          <w:highlight w:val="none"/>
        </w:rPr>
        <w:t>服务要求</w:t>
      </w:r>
      <w:bookmarkEnd w:id="82"/>
      <w:bookmarkEnd w:id="83"/>
      <w:bookmarkEnd w:id="84"/>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投标方应按照智慧校园综合管理平台的运行要求，连续一年提供满足平台安全稳定运行的云平台资源，并对所交付的系统提供全面、有效、及时的技术支持和售后服务。技术支持与售后服务的全部费用包含在投标总价中，若不列出视为投标方免费提供。</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微软雅黑" w:hAnsi="微软雅黑" w:eastAsia="微软雅黑" w:cs="微软雅黑"/>
          <w:sz w:val="24"/>
          <w:szCs w:val="24"/>
          <w:highlight w:val="none"/>
        </w:rPr>
        <w:t>▲</w:t>
      </w:r>
      <w:r>
        <w:rPr>
          <w:rFonts w:hint="eastAsia" w:asciiTheme="minorEastAsia" w:hAnsiTheme="minorEastAsia" w:eastAsiaTheme="minorEastAsia" w:cstheme="minorEastAsia"/>
          <w:sz w:val="24"/>
          <w:szCs w:val="24"/>
          <w:highlight w:val="none"/>
        </w:rPr>
        <w:t>中标方应对交付招标单位的应用系统提供至少1年的质量保证，质量保证期从系统最终验收</w:t>
      </w:r>
      <w:r>
        <w:rPr>
          <w:rFonts w:hint="eastAsia" w:asciiTheme="minorEastAsia" w:hAnsiTheme="minorEastAsia" w:eastAsiaTheme="minorEastAsia" w:cstheme="minorEastAsia"/>
          <w:sz w:val="24"/>
          <w:szCs w:val="24"/>
          <w:highlight w:val="none"/>
          <w:lang w:val="en-US" w:eastAsia="zh-CN"/>
        </w:rPr>
        <w:t>通过</w:t>
      </w:r>
      <w:r>
        <w:rPr>
          <w:rFonts w:hint="eastAsia" w:asciiTheme="minorEastAsia" w:hAnsiTheme="minorEastAsia" w:eastAsiaTheme="minorEastAsia" w:cstheme="minorEastAsia"/>
          <w:sz w:val="24"/>
          <w:szCs w:val="24"/>
          <w:highlight w:val="none"/>
        </w:rPr>
        <w:t>之日起开始计算。在项目开发实施阶段</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lang w:val="en-US" w:eastAsia="zh-CN"/>
        </w:rPr>
        <w:t>中标方需至少2名具备相应的专业技术能力的工程师提供驻场服务，熟悉党校的业务管理流程。</w:t>
      </w:r>
      <w:r>
        <w:rPr>
          <w:rFonts w:hint="eastAsia" w:asciiTheme="minorEastAsia" w:hAnsiTheme="minorEastAsia" w:eastAsiaTheme="minorEastAsia" w:cstheme="minorEastAsia"/>
          <w:sz w:val="24"/>
          <w:szCs w:val="24"/>
          <w:highlight w:val="none"/>
        </w:rPr>
        <w:t>质量保证期内，中标方提供参与本项目系统开发建设周期内的1名工程师进行专职运维服务，提供7x24小时服务，工作日提供5x8小时的及时响应。</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投标方应在投标文件中提供针对本项目的技术支持与售后服务方案，以及完整的系统运行维护方案，方案需提供完整的备份机制，已保证数据的完整性。技术支持方案包括但不限于试运行和质量保证期内技术支持方案、质量保证期后技术支持方案、系统应急方案。售后服务方案包括但不限于售后服务体系、售后服务组织方案、售后服务管理制度、售后服务技术支持措施等内容。</w:t>
      </w:r>
    </w:p>
    <w:p>
      <w:pPr>
        <w:pStyle w:val="112"/>
        <w:numPr>
          <w:ilvl w:val="1"/>
          <w:numId w:val="0"/>
        </w:numPr>
        <w:spacing w:line="360" w:lineRule="auto"/>
        <w:rPr>
          <w:rFonts w:hint="eastAsia" w:asciiTheme="minorEastAsia" w:hAnsiTheme="minorEastAsia" w:eastAsiaTheme="minorEastAsia" w:cstheme="minorEastAsia"/>
          <w:b/>
          <w:bCs/>
          <w:sz w:val="24"/>
          <w:szCs w:val="24"/>
          <w:highlight w:val="none"/>
        </w:rPr>
      </w:pPr>
      <w:bookmarkStart w:id="85" w:name="_Toc74298898"/>
      <w:bookmarkStart w:id="86" w:name="_Toc43836717"/>
      <w:r>
        <w:rPr>
          <w:rFonts w:hint="eastAsia" w:asciiTheme="minorEastAsia" w:hAnsiTheme="minorEastAsia" w:eastAsiaTheme="minorEastAsia" w:cstheme="minorEastAsia"/>
          <w:b/>
          <w:bCs/>
          <w:sz w:val="24"/>
          <w:szCs w:val="24"/>
          <w:highlight w:val="none"/>
          <w:lang w:val="en-US" w:eastAsia="zh-CN"/>
        </w:rPr>
        <w:t>9、</w:t>
      </w:r>
      <w:r>
        <w:rPr>
          <w:rFonts w:hint="eastAsia" w:asciiTheme="minorEastAsia" w:hAnsiTheme="minorEastAsia" w:eastAsiaTheme="minorEastAsia" w:cstheme="minorEastAsia"/>
          <w:b/>
          <w:bCs/>
          <w:sz w:val="24"/>
          <w:szCs w:val="24"/>
          <w:highlight w:val="none"/>
        </w:rPr>
        <w:t>系统演示要求</w:t>
      </w:r>
      <w:bookmarkEnd w:id="85"/>
      <w:bookmarkEnd w:id="86"/>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为展现投标方技术实力和对项目的理解以及把握能力，以满足采购人的相关进度要求和技术实现，投标人应根据招标要求的评分标准中演示要求进行现场系统操作演示。</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lang w:val="en-US" w:eastAsia="zh-CN"/>
        </w:rPr>
        <w:t>9.1</w:t>
      </w:r>
      <w:r>
        <w:rPr>
          <w:rFonts w:hint="eastAsia" w:asciiTheme="minorEastAsia" w:hAnsiTheme="minorEastAsia" w:eastAsiaTheme="minorEastAsia" w:cstheme="minorEastAsia"/>
          <w:sz w:val="24"/>
          <w:szCs w:val="24"/>
          <w:highlight w:val="none"/>
        </w:rPr>
        <w:t>评审现场只提供场地、电源、投影接入设备，参加演示所需要的其它软硬件设备须自备；</w:t>
      </w:r>
    </w:p>
    <w:p>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lang w:val="en-US" w:eastAsia="zh-CN"/>
        </w:rPr>
        <w:t>9.2</w:t>
      </w:r>
      <w:r>
        <w:rPr>
          <w:rFonts w:hint="eastAsia" w:asciiTheme="minorEastAsia" w:hAnsiTheme="minorEastAsia" w:eastAsiaTheme="minorEastAsia" w:cstheme="minorEastAsia"/>
          <w:sz w:val="24"/>
          <w:szCs w:val="24"/>
          <w:highlight w:val="none"/>
        </w:rPr>
        <w:t>演示人员（包含投标授权代表）不超过 2 人，演示顺序为投标文件递交签到顺序，每家投标供应商演示时间不超过20分钟。</w:t>
      </w:r>
    </w:p>
    <w:p>
      <w:pPr>
        <w:tabs>
          <w:tab w:val="left" w:pos="945"/>
          <w:tab w:val="left" w:pos="1155"/>
        </w:tabs>
        <w:spacing w:before="0" w:after="0"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lang w:val="en-US" w:eastAsia="zh-CN"/>
        </w:rPr>
        <w:t>9.3</w:t>
      </w:r>
      <w:r>
        <w:rPr>
          <w:rFonts w:hint="eastAsia" w:asciiTheme="minorEastAsia" w:hAnsiTheme="minorEastAsia" w:eastAsiaTheme="minorEastAsia" w:cstheme="minorEastAsia"/>
          <w:sz w:val="24"/>
          <w:szCs w:val="24"/>
          <w:highlight w:val="none"/>
        </w:rPr>
        <w:t>投标方基于招标人提供的教学培训数据表结构演示样表，提前准备演示环境。数据表结构如下：</w:t>
      </w:r>
    </w:p>
    <w:p>
      <w:pPr>
        <w:tabs>
          <w:tab w:val="left" w:pos="945"/>
          <w:tab w:val="left" w:pos="1155"/>
        </w:tabs>
        <w:spacing w:before="0" w:after="0" w:line="360" w:lineRule="auto"/>
        <w:ind w:firstLine="480"/>
        <w:rPr>
          <w:rFonts w:hint="eastAsia" w:asciiTheme="minorEastAsia" w:hAnsiTheme="minorEastAsia" w:eastAsiaTheme="minorEastAsia" w:cstheme="minorEastAsia"/>
          <w:sz w:val="24"/>
          <w:szCs w:val="24"/>
          <w:highlight w:val="none"/>
        </w:rPr>
      </w:pPr>
    </w:p>
    <w:p>
      <w:pPr>
        <w:tabs>
          <w:tab w:val="left" w:pos="945"/>
          <w:tab w:val="left" w:pos="1155"/>
        </w:tabs>
        <w:spacing w:before="0" w:after="0" w:line="360" w:lineRule="auto"/>
        <w:ind w:firstLine="480"/>
        <w:rPr>
          <w:rFonts w:hint="eastAsia" w:asciiTheme="minorEastAsia" w:hAnsiTheme="minorEastAsia" w:eastAsiaTheme="minorEastAsia" w:cstheme="minorEastAsia"/>
          <w:sz w:val="24"/>
          <w:szCs w:val="24"/>
          <w:highlight w:val="none"/>
        </w:rPr>
      </w:pPr>
    </w:p>
    <w:p>
      <w:pPr>
        <w:tabs>
          <w:tab w:val="left" w:pos="945"/>
          <w:tab w:val="left" w:pos="1155"/>
        </w:tabs>
        <w:spacing w:before="0" w:after="0"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样表一：</w:t>
      </w:r>
    </w:p>
    <w:tbl>
      <w:tblPr>
        <w:tblStyle w:val="37"/>
        <w:tblW w:w="5000" w:type="pct"/>
        <w:jc w:val="center"/>
        <w:tblLayout w:type="autofit"/>
        <w:tblCellMar>
          <w:top w:w="0" w:type="dxa"/>
          <w:left w:w="108" w:type="dxa"/>
          <w:bottom w:w="0" w:type="dxa"/>
          <w:right w:w="108" w:type="dxa"/>
        </w:tblCellMar>
      </w:tblPr>
      <w:tblGrid>
        <w:gridCol w:w="2843"/>
        <w:gridCol w:w="3713"/>
        <w:gridCol w:w="2844"/>
      </w:tblGrid>
      <w:tr>
        <w:tblPrEx>
          <w:tblCellMar>
            <w:top w:w="0" w:type="dxa"/>
            <w:left w:w="108" w:type="dxa"/>
            <w:bottom w:w="0" w:type="dxa"/>
            <w:right w:w="108" w:type="dxa"/>
          </w:tblCellMar>
        </w:tblPrEx>
        <w:trPr>
          <w:trHeight w:val="276" w:hRule="atLeast"/>
          <w:jc w:val="center"/>
        </w:trPr>
        <w:tc>
          <w:tcPr>
            <w:tcW w:w="5000" w:type="pct"/>
            <w:gridSpan w:val="3"/>
            <w:tcBorders>
              <w:top w:val="single" w:color="auto" w:sz="4" w:space="0"/>
              <w:left w:val="single" w:color="auto" w:sz="4" w:space="0"/>
              <w:bottom w:val="single" w:color="auto" w:sz="4" w:space="0"/>
              <w:right w:val="single" w:color="auto" w:sz="4" w:space="0"/>
            </w:tcBorders>
            <w:noWrap/>
            <w:vAlign w:val="bottom"/>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学员考勤表</w:t>
            </w:r>
          </w:p>
        </w:tc>
      </w:tr>
      <w:tr>
        <w:tblPrEx>
          <w:tblCellMar>
            <w:top w:w="0" w:type="dxa"/>
            <w:left w:w="108" w:type="dxa"/>
            <w:bottom w:w="0" w:type="dxa"/>
            <w:right w:w="108" w:type="dxa"/>
          </w:tblCellMar>
        </w:tblPrEx>
        <w:trPr>
          <w:trHeight w:val="276" w:hRule="atLeast"/>
          <w:jc w:val="center"/>
        </w:trPr>
        <w:tc>
          <w:tcPr>
            <w:tcW w:w="1512" w:type="pct"/>
            <w:tcBorders>
              <w:top w:val="nil"/>
              <w:left w:val="single" w:color="auto" w:sz="4" w:space="0"/>
              <w:bottom w:val="single" w:color="auto" w:sz="4" w:space="0"/>
              <w:right w:val="single" w:color="auto" w:sz="4" w:space="0"/>
            </w:tcBorders>
            <w:noWrap/>
            <w:vAlign w:val="bottom"/>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课程名称</w:t>
            </w:r>
          </w:p>
        </w:tc>
        <w:tc>
          <w:tcPr>
            <w:tcW w:w="1975" w:type="pct"/>
            <w:tcBorders>
              <w:top w:val="nil"/>
              <w:left w:val="nil"/>
              <w:bottom w:val="single" w:color="auto" w:sz="4" w:space="0"/>
              <w:right w:val="single" w:color="auto" w:sz="4" w:space="0"/>
            </w:tcBorders>
            <w:noWrap/>
            <w:vAlign w:val="bottom"/>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学号</w:t>
            </w:r>
          </w:p>
        </w:tc>
        <w:tc>
          <w:tcPr>
            <w:tcW w:w="1512" w:type="pct"/>
            <w:tcBorders>
              <w:top w:val="nil"/>
              <w:left w:val="nil"/>
              <w:bottom w:val="single" w:color="auto" w:sz="4" w:space="0"/>
              <w:right w:val="single" w:color="auto" w:sz="4" w:space="0"/>
            </w:tcBorders>
            <w:noWrap/>
            <w:vAlign w:val="bottom"/>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签到状态</w:t>
            </w:r>
          </w:p>
        </w:tc>
      </w:tr>
      <w:tr>
        <w:tblPrEx>
          <w:tblCellMar>
            <w:top w:w="0" w:type="dxa"/>
            <w:left w:w="108" w:type="dxa"/>
            <w:bottom w:w="0" w:type="dxa"/>
            <w:right w:w="108" w:type="dxa"/>
          </w:tblCellMar>
        </w:tblPrEx>
        <w:trPr>
          <w:trHeight w:val="276" w:hRule="atLeast"/>
          <w:jc w:val="center"/>
        </w:trPr>
        <w:tc>
          <w:tcPr>
            <w:tcW w:w="1512" w:type="pct"/>
            <w:tcBorders>
              <w:top w:val="nil"/>
              <w:left w:val="single" w:color="auto" w:sz="4" w:space="0"/>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标准课程</w:t>
            </w:r>
          </w:p>
        </w:tc>
        <w:tc>
          <w:tcPr>
            <w:tcW w:w="197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202</w:t>
            </w:r>
            <w:r>
              <w:rPr>
                <w:rFonts w:hint="eastAsia" w:asciiTheme="minorEastAsia" w:hAnsiTheme="minorEastAsia" w:eastAsiaTheme="minorEastAsia" w:cstheme="minorEastAsia"/>
                <w:kern w:val="0"/>
                <w:sz w:val="24"/>
                <w:szCs w:val="24"/>
                <w:highlight w:val="none"/>
                <w:lang w:val="en-US" w:eastAsia="zh-CN"/>
              </w:rPr>
              <w:t>1</w:t>
            </w:r>
            <w:r>
              <w:rPr>
                <w:rFonts w:hint="eastAsia" w:asciiTheme="minorEastAsia" w:hAnsiTheme="minorEastAsia" w:eastAsiaTheme="minorEastAsia" w:cstheme="minorEastAsia"/>
                <w:kern w:val="0"/>
                <w:sz w:val="24"/>
                <w:szCs w:val="24"/>
                <w:highlight w:val="none"/>
              </w:rPr>
              <w:t>2101001</w:t>
            </w:r>
          </w:p>
        </w:tc>
        <w:tc>
          <w:tcPr>
            <w:tcW w:w="1512"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出勤</w:t>
            </w:r>
          </w:p>
        </w:tc>
      </w:tr>
      <w:tr>
        <w:tblPrEx>
          <w:tblCellMar>
            <w:top w:w="0" w:type="dxa"/>
            <w:left w:w="108" w:type="dxa"/>
            <w:bottom w:w="0" w:type="dxa"/>
            <w:right w:w="108" w:type="dxa"/>
          </w:tblCellMar>
        </w:tblPrEx>
        <w:trPr>
          <w:trHeight w:val="276" w:hRule="atLeast"/>
          <w:jc w:val="center"/>
        </w:trPr>
        <w:tc>
          <w:tcPr>
            <w:tcW w:w="1512" w:type="pct"/>
            <w:tcBorders>
              <w:top w:val="nil"/>
              <w:left w:val="single" w:color="auto" w:sz="4" w:space="0"/>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标准课程</w:t>
            </w:r>
          </w:p>
        </w:tc>
        <w:tc>
          <w:tcPr>
            <w:tcW w:w="197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202</w:t>
            </w:r>
            <w:r>
              <w:rPr>
                <w:rFonts w:hint="eastAsia" w:asciiTheme="minorEastAsia" w:hAnsiTheme="minorEastAsia" w:eastAsiaTheme="minorEastAsia" w:cstheme="minorEastAsia"/>
                <w:kern w:val="0"/>
                <w:sz w:val="24"/>
                <w:szCs w:val="24"/>
                <w:highlight w:val="none"/>
                <w:lang w:val="en-US" w:eastAsia="zh-CN"/>
              </w:rPr>
              <w:t>1</w:t>
            </w:r>
            <w:r>
              <w:rPr>
                <w:rFonts w:hint="eastAsia" w:asciiTheme="minorEastAsia" w:hAnsiTheme="minorEastAsia" w:eastAsiaTheme="minorEastAsia" w:cstheme="minorEastAsia"/>
                <w:kern w:val="0"/>
                <w:sz w:val="24"/>
                <w:szCs w:val="24"/>
                <w:highlight w:val="none"/>
              </w:rPr>
              <w:t>2101002</w:t>
            </w:r>
          </w:p>
        </w:tc>
        <w:tc>
          <w:tcPr>
            <w:tcW w:w="1512"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出勤</w:t>
            </w:r>
          </w:p>
        </w:tc>
      </w:tr>
    </w:tbl>
    <w:p>
      <w:pPr>
        <w:tabs>
          <w:tab w:val="left" w:pos="945"/>
          <w:tab w:val="left" w:pos="1155"/>
        </w:tabs>
        <w:spacing w:before="0" w:after="0"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样表二：</w:t>
      </w:r>
    </w:p>
    <w:tbl>
      <w:tblPr>
        <w:tblStyle w:val="37"/>
        <w:tblW w:w="5000" w:type="pct"/>
        <w:jc w:val="center"/>
        <w:tblLayout w:type="autofit"/>
        <w:tblCellMar>
          <w:top w:w="0" w:type="dxa"/>
          <w:left w:w="108" w:type="dxa"/>
          <w:bottom w:w="0" w:type="dxa"/>
          <w:right w:w="108" w:type="dxa"/>
        </w:tblCellMar>
      </w:tblPr>
      <w:tblGrid>
        <w:gridCol w:w="856"/>
        <w:gridCol w:w="856"/>
        <w:gridCol w:w="976"/>
        <w:gridCol w:w="1096"/>
        <w:gridCol w:w="856"/>
        <w:gridCol w:w="856"/>
        <w:gridCol w:w="856"/>
        <w:gridCol w:w="856"/>
        <w:gridCol w:w="1176"/>
        <w:gridCol w:w="1016"/>
      </w:tblGrid>
      <w:tr>
        <w:tblPrEx>
          <w:tblCellMar>
            <w:top w:w="0" w:type="dxa"/>
            <w:left w:w="108" w:type="dxa"/>
            <w:bottom w:w="0" w:type="dxa"/>
            <w:right w:w="108" w:type="dxa"/>
          </w:tblCellMar>
        </w:tblPrEx>
        <w:trPr>
          <w:trHeight w:val="164" w:hRule="atLeast"/>
          <w:jc w:val="center"/>
        </w:trPr>
        <w:tc>
          <w:tcPr>
            <w:tcW w:w="5000" w:type="pct"/>
            <w:gridSpan w:val="10"/>
            <w:tcBorders>
              <w:top w:val="single" w:color="auto" w:sz="4" w:space="0"/>
              <w:left w:val="single" w:color="auto" w:sz="4" w:space="0"/>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课程评估表</w:t>
            </w:r>
          </w:p>
        </w:tc>
      </w:tr>
      <w:tr>
        <w:tblPrEx>
          <w:tblCellMar>
            <w:top w:w="0" w:type="dxa"/>
            <w:left w:w="108" w:type="dxa"/>
            <w:bottom w:w="0" w:type="dxa"/>
            <w:right w:w="108" w:type="dxa"/>
          </w:tblCellMar>
        </w:tblPrEx>
        <w:trPr>
          <w:trHeight w:val="164" w:hRule="atLeast"/>
          <w:jc w:val="center"/>
        </w:trPr>
        <w:tc>
          <w:tcPr>
            <w:tcW w:w="455" w:type="pct"/>
            <w:tcBorders>
              <w:top w:val="nil"/>
              <w:left w:val="single" w:color="auto" w:sz="4" w:space="0"/>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课程名称</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授课教师</w:t>
            </w:r>
          </w:p>
        </w:tc>
        <w:tc>
          <w:tcPr>
            <w:tcW w:w="519"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授课</w:t>
            </w:r>
          </w:p>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地点</w:t>
            </w:r>
          </w:p>
        </w:tc>
        <w:tc>
          <w:tcPr>
            <w:tcW w:w="582"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学号</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仪容仪表</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课件打分</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讲授打分</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互动打分</w:t>
            </w:r>
          </w:p>
        </w:tc>
        <w:tc>
          <w:tcPr>
            <w:tcW w:w="62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意见建议</w:t>
            </w:r>
          </w:p>
        </w:tc>
        <w:tc>
          <w:tcPr>
            <w:tcW w:w="540"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评价</w:t>
            </w:r>
          </w:p>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时间</w:t>
            </w:r>
          </w:p>
        </w:tc>
      </w:tr>
      <w:tr>
        <w:tblPrEx>
          <w:tblCellMar>
            <w:top w:w="0" w:type="dxa"/>
            <w:left w:w="108" w:type="dxa"/>
            <w:bottom w:w="0" w:type="dxa"/>
            <w:right w:w="108" w:type="dxa"/>
          </w:tblCellMar>
        </w:tblPrEx>
        <w:trPr>
          <w:trHeight w:val="164" w:hRule="atLeast"/>
          <w:jc w:val="center"/>
        </w:trPr>
        <w:tc>
          <w:tcPr>
            <w:tcW w:w="455" w:type="pct"/>
            <w:tcBorders>
              <w:top w:val="nil"/>
              <w:left w:val="single" w:color="auto" w:sz="4" w:space="0"/>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标准课程</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王林</w:t>
            </w:r>
          </w:p>
        </w:tc>
        <w:tc>
          <w:tcPr>
            <w:tcW w:w="519"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教学楼301</w:t>
            </w:r>
          </w:p>
        </w:tc>
        <w:tc>
          <w:tcPr>
            <w:tcW w:w="582"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202</w:t>
            </w:r>
            <w:r>
              <w:rPr>
                <w:rFonts w:hint="eastAsia" w:asciiTheme="minorEastAsia" w:hAnsiTheme="minorEastAsia" w:eastAsiaTheme="minorEastAsia" w:cstheme="minorEastAsia"/>
                <w:kern w:val="0"/>
                <w:sz w:val="24"/>
                <w:szCs w:val="24"/>
                <w:highlight w:val="none"/>
                <w:lang w:val="en-US" w:eastAsia="zh-CN"/>
              </w:rPr>
              <w:t>1</w:t>
            </w:r>
            <w:r>
              <w:rPr>
                <w:rFonts w:hint="eastAsia" w:asciiTheme="minorEastAsia" w:hAnsiTheme="minorEastAsia" w:eastAsiaTheme="minorEastAsia" w:cstheme="minorEastAsia"/>
                <w:kern w:val="0"/>
                <w:sz w:val="24"/>
                <w:szCs w:val="24"/>
                <w:highlight w:val="none"/>
              </w:rPr>
              <w:t>2101001</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30</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25</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23</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9</w:t>
            </w:r>
          </w:p>
        </w:tc>
        <w:tc>
          <w:tcPr>
            <w:tcW w:w="62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教学方式新颖</w:t>
            </w:r>
          </w:p>
        </w:tc>
        <w:tc>
          <w:tcPr>
            <w:tcW w:w="540"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202</w:t>
            </w:r>
            <w:r>
              <w:rPr>
                <w:rFonts w:hint="eastAsia" w:asciiTheme="minorEastAsia" w:hAnsiTheme="minorEastAsia" w:eastAsiaTheme="minorEastAsia" w:cstheme="minorEastAsia"/>
                <w:kern w:val="0"/>
                <w:sz w:val="24"/>
                <w:szCs w:val="24"/>
                <w:highlight w:val="none"/>
                <w:lang w:val="en-US" w:eastAsia="zh-CN"/>
              </w:rPr>
              <w:t>1</w:t>
            </w:r>
            <w:r>
              <w:rPr>
                <w:rFonts w:hint="eastAsia" w:asciiTheme="minorEastAsia" w:hAnsiTheme="minorEastAsia" w:eastAsiaTheme="minorEastAsia" w:cstheme="minorEastAsia"/>
                <w:kern w:val="0"/>
                <w:sz w:val="24"/>
                <w:szCs w:val="24"/>
                <w:highlight w:val="none"/>
              </w:rPr>
              <w:t>-1</w:t>
            </w:r>
            <w:r>
              <w:rPr>
                <w:rFonts w:hint="eastAsia" w:asciiTheme="minorEastAsia" w:hAnsiTheme="minorEastAsia" w:eastAsiaTheme="minorEastAsia" w:cstheme="minorEastAsia"/>
                <w:kern w:val="0"/>
                <w:sz w:val="24"/>
                <w:szCs w:val="24"/>
                <w:highlight w:val="none"/>
                <w:lang w:val="en-US" w:eastAsia="zh-CN"/>
              </w:rPr>
              <w:t>2</w:t>
            </w:r>
            <w:r>
              <w:rPr>
                <w:rFonts w:hint="eastAsia" w:asciiTheme="minorEastAsia" w:hAnsiTheme="minorEastAsia" w:eastAsiaTheme="minorEastAsia" w:cstheme="minorEastAsia"/>
                <w:kern w:val="0"/>
                <w:sz w:val="24"/>
                <w:szCs w:val="24"/>
                <w:highlight w:val="none"/>
              </w:rPr>
              <w:t>-11</w:t>
            </w:r>
          </w:p>
        </w:tc>
      </w:tr>
      <w:tr>
        <w:tblPrEx>
          <w:tblCellMar>
            <w:top w:w="0" w:type="dxa"/>
            <w:left w:w="108" w:type="dxa"/>
            <w:bottom w:w="0" w:type="dxa"/>
            <w:right w:w="108" w:type="dxa"/>
          </w:tblCellMar>
        </w:tblPrEx>
        <w:trPr>
          <w:trHeight w:val="431" w:hRule="atLeast"/>
          <w:jc w:val="center"/>
        </w:trPr>
        <w:tc>
          <w:tcPr>
            <w:tcW w:w="455" w:type="pct"/>
            <w:tcBorders>
              <w:top w:val="nil"/>
              <w:left w:val="single" w:color="auto" w:sz="4" w:space="0"/>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标准课程</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李洁</w:t>
            </w:r>
          </w:p>
        </w:tc>
        <w:tc>
          <w:tcPr>
            <w:tcW w:w="519"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教学楼302</w:t>
            </w:r>
          </w:p>
        </w:tc>
        <w:tc>
          <w:tcPr>
            <w:tcW w:w="582"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202</w:t>
            </w:r>
            <w:r>
              <w:rPr>
                <w:rFonts w:hint="eastAsia" w:asciiTheme="minorEastAsia" w:hAnsiTheme="minorEastAsia" w:eastAsiaTheme="minorEastAsia" w:cstheme="minorEastAsia"/>
                <w:kern w:val="0"/>
                <w:sz w:val="24"/>
                <w:szCs w:val="24"/>
                <w:highlight w:val="none"/>
                <w:lang w:val="en-US" w:eastAsia="zh-CN"/>
              </w:rPr>
              <w:t>1</w:t>
            </w:r>
            <w:r>
              <w:rPr>
                <w:rFonts w:hint="eastAsia" w:asciiTheme="minorEastAsia" w:hAnsiTheme="minorEastAsia" w:eastAsiaTheme="minorEastAsia" w:cstheme="minorEastAsia"/>
                <w:kern w:val="0"/>
                <w:sz w:val="24"/>
                <w:szCs w:val="24"/>
                <w:highlight w:val="none"/>
              </w:rPr>
              <w:t>2101002</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26</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28</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28</w:t>
            </w:r>
          </w:p>
        </w:tc>
        <w:tc>
          <w:tcPr>
            <w:tcW w:w="45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7</w:t>
            </w:r>
          </w:p>
        </w:tc>
        <w:tc>
          <w:tcPr>
            <w:tcW w:w="625"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　</w:t>
            </w:r>
          </w:p>
        </w:tc>
        <w:tc>
          <w:tcPr>
            <w:tcW w:w="540"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202</w:t>
            </w:r>
            <w:r>
              <w:rPr>
                <w:rFonts w:hint="eastAsia" w:asciiTheme="minorEastAsia" w:hAnsiTheme="minorEastAsia" w:eastAsiaTheme="minorEastAsia" w:cstheme="minorEastAsia"/>
                <w:kern w:val="0"/>
                <w:sz w:val="24"/>
                <w:szCs w:val="24"/>
                <w:highlight w:val="none"/>
                <w:lang w:val="en-US" w:eastAsia="zh-CN"/>
              </w:rPr>
              <w:t>1</w:t>
            </w:r>
            <w:r>
              <w:rPr>
                <w:rFonts w:hint="eastAsia" w:asciiTheme="minorEastAsia" w:hAnsiTheme="minorEastAsia" w:eastAsiaTheme="minorEastAsia" w:cstheme="minorEastAsia"/>
                <w:kern w:val="0"/>
                <w:sz w:val="24"/>
                <w:szCs w:val="24"/>
                <w:highlight w:val="none"/>
              </w:rPr>
              <w:t>-1</w:t>
            </w:r>
            <w:r>
              <w:rPr>
                <w:rFonts w:hint="eastAsia" w:asciiTheme="minorEastAsia" w:hAnsiTheme="minorEastAsia" w:eastAsiaTheme="minorEastAsia" w:cstheme="minorEastAsia"/>
                <w:kern w:val="0"/>
                <w:sz w:val="24"/>
                <w:szCs w:val="24"/>
                <w:highlight w:val="none"/>
                <w:lang w:val="en-US" w:eastAsia="zh-CN"/>
              </w:rPr>
              <w:t>2</w:t>
            </w:r>
            <w:r>
              <w:rPr>
                <w:rFonts w:hint="eastAsia" w:asciiTheme="minorEastAsia" w:hAnsiTheme="minorEastAsia" w:eastAsiaTheme="minorEastAsia" w:cstheme="minorEastAsia"/>
                <w:kern w:val="0"/>
                <w:sz w:val="24"/>
                <w:szCs w:val="24"/>
                <w:highlight w:val="none"/>
              </w:rPr>
              <w:t>-11</w:t>
            </w:r>
          </w:p>
        </w:tc>
      </w:tr>
    </w:tbl>
    <w:p>
      <w:pPr>
        <w:tabs>
          <w:tab w:val="left" w:pos="945"/>
          <w:tab w:val="left" w:pos="1155"/>
        </w:tabs>
        <w:spacing w:before="0" w:after="0"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样表三：</w:t>
      </w:r>
    </w:p>
    <w:tbl>
      <w:tblPr>
        <w:tblStyle w:val="37"/>
        <w:tblW w:w="5000" w:type="pct"/>
        <w:tblInd w:w="0" w:type="dxa"/>
        <w:tblLayout w:type="autofit"/>
        <w:tblCellMar>
          <w:top w:w="0" w:type="dxa"/>
          <w:left w:w="108" w:type="dxa"/>
          <w:bottom w:w="0" w:type="dxa"/>
          <w:right w:w="108" w:type="dxa"/>
        </w:tblCellMar>
      </w:tblPr>
      <w:tblGrid>
        <w:gridCol w:w="1359"/>
        <w:gridCol w:w="674"/>
        <w:gridCol w:w="445"/>
        <w:gridCol w:w="445"/>
        <w:gridCol w:w="845"/>
        <w:gridCol w:w="731"/>
        <w:gridCol w:w="903"/>
        <w:gridCol w:w="674"/>
        <w:gridCol w:w="845"/>
        <w:gridCol w:w="788"/>
        <w:gridCol w:w="674"/>
        <w:gridCol w:w="1017"/>
      </w:tblGrid>
      <w:tr>
        <w:tblPrEx>
          <w:tblCellMar>
            <w:top w:w="0" w:type="dxa"/>
            <w:left w:w="108" w:type="dxa"/>
            <w:bottom w:w="0" w:type="dxa"/>
            <w:right w:w="108" w:type="dxa"/>
          </w:tblCellMar>
        </w:tblPrEx>
        <w:trPr>
          <w:trHeight w:val="202" w:hRule="atLeast"/>
        </w:trPr>
        <w:tc>
          <w:tcPr>
            <w:tcW w:w="5000" w:type="pct"/>
            <w:gridSpan w:val="12"/>
            <w:tcBorders>
              <w:top w:val="single" w:color="auto" w:sz="4" w:space="0"/>
              <w:left w:val="single" w:color="auto" w:sz="4" w:space="0"/>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学员信息表</w:t>
            </w:r>
          </w:p>
        </w:tc>
      </w:tr>
      <w:tr>
        <w:tblPrEx>
          <w:tblCellMar>
            <w:top w:w="0" w:type="dxa"/>
            <w:left w:w="108" w:type="dxa"/>
            <w:bottom w:w="0" w:type="dxa"/>
            <w:right w:w="108" w:type="dxa"/>
          </w:tblCellMar>
        </w:tblPrEx>
        <w:trPr>
          <w:trHeight w:val="202" w:hRule="atLeast"/>
        </w:trPr>
        <w:tc>
          <w:tcPr>
            <w:tcW w:w="722" w:type="pct"/>
            <w:tcBorders>
              <w:top w:val="nil"/>
              <w:left w:val="single" w:color="auto" w:sz="4" w:space="0"/>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班次名称</w:t>
            </w:r>
          </w:p>
        </w:tc>
        <w:tc>
          <w:tcPr>
            <w:tcW w:w="358"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学员姓名</w:t>
            </w:r>
          </w:p>
        </w:tc>
        <w:tc>
          <w:tcPr>
            <w:tcW w:w="236"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性别</w:t>
            </w:r>
          </w:p>
        </w:tc>
        <w:tc>
          <w:tcPr>
            <w:tcW w:w="236"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民族</w:t>
            </w:r>
          </w:p>
        </w:tc>
        <w:tc>
          <w:tcPr>
            <w:tcW w:w="449"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学号</w:t>
            </w:r>
          </w:p>
        </w:tc>
        <w:tc>
          <w:tcPr>
            <w:tcW w:w="388"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出生年月</w:t>
            </w:r>
          </w:p>
        </w:tc>
        <w:tc>
          <w:tcPr>
            <w:tcW w:w="480"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参加工作时间</w:t>
            </w:r>
          </w:p>
        </w:tc>
        <w:tc>
          <w:tcPr>
            <w:tcW w:w="358"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政治面貌</w:t>
            </w:r>
          </w:p>
        </w:tc>
        <w:tc>
          <w:tcPr>
            <w:tcW w:w="449"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手机号码</w:t>
            </w:r>
          </w:p>
        </w:tc>
        <w:tc>
          <w:tcPr>
            <w:tcW w:w="419"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身份证号码</w:t>
            </w:r>
          </w:p>
        </w:tc>
        <w:tc>
          <w:tcPr>
            <w:tcW w:w="358"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文化程度</w:t>
            </w:r>
          </w:p>
        </w:tc>
        <w:tc>
          <w:tcPr>
            <w:tcW w:w="540"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所在单位及职务</w:t>
            </w:r>
          </w:p>
        </w:tc>
      </w:tr>
      <w:tr>
        <w:tblPrEx>
          <w:tblCellMar>
            <w:top w:w="0" w:type="dxa"/>
            <w:left w:w="108" w:type="dxa"/>
            <w:bottom w:w="0" w:type="dxa"/>
            <w:right w:w="108" w:type="dxa"/>
          </w:tblCellMar>
        </w:tblPrEx>
        <w:trPr>
          <w:trHeight w:val="202" w:hRule="atLeast"/>
        </w:trPr>
        <w:tc>
          <w:tcPr>
            <w:tcW w:w="722" w:type="pct"/>
            <w:tcBorders>
              <w:top w:val="nil"/>
              <w:left w:val="single" w:color="auto" w:sz="4" w:space="0"/>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县处级领导干部进修班</w:t>
            </w:r>
          </w:p>
        </w:tc>
        <w:tc>
          <w:tcPr>
            <w:tcW w:w="358"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陈龙</w:t>
            </w:r>
          </w:p>
        </w:tc>
        <w:tc>
          <w:tcPr>
            <w:tcW w:w="236"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男</w:t>
            </w:r>
          </w:p>
        </w:tc>
        <w:tc>
          <w:tcPr>
            <w:tcW w:w="236"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汉族</w:t>
            </w:r>
          </w:p>
        </w:tc>
        <w:tc>
          <w:tcPr>
            <w:tcW w:w="449"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202</w:t>
            </w:r>
            <w:r>
              <w:rPr>
                <w:rFonts w:hint="eastAsia" w:asciiTheme="minorEastAsia" w:hAnsiTheme="minorEastAsia" w:eastAsiaTheme="minorEastAsia" w:cstheme="minorEastAsia"/>
                <w:kern w:val="0"/>
                <w:sz w:val="24"/>
                <w:szCs w:val="24"/>
                <w:highlight w:val="none"/>
                <w:lang w:val="en-US" w:eastAsia="zh-CN"/>
              </w:rPr>
              <w:t>1</w:t>
            </w:r>
            <w:r>
              <w:rPr>
                <w:rFonts w:hint="eastAsia" w:asciiTheme="minorEastAsia" w:hAnsiTheme="minorEastAsia" w:eastAsiaTheme="minorEastAsia" w:cstheme="minorEastAsia"/>
                <w:kern w:val="0"/>
                <w:sz w:val="24"/>
                <w:szCs w:val="24"/>
                <w:highlight w:val="none"/>
              </w:rPr>
              <w:t>2101001</w:t>
            </w:r>
          </w:p>
        </w:tc>
        <w:tc>
          <w:tcPr>
            <w:tcW w:w="388"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1964-5-17</w:t>
            </w:r>
          </w:p>
        </w:tc>
        <w:tc>
          <w:tcPr>
            <w:tcW w:w="480"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1984-5-29</w:t>
            </w:r>
          </w:p>
        </w:tc>
        <w:tc>
          <w:tcPr>
            <w:tcW w:w="358"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中共党员</w:t>
            </w:r>
          </w:p>
        </w:tc>
        <w:tc>
          <w:tcPr>
            <w:tcW w:w="449"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13466666666</w:t>
            </w:r>
          </w:p>
        </w:tc>
        <w:tc>
          <w:tcPr>
            <w:tcW w:w="419"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p>
        </w:tc>
        <w:tc>
          <w:tcPr>
            <w:tcW w:w="358"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大专</w:t>
            </w:r>
          </w:p>
        </w:tc>
        <w:tc>
          <w:tcPr>
            <w:tcW w:w="540"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p>
        </w:tc>
      </w:tr>
      <w:tr>
        <w:tblPrEx>
          <w:tblCellMar>
            <w:top w:w="0" w:type="dxa"/>
            <w:left w:w="108" w:type="dxa"/>
            <w:bottom w:w="0" w:type="dxa"/>
            <w:right w:w="108" w:type="dxa"/>
          </w:tblCellMar>
        </w:tblPrEx>
        <w:trPr>
          <w:trHeight w:val="202" w:hRule="atLeast"/>
        </w:trPr>
        <w:tc>
          <w:tcPr>
            <w:tcW w:w="722" w:type="pct"/>
            <w:tcBorders>
              <w:top w:val="nil"/>
              <w:left w:val="single" w:color="auto" w:sz="4" w:space="0"/>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县处级领导干部进修班</w:t>
            </w:r>
          </w:p>
        </w:tc>
        <w:tc>
          <w:tcPr>
            <w:tcW w:w="358"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何江</w:t>
            </w:r>
          </w:p>
        </w:tc>
        <w:tc>
          <w:tcPr>
            <w:tcW w:w="236"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男</w:t>
            </w:r>
          </w:p>
        </w:tc>
        <w:tc>
          <w:tcPr>
            <w:tcW w:w="236"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彝族</w:t>
            </w:r>
          </w:p>
        </w:tc>
        <w:tc>
          <w:tcPr>
            <w:tcW w:w="449"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202</w:t>
            </w:r>
            <w:r>
              <w:rPr>
                <w:rFonts w:hint="eastAsia" w:asciiTheme="minorEastAsia" w:hAnsiTheme="minorEastAsia" w:eastAsiaTheme="minorEastAsia" w:cstheme="minorEastAsia"/>
                <w:kern w:val="0"/>
                <w:sz w:val="24"/>
                <w:szCs w:val="24"/>
                <w:highlight w:val="none"/>
                <w:lang w:val="en-US" w:eastAsia="zh-CN"/>
              </w:rPr>
              <w:t>1</w:t>
            </w:r>
            <w:r>
              <w:rPr>
                <w:rFonts w:hint="eastAsia" w:asciiTheme="minorEastAsia" w:hAnsiTheme="minorEastAsia" w:eastAsiaTheme="minorEastAsia" w:cstheme="minorEastAsia"/>
                <w:kern w:val="0"/>
                <w:sz w:val="24"/>
                <w:szCs w:val="24"/>
                <w:highlight w:val="none"/>
              </w:rPr>
              <w:t>2101002</w:t>
            </w:r>
          </w:p>
        </w:tc>
        <w:tc>
          <w:tcPr>
            <w:tcW w:w="388"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1964-5-18</w:t>
            </w:r>
          </w:p>
        </w:tc>
        <w:tc>
          <w:tcPr>
            <w:tcW w:w="480"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1984-5-30</w:t>
            </w:r>
          </w:p>
        </w:tc>
        <w:tc>
          <w:tcPr>
            <w:tcW w:w="358"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中共党员</w:t>
            </w:r>
          </w:p>
        </w:tc>
        <w:tc>
          <w:tcPr>
            <w:tcW w:w="449"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13466666667</w:t>
            </w:r>
          </w:p>
        </w:tc>
        <w:tc>
          <w:tcPr>
            <w:tcW w:w="419"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p>
        </w:tc>
        <w:tc>
          <w:tcPr>
            <w:tcW w:w="358"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本科</w:t>
            </w:r>
          </w:p>
        </w:tc>
        <w:tc>
          <w:tcPr>
            <w:tcW w:w="540" w:type="pct"/>
            <w:tcBorders>
              <w:top w:val="nil"/>
              <w:left w:val="nil"/>
              <w:bottom w:val="single" w:color="auto" w:sz="4" w:space="0"/>
              <w:right w:val="single" w:color="auto" w:sz="4" w:space="0"/>
            </w:tcBorders>
            <w:noWrap/>
            <w:vAlign w:val="center"/>
          </w:tcPr>
          <w:p>
            <w:pPr>
              <w:widowControl/>
              <w:spacing w:before="0" w:after="0" w:line="360" w:lineRule="auto"/>
              <w:ind w:firstLine="0" w:firstLineChars="0"/>
              <w:jc w:val="center"/>
              <w:rPr>
                <w:rFonts w:hint="eastAsia" w:asciiTheme="minorEastAsia" w:hAnsiTheme="minorEastAsia" w:eastAsiaTheme="minorEastAsia" w:cstheme="minorEastAsia"/>
                <w:kern w:val="0"/>
                <w:sz w:val="24"/>
                <w:szCs w:val="24"/>
                <w:highlight w:val="none"/>
              </w:rPr>
            </w:pPr>
          </w:p>
        </w:tc>
      </w:tr>
    </w:tbl>
    <w:p>
      <w:pPr>
        <w:pStyle w:val="46"/>
        <w:spacing w:line="360" w:lineRule="auto"/>
        <w:ind w:left="0" w:leftChars="0" w:firstLine="0" w:firstLineChars="0"/>
        <w:jc w:val="both"/>
        <w:rPr>
          <w:rFonts w:hint="eastAsia" w:hAnsi="宋体" w:cs="宋体"/>
          <w:sz w:val="30"/>
          <w:szCs w:val="30"/>
          <w:highlight w:val="none"/>
        </w:rPr>
      </w:pPr>
    </w:p>
    <w:p>
      <w:pPr>
        <w:pStyle w:val="46"/>
        <w:spacing w:line="360" w:lineRule="auto"/>
        <w:ind w:firstLine="600"/>
        <w:jc w:val="center"/>
        <w:rPr>
          <w:rFonts w:hint="eastAsia" w:hAnsi="宋体" w:cs="宋体"/>
          <w:sz w:val="30"/>
          <w:szCs w:val="30"/>
        </w:rPr>
      </w:pPr>
    </w:p>
    <w:p>
      <w:pPr>
        <w:pStyle w:val="46"/>
        <w:spacing w:line="360" w:lineRule="auto"/>
        <w:ind w:firstLine="600"/>
        <w:jc w:val="center"/>
        <w:rPr>
          <w:rFonts w:hint="eastAsia" w:hAnsi="宋体" w:cs="宋体"/>
          <w:sz w:val="30"/>
          <w:szCs w:val="30"/>
        </w:rPr>
      </w:pPr>
    </w:p>
    <w:p>
      <w:pPr>
        <w:pStyle w:val="46"/>
        <w:spacing w:line="360" w:lineRule="auto"/>
        <w:ind w:firstLine="600"/>
        <w:jc w:val="center"/>
        <w:rPr>
          <w:rFonts w:hAnsi="宋体" w:cs="宋体"/>
          <w:sz w:val="30"/>
          <w:szCs w:val="30"/>
        </w:rPr>
      </w:pPr>
      <w:r>
        <w:rPr>
          <w:rFonts w:hint="eastAsia" w:hAnsi="宋体" w:cs="宋体"/>
          <w:sz w:val="30"/>
          <w:szCs w:val="30"/>
        </w:rPr>
        <w:t>第三章  投标人须知</w:t>
      </w:r>
    </w:p>
    <w:p>
      <w:pPr>
        <w:snapToGrid w:val="0"/>
        <w:spacing w:before="156" w:beforeLines="50" w:after="156" w:afterLines="50"/>
        <w:ind w:left="238"/>
        <w:jc w:val="center"/>
        <w:outlineLvl w:val="1"/>
        <w:rPr>
          <w:rFonts w:ascii="宋体" w:hAnsi="宋体" w:cs="宋体"/>
          <w:b/>
          <w:szCs w:val="28"/>
        </w:rPr>
      </w:pPr>
      <w:r>
        <w:rPr>
          <w:rFonts w:hint="eastAsia" w:ascii="宋体" w:hAnsi="宋体" w:cs="宋体"/>
          <w:b/>
          <w:szCs w:val="28"/>
        </w:rPr>
        <w:t>前 附 表</w:t>
      </w:r>
    </w:p>
    <w:tbl>
      <w:tblPr>
        <w:tblStyle w:val="37"/>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9"/>
        <w:gridCol w:w="83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序号</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1</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ind w:left="1200" w:hanging="1200" w:hangingChars="500"/>
              <w:rPr>
                <w:rFonts w:hint="eastAsia" w:ascii="宋体" w:hAnsi="宋体" w:eastAsia="宋体" w:cs="宋体"/>
                <w:sz w:val="24"/>
                <w:lang w:eastAsia="zh-CN"/>
              </w:rPr>
            </w:pPr>
            <w:r>
              <w:rPr>
                <w:rFonts w:hint="eastAsia" w:ascii="宋体" w:hAnsi="宋体" w:cs="宋体"/>
                <w:sz w:val="24"/>
              </w:rPr>
              <w:t>项目名称：</w:t>
            </w:r>
            <w:r>
              <w:rPr>
                <w:rFonts w:hint="eastAsia" w:ascii="宋体" w:hAnsi="宋体" w:cs="宋体"/>
                <w:bCs/>
                <w:sz w:val="24"/>
                <w:lang w:eastAsia="zh-CN"/>
              </w:rPr>
              <w:t>数字校园管理系统项目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2</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sz w:val="24"/>
              </w:rPr>
            </w:pPr>
            <w:r>
              <w:rPr>
                <w:rFonts w:hint="eastAsia" w:ascii="宋体" w:hAnsi="宋体" w:cs="宋体"/>
                <w:sz w:val="24"/>
              </w:rPr>
              <w:t>采购数量：详见第二章“招标需求”</w:t>
            </w:r>
          </w:p>
          <w:p>
            <w:pPr>
              <w:snapToGrid w:val="0"/>
              <w:rPr>
                <w:rFonts w:hint="eastAsia" w:ascii="宋体" w:hAnsi="宋体" w:eastAsia="宋体" w:cs="宋体"/>
                <w:sz w:val="24"/>
                <w:lang w:eastAsia="zh-CN"/>
              </w:rPr>
            </w:pPr>
            <w:r>
              <w:rPr>
                <w:rFonts w:hint="eastAsia" w:ascii="宋体" w:hAnsi="宋体" w:cs="宋体"/>
                <w:sz w:val="24"/>
              </w:rPr>
              <w:t>采购单位：</w:t>
            </w:r>
            <w:r>
              <w:rPr>
                <w:rFonts w:hint="eastAsia" w:ascii="宋体" w:hAnsi="宋体" w:cs="宋体"/>
                <w:bCs/>
                <w:sz w:val="24"/>
                <w:lang w:eastAsia="zh-CN"/>
              </w:rPr>
              <w:t>中共台州市委党校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3</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sz w:val="24"/>
              </w:rPr>
            </w:pPr>
            <w:r>
              <w:rPr>
                <w:rFonts w:hint="eastAsia" w:ascii="宋体" w:hAnsi="宋体" w:cs="宋体"/>
                <w:sz w:val="24"/>
              </w:rPr>
              <w:t>投标报价及费用：</w:t>
            </w:r>
          </w:p>
          <w:p>
            <w:pPr>
              <w:numPr>
                <w:ilvl w:val="0"/>
                <w:numId w:val="3"/>
              </w:numPr>
              <w:snapToGrid w:val="0"/>
              <w:rPr>
                <w:rFonts w:ascii="宋体" w:hAnsi="宋体" w:cs="宋体"/>
                <w:sz w:val="24"/>
              </w:rPr>
            </w:pPr>
            <w:r>
              <w:rPr>
                <w:rFonts w:hint="eastAsia" w:ascii="宋体" w:hAnsi="宋体" w:cs="宋体"/>
                <w:sz w:val="24"/>
              </w:rPr>
              <w:t>本项目投标应以人民币报价；</w:t>
            </w:r>
          </w:p>
          <w:p>
            <w:pPr>
              <w:numPr>
                <w:ilvl w:val="0"/>
                <w:numId w:val="3"/>
              </w:numPr>
              <w:snapToGrid w:val="0"/>
              <w:rPr>
                <w:rFonts w:ascii="宋体" w:hAnsi="宋体" w:cs="宋体"/>
                <w:sz w:val="24"/>
              </w:rPr>
            </w:pPr>
            <w:r>
              <w:rPr>
                <w:rFonts w:hint="eastAsia" w:ascii="宋体" w:hAnsi="宋体" w:cs="宋体"/>
                <w:sz w:val="24"/>
              </w:rPr>
              <w:t>不论投标结果如何，投标人均应自行承担所有与投标有关的全部费用；</w:t>
            </w:r>
          </w:p>
          <w:p>
            <w:pPr>
              <w:numPr>
                <w:ilvl w:val="0"/>
                <w:numId w:val="3"/>
              </w:numPr>
              <w:snapToGrid w:val="0"/>
              <w:rPr>
                <w:rFonts w:ascii="宋体" w:hAnsi="宋体" w:cs="宋体"/>
                <w:sz w:val="24"/>
              </w:rPr>
            </w:pPr>
            <w:r>
              <w:rPr>
                <w:rFonts w:hint="eastAsia" w:ascii="宋体" w:hAnsi="宋体" w:cs="宋体"/>
                <w:b/>
                <w:bCs/>
                <w:sz w:val="24"/>
                <w:lang w:val="en-US" w:eastAsia="zh-CN"/>
              </w:rPr>
              <w:t>本项目招标代理服务费</w:t>
            </w:r>
            <w:r>
              <w:rPr>
                <w:rFonts w:hint="eastAsia" w:ascii="宋体" w:hAnsi="宋体" w:cs="宋体"/>
                <w:b/>
                <w:bCs/>
                <w:sz w:val="24"/>
                <w:u w:val="single"/>
                <w:lang w:val="en-US" w:eastAsia="zh-CN"/>
              </w:rPr>
              <w:t>15000</w:t>
            </w:r>
            <w:r>
              <w:rPr>
                <w:rFonts w:hint="eastAsia" w:ascii="宋体" w:hAnsi="宋体" w:cs="宋体"/>
                <w:b/>
                <w:bCs/>
                <w:sz w:val="24"/>
                <w:lang w:val="en-US" w:eastAsia="zh-CN"/>
              </w:rPr>
              <w:t>元由中标单位支付，请各投标人报价时综合考虑。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2" w:hRule="atLeas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4</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sz w:val="24"/>
              </w:rPr>
            </w:pPr>
            <w:r>
              <w:rPr>
                <w:rFonts w:hint="eastAsia" w:ascii="宋体" w:hAnsi="宋体" w:cs="宋体"/>
                <w:sz w:val="24"/>
              </w:rPr>
              <w:t>投标保证金：根据《浙江省财政厅关于明确政府采购保证金管理工作的通知》（浙财采监〔2019〕5号）相关规定，本项目不设置投标保证金。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5</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sz w:val="24"/>
              </w:rPr>
            </w:pPr>
            <w:r>
              <w:rPr>
                <w:rFonts w:hint="eastAsia" w:ascii="宋体" w:hAnsi="宋体" w:cs="宋体"/>
                <w:sz w:val="24"/>
              </w:rPr>
              <w:t>现场踏勘： 投标人可自行踏勘，采购人不组织统一踏勘。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highlight w:val="none"/>
              </w:rPr>
            </w:pPr>
            <w:r>
              <w:rPr>
                <w:rFonts w:hint="eastAsia" w:ascii="宋体" w:hAnsi="宋体" w:cs="宋体"/>
                <w:sz w:val="24"/>
                <w:highlight w:val="none"/>
              </w:rPr>
              <w:t>6</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sz w:val="24"/>
                <w:highlight w:val="none"/>
              </w:rPr>
            </w:pPr>
            <w:r>
              <w:rPr>
                <w:rFonts w:hint="eastAsia" w:ascii="宋体"/>
                <w:kern w:val="21"/>
                <w:sz w:val="24"/>
                <w:highlight w:val="none"/>
              </w:rPr>
              <w:t>项目类别</w:t>
            </w:r>
            <w:r>
              <w:rPr>
                <w:rFonts w:hint="eastAsia" w:ascii="宋体"/>
                <w:b/>
                <w:bCs/>
                <w:kern w:val="21"/>
                <w:sz w:val="24"/>
                <w:highlight w:val="none"/>
              </w:rPr>
              <w:t>：</w:t>
            </w:r>
            <w:r>
              <w:rPr>
                <w:rFonts w:hint="eastAsia" w:ascii="宋体"/>
                <w:b/>
                <w:bCs/>
                <w:kern w:val="21"/>
                <w:sz w:val="24"/>
                <w:highlight w:val="none"/>
                <w:u w:val="single"/>
              </w:rPr>
              <w:t>服务类</w:t>
            </w:r>
            <w:r>
              <w:rPr>
                <w:rFonts w:hint="eastAsia" w:ascii="宋体"/>
                <w:kern w:val="21"/>
                <w:sz w:val="24"/>
                <w:highlight w:val="none"/>
                <w:u w:val="single"/>
                <w:lang w:eastAsia="zh-CN"/>
              </w:rPr>
              <w:t>。</w:t>
            </w:r>
            <w:r>
              <w:rPr>
                <w:rFonts w:hint="eastAsia" w:ascii="宋体"/>
                <w:kern w:val="21"/>
                <w:sz w:val="24"/>
                <w:highlight w:val="none"/>
              </w:rPr>
              <w:t>采购标的所属行业：根据《工业和信息化部、国家统计局、国家发展和改革委员会、财政部关于印发中小企业划型标准规定的通知》（工信部联企业[2011]300 号）规定，本项目采购标的对应的中小企业划分标准所属行业为</w:t>
            </w:r>
            <w:r>
              <w:rPr>
                <w:rFonts w:hint="eastAsia" w:ascii="宋体"/>
                <w:b/>
                <w:bCs/>
                <w:kern w:val="21"/>
                <w:sz w:val="24"/>
                <w:highlight w:val="none"/>
                <w:u w:val="single"/>
              </w:rPr>
              <w:t>（十六）其他未列明行业</w:t>
            </w:r>
            <w:r>
              <w:rPr>
                <w:rFonts w:hint="eastAsia" w:ascii="宋体"/>
                <w:kern w:val="21"/>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7</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sz w:val="24"/>
              </w:rPr>
            </w:pPr>
            <w:r>
              <w:rPr>
                <w:rFonts w:hint="eastAsia" w:ascii="宋体" w:hAnsi="宋体" w:cs="宋体"/>
                <w:sz w:val="24"/>
              </w:rPr>
              <w:t>演示时间及地点（如有）：无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8</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ascii="宋体" w:hAnsi="宋体" w:cs="宋体"/>
                <w:b/>
                <w:bCs/>
                <w:sz w:val="24"/>
              </w:rPr>
            </w:pPr>
            <w:r>
              <w:rPr>
                <w:rFonts w:hint="eastAsia" w:ascii="宋体" w:hAnsi="宋体" w:cs="宋体"/>
                <w:b/>
                <w:bCs/>
                <w:sz w:val="24"/>
              </w:rPr>
              <w:t>投标文件形式：</w:t>
            </w:r>
          </w:p>
          <w:p>
            <w:pPr>
              <w:autoSpaceDE w:val="0"/>
              <w:autoSpaceDN w:val="0"/>
              <w:snapToGrid w:val="0"/>
              <w:textAlignment w:val="bottom"/>
              <w:rPr>
                <w:rFonts w:ascii="宋体" w:hAnsi="宋体" w:cs="宋体"/>
                <w:b/>
                <w:bCs/>
                <w:sz w:val="24"/>
              </w:rPr>
            </w:pPr>
            <w:r>
              <w:rPr>
                <w:rFonts w:hint="eastAsia" w:ascii="宋体" w:hAnsi="宋体" w:cs="宋体"/>
                <w:b/>
                <w:bCs/>
                <w:sz w:val="24"/>
              </w:rPr>
              <w:t>本项目实行电子投标。</w:t>
            </w:r>
          </w:p>
          <w:p>
            <w:pPr>
              <w:autoSpaceDE w:val="0"/>
              <w:autoSpaceDN w:val="0"/>
              <w:snapToGrid w:val="0"/>
              <w:textAlignment w:val="bottom"/>
              <w:rPr>
                <w:rFonts w:ascii="宋体" w:hAnsi="宋体" w:cs="宋体"/>
                <w:b/>
                <w:bCs/>
                <w:sz w:val="24"/>
              </w:rPr>
            </w:pPr>
            <w:r>
              <w:rPr>
                <w:rFonts w:hint="eastAsia" w:ascii="宋体" w:hAnsi="宋体" w:cs="宋体"/>
                <w:b/>
                <w:bCs/>
                <w:sz w:val="24"/>
              </w:rPr>
              <w:t>供应商应准备两种形式的投标文件：电子加密投标文件、以介质（U盘）存储的数据电文形式的备份投标文件。</w:t>
            </w:r>
          </w:p>
          <w:p>
            <w:pPr>
              <w:autoSpaceDE w:val="0"/>
              <w:autoSpaceDN w:val="0"/>
              <w:snapToGrid w:val="0"/>
              <w:textAlignment w:val="bottom"/>
              <w:rPr>
                <w:rFonts w:ascii="宋体" w:hAnsi="宋体" w:cs="宋体"/>
                <w:b/>
                <w:bCs/>
                <w:sz w:val="24"/>
              </w:rPr>
            </w:pPr>
            <w:r>
              <w:rPr>
                <w:rFonts w:hint="eastAsia" w:ascii="宋体" w:hAnsi="宋体" w:cs="宋体"/>
                <w:b/>
                <w:bCs/>
                <w:sz w:val="24"/>
              </w:rPr>
              <w:t>（1）“电子加密投标文件”是指通过“政采云电子交易客户端”完成投标文件编制后生成并加密的数据电文形式的投标文件（后缀格式为.jmbs）。</w:t>
            </w:r>
          </w:p>
          <w:p>
            <w:pPr>
              <w:autoSpaceDE w:val="0"/>
              <w:autoSpaceDN w:val="0"/>
              <w:snapToGrid w:val="0"/>
              <w:textAlignment w:val="bottom"/>
              <w:rPr>
                <w:rFonts w:ascii="宋体" w:hAnsi="宋体" w:cs="宋体"/>
                <w:sz w:val="24"/>
              </w:rPr>
            </w:pPr>
            <w:r>
              <w:rPr>
                <w:rFonts w:hint="eastAsia" w:ascii="宋体" w:hAnsi="宋体" w:cs="宋体"/>
                <w:b/>
                <w:bCs/>
                <w:sz w:val="24"/>
              </w:rPr>
              <w:t>（2）“备份投标文件”是指与“电子加密投标文件”同时生成的数据电文形式的电子文件（备份投标文件，用于供应商电子加密投标文件解密异常时应急使用），其他方式编制的备份投标文件视为无效备份投标文件。备份投标文件（后缀格式为.bfbs）以U盘形式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9</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rPr>
            </w:pPr>
            <w:r>
              <w:rPr>
                <w:rFonts w:hint="eastAsia" w:ascii="宋体" w:hAnsi="宋体" w:cs="宋体"/>
                <w:sz w:val="24"/>
              </w:rPr>
              <w:t>投标截止时间及地点：</w:t>
            </w:r>
            <w:r>
              <w:rPr>
                <w:rFonts w:hint="eastAsia" w:ascii="宋体" w:hAnsi="宋体" w:cs="宋体"/>
                <w:sz w:val="24"/>
                <w:u w:val="single"/>
              </w:rPr>
              <w:t>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10</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宋体" w:hAnsi="宋体" w:cs="宋体"/>
                <w:sz w:val="24"/>
              </w:rPr>
            </w:pPr>
            <w:r>
              <w:rPr>
                <w:rFonts w:hint="eastAsia" w:ascii="宋体" w:hAnsi="宋体" w:cs="宋体"/>
                <w:sz w:val="24"/>
              </w:rPr>
              <w:t>开标时间及地点：</w:t>
            </w:r>
            <w:r>
              <w:rPr>
                <w:rFonts w:hint="eastAsia" w:ascii="宋体" w:hAnsi="宋体" w:cs="宋体"/>
                <w:sz w:val="24"/>
                <w:u w:val="single"/>
              </w:rPr>
              <w:t>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11</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ascii="宋体" w:hAnsi="宋体" w:cs="宋体"/>
                <w:sz w:val="24"/>
              </w:rPr>
            </w:pPr>
            <w:r>
              <w:rPr>
                <w:rFonts w:hint="eastAsia" w:ascii="宋体" w:hAnsi="宋体" w:cs="宋体"/>
                <w:sz w:val="24"/>
              </w:rPr>
              <w:t>评标办法及评分标准：详见本招标文件第四章《评标办法及评分标准》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12</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ind w:firstLine="480" w:firstLineChars="200"/>
              <w:textAlignment w:val="bottom"/>
              <w:rPr>
                <w:rFonts w:ascii="宋体" w:hAnsi="宋体" w:cs="宋体"/>
                <w:sz w:val="24"/>
                <w:szCs w:val="20"/>
              </w:rPr>
            </w:pPr>
            <w:r>
              <w:rPr>
                <w:rFonts w:hint="eastAsia" w:ascii="宋体" w:hAnsi="宋体" w:cs="宋体"/>
                <w:sz w:val="24"/>
                <w:szCs w:val="20"/>
              </w:rPr>
              <w:t>中标公告及中标通知书：中标人确定之日起2个工作日内，中标公告发布于上述媒体。如中标、成交供应商享受小微企业扶持政策的，成交供应商的《小微企业声明函》随中标结果公布。</w:t>
            </w:r>
          </w:p>
          <w:p>
            <w:pPr>
              <w:pStyle w:val="9"/>
            </w:pPr>
            <w:r>
              <w:rPr>
                <w:rFonts w:hint="eastAsia" w:ascii="宋体" w:hAnsi="宋体" w:cs="宋体"/>
                <w:sz w:val="24"/>
              </w:rPr>
              <w:t>如供应商提供的声明函内容不实的，属于提供虚假材料谋取中标、成交，依照《中华人民共和国政府采购法》等国家有关规定追究相应责任。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13</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ascii="宋体" w:hAnsi="宋体" w:cs="宋体"/>
                <w:sz w:val="24"/>
              </w:rPr>
            </w:pPr>
            <w:r>
              <w:rPr>
                <w:rFonts w:hint="eastAsia" w:ascii="宋体" w:hAnsi="宋体" w:cs="宋体"/>
                <w:sz w:val="24"/>
              </w:rPr>
              <w:t>签订合同时间：中标通知书发出后30日内。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14</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ascii="宋体" w:hAnsi="宋体" w:cs="宋体"/>
                <w:sz w:val="24"/>
              </w:rPr>
            </w:pPr>
            <w:r>
              <w:rPr>
                <w:rFonts w:hint="eastAsia" w:ascii="宋体" w:hAnsi="宋体" w:cs="宋体"/>
                <w:sz w:val="24"/>
              </w:rPr>
              <w:t>履约</w:t>
            </w:r>
            <w:r>
              <w:rPr>
                <w:rFonts w:ascii="宋体" w:hAnsi="宋体" w:cs="宋体"/>
                <w:sz w:val="24"/>
              </w:rPr>
              <w:t>保证金</w:t>
            </w:r>
            <w:r>
              <w:rPr>
                <w:rFonts w:hint="eastAsia" w:ascii="宋体" w:hAnsi="宋体" w:cs="宋体"/>
                <w:sz w:val="24"/>
              </w:rPr>
              <w:t>：</w:t>
            </w:r>
            <w:r>
              <w:rPr>
                <w:rFonts w:ascii="宋体" w:hAnsi="宋体" w:cs="宋体"/>
                <w:sz w:val="24"/>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exac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15</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ascii="宋体" w:hAnsi="宋体" w:cs="宋体"/>
                <w:sz w:val="24"/>
              </w:rPr>
            </w:pPr>
            <w:r>
              <w:rPr>
                <w:rFonts w:hint="eastAsia" w:ascii="宋体" w:hAnsi="宋体" w:cs="宋体"/>
                <w:sz w:val="24"/>
              </w:rPr>
              <w:t>采购资金来源：预算资金。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16</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ascii="宋体" w:hAnsi="宋体" w:cs="宋体"/>
                <w:sz w:val="24"/>
              </w:rPr>
            </w:pPr>
            <w:r>
              <w:rPr>
                <w:rFonts w:hint="eastAsia" w:ascii="宋体" w:hAnsi="宋体" w:cs="宋体"/>
                <w:sz w:val="24"/>
              </w:rPr>
              <w:t>付款方式：详见合同条款。</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49" w:hRule="exac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17</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ascii="宋体" w:hAnsi="宋体" w:cs="宋体"/>
                <w:sz w:val="24"/>
              </w:rPr>
            </w:pPr>
            <w:r>
              <w:rPr>
                <w:rFonts w:hint="eastAsia" w:ascii="宋体" w:hAnsi="宋体" w:cs="宋体"/>
                <w:sz w:val="24"/>
              </w:rPr>
              <w:t>投标文件递交要求：</w:t>
            </w:r>
          </w:p>
          <w:p>
            <w:pPr>
              <w:ind w:firstLine="480" w:firstLineChars="200"/>
              <w:rPr>
                <w:rFonts w:ascii="宋体" w:hAnsi="宋体" w:cs="宋体"/>
                <w:sz w:val="24"/>
              </w:rPr>
            </w:pPr>
            <w:r>
              <w:rPr>
                <w:rFonts w:hint="eastAsia" w:ascii="宋体" w:hAnsi="宋体" w:cs="宋体"/>
                <w:sz w:val="24"/>
              </w:rPr>
              <w:t>本项目实行</w:t>
            </w:r>
            <w:r>
              <w:rPr>
                <w:rFonts w:hint="eastAsia" w:ascii="宋体" w:hAnsi="宋体" w:cs="宋体"/>
                <w:b/>
                <w:bCs/>
                <w:sz w:val="24"/>
              </w:rPr>
              <w:t>电子投标</w:t>
            </w:r>
            <w:r>
              <w:rPr>
                <w:rFonts w:hint="eastAsia" w:ascii="宋体" w:hAnsi="宋体" w:cs="宋体"/>
                <w:sz w:val="24"/>
              </w:rPr>
              <w:t>，供应商应准备电子投标文件、以介质（U盘）存储的数据电文形式的备份投标文件二类：</w:t>
            </w:r>
          </w:p>
          <w:p>
            <w:pPr>
              <w:ind w:firstLine="480" w:firstLineChars="200"/>
              <w:rPr>
                <w:rFonts w:ascii="宋体" w:hAnsi="宋体" w:cs="宋体"/>
                <w:sz w:val="24"/>
              </w:rPr>
            </w:pPr>
            <w:r>
              <w:rPr>
                <w:rFonts w:hint="eastAsia" w:ascii="宋体" w:hAnsi="宋体" w:cs="宋体"/>
                <w:sz w:val="24"/>
              </w:rPr>
              <w:t>1.电子投标文件，按政采云平台项目采购--电子招投标操作指南及本招标文件要求编制、递交。</w:t>
            </w:r>
          </w:p>
          <w:p>
            <w:pPr>
              <w:ind w:firstLine="480" w:firstLineChars="200"/>
              <w:rPr>
                <w:rFonts w:ascii="宋体" w:hAnsi="宋体" w:cs="宋体"/>
                <w:sz w:val="24"/>
              </w:rPr>
            </w:pPr>
            <w:r>
              <w:rPr>
                <w:rFonts w:hint="eastAsia" w:ascii="宋体" w:hAnsi="宋体" w:cs="宋体"/>
                <w:sz w:val="24"/>
              </w:rPr>
              <w:t>2.以介质（U盘）存储的数据电文形式的备份投标文件，按政采云平台项目采购-电子招投标操作指南中上传的电子投标文件格式，以U盘形式提供。</w:t>
            </w:r>
          </w:p>
          <w:p>
            <w:pPr>
              <w:autoSpaceDE w:val="0"/>
              <w:autoSpaceDN w:val="0"/>
              <w:snapToGrid w:val="0"/>
              <w:ind w:firstLine="480" w:firstLineChars="200"/>
              <w:textAlignment w:val="bottom"/>
              <w:rPr>
                <w:rFonts w:ascii="宋体" w:hAnsi="宋体" w:cs="宋体"/>
                <w:sz w:val="24"/>
              </w:rPr>
            </w:pPr>
            <w:r>
              <w:rPr>
                <w:rFonts w:hint="eastAsia" w:ascii="宋体" w:hAnsi="宋体" w:cs="宋体"/>
                <w:sz w:val="24"/>
              </w:rPr>
              <w:t>3.投标文件启用顺序和效力：投标文件的启用，按先后顺位分别为电子投标文件、以介质（U盘）存储的数据电文形式的备份投标文件。投标人的电子投标文件已按时解密的，备份投标文件自动失效。某位投标人的电子投标文件无法按时解密的，启用以介质（U盘）存储的数据电文形式的“备份投标文件”进行开评标。</w:t>
            </w:r>
          </w:p>
          <w:p>
            <w:pPr>
              <w:autoSpaceDE w:val="0"/>
              <w:autoSpaceDN w:val="0"/>
              <w:snapToGrid w:val="0"/>
              <w:ind w:firstLine="480" w:firstLineChars="200"/>
              <w:textAlignment w:val="bottom"/>
              <w:rPr>
                <w:rFonts w:ascii="宋体" w:hAnsi="宋体" w:cs="宋体"/>
                <w:sz w:val="24"/>
              </w:rPr>
            </w:pPr>
            <w:r>
              <w:rPr>
                <w:rFonts w:hint="eastAsia" w:ascii="宋体" w:hAnsi="宋体" w:cs="宋体"/>
                <w:sz w:val="24"/>
              </w:rPr>
              <w:t>4.未传输递交电子投标文件的，投标无效。未按规定提供相应的备份投标文件，造成项目开评标活动无法进行下去的，投标无效。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exac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18</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ascii="宋体" w:hAnsi="宋体" w:cs="宋体"/>
                <w:sz w:val="24"/>
              </w:rPr>
            </w:pPr>
            <w:r>
              <w:rPr>
                <w:rFonts w:hint="eastAsia" w:ascii="宋体" w:hAnsi="宋体" w:cs="宋体"/>
                <w:sz w:val="24"/>
              </w:rPr>
              <w:t>投标文件有效期：90天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exact"/>
        </w:trPr>
        <w:tc>
          <w:tcPr>
            <w:tcW w:w="86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sz w:val="24"/>
              </w:rPr>
            </w:pPr>
            <w:r>
              <w:rPr>
                <w:rFonts w:hint="eastAsia" w:ascii="宋体" w:hAnsi="宋体" w:cs="宋体"/>
                <w:sz w:val="24"/>
              </w:rPr>
              <w:t>19</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textAlignment w:val="bottom"/>
              <w:rPr>
                <w:rFonts w:ascii="宋体" w:hAnsi="宋体" w:cs="宋体"/>
                <w:b/>
                <w:sz w:val="24"/>
              </w:rPr>
            </w:pPr>
            <w:r>
              <w:rPr>
                <w:rFonts w:hint="eastAsia" w:ascii="宋体" w:hAnsi="宋体" w:cs="宋体"/>
                <w:sz w:val="24"/>
              </w:rPr>
              <w:t>解释：本招标文件的解释权属于招标采购单位。</w:t>
            </w:r>
          </w:p>
        </w:tc>
      </w:tr>
    </w:tbl>
    <w:p>
      <w:pPr>
        <w:pStyle w:val="21"/>
        <w:snapToGrid w:val="0"/>
        <w:spacing w:before="156" w:after="156" w:line="360" w:lineRule="auto"/>
        <w:rPr>
          <w:rFonts w:hAnsi="宋体" w:cs="宋体"/>
          <w:b/>
          <w:sz w:val="30"/>
          <w:szCs w:val="30"/>
        </w:rPr>
      </w:pPr>
      <w:r>
        <w:rPr>
          <w:rFonts w:hint="eastAsia" w:hAnsi="宋体" w:cs="宋体"/>
        </w:rPr>
        <w:br w:type="page"/>
      </w:r>
      <w:r>
        <w:rPr>
          <w:rFonts w:hint="eastAsia" w:hAnsi="宋体" w:cs="宋体"/>
          <w:b/>
          <w:sz w:val="30"/>
          <w:szCs w:val="30"/>
        </w:rPr>
        <w:t>一、总  则</w:t>
      </w:r>
    </w:p>
    <w:p>
      <w:pPr>
        <w:snapToGrid w:val="0"/>
        <w:spacing w:line="360" w:lineRule="auto"/>
        <w:ind w:firstLine="472" w:firstLineChars="196"/>
        <w:jc w:val="left"/>
        <w:outlineLvl w:val="1"/>
        <w:rPr>
          <w:rFonts w:ascii="宋体" w:hAnsi="宋体" w:cs="宋体"/>
          <w:b/>
          <w:sz w:val="24"/>
          <w:szCs w:val="20"/>
        </w:rPr>
      </w:pPr>
      <w:r>
        <w:rPr>
          <w:rFonts w:hint="eastAsia" w:ascii="宋体" w:hAnsi="宋体" w:cs="宋体"/>
          <w:b/>
          <w:sz w:val="24"/>
        </w:rPr>
        <w:t>（一）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本招标文件适用于本项目的招标、投标、评标、定标、验收、合同履约、付款等行为（法律、法规另有规定的，从其规定）。</w:t>
      </w:r>
    </w:p>
    <w:p>
      <w:pPr>
        <w:snapToGrid w:val="0"/>
        <w:spacing w:before="156" w:beforeLines="50" w:line="360" w:lineRule="auto"/>
        <w:ind w:firstLine="354" w:firstLineChars="147"/>
        <w:jc w:val="left"/>
        <w:outlineLvl w:val="1"/>
        <w:rPr>
          <w:rFonts w:ascii="宋体" w:hAnsi="宋体" w:cs="宋体"/>
          <w:b/>
          <w:sz w:val="24"/>
          <w:szCs w:val="20"/>
        </w:rPr>
      </w:pPr>
      <w:r>
        <w:rPr>
          <w:rFonts w:hint="eastAsia" w:ascii="宋体" w:hAnsi="宋体" w:cs="宋体"/>
          <w:b/>
          <w:sz w:val="24"/>
        </w:rPr>
        <w:t>（二）定义</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1.招标采购单位系指组织本次招标的代理机构（“采购人”）和采购单位。</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2.“投标人”系指向招标方提交投标文件的单位或个人。</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3.“产品”系指供方按招标文件规定，须向采购人提供的一切设备、保险、税金、备品备件、工具、手册及其它有关技术资料和材料。</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4.“服务”系指招标文件规定投标人须承担的安装、调试、技术协助、校准、培训、技术指导以及其他类似的义务。</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5.“项目”系指投标人按招标文件规定向采购人提供的产品和服务。</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6.“书面形式”包括信函、传真、电报等。</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7.“▲”系指实质性要求条款。</w:t>
      </w:r>
    </w:p>
    <w:p>
      <w:pPr>
        <w:snapToGrid w:val="0"/>
        <w:spacing w:before="156" w:beforeLines="50" w:line="360" w:lineRule="auto"/>
        <w:ind w:firstLine="472" w:firstLineChars="196"/>
        <w:jc w:val="left"/>
        <w:outlineLvl w:val="1"/>
        <w:rPr>
          <w:rFonts w:ascii="宋体" w:hAnsi="宋体" w:cs="宋体"/>
          <w:b/>
          <w:sz w:val="24"/>
          <w:szCs w:val="20"/>
        </w:rPr>
      </w:pPr>
      <w:r>
        <w:rPr>
          <w:rFonts w:hint="eastAsia" w:ascii="宋体" w:hAnsi="宋体" w:cs="宋体"/>
          <w:b/>
          <w:sz w:val="24"/>
        </w:rPr>
        <w:t>（三）招标方式</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本次招标采用公开招标方式进行。</w:t>
      </w:r>
    </w:p>
    <w:p>
      <w:pPr>
        <w:snapToGrid w:val="0"/>
        <w:spacing w:before="156" w:beforeLines="50" w:line="360" w:lineRule="auto"/>
        <w:ind w:firstLine="472" w:firstLineChars="196"/>
        <w:jc w:val="left"/>
        <w:outlineLvl w:val="1"/>
        <w:rPr>
          <w:rFonts w:ascii="宋体" w:hAnsi="宋体" w:cs="宋体"/>
          <w:b/>
          <w:sz w:val="24"/>
          <w:szCs w:val="20"/>
        </w:rPr>
      </w:pPr>
      <w:r>
        <w:rPr>
          <w:rFonts w:hint="eastAsia" w:ascii="宋体" w:hAnsi="宋体" w:cs="宋体"/>
          <w:b/>
          <w:sz w:val="24"/>
        </w:rPr>
        <w:t>（四）投标委托</w:t>
      </w:r>
    </w:p>
    <w:p>
      <w:pPr>
        <w:pStyle w:val="17"/>
        <w:snapToGrid w:val="0"/>
        <w:spacing w:line="360" w:lineRule="auto"/>
        <w:ind w:firstLine="464" w:firstLineChars="200"/>
        <w:jc w:val="left"/>
        <w:rPr>
          <w:rFonts w:hAnsi="宋体" w:cs="宋体"/>
          <w:sz w:val="24"/>
          <w:szCs w:val="24"/>
        </w:rPr>
      </w:pPr>
      <w:r>
        <w:rPr>
          <w:rFonts w:hAnsi="宋体" w:cs="宋体"/>
          <w:sz w:val="24"/>
          <w:szCs w:val="24"/>
        </w:rPr>
        <w:t>投标人代表须携带有效身份证件。如投标人代表不是法定代表人，须有法定代表人出具的授权委托书。</w:t>
      </w:r>
    </w:p>
    <w:p>
      <w:pPr>
        <w:snapToGrid w:val="0"/>
        <w:spacing w:before="156" w:beforeLines="50" w:line="360" w:lineRule="auto"/>
        <w:ind w:firstLine="472" w:firstLineChars="196"/>
        <w:jc w:val="left"/>
        <w:outlineLvl w:val="1"/>
        <w:rPr>
          <w:rFonts w:ascii="宋体" w:hAnsi="宋体" w:cs="宋体"/>
          <w:b/>
          <w:sz w:val="24"/>
          <w:szCs w:val="20"/>
        </w:rPr>
      </w:pPr>
      <w:r>
        <w:rPr>
          <w:rFonts w:hint="eastAsia" w:ascii="宋体" w:hAnsi="宋体" w:cs="宋体"/>
          <w:b/>
          <w:sz w:val="24"/>
        </w:rPr>
        <w:t>（五）投标费用</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不论投标结果如何，投标人均应自行承担所有与投标有关的全部费用（招标文件有相关规定除外）。</w:t>
      </w:r>
    </w:p>
    <w:p>
      <w:pPr>
        <w:snapToGrid w:val="0"/>
        <w:spacing w:before="156" w:beforeLines="50" w:line="360" w:lineRule="auto"/>
        <w:ind w:firstLine="472" w:firstLineChars="196"/>
        <w:jc w:val="left"/>
        <w:rPr>
          <w:rFonts w:ascii="宋体" w:hAnsi="宋体" w:cs="宋体"/>
          <w:b/>
          <w:sz w:val="24"/>
          <w:szCs w:val="20"/>
        </w:rPr>
      </w:pPr>
      <w:r>
        <w:rPr>
          <w:rFonts w:hint="eastAsia" w:ascii="宋体" w:hAnsi="宋体" w:cs="宋体"/>
          <w:b/>
          <w:sz w:val="24"/>
        </w:rPr>
        <w:t>（六）联合体投标</w:t>
      </w:r>
    </w:p>
    <w:p>
      <w:pPr>
        <w:snapToGrid w:val="0"/>
        <w:spacing w:line="360" w:lineRule="auto"/>
        <w:ind w:firstLine="480" w:firstLineChars="200"/>
        <w:jc w:val="left"/>
        <w:rPr>
          <w:rFonts w:ascii="宋体" w:hAnsi="宋体" w:cs="宋体"/>
          <w:sz w:val="24"/>
        </w:rPr>
      </w:pPr>
      <w:r>
        <w:rPr>
          <w:rFonts w:hint="eastAsia" w:ascii="宋体" w:hAnsi="宋体" w:cs="宋体"/>
          <w:sz w:val="24"/>
        </w:rPr>
        <w:t>本项目不接受联合体投标。</w:t>
      </w:r>
    </w:p>
    <w:p>
      <w:pPr>
        <w:snapToGrid w:val="0"/>
        <w:spacing w:before="156" w:beforeLines="50" w:line="360" w:lineRule="auto"/>
        <w:ind w:firstLine="472" w:firstLineChars="196"/>
        <w:rPr>
          <w:rFonts w:ascii="宋体" w:hAnsi="宋体" w:cs="宋体"/>
          <w:b/>
          <w:kern w:val="0"/>
          <w:sz w:val="24"/>
          <w:szCs w:val="20"/>
        </w:rPr>
      </w:pPr>
      <w:r>
        <w:rPr>
          <w:rFonts w:hint="eastAsia" w:ascii="宋体" w:hAnsi="宋体" w:cs="宋体"/>
          <w:b/>
          <w:sz w:val="24"/>
        </w:rPr>
        <w:t>（七）</w:t>
      </w:r>
      <w:r>
        <w:rPr>
          <w:rFonts w:hint="eastAsia" w:ascii="宋体" w:hAnsi="宋体" w:cs="宋体"/>
          <w:b/>
          <w:kern w:val="0"/>
          <w:sz w:val="24"/>
        </w:rPr>
        <w:t>转包与分包</w:t>
      </w:r>
    </w:p>
    <w:p>
      <w:pPr>
        <w:snapToGrid w:val="0"/>
        <w:spacing w:line="360" w:lineRule="auto"/>
        <w:ind w:firstLine="480" w:firstLineChars="200"/>
        <w:rPr>
          <w:rFonts w:ascii="宋体" w:hAnsi="宋体" w:cs="宋体"/>
          <w:kern w:val="0"/>
          <w:sz w:val="24"/>
        </w:rPr>
      </w:pPr>
      <w:r>
        <w:rPr>
          <w:rFonts w:hint="eastAsia" w:ascii="宋体" w:hAnsi="宋体" w:cs="宋体"/>
          <w:sz w:val="24"/>
        </w:rPr>
        <w:t>▲</w:t>
      </w:r>
      <w:r>
        <w:rPr>
          <w:rFonts w:hint="eastAsia" w:ascii="宋体" w:hAnsi="宋体" w:cs="宋体"/>
          <w:kern w:val="0"/>
          <w:sz w:val="24"/>
        </w:rPr>
        <w:t>(1)本项目不允许转包与分包。</w:t>
      </w:r>
    </w:p>
    <w:p>
      <w:pPr>
        <w:snapToGrid w:val="0"/>
        <w:spacing w:line="360" w:lineRule="auto"/>
        <w:ind w:firstLine="480" w:firstLineChars="200"/>
        <w:rPr>
          <w:rFonts w:ascii="宋体" w:hAnsi="宋体" w:cs="宋体"/>
          <w:kern w:val="0"/>
          <w:sz w:val="24"/>
        </w:rPr>
      </w:pPr>
    </w:p>
    <w:p>
      <w:pPr>
        <w:pStyle w:val="9"/>
      </w:pPr>
    </w:p>
    <w:p>
      <w:pPr>
        <w:snapToGrid w:val="0"/>
        <w:spacing w:before="156" w:beforeLines="50" w:line="360" w:lineRule="auto"/>
        <w:ind w:firstLine="472" w:firstLineChars="196"/>
        <w:jc w:val="left"/>
        <w:outlineLvl w:val="1"/>
        <w:rPr>
          <w:rFonts w:ascii="宋体" w:hAnsi="宋体" w:cs="宋体"/>
          <w:b/>
          <w:sz w:val="24"/>
        </w:rPr>
      </w:pPr>
      <w:r>
        <w:rPr>
          <w:rFonts w:hint="eastAsia" w:ascii="宋体" w:hAnsi="宋体" w:cs="宋体"/>
          <w:b/>
          <w:sz w:val="24"/>
        </w:rPr>
        <w:t>（八）特别说明：</w:t>
      </w:r>
    </w:p>
    <w:p>
      <w:pPr>
        <w:pStyle w:val="21"/>
        <w:snapToGrid w:val="0"/>
        <w:spacing w:beforeLines="0" w:afterLines="0" w:line="360" w:lineRule="auto"/>
        <w:ind w:left="3" w:leftChars="1" w:firstLine="480" w:firstLineChars="200"/>
        <w:rPr>
          <w:rFonts w:hAnsi="宋体" w:cs="宋体"/>
        </w:rPr>
      </w:pPr>
      <w:r>
        <w:rPr>
          <w:rFonts w:hint="eastAsia" w:hAnsi="宋体" w:cs="宋体"/>
        </w:rPr>
        <w:t>▲1、投标人投标所使用的资格、信誉、荣誉、业绩与企业认证必须为本法人所拥有。投标人投标所使用的采购项目实施人员必须为本法人员工（或必须为本法人或控股公司正式员工）。</w:t>
      </w:r>
    </w:p>
    <w:p>
      <w:pPr>
        <w:pStyle w:val="21"/>
        <w:snapToGrid w:val="0"/>
        <w:spacing w:beforeLines="0" w:afterLines="0" w:line="360" w:lineRule="auto"/>
        <w:ind w:left="3" w:leftChars="1" w:firstLine="480" w:firstLineChars="200"/>
        <w:rPr>
          <w:rFonts w:hAnsi="宋体" w:cs="宋体"/>
        </w:rPr>
      </w:pPr>
      <w:r>
        <w:rPr>
          <w:rFonts w:hint="eastAsia" w:hAnsi="宋体" w:cs="宋体"/>
        </w:rPr>
        <w:t>▲2、投标人应仔细阅读招标文件的所有内容，按照招标文件的要求提交投标文件，并对所提供的全部资料的真实性承担法律责任。</w:t>
      </w:r>
    </w:p>
    <w:p>
      <w:pPr>
        <w:pStyle w:val="21"/>
        <w:snapToGrid w:val="0"/>
        <w:spacing w:beforeLines="0" w:afterLines="0" w:line="360" w:lineRule="auto"/>
        <w:ind w:firstLine="470" w:firstLineChars="196"/>
        <w:outlineLvl w:val="1"/>
        <w:rPr>
          <w:rFonts w:hAnsi="宋体" w:cs="宋体"/>
        </w:rPr>
      </w:pPr>
      <w:r>
        <w:rPr>
          <w:rFonts w:hint="eastAsia" w:hAnsi="宋体" w:cs="宋体"/>
        </w:rPr>
        <w:t>▲3、投标人在投标活动中提供任何虚假材料,其投标无效，并报监管部门查处；中标后发现的, 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21"/>
        <w:snapToGrid w:val="0"/>
        <w:spacing w:beforeLines="0" w:afterLines="0" w:line="360" w:lineRule="auto"/>
        <w:ind w:firstLine="472" w:firstLineChars="196"/>
        <w:outlineLvl w:val="1"/>
        <w:rPr>
          <w:rFonts w:hAnsi="宋体" w:cs="宋体"/>
          <w:b/>
          <w:bCs/>
        </w:rPr>
      </w:pPr>
      <w:r>
        <w:rPr>
          <w:rFonts w:hint="eastAsia" w:hAnsi="宋体" w:cs="宋体"/>
          <w:b/>
          <w:bCs/>
        </w:rPr>
        <w:t>（九）质疑和投诉</w:t>
      </w:r>
    </w:p>
    <w:p>
      <w:pPr>
        <w:pStyle w:val="21"/>
        <w:snapToGrid w:val="0"/>
        <w:spacing w:beforeLines="0" w:afterLines="0" w:line="360" w:lineRule="auto"/>
        <w:ind w:firstLine="480" w:firstLineChars="200"/>
        <w:rPr>
          <w:rFonts w:hAnsi="宋体" w:cs="宋体"/>
          <w:bCs/>
        </w:rPr>
      </w:pPr>
      <w:r>
        <w:rPr>
          <w:rFonts w:hint="eastAsia" w:hAnsi="宋体" w:cs="宋体"/>
          <w:bCs/>
        </w:rPr>
        <w:t>1.投标人认为招标文件、招标过程或中标结果使自己的合法权益受到损害的，应当在知道或者应知其权益受到损害之日起七个工作日内，以书面形式向采购人、采购代理机构提出质疑。</w:t>
      </w:r>
      <w:r>
        <w:rPr>
          <w:rFonts w:hint="eastAsia" w:hAnsi="宋体" w:cs="宋体"/>
        </w:rPr>
        <w:t>投标人对招标采购单位的质疑答复不满意或者招标采购单位未在规定时间内作出答复的，可以在答复期满后十五个工作日内向同级采购监管部门投诉。</w:t>
      </w:r>
    </w:p>
    <w:p>
      <w:pPr>
        <w:pStyle w:val="21"/>
        <w:snapToGrid w:val="0"/>
        <w:spacing w:beforeLines="0" w:afterLines="0" w:line="360" w:lineRule="auto"/>
        <w:ind w:firstLine="480" w:firstLineChars="200"/>
        <w:rPr>
          <w:rFonts w:hAnsi="宋体" w:cs="宋体"/>
          <w:bCs/>
        </w:rPr>
      </w:pPr>
      <w:r>
        <w:rPr>
          <w:rFonts w:hint="eastAsia" w:hAnsi="宋体" w:cs="宋体"/>
          <w:bCs/>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pPr>
        <w:pStyle w:val="21"/>
        <w:snapToGrid w:val="0"/>
        <w:spacing w:beforeLines="0" w:afterLines="0" w:line="360" w:lineRule="auto"/>
        <w:rPr>
          <w:rFonts w:hAnsi="宋体" w:cs="宋体"/>
          <w:bCs/>
        </w:rPr>
      </w:pPr>
    </w:p>
    <w:p>
      <w:pPr>
        <w:pStyle w:val="21"/>
        <w:snapToGrid w:val="0"/>
        <w:spacing w:before="156" w:after="156" w:line="360" w:lineRule="auto"/>
        <w:rPr>
          <w:rFonts w:hAnsi="宋体" w:cs="宋体"/>
          <w:b/>
          <w:sz w:val="30"/>
          <w:szCs w:val="30"/>
        </w:rPr>
      </w:pPr>
      <w:r>
        <w:rPr>
          <w:rFonts w:hint="eastAsia" w:hAnsi="宋体" w:cs="宋体"/>
          <w:b/>
          <w:sz w:val="30"/>
          <w:szCs w:val="30"/>
        </w:rPr>
        <w:t>二、招标文件</w:t>
      </w:r>
    </w:p>
    <w:p>
      <w:pPr>
        <w:snapToGrid w:val="0"/>
        <w:spacing w:line="360" w:lineRule="auto"/>
        <w:ind w:firstLine="472" w:firstLineChars="196"/>
        <w:jc w:val="left"/>
        <w:rPr>
          <w:rFonts w:ascii="宋体" w:hAnsi="宋体" w:cs="宋体"/>
          <w:b/>
          <w:sz w:val="24"/>
          <w:szCs w:val="20"/>
        </w:rPr>
      </w:pPr>
      <w:r>
        <w:rPr>
          <w:rFonts w:hint="eastAsia" w:ascii="宋体" w:hAnsi="宋体" w:cs="宋体"/>
          <w:b/>
          <w:sz w:val="24"/>
        </w:rPr>
        <w:t>（一）招标文件的构成。本招标文件由以下部份组成：</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1.公开招标采购公告</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2.招标需求</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3.投标人须知</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4.评标办法及评分标准</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5.合同主要条款</w:t>
      </w:r>
    </w:p>
    <w:p>
      <w:pPr>
        <w:snapToGrid w:val="0"/>
        <w:spacing w:line="360" w:lineRule="auto"/>
        <w:ind w:firstLine="480" w:firstLineChars="200"/>
        <w:jc w:val="left"/>
        <w:rPr>
          <w:rFonts w:ascii="宋体" w:hAnsi="宋体" w:cs="宋体"/>
          <w:sz w:val="24"/>
        </w:rPr>
      </w:pPr>
      <w:r>
        <w:rPr>
          <w:rFonts w:hint="eastAsia" w:ascii="宋体" w:hAnsi="宋体" w:cs="宋体"/>
          <w:sz w:val="24"/>
        </w:rPr>
        <w:t>6.投标文件格式</w:t>
      </w:r>
    </w:p>
    <w:p>
      <w:pPr>
        <w:snapToGrid w:val="0"/>
        <w:spacing w:line="360" w:lineRule="auto"/>
        <w:ind w:firstLine="480" w:firstLineChars="200"/>
        <w:jc w:val="left"/>
        <w:rPr>
          <w:rFonts w:ascii="宋体" w:hAnsi="宋体" w:cs="宋体"/>
          <w:sz w:val="24"/>
          <w:szCs w:val="20"/>
        </w:rPr>
      </w:pPr>
      <w:r>
        <w:rPr>
          <w:rFonts w:hint="eastAsia" w:ascii="宋体" w:hAnsi="宋体" w:cs="宋体"/>
          <w:sz w:val="24"/>
        </w:rPr>
        <w:t>7.本项目招标文件的澄清、答复、修改、补充的内容</w:t>
      </w:r>
    </w:p>
    <w:p>
      <w:pPr>
        <w:snapToGrid w:val="0"/>
        <w:spacing w:before="156" w:beforeLines="50" w:line="360" w:lineRule="auto"/>
        <w:ind w:firstLine="472" w:firstLineChars="196"/>
        <w:jc w:val="left"/>
        <w:rPr>
          <w:rFonts w:ascii="宋体" w:hAnsi="宋体" w:cs="宋体"/>
          <w:b/>
          <w:sz w:val="24"/>
          <w:szCs w:val="20"/>
        </w:rPr>
      </w:pPr>
      <w:r>
        <w:rPr>
          <w:rFonts w:hint="eastAsia" w:ascii="宋体" w:hAnsi="宋体" w:cs="宋体"/>
          <w:b/>
          <w:sz w:val="24"/>
        </w:rPr>
        <w:t>（二）投标人的风险</w:t>
      </w:r>
    </w:p>
    <w:p>
      <w:pPr>
        <w:snapToGrid w:val="0"/>
        <w:spacing w:line="360" w:lineRule="auto"/>
        <w:ind w:firstLine="480" w:firstLineChars="200"/>
        <w:jc w:val="left"/>
        <w:rPr>
          <w:rFonts w:ascii="宋体" w:hAnsi="宋体" w:cs="宋体"/>
          <w:szCs w:val="20"/>
        </w:rPr>
      </w:pPr>
      <w:r>
        <w:rPr>
          <w:rFonts w:hint="eastAsia" w:ascii="宋体" w:hAnsi="宋体" w:cs="宋体"/>
          <w:sz w:val="24"/>
        </w:rPr>
        <w:t>投标人没有按照招标文件要求提供全部资料，或者投标人没有对招标文件在各方面作出实质性响应是投标人的风险，并可能导致其投标被拒绝。</w:t>
      </w:r>
    </w:p>
    <w:p>
      <w:pPr>
        <w:pStyle w:val="8"/>
        <w:widowControl w:val="0"/>
        <w:tabs>
          <w:tab w:val="clear" w:pos="454"/>
          <w:tab w:val="clear" w:pos="900"/>
        </w:tabs>
        <w:snapToGrid w:val="0"/>
        <w:spacing w:before="156" w:beforeLines="50" w:afterLines="0" w:line="360" w:lineRule="auto"/>
        <w:ind w:left="0" w:firstLine="472" w:firstLineChars="196"/>
        <w:rPr>
          <w:rFonts w:ascii="宋体" w:hAnsi="宋体" w:cs="宋体"/>
          <w:b/>
          <w:szCs w:val="24"/>
        </w:rPr>
      </w:pPr>
      <w:r>
        <w:rPr>
          <w:rFonts w:hint="eastAsia" w:ascii="宋体" w:hAnsi="宋体" w:cs="宋体"/>
          <w:b/>
          <w:szCs w:val="24"/>
        </w:rPr>
        <w:t xml:space="preserve">（三）招标文件的澄清与修改 </w:t>
      </w:r>
    </w:p>
    <w:p>
      <w:pPr>
        <w:pStyle w:val="21"/>
        <w:snapToGrid w:val="0"/>
        <w:spacing w:beforeLines="0" w:afterLines="0" w:line="360" w:lineRule="auto"/>
        <w:ind w:firstLine="480" w:firstLineChars="200"/>
        <w:rPr>
          <w:rFonts w:hAnsi="宋体" w:cs="宋体"/>
        </w:rPr>
      </w:pPr>
      <w:r>
        <w:rPr>
          <w:rFonts w:hint="eastAsia" w:hAnsi="宋体" w:cs="宋体"/>
        </w:rPr>
        <w:t>1.</w:t>
      </w:r>
      <w:r>
        <w:rPr>
          <w:rFonts w:hint="eastAsia" w:hAnsi="宋体" w:cs="宋体"/>
          <w:bCs/>
        </w:rPr>
        <w:t>投标人应认真阅读本招标文件，发现其中有误或有不合理要求的，投标人必须在前附表规定的时间内以书面形式要求招标采购单位澄清</w:t>
      </w:r>
      <w:r>
        <w:rPr>
          <w:rFonts w:hint="eastAsia" w:hAnsi="宋体" w:cs="宋体"/>
        </w:rPr>
        <w:t>。采购代理机构对已发出的招标文件进行必要澄清、答复、修改或补充的，应当在招标文件要求提交投标文件截止时间五日前，在公告信息发布媒体上发布更正公告，并以书面形式通知所有招标文件收受人。</w:t>
      </w:r>
    </w:p>
    <w:p>
      <w:pPr>
        <w:pStyle w:val="21"/>
        <w:snapToGrid w:val="0"/>
        <w:spacing w:beforeLines="0" w:afterLines="0" w:line="360" w:lineRule="auto"/>
        <w:ind w:firstLine="480" w:firstLineChars="200"/>
        <w:rPr>
          <w:rFonts w:hAnsi="宋体" w:cs="宋体"/>
        </w:rPr>
      </w:pPr>
      <w:r>
        <w:rPr>
          <w:rFonts w:hint="eastAsia" w:hAnsi="宋体" w:cs="宋体"/>
        </w:rPr>
        <w:t>2.采购代理机构必须以书面形式答复投标人要求澄清的问题，并将不包含问题来源的答复书面通知所有购买招标文件的投标人；除书面答复以外的其他澄清方式及澄清内容均无效。</w:t>
      </w:r>
    </w:p>
    <w:p>
      <w:pPr>
        <w:pStyle w:val="21"/>
        <w:snapToGrid w:val="0"/>
        <w:spacing w:beforeLines="0" w:afterLines="0" w:line="360" w:lineRule="auto"/>
        <w:ind w:firstLine="480" w:firstLineChars="200"/>
        <w:rPr>
          <w:rFonts w:hAnsi="宋体" w:cs="宋体"/>
        </w:rPr>
      </w:pPr>
      <w:r>
        <w:rPr>
          <w:rFonts w:hint="eastAsia" w:hAnsi="宋体" w:cs="宋体"/>
        </w:rPr>
        <w:t>3.招标文件澄清、答复、修改、补充的内容为招标文件的组成部分。当招标文件与招标文件的答复、澄清、修改、补充通知就同一内容的表述不一致时，以最后发出的书面文件为准。</w:t>
      </w:r>
    </w:p>
    <w:p>
      <w:pPr>
        <w:pStyle w:val="21"/>
        <w:snapToGrid w:val="0"/>
        <w:spacing w:beforeLines="0" w:afterLines="0" w:line="360" w:lineRule="auto"/>
        <w:ind w:firstLine="480" w:firstLineChars="200"/>
        <w:rPr>
          <w:rFonts w:hAnsi="宋体" w:cs="宋体"/>
        </w:rPr>
      </w:pPr>
      <w:r>
        <w:rPr>
          <w:rFonts w:hint="eastAsia" w:hAnsi="宋体" w:cs="宋体"/>
        </w:rPr>
        <w:t>4.招标文件的澄清、答复、修改或补充都应该通过本代理机构以法定形式发布，采购人非通过本机构，不得擅自澄清、答复、修改或补充招标文件。</w:t>
      </w:r>
    </w:p>
    <w:p>
      <w:pPr>
        <w:pStyle w:val="21"/>
        <w:snapToGrid w:val="0"/>
        <w:spacing w:before="156" w:after="156" w:line="360" w:lineRule="auto"/>
        <w:rPr>
          <w:rFonts w:hAnsi="宋体" w:cs="宋体"/>
          <w:b/>
          <w:sz w:val="30"/>
          <w:szCs w:val="30"/>
        </w:rPr>
      </w:pPr>
      <w:r>
        <w:rPr>
          <w:rFonts w:hint="eastAsia" w:hAnsi="宋体" w:cs="宋体"/>
          <w:b/>
          <w:sz w:val="30"/>
          <w:szCs w:val="30"/>
        </w:rPr>
        <w:t>三、投标文件的编制</w:t>
      </w:r>
    </w:p>
    <w:p>
      <w:pPr>
        <w:snapToGrid w:val="0"/>
        <w:spacing w:line="360" w:lineRule="auto"/>
        <w:ind w:firstLine="472" w:firstLineChars="196"/>
        <w:jc w:val="left"/>
        <w:outlineLvl w:val="0"/>
        <w:rPr>
          <w:rFonts w:ascii="宋体" w:hAnsi="宋体" w:cs="宋体"/>
          <w:b/>
          <w:sz w:val="24"/>
        </w:rPr>
      </w:pPr>
      <w:r>
        <w:rPr>
          <w:rFonts w:hint="eastAsia" w:ascii="宋体" w:hAnsi="宋体" w:cs="宋体"/>
          <w:b/>
          <w:sz w:val="24"/>
        </w:rPr>
        <w:t>（一）</w:t>
      </w:r>
      <w:r>
        <w:rPr>
          <w:rFonts w:hint="eastAsia" w:ascii="宋体" w:hAnsi="宋体" w:cs="宋体"/>
          <w:b/>
          <w:sz w:val="24"/>
        </w:rPr>
        <w:tab/>
      </w:r>
      <w:r>
        <w:rPr>
          <w:rFonts w:hint="eastAsia" w:ascii="宋体" w:hAnsi="宋体" w:cs="宋体"/>
          <w:b/>
          <w:sz w:val="24"/>
        </w:rPr>
        <w:t>投标文件的要求</w:t>
      </w:r>
    </w:p>
    <w:p>
      <w:pPr>
        <w:snapToGrid w:val="0"/>
        <w:spacing w:line="360" w:lineRule="auto"/>
        <w:ind w:firstLine="470" w:firstLineChars="196"/>
        <w:jc w:val="left"/>
        <w:outlineLvl w:val="0"/>
        <w:rPr>
          <w:rFonts w:ascii="宋体" w:hAnsi="宋体" w:cs="宋体"/>
          <w:sz w:val="24"/>
        </w:rPr>
      </w:pPr>
      <w:r>
        <w:rPr>
          <w:rFonts w:hint="eastAsia" w:ascii="宋体" w:hAnsi="宋体" w:cs="宋体"/>
          <w:sz w:val="24"/>
        </w:rPr>
        <w:t xml:space="preserve">  1、投标人应仔细阅读招标文件的所有内容，按照要求详细编制投标文件，并保证投标文件的正确性和真实性。</w:t>
      </w:r>
    </w:p>
    <w:p>
      <w:pPr>
        <w:snapToGrid w:val="0"/>
        <w:spacing w:line="360" w:lineRule="auto"/>
        <w:ind w:firstLine="470" w:firstLineChars="196"/>
        <w:jc w:val="left"/>
        <w:outlineLvl w:val="0"/>
        <w:rPr>
          <w:rFonts w:ascii="宋体" w:hAnsi="宋体" w:cs="宋体"/>
          <w:sz w:val="24"/>
        </w:rPr>
      </w:pPr>
      <w:r>
        <w:rPr>
          <w:rFonts w:hint="eastAsia" w:ascii="宋体" w:hAnsi="宋体" w:cs="宋体"/>
          <w:sz w:val="24"/>
        </w:rPr>
        <w:t xml:space="preserve">  2、不按招标文件的要求提供的投标文件将被拒绝。</w:t>
      </w:r>
    </w:p>
    <w:p>
      <w:pPr>
        <w:snapToGrid w:val="0"/>
        <w:spacing w:line="360" w:lineRule="auto"/>
        <w:ind w:firstLine="472" w:firstLineChars="196"/>
        <w:jc w:val="left"/>
        <w:outlineLvl w:val="0"/>
        <w:rPr>
          <w:rFonts w:ascii="宋体" w:hAnsi="宋体" w:cs="宋体"/>
          <w:b/>
          <w:sz w:val="24"/>
        </w:rPr>
      </w:pPr>
      <w:r>
        <w:rPr>
          <w:rFonts w:hint="eastAsia" w:ascii="宋体" w:hAnsi="宋体" w:cs="宋体"/>
          <w:b/>
          <w:sz w:val="24"/>
        </w:rPr>
        <w:t>（二）投标文件的组成</w:t>
      </w:r>
    </w:p>
    <w:p>
      <w:pPr>
        <w:snapToGrid w:val="0"/>
        <w:spacing w:line="360" w:lineRule="auto"/>
        <w:ind w:firstLine="472" w:firstLineChars="196"/>
        <w:jc w:val="left"/>
        <w:outlineLvl w:val="0"/>
        <w:rPr>
          <w:rFonts w:ascii="宋体" w:hAnsi="宋体" w:cs="宋体"/>
          <w:b/>
          <w:sz w:val="24"/>
        </w:rPr>
      </w:pPr>
      <w:r>
        <w:rPr>
          <w:rFonts w:hint="eastAsia" w:ascii="宋体" w:hAnsi="宋体" w:cs="宋体"/>
          <w:b/>
          <w:sz w:val="24"/>
        </w:rPr>
        <w:t>投标人接到招标文件后，按照采购组织机构的要求提供所参与的投标文件：资格证明文件、商务与技术文件、报价文件。</w:t>
      </w:r>
      <w:r>
        <w:rPr>
          <w:rFonts w:hint="eastAsia" w:ascii="宋体" w:hAnsi="宋体" w:cs="宋体"/>
          <w:b/>
          <w:sz w:val="24"/>
          <w:lang w:val="zh-CN"/>
        </w:rPr>
        <w:t>【特别提示：如有要求提供资料原件的，相关原件需在投标文件递交截止时间前递交，逾期将不予接收（原件放置在档案袋中，可不用密封）。原件仅作为核查复印件真实性之用，如仅提供了原件，投标文件中未提供复印件，不予认定投标文件中具备该份资料。资料原件也可以用与原件相符的公证原件替代】</w:t>
      </w:r>
    </w:p>
    <w:p>
      <w:pPr>
        <w:snapToGrid w:val="0"/>
        <w:spacing w:line="360" w:lineRule="auto"/>
        <w:ind w:firstLine="472" w:firstLineChars="196"/>
        <w:jc w:val="left"/>
        <w:outlineLvl w:val="0"/>
        <w:rPr>
          <w:rFonts w:ascii="宋体" w:hAnsi="宋体" w:cs="宋体"/>
          <w:b/>
          <w:sz w:val="24"/>
        </w:rPr>
      </w:pPr>
      <w:r>
        <w:rPr>
          <w:rFonts w:hint="eastAsia" w:ascii="宋体" w:hAnsi="宋体" w:cs="宋体"/>
          <w:b/>
          <w:sz w:val="24"/>
        </w:rPr>
        <w:t>。</w:t>
      </w:r>
      <w:r>
        <w:rPr>
          <w:rFonts w:hint="eastAsia" w:ascii="宋体" w:hAnsi="宋体" w:cs="宋体"/>
          <w:b/>
          <w:sz w:val="24"/>
          <w:lang w:val="zh-CN"/>
        </w:rPr>
        <w:t>【特别提示：如有要求提供资料原件的，相关原件需在投标文件递交截止时间前递交，逾期将不予接收（原件放置在档案袋中，可不用密封）。原件仅作为核查复印件真实性之用，如仅提供了原件，投标文件中未提供复印件，不予认定投标文件中具备该份资料。资料原件也可以用与原件相符的公证原件替代】</w:t>
      </w:r>
    </w:p>
    <w:p>
      <w:pPr>
        <w:autoSpaceDE w:val="0"/>
        <w:autoSpaceDN w:val="0"/>
        <w:adjustRightInd w:val="0"/>
        <w:spacing w:line="360" w:lineRule="auto"/>
        <w:ind w:left="480"/>
        <w:rPr>
          <w:rFonts w:ascii="宋体" w:hAnsi="宋体" w:cs="宋体"/>
          <w:b/>
          <w:sz w:val="24"/>
        </w:rPr>
      </w:pPr>
      <w:r>
        <w:rPr>
          <w:rFonts w:hint="eastAsia" w:ascii="宋体" w:hAnsi="宋体" w:cs="宋体"/>
          <w:b/>
          <w:sz w:val="24"/>
        </w:rPr>
        <w:t>1、资格证明文件的组成：</w:t>
      </w:r>
    </w:p>
    <w:tbl>
      <w:tblPr>
        <w:tblStyle w:val="3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6521"/>
        <w:gridCol w:w="19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(1)</w:t>
            </w:r>
          </w:p>
        </w:tc>
        <w:tc>
          <w:tcPr>
            <w:tcW w:w="6521" w:type="dxa"/>
            <w:vAlign w:val="center"/>
          </w:tcPr>
          <w:p>
            <w:pPr>
              <w:spacing w:line="360" w:lineRule="auto"/>
              <w:jc w:val="left"/>
              <w:rPr>
                <w:rFonts w:ascii="宋体" w:hAnsi="宋体" w:cs="宋体"/>
                <w:b/>
                <w:bCs/>
                <w:sz w:val="24"/>
                <w:lang w:val="zh-CN"/>
              </w:rPr>
            </w:pPr>
            <w:r>
              <w:rPr>
                <w:rFonts w:hint="eastAsia" w:ascii="宋体" w:hAnsi="宋体" w:cs="宋体"/>
                <w:b/>
                <w:bCs/>
                <w:sz w:val="24"/>
                <w:lang w:val="zh-CN"/>
              </w:rPr>
              <w:t>投标文件封面。</w:t>
            </w:r>
          </w:p>
        </w:tc>
        <w:tc>
          <w:tcPr>
            <w:tcW w:w="1920" w:type="dxa"/>
            <w:vAlign w:val="center"/>
          </w:tcPr>
          <w:p>
            <w:pPr>
              <w:spacing w:line="360" w:lineRule="auto"/>
              <w:jc w:val="center"/>
              <w:rPr>
                <w:rFonts w:ascii="宋体" w:hAnsi="宋体" w:cs="宋体"/>
                <w:b/>
                <w:bCs/>
                <w:sz w:val="24"/>
                <w:lang w:val="zh-CN"/>
              </w:rPr>
            </w:pPr>
            <w:r>
              <w:rPr>
                <w:rFonts w:hint="eastAsia" w:ascii="宋体" w:hAnsi="宋体" w:cs="宋体"/>
                <w:b/>
                <w:bCs/>
                <w:sz w:val="24"/>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(2)</w:t>
            </w:r>
          </w:p>
        </w:tc>
        <w:tc>
          <w:tcPr>
            <w:tcW w:w="6521" w:type="dxa"/>
            <w:vAlign w:val="center"/>
          </w:tcPr>
          <w:p>
            <w:pPr>
              <w:spacing w:line="360" w:lineRule="auto"/>
              <w:jc w:val="left"/>
              <w:rPr>
                <w:rFonts w:ascii="宋体" w:hAnsi="宋体" w:cs="宋体"/>
                <w:b/>
                <w:bCs/>
                <w:sz w:val="24"/>
                <w:lang w:val="zh-CN"/>
              </w:rPr>
            </w:pPr>
            <w:r>
              <w:rPr>
                <w:rFonts w:hint="eastAsia" w:ascii="宋体" w:hAnsi="宋体" w:cs="宋体"/>
                <w:b/>
                <w:bCs/>
                <w:sz w:val="24"/>
                <w:lang w:val="zh-CN"/>
              </w:rPr>
              <w:t>法定代表人授权委托书。</w:t>
            </w:r>
          </w:p>
        </w:tc>
        <w:tc>
          <w:tcPr>
            <w:tcW w:w="1920" w:type="dxa"/>
            <w:vAlign w:val="center"/>
          </w:tcPr>
          <w:p>
            <w:pPr>
              <w:spacing w:line="360" w:lineRule="auto"/>
              <w:jc w:val="center"/>
              <w:rPr>
                <w:rFonts w:ascii="宋体" w:hAnsi="宋体" w:cs="宋体"/>
                <w:b/>
                <w:bCs/>
                <w:sz w:val="24"/>
                <w:lang w:val="zh-CN"/>
              </w:rPr>
            </w:pPr>
            <w:r>
              <w:rPr>
                <w:rFonts w:hint="eastAsia" w:ascii="宋体" w:hAnsi="宋体" w:cs="宋体"/>
                <w:b/>
                <w:bCs/>
                <w:sz w:val="24"/>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w:t>
            </w:r>
            <w:r>
              <w:rPr>
                <w:rFonts w:hint="eastAsia" w:ascii="宋体" w:hAnsi="宋体" w:cs="宋体"/>
                <w:b/>
                <w:bCs/>
                <w:sz w:val="24"/>
              </w:rPr>
              <w:t>3</w:t>
            </w:r>
            <w:r>
              <w:rPr>
                <w:rFonts w:hint="eastAsia" w:ascii="宋体" w:hAnsi="宋体" w:cs="宋体"/>
                <w:b/>
                <w:bCs/>
                <w:sz w:val="24"/>
                <w:lang w:val="zh-CN"/>
              </w:rPr>
              <w:t>)</w:t>
            </w:r>
          </w:p>
        </w:tc>
        <w:tc>
          <w:tcPr>
            <w:tcW w:w="6521" w:type="dxa"/>
            <w:vAlign w:val="center"/>
          </w:tcPr>
          <w:p>
            <w:pPr>
              <w:spacing w:line="360" w:lineRule="auto"/>
              <w:jc w:val="left"/>
              <w:rPr>
                <w:rFonts w:hint="eastAsia" w:ascii="宋体" w:hAnsi="宋体" w:eastAsia="宋体" w:cs="宋体"/>
                <w:b/>
                <w:bCs/>
                <w:sz w:val="24"/>
                <w:lang w:val="zh-CN" w:eastAsia="zh-CN"/>
              </w:rPr>
            </w:pPr>
            <w:r>
              <w:rPr>
                <w:rFonts w:hint="eastAsia" w:ascii="宋体" w:hAnsi="宋体" w:cs="宋体"/>
                <w:b/>
                <w:bCs/>
                <w:sz w:val="24"/>
              </w:rPr>
              <w:t>投标函</w:t>
            </w:r>
            <w:r>
              <w:rPr>
                <w:rFonts w:hint="eastAsia" w:ascii="宋体" w:hAnsi="宋体" w:cs="宋体"/>
                <w:b/>
                <w:bCs/>
                <w:sz w:val="24"/>
                <w:lang w:eastAsia="zh-CN"/>
              </w:rPr>
              <w:t>。</w:t>
            </w:r>
          </w:p>
        </w:tc>
        <w:tc>
          <w:tcPr>
            <w:tcW w:w="1920" w:type="dxa"/>
            <w:vAlign w:val="center"/>
          </w:tcPr>
          <w:p>
            <w:pPr>
              <w:spacing w:line="360" w:lineRule="auto"/>
              <w:jc w:val="center"/>
              <w:rPr>
                <w:rFonts w:ascii="宋体" w:hAnsi="宋体" w:cs="宋体"/>
                <w:b/>
                <w:bCs/>
                <w:sz w:val="24"/>
                <w:lang w:val="zh-CN"/>
              </w:rPr>
            </w:pPr>
            <w:r>
              <w:rPr>
                <w:rFonts w:hint="eastAsia" w:ascii="宋体" w:hAnsi="宋体" w:cs="宋体"/>
                <w:b/>
                <w:bCs/>
                <w:sz w:val="24"/>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w:t>
            </w:r>
            <w:r>
              <w:rPr>
                <w:rFonts w:hint="eastAsia" w:ascii="宋体" w:hAnsi="宋体" w:cs="宋体"/>
                <w:b/>
                <w:bCs/>
                <w:sz w:val="24"/>
              </w:rPr>
              <w:t>4</w:t>
            </w:r>
            <w:r>
              <w:rPr>
                <w:rFonts w:hint="eastAsia" w:ascii="宋体" w:hAnsi="宋体" w:cs="宋体"/>
                <w:b/>
                <w:bCs/>
                <w:sz w:val="24"/>
                <w:lang w:val="zh-CN"/>
              </w:rPr>
              <w:t>)</w:t>
            </w:r>
          </w:p>
        </w:tc>
        <w:tc>
          <w:tcPr>
            <w:tcW w:w="6521" w:type="dxa"/>
            <w:vAlign w:val="center"/>
          </w:tcPr>
          <w:p>
            <w:pPr>
              <w:spacing w:line="360" w:lineRule="auto"/>
              <w:jc w:val="left"/>
              <w:rPr>
                <w:rFonts w:ascii="宋体" w:hAnsi="宋体" w:cs="宋体"/>
                <w:b/>
                <w:bCs/>
                <w:sz w:val="24"/>
                <w:lang w:val="zh-CN"/>
              </w:rPr>
            </w:pPr>
            <w:r>
              <w:rPr>
                <w:rFonts w:hint="eastAsia" w:ascii="宋体" w:hAnsi="宋体" w:cs="宋体"/>
                <w:b/>
                <w:bCs/>
                <w:sz w:val="24"/>
              </w:rPr>
              <w:t>诚信投标承诺书。</w:t>
            </w:r>
          </w:p>
        </w:tc>
        <w:tc>
          <w:tcPr>
            <w:tcW w:w="1920" w:type="dxa"/>
          </w:tcPr>
          <w:p>
            <w:pPr>
              <w:spacing w:line="360" w:lineRule="auto"/>
              <w:jc w:val="center"/>
              <w:rPr>
                <w:rFonts w:ascii="宋体" w:hAnsi="宋体" w:cs="宋体"/>
                <w:b/>
                <w:bCs/>
                <w:sz w:val="24"/>
              </w:rPr>
            </w:pPr>
            <w:r>
              <w:rPr>
                <w:rFonts w:hint="eastAsia" w:ascii="宋体" w:hAnsi="宋体" w:cs="宋体"/>
                <w:b/>
                <w:bCs/>
                <w:sz w:val="24"/>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w:t>
            </w:r>
            <w:r>
              <w:rPr>
                <w:rFonts w:hint="eastAsia" w:ascii="宋体" w:hAnsi="宋体" w:cs="宋体"/>
                <w:b/>
                <w:bCs/>
                <w:sz w:val="24"/>
              </w:rPr>
              <w:t>5</w:t>
            </w:r>
            <w:r>
              <w:rPr>
                <w:rFonts w:hint="eastAsia" w:ascii="宋体" w:hAnsi="宋体" w:cs="宋体"/>
                <w:b/>
                <w:bCs/>
                <w:sz w:val="24"/>
                <w:lang w:val="zh-CN"/>
              </w:rPr>
              <w:t>)</w:t>
            </w:r>
          </w:p>
        </w:tc>
        <w:tc>
          <w:tcPr>
            <w:tcW w:w="6521" w:type="dxa"/>
            <w:vAlign w:val="center"/>
          </w:tcPr>
          <w:p>
            <w:pPr>
              <w:jc w:val="left"/>
              <w:rPr>
                <w:rFonts w:ascii="宋体" w:hAnsi="宋体" w:cs="宋体"/>
                <w:b/>
                <w:bCs/>
                <w:sz w:val="24"/>
              </w:rPr>
            </w:pPr>
            <w:r>
              <w:rPr>
                <w:rFonts w:hint="eastAsia" w:ascii="宋体" w:hAnsi="宋体" w:cs="宋体"/>
                <w:b/>
                <w:bCs/>
                <w:sz w:val="24"/>
              </w:rPr>
              <w:t>投标人须在投标文件中出具符合以下情况的证明材料扫描件（五选一）：</w:t>
            </w:r>
          </w:p>
          <w:p>
            <w:pPr>
              <w:spacing w:line="360" w:lineRule="auto"/>
              <w:jc w:val="left"/>
              <w:rPr>
                <w:rFonts w:ascii="宋体" w:hAnsi="宋体" w:cs="宋体"/>
                <w:b/>
                <w:bCs/>
                <w:sz w:val="24"/>
              </w:rPr>
            </w:pPr>
            <w:r>
              <w:rPr>
                <w:rFonts w:hint="eastAsia" w:ascii="宋体" w:hAnsi="宋体" w:cs="宋体"/>
                <w:b/>
                <w:bCs/>
                <w:sz w:val="24"/>
              </w:rPr>
              <w:t>1）如投标人是企业（包括合伙企业），提供在工商部门注册的有效“企业法人营业执照”或“营业执照”；</w:t>
            </w:r>
          </w:p>
          <w:p>
            <w:pPr>
              <w:spacing w:line="360" w:lineRule="auto"/>
              <w:jc w:val="left"/>
              <w:rPr>
                <w:rFonts w:ascii="宋体" w:hAnsi="宋体" w:cs="宋体"/>
                <w:b/>
                <w:bCs/>
                <w:sz w:val="24"/>
              </w:rPr>
            </w:pPr>
            <w:r>
              <w:rPr>
                <w:rFonts w:hint="eastAsia" w:ascii="宋体" w:hAnsi="宋体" w:cs="宋体"/>
                <w:b/>
                <w:bCs/>
                <w:sz w:val="24"/>
              </w:rPr>
              <w:t>2）如投标人是事业单位，提供有效的“事业单位法人证书”；</w:t>
            </w:r>
          </w:p>
          <w:p>
            <w:pPr>
              <w:spacing w:line="360" w:lineRule="auto"/>
              <w:jc w:val="left"/>
              <w:rPr>
                <w:rFonts w:ascii="宋体" w:hAnsi="宋体" w:cs="宋体"/>
                <w:b/>
                <w:bCs/>
                <w:sz w:val="24"/>
              </w:rPr>
            </w:pPr>
            <w:r>
              <w:rPr>
                <w:rFonts w:hint="eastAsia" w:ascii="宋体" w:hAnsi="宋体" w:cs="宋体"/>
                <w:b/>
                <w:bCs/>
                <w:sz w:val="24"/>
              </w:rPr>
              <w:t>3）如投标人是非企业专业服务机构的，提供执业许可证等证明文件；</w:t>
            </w:r>
          </w:p>
          <w:p>
            <w:pPr>
              <w:spacing w:line="360" w:lineRule="auto"/>
              <w:jc w:val="left"/>
              <w:rPr>
                <w:rFonts w:ascii="宋体" w:hAnsi="宋体" w:cs="宋体"/>
                <w:b/>
                <w:bCs/>
                <w:sz w:val="24"/>
              </w:rPr>
            </w:pPr>
            <w:r>
              <w:rPr>
                <w:rFonts w:hint="eastAsia" w:ascii="宋体" w:hAnsi="宋体" w:cs="宋体"/>
                <w:b/>
                <w:bCs/>
                <w:sz w:val="24"/>
              </w:rPr>
              <w:t>4）如投标人是个体工商户，提供有效的“个体工商户营业执照”；</w:t>
            </w:r>
          </w:p>
          <w:p>
            <w:pPr>
              <w:spacing w:line="360" w:lineRule="auto"/>
              <w:jc w:val="left"/>
              <w:rPr>
                <w:rFonts w:ascii="宋体" w:hAnsi="宋体" w:cs="宋体"/>
                <w:b/>
                <w:bCs/>
                <w:sz w:val="24"/>
              </w:rPr>
            </w:pPr>
            <w:r>
              <w:rPr>
                <w:rFonts w:hint="eastAsia" w:ascii="宋体" w:hAnsi="宋体" w:cs="宋体"/>
                <w:b/>
                <w:bCs/>
                <w:sz w:val="24"/>
              </w:rPr>
              <w:t>5）如投标人是自然人，提供有效的自然人身份证明（居民身份证正反面或公安机关出具的临时居民身份证正反面或港澳台胞证或护照）。</w:t>
            </w:r>
          </w:p>
        </w:tc>
        <w:tc>
          <w:tcPr>
            <w:tcW w:w="1920"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w:t>
            </w:r>
            <w:r>
              <w:rPr>
                <w:rFonts w:hint="eastAsia" w:ascii="宋体" w:hAnsi="宋体" w:cs="宋体"/>
                <w:b/>
                <w:bCs/>
                <w:sz w:val="24"/>
                <w:lang w:val="en-US" w:eastAsia="zh-CN"/>
              </w:rPr>
              <w:t>6</w:t>
            </w:r>
            <w:r>
              <w:rPr>
                <w:rFonts w:hint="eastAsia" w:ascii="宋体" w:hAnsi="宋体" w:cs="宋体"/>
                <w:b/>
                <w:bCs/>
                <w:sz w:val="24"/>
                <w:lang w:val="zh-CN"/>
              </w:rPr>
              <w:t>）</w:t>
            </w:r>
          </w:p>
        </w:tc>
        <w:tc>
          <w:tcPr>
            <w:tcW w:w="6521" w:type="dxa"/>
            <w:vAlign w:val="center"/>
          </w:tcPr>
          <w:p>
            <w:pPr>
              <w:spacing w:line="360" w:lineRule="auto"/>
              <w:jc w:val="left"/>
              <w:rPr>
                <w:rFonts w:ascii="宋体" w:hAnsi="宋体" w:cs="宋体"/>
                <w:b/>
                <w:bCs/>
                <w:sz w:val="24"/>
                <w:lang w:val="zh-CN"/>
              </w:rPr>
            </w:pPr>
            <w:r>
              <w:rPr>
                <w:rFonts w:hint="eastAsia" w:ascii="宋体" w:hAnsi="宋体" w:cs="宋体"/>
                <w:b/>
                <w:bCs/>
                <w:sz w:val="24"/>
              </w:rPr>
              <w:t>投标人认为需要提供的其他相关材料（如有）。</w:t>
            </w:r>
          </w:p>
        </w:tc>
        <w:tc>
          <w:tcPr>
            <w:tcW w:w="1920"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w:t>
            </w:r>
          </w:p>
        </w:tc>
      </w:tr>
    </w:tbl>
    <w:p>
      <w:pPr>
        <w:autoSpaceDE w:val="0"/>
        <w:autoSpaceDN w:val="0"/>
        <w:adjustRightInd w:val="0"/>
        <w:spacing w:line="360" w:lineRule="auto"/>
        <w:ind w:left="480"/>
        <w:rPr>
          <w:rFonts w:ascii="宋体" w:hAnsi="宋体" w:cs="宋体"/>
          <w:b/>
          <w:sz w:val="24"/>
        </w:rPr>
      </w:pPr>
    </w:p>
    <w:p>
      <w:pPr>
        <w:autoSpaceDE w:val="0"/>
        <w:autoSpaceDN w:val="0"/>
        <w:adjustRightInd w:val="0"/>
        <w:spacing w:line="360" w:lineRule="auto"/>
        <w:ind w:left="480"/>
        <w:rPr>
          <w:rFonts w:ascii="宋体" w:hAnsi="宋体" w:cs="宋体"/>
          <w:b/>
          <w:sz w:val="24"/>
        </w:rPr>
      </w:pPr>
      <w:r>
        <w:rPr>
          <w:rFonts w:hint="eastAsia" w:ascii="宋体" w:hAnsi="宋体" w:cs="宋体"/>
          <w:b/>
          <w:sz w:val="24"/>
        </w:rPr>
        <w:t>2、商务与技术文件的组成：</w:t>
      </w:r>
    </w:p>
    <w:tbl>
      <w:tblPr>
        <w:tblStyle w:val="3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6521"/>
        <w:gridCol w:w="19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(1)</w:t>
            </w:r>
          </w:p>
        </w:tc>
        <w:tc>
          <w:tcPr>
            <w:tcW w:w="6521" w:type="dxa"/>
            <w:vAlign w:val="center"/>
          </w:tcPr>
          <w:p>
            <w:pPr>
              <w:spacing w:line="360" w:lineRule="auto"/>
              <w:jc w:val="left"/>
              <w:rPr>
                <w:rFonts w:ascii="宋体" w:hAnsi="宋体" w:cs="宋体"/>
                <w:b/>
                <w:bCs/>
                <w:sz w:val="24"/>
                <w:lang w:val="zh-CN"/>
              </w:rPr>
            </w:pPr>
            <w:r>
              <w:rPr>
                <w:rFonts w:hint="eastAsia" w:ascii="宋体" w:hAnsi="宋体" w:cs="宋体"/>
                <w:b/>
                <w:bCs/>
                <w:sz w:val="24"/>
                <w:lang w:val="zh-CN"/>
              </w:rPr>
              <w:t>投标文件封面。</w:t>
            </w:r>
          </w:p>
        </w:tc>
        <w:tc>
          <w:tcPr>
            <w:tcW w:w="1920" w:type="dxa"/>
            <w:vAlign w:val="center"/>
          </w:tcPr>
          <w:p>
            <w:pPr>
              <w:spacing w:line="360" w:lineRule="auto"/>
              <w:jc w:val="center"/>
              <w:rPr>
                <w:rFonts w:ascii="宋体" w:hAnsi="宋体" w:cs="宋体"/>
                <w:b/>
                <w:bCs/>
                <w:sz w:val="24"/>
                <w:lang w:val="zh-CN"/>
              </w:rPr>
            </w:pPr>
            <w:r>
              <w:rPr>
                <w:rFonts w:hint="eastAsia" w:ascii="宋体" w:hAnsi="宋体" w:cs="宋体"/>
                <w:b/>
                <w:bCs/>
                <w:sz w:val="24"/>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(2)</w:t>
            </w:r>
          </w:p>
        </w:tc>
        <w:tc>
          <w:tcPr>
            <w:tcW w:w="6521" w:type="dxa"/>
            <w:vAlign w:val="center"/>
          </w:tcPr>
          <w:p>
            <w:pPr>
              <w:spacing w:line="360" w:lineRule="auto"/>
              <w:jc w:val="left"/>
              <w:rPr>
                <w:rFonts w:ascii="宋体" w:hAnsi="宋体" w:cs="宋体"/>
                <w:b/>
                <w:bCs/>
                <w:sz w:val="24"/>
                <w:lang w:val="zh-CN"/>
              </w:rPr>
            </w:pPr>
            <w:r>
              <w:rPr>
                <w:rFonts w:hint="eastAsia" w:ascii="宋体" w:hAnsi="宋体" w:cs="宋体"/>
                <w:b/>
                <w:bCs/>
                <w:sz w:val="24"/>
              </w:rPr>
              <w:t>各投标人根据自身对本项目的解读，按照本招标文件第四章“评标办法及评分标准”中商务与技术文件的打分内容，并结合第二章“招标需求”，由各投标人自行编制商务与技术文件，并装订成册。</w:t>
            </w:r>
          </w:p>
        </w:tc>
        <w:tc>
          <w:tcPr>
            <w:tcW w:w="1920"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w:t>
            </w:r>
            <w:r>
              <w:rPr>
                <w:rFonts w:hint="eastAsia" w:ascii="宋体" w:hAnsi="宋体" w:cs="宋体"/>
                <w:b/>
                <w:bCs/>
                <w:sz w:val="24"/>
                <w:lang w:val="en-US" w:eastAsia="zh-CN"/>
              </w:rPr>
              <w:t>3</w:t>
            </w:r>
            <w:r>
              <w:rPr>
                <w:rFonts w:hint="eastAsia" w:ascii="宋体" w:hAnsi="宋体" w:cs="宋体"/>
                <w:b/>
                <w:bCs/>
                <w:sz w:val="24"/>
                <w:lang w:val="zh-CN"/>
              </w:rPr>
              <w:t>)</w:t>
            </w:r>
          </w:p>
        </w:tc>
        <w:tc>
          <w:tcPr>
            <w:tcW w:w="6521" w:type="dxa"/>
            <w:vAlign w:val="center"/>
          </w:tcPr>
          <w:p>
            <w:pPr>
              <w:spacing w:line="360" w:lineRule="auto"/>
              <w:jc w:val="left"/>
              <w:rPr>
                <w:rFonts w:ascii="宋体" w:hAnsi="宋体" w:cs="宋体"/>
                <w:b/>
                <w:bCs/>
                <w:sz w:val="24"/>
                <w:lang w:val="zh-CN"/>
              </w:rPr>
            </w:pPr>
            <w:r>
              <w:rPr>
                <w:rFonts w:hint="eastAsia" w:ascii="宋体" w:hAnsi="宋体" w:cs="宋体"/>
                <w:b/>
                <w:bCs/>
                <w:sz w:val="24"/>
              </w:rPr>
              <w:t>投标人认为可以证明自身实力的其他相关材料（如有）。</w:t>
            </w:r>
          </w:p>
        </w:tc>
        <w:tc>
          <w:tcPr>
            <w:tcW w:w="1920"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w:t>
            </w:r>
          </w:p>
        </w:tc>
      </w:tr>
    </w:tbl>
    <w:p>
      <w:pPr>
        <w:autoSpaceDE w:val="0"/>
        <w:autoSpaceDN w:val="0"/>
        <w:adjustRightInd w:val="0"/>
        <w:spacing w:line="360" w:lineRule="auto"/>
        <w:ind w:left="480"/>
        <w:rPr>
          <w:rFonts w:ascii="宋体" w:hAnsi="宋体" w:cs="宋体"/>
          <w:b/>
          <w:sz w:val="24"/>
        </w:rPr>
      </w:pPr>
    </w:p>
    <w:p>
      <w:pPr>
        <w:autoSpaceDE w:val="0"/>
        <w:autoSpaceDN w:val="0"/>
        <w:adjustRightInd w:val="0"/>
        <w:spacing w:line="360" w:lineRule="auto"/>
        <w:ind w:left="480"/>
        <w:rPr>
          <w:rFonts w:ascii="宋体" w:hAnsi="宋体" w:cs="宋体"/>
          <w:b/>
          <w:sz w:val="24"/>
        </w:rPr>
      </w:pPr>
      <w:r>
        <w:rPr>
          <w:rFonts w:hint="eastAsia" w:ascii="宋体" w:hAnsi="宋体" w:cs="宋体"/>
          <w:b/>
          <w:sz w:val="24"/>
        </w:rPr>
        <w:t>3、报价文件的组成:</w:t>
      </w:r>
    </w:p>
    <w:tbl>
      <w:tblPr>
        <w:tblStyle w:val="3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6520"/>
        <w:gridCol w:w="19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(1)</w:t>
            </w:r>
          </w:p>
        </w:tc>
        <w:tc>
          <w:tcPr>
            <w:tcW w:w="6520" w:type="dxa"/>
            <w:vAlign w:val="center"/>
          </w:tcPr>
          <w:p>
            <w:pPr>
              <w:spacing w:line="360" w:lineRule="auto"/>
              <w:jc w:val="left"/>
              <w:rPr>
                <w:rFonts w:ascii="宋体" w:hAnsi="宋体" w:cs="宋体"/>
                <w:b/>
                <w:bCs/>
                <w:sz w:val="24"/>
                <w:lang w:val="zh-CN"/>
              </w:rPr>
            </w:pPr>
            <w:r>
              <w:rPr>
                <w:rFonts w:hint="eastAsia" w:ascii="宋体" w:hAnsi="宋体" w:cs="宋体"/>
                <w:b/>
                <w:bCs/>
                <w:sz w:val="24"/>
                <w:lang w:val="zh-CN"/>
              </w:rPr>
              <w:t>投标文件封面。</w:t>
            </w:r>
          </w:p>
        </w:tc>
        <w:tc>
          <w:tcPr>
            <w:tcW w:w="1921" w:type="dxa"/>
            <w:vAlign w:val="center"/>
          </w:tcPr>
          <w:p>
            <w:pPr>
              <w:spacing w:line="360" w:lineRule="auto"/>
              <w:jc w:val="center"/>
              <w:rPr>
                <w:rFonts w:ascii="宋体" w:hAnsi="宋体" w:cs="宋体"/>
                <w:b/>
                <w:bCs/>
                <w:sz w:val="24"/>
                <w:lang w:val="zh-CN"/>
              </w:rPr>
            </w:pPr>
            <w:r>
              <w:rPr>
                <w:rFonts w:hint="eastAsia" w:ascii="宋体" w:hAnsi="宋体" w:cs="宋体"/>
                <w:b/>
                <w:bCs/>
                <w:sz w:val="24"/>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w:t>
            </w:r>
            <w:r>
              <w:rPr>
                <w:rFonts w:hint="eastAsia" w:ascii="宋体" w:hAnsi="宋体" w:cs="宋体"/>
                <w:b/>
                <w:bCs/>
                <w:sz w:val="24"/>
              </w:rPr>
              <w:t>2</w:t>
            </w:r>
            <w:r>
              <w:rPr>
                <w:rFonts w:hint="eastAsia" w:ascii="宋体" w:hAnsi="宋体" w:cs="宋体"/>
                <w:b/>
                <w:bCs/>
                <w:sz w:val="24"/>
                <w:lang w:val="zh-CN"/>
              </w:rPr>
              <w:t>)</w:t>
            </w:r>
          </w:p>
        </w:tc>
        <w:tc>
          <w:tcPr>
            <w:tcW w:w="6520" w:type="dxa"/>
            <w:vAlign w:val="center"/>
          </w:tcPr>
          <w:p>
            <w:pPr>
              <w:spacing w:line="360" w:lineRule="auto"/>
              <w:jc w:val="left"/>
              <w:rPr>
                <w:rFonts w:hint="eastAsia" w:ascii="宋体" w:hAnsi="宋体" w:eastAsia="宋体" w:cs="宋体"/>
                <w:b/>
                <w:bCs/>
                <w:sz w:val="24"/>
                <w:lang w:eastAsia="zh-CN"/>
              </w:rPr>
            </w:pPr>
            <w:r>
              <w:rPr>
                <w:rFonts w:hint="eastAsia" w:ascii="宋体" w:hAnsi="宋体" w:cs="宋体"/>
                <w:b/>
                <w:bCs/>
                <w:sz w:val="24"/>
              </w:rPr>
              <w:t>开标一览表</w:t>
            </w:r>
            <w:r>
              <w:rPr>
                <w:rFonts w:hint="eastAsia" w:ascii="宋体" w:hAnsi="宋体" w:cs="宋体"/>
                <w:b/>
                <w:bCs/>
                <w:sz w:val="24"/>
                <w:lang w:eastAsia="zh-CN"/>
              </w:rPr>
              <w:t>。</w:t>
            </w:r>
          </w:p>
        </w:tc>
        <w:tc>
          <w:tcPr>
            <w:tcW w:w="1921" w:type="dxa"/>
          </w:tcPr>
          <w:p>
            <w:pPr>
              <w:spacing w:line="360" w:lineRule="auto"/>
              <w:jc w:val="center"/>
              <w:rPr>
                <w:rFonts w:ascii="宋体" w:hAnsi="宋体" w:cs="宋体"/>
                <w:b/>
                <w:bCs/>
                <w:sz w:val="24"/>
              </w:rPr>
            </w:pPr>
            <w:r>
              <w:rPr>
                <w:rFonts w:hint="eastAsia" w:ascii="宋体" w:hAnsi="宋体" w:cs="宋体"/>
                <w:b/>
                <w:bCs/>
                <w:sz w:val="24"/>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pacing w:line="360" w:lineRule="auto"/>
              <w:jc w:val="center"/>
              <w:rPr>
                <w:rFonts w:hint="eastAsia" w:ascii="宋体" w:hAnsi="宋体" w:eastAsia="宋体" w:cs="宋体"/>
                <w:b/>
                <w:bCs/>
                <w:kern w:val="2"/>
                <w:sz w:val="24"/>
                <w:szCs w:val="24"/>
                <w:lang w:val="zh-CN" w:eastAsia="zh-CN" w:bidi="ar-SA"/>
              </w:rPr>
            </w:pPr>
            <w:r>
              <w:rPr>
                <w:rFonts w:hint="eastAsia" w:ascii="宋体" w:hAnsi="宋体" w:cs="宋体"/>
                <w:b/>
                <w:bCs/>
                <w:sz w:val="24"/>
                <w:lang w:val="zh-CN"/>
              </w:rPr>
              <w:t>(</w:t>
            </w:r>
            <w:r>
              <w:rPr>
                <w:rFonts w:hint="eastAsia" w:ascii="宋体" w:hAnsi="宋体" w:cs="宋体"/>
                <w:b/>
                <w:bCs/>
                <w:sz w:val="24"/>
                <w:lang w:val="en-US" w:eastAsia="zh-CN"/>
              </w:rPr>
              <w:t>3</w:t>
            </w:r>
            <w:r>
              <w:rPr>
                <w:rFonts w:hint="eastAsia" w:ascii="宋体" w:hAnsi="宋体" w:cs="宋体"/>
                <w:b/>
                <w:bCs/>
                <w:sz w:val="24"/>
                <w:lang w:val="zh-CN"/>
              </w:rPr>
              <w:t>)</w:t>
            </w:r>
          </w:p>
        </w:tc>
        <w:tc>
          <w:tcPr>
            <w:tcW w:w="6520" w:type="dxa"/>
            <w:vAlign w:val="center"/>
          </w:tcPr>
          <w:p>
            <w:pPr>
              <w:spacing w:line="360" w:lineRule="auto"/>
              <w:jc w:val="left"/>
              <w:rPr>
                <w:rFonts w:hint="eastAsia" w:ascii="宋体" w:hAnsi="宋体" w:eastAsia="宋体" w:cs="宋体"/>
                <w:b/>
                <w:bCs/>
                <w:kern w:val="2"/>
                <w:sz w:val="24"/>
                <w:szCs w:val="24"/>
                <w:lang w:val="zh-CN" w:eastAsia="zh-CN" w:bidi="ar-SA"/>
              </w:rPr>
            </w:pPr>
            <w:r>
              <w:rPr>
                <w:rFonts w:hint="eastAsia" w:ascii="宋体" w:hAnsi="宋体" w:cs="宋体"/>
                <w:b/>
                <w:bCs/>
                <w:sz w:val="24"/>
              </w:rPr>
              <w:t>中小企业声明函。</w:t>
            </w:r>
          </w:p>
        </w:tc>
        <w:tc>
          <w:tcPr>
            <w:tcW w:w="1921" w:type="dxa"/>
            <w:vAlign w:val="center"/>
          </w:tcPr>
          <w:p>
            <w:pPr>
              <w:spacing w:line="360" w:lineRule="auto"/>
              <w:jc w:val="center"/>
              <w:rPr>
                <w:rFonts w:hint="eastAsia" w:ascii="宋体" w:hAnsi="宋体" w:eastAsia="宋体" w:cs="宋体"/>
                <w:b/>
                <w:bCs/>
                <w:kern w:val="2"/>
                <w:sz w:val="24"/>
                <w:szCs w:val="24"/>
                <w:lang w:val="zh-CN" w:eastAsia="zh-CN" w:bidi="ar-SA"/>
              </w:rPr>
            </w:pPr>
            <w:r>
              <w:rPr>
                <w:rFonts w:hint="eastAsia" w:ascii="宋体" w:hAnsi="宋体" w:cs="宋体"/>
                <w:b/>
                <w:bCs/>
                <w:sz w:val="24"/>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pacing w:line="360" w:lineRule="auto"/>
              <w:jc w:val="center"/>
              <w:rPr>
                <w:rFonts w:ascii="宋体" w:hAnsi="宋体" w:cs="宋体"/>
                <w:b/>
                <w:bCs/>
                <w:sz w:val="24"/>
                <w:lang w:val="zh-CN"/>
              </w:rPr>
            </w:pPr>
            <w:r>
              <w:rPr>
                <w:rFonts w:hint="eastAsia" w:ascii="宋体" w:hAnsi="宋体" w:cs="宋体"/>
                <w:b/>
                <w:bCs/>
                <w:sz w:val="24"/>
                <w:lang w:val="zh-CN"/>
              </w:rPr>
              <w:t>(</w:t>
            </w:r>
            <w:r>
              <w:rPr>
                <w:rFonts w:hint="eastAsia" w:ascii="宋体" w:hAnsi="宋体" w:cs="宋体"/>
                <w:b/>
                <w:bCs/>
                <w:sz w:val="24"/>
                <w:lang w:val="en-US" w:eastAsia="zh-CN"/>
              </w:rPr>
              <w:t>4</w:t>
            </w:r>
            <w:r>
              <w:rPr>
                <w:rFonts w:hint="eastAsia" w:ascii="宋体" w:hAnsi="宋体" w:cs="宋体"/>
                <w:b/>
                <w:bCs/>
                <w:sz w:val="24"/>
                <w:lang w:val="zh-CN"/>
              </w:rPr>
              <w:t>)</w:t>
            </w:r>
          </w:p>
        </w:tc>
        <w:tc>
          <w:tcPr>
            <w:tcW w:w="6520" w:type="dxa"/>
            <w:vAlign w:val="center"/>
          </w:tcPr>
          <w:p>
            <w:pPr>
              <w:spacing w:line="360" w:lineRule="auto"/>
              <w:jc w:val="left"/>
              <w:rPr>
                <w:rFonts w:ascii="宋体" w:hAnsi="宋体" w:cs="宋体"/>
                <w:b/>
                <w:bCs/>
                <w:sz w:val="24"/>
              </w:rPr>
            </w:pPr>
            <w:r>
              <w:rPr>
                <w:rFonts w:hint="eastAsia" w:ascii="宋体" w:hAnsi="宋体" w:cs="宋体"/>
                <w:b/>
                <w:bCs/>
                <w:sz w:val="24"/>
              </w:rPr>
              <w:t>投标人认为需要提供的其他文件和资料（如有）。</w:t>
            </w:r>
          </w:p>
        </w:tc>
        <w:tc>
          <w:tcPr>
            <w:tcW w:w="1921" w:type="dxa"/>
            <w:vAlign w:val="center"/>
          </w:tcPr>
          <w:p>
            <w:pPr>
              <w:spacing w:line="360" w:lineRule="auto"/>
              <w:jc w:val="center"/>
              <w:rPr>
                <w:rFonts w:ascii="宋体" w:hAnsi="宋体" w:cs="宋体"/>
                <w:b/>
                <w:bCs/>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00" w:type="dxa"/>
            <w:gridSpan w:val="3"/>
            <w:vAlign w:val="center"/>
          </w:tcPr>
          <w:p>
            <w:pPr>
              <w:spacing w:line="360" w:lineRule="auto"/>
              <w:ind w:firstLine="482" w:firstLineChars="200"/>
              <w:rPr>
                <w:rFonts w:ascii="宋体" w:hAnsi="宋体" w:cs="宋体"/>
                <w:b/>
                <w:bCs/>
                <w:sz w:val="24"/>
              </w:rPr>
            </w:pPr>
            <w:r>
              <w:rPr>
                <w:rFonts w:hint="eastAsia" w:ascii="宋体" w:hAnsi="宋体" w:cs="宋体"/>
                <w:b/>
                <w:bCs/>
                <w:sz w:val="24"/>
              </w:rPr>
              <w:t>1、相关报价单需打印或用不退色的墨水填写， 投标报价单不得涂改和增删，如有错漏必须修改，修改处须由同一签署人签字或盖章。由于字迹模糊或表达不清引起的后果由投标人负责。</w:t>
            </w:r>
          </w:p>
          <w:p>
            <w:pPr>
              <w:spacing w:line="360" w:lineRule="auto"/>
              <w:ind w:firstLine="482" w:firstLineChars="200"/>
              <w:rPr>
                <w:rFonts w:ascii="宋体" w:hAnsi="宋体" w:cs="宋体"/>
              </w:rPr>
            </w:pPr>
            <w:r>
              <w:rPr>
                <w:rFonts w:hint="eastAsia" w:ascii="宋体" w:hAnsi="宋体" w:cs="宋体"/>
                <w:b/>
                <w:bCs/>
                <w:sz w:val="24"/>
              </w:rPr>
              <w:t>2、报价文件格式应按招标文件中相关附表格式填写。</w:t>
            </w:r>
          </w:p>
        </w:tc>
      </w:tr>
    </w:tbl>
    <w:p>
      <w:pPr>
        <w:spacing w:line="360" w:lineRule="auto"/>
        <w:rPr>
          <w:rFonts w:ascii="宋体" w:hAnsi="宋体" w:cs="宋体"/>
        </w:rPr>
      </w:pPr>
    </w:p>
    <w:p>
      <w:pPr>
        <w:pStyle w:val="31"/>
        <w:widowControl w:val="0"/>
        <w:spacing w:before="0" w:afterLines="0" w:line="360" w:lineRule="auto"/>
        <w:ind w:firstLine="480" w:firstLineChars="200"/>
        <w:rPr>
          <w:rFonts w:hint="default" w:cs="宋体"/>
          <w:b/>
          <w:bCs/>
          <w:color w:val="auto"/>
        </w:rPr>
      </w:pPr>
      <w:r>
        <w:rPr>
          <w:rFonts w:cs="宋体"/>
          <w:color w:val="auto"/>
        </w:rPr>
        <w:t>▲</w:t>
      </w:r>
      <w:r>
        <w:rPr>
          <w:rFonts w:cs="宋体"/>
          <w:b/>
          <w:bCs/>
          <w:color w:val="auto"/>
        </w:rPr>
        <w:t>注：资格证明文件、商务与技术文件、报价文件封面必须由法定代表人签字或盖章或电子签章并加盖单位公章或电子签章，其余附件按招标文件要求格式签章。</w:t>
      </w:r>
    </w:p>
    <w:p>
      <w:pPr>
        <w:spacing w:line="360" w:lineRule="auto"/>
        <w:ind w:firstLine="472" w:firstLineChars="196"/>
        <w:rPr>
          <w:rFonts w:ascii="宋体" w:hAnsi="宋体" w:cs="宋体"/>
          <w:b/>
          <w:sz w:val="24"/>
        </w:rPr>
      </w:pPr>
      <w:r>
        <w:rPr>
          <w:rFonts w:hint="eastAsia" w:ascii="宋体" w:hAnsi="宋体" w:cs="宋体"/>
          <w:b/>
          <w:sz w:val="24"/>
        </w:rPr>
        <w:t>（三）投标文件的语言及计量</w:t>
      </w:r>
    </w:p>
    <w:p>
      <w:pPr>
        <w:spacing w:line="360" w:lineRule="auto"/>
        <w:ind w:firstLine="480" w:firstLineChars="200"/>
        <w:rPr>
          <w:rFonts w:ascii="宋体" w:hAnsi="宋体" w:cs="宋体"/>
          <w:sz w:val="24"/>
        </w:rPr>
      </w:pPr>
      <w:r>
        <w:rPr>
          <w:rFonts w:hint="eastAsia" w:ascii="宋体" w:hAnsi="宋体" w:cs="宋体"/>
          <w:sz w:val="24"/>
        </w:rPr>
        <w:t>1、投标文件以及投标人与采购人就有关投标事宜的所有来往函电，均应以中文汉语书写。除签名、盖章、专用名称等特殊情形外，以中文汉语以外的文字表述的投标文件视同未提供。</w:t>
      </w:r>
    </w:p>
    <w:p>
      <w:pPr>
        <w:spacing w:line="360" w:lineRule="auto"/>
        <w:ind w:firstLine="480" w:firstLineChars="200"/>
        <w:rPr>
          <w:rFonts w:ascii="宋体" w:hAnsi="宋体" w:cs="宋体"/>
          <w:sz w:val="24"/>
        </w:rPr>
      </w:pPr>
      <w:r>
        <w:rPr>
          <w:rFonts w:hint="eastAsia" w:ascii="宋体" w:hAnsi="宋体" w:cs="宋体"/>
          <w:sz w:val="24"/>
        </w:rPr>
        <w:t>2、投标计量单位，招标文件已有明确规定的，使用招标文件规定的计量单位；招标文件没有规定的，应采用中华人民共和国法定计量单位（货币单位：人民币元），否则视同未响应。</w:t>
      </w:r>
    </w:p>
    <w:p>
      <w:pPr>
        <w:snapToGrid w:val="0"/>
        <w:spacing w:before="156" w:beforeLines="50" w:line="360" w:lineRule="auto"/>
        <w:ind w:firstLine="472" w:firstLineChars="196"/>
        <w:jc w:val="left"/>
        <w:outlineLvl w:val="0"/>
        <w:rPr>
          <w:rFonts w:ascii="宋体" w:hAnsi="宋体" w:cs="宋体"/>
          <w:b/>
          <w:sz w:val="24"/>
          <w:szCs w:val="20"/>
        </w:rPr>
      </w:pPr>
      <w:r>
        <w:rPr>
          <w:rFonts w:hint="eastAsia" w:ascii="宋体" w:hAnsi="宋体" w:cs="宋体"/>
          <w:b/>
          <w:sz w:val="24"/>
        </w:rPr>
        <w:t>（四）投标报价</w:t>
      </w:r>
    </w:p>
    <w:p>
      <w:pPr>
        <w:pStyle w:val="21"/>
        <w:snapToGrid w:val="0"/>
        <w:spacing w:beforeLines="0" w:afterLines="0" w:line="360" w:lineRule="auto"/>
        <w:ind w:firstLine="720" w:firstLineChars="300"/>
        <w:jc w:val="left"/>
        <w:rPr>
          <w:rFonts w:hAnsi="宋体" w:cs="宋体"/>
        </w:rPr>
      </w:pPr>
      <w:r>
        <w:rPr>
          <w:rFonts w:hint="eastAsia" w:hAnsi="宋体" w:cs="宋体"/>
        </w:rPr>
        <w:t>1.投标报价应按招标文件中相关附表格式填写。</w:t>
      </w:r>
    </w:p>
    <w:p>
      <w:pPr>
        <w:pStyle w:val="21"/>
        <w:snapToGrid w:val="0"/>
        <w:spacing w:beforeLines="0" w:afterLines="0" w:line="360" w:lineRule="auto"/>
        <w:ind w:firstLine="480" w:firstLineChars="200"/>
        <w:jc w:val="left"/>
        <w:rPr>
          <w:rFonts w:hAnsi="宋体" w:cs="宋体"/>
        </w:rPr>
      </w:pPr>
      <w:r>
        <w:rPr>
          <w:rFonts w:hint="eastAsia" w:hAnsi="宋体" w:cs="宋体"/>
        </w:rPr>
        <w:t>▲2.投标报价是履行合同的最终价格，</w:t>
      </w:r>
      <w:r>
        <w:rPr>
          <w:rFonts w:hint="eastAsia" w:hAnsi="宋体" w:cs="宋体"/>
          <w:b/>
          <w:u w:val="single"/>
        </w:rPr>
        <w:t>本次报价为招标文件所确定的招标需求范围内和合同中要求完成的全部工作内容以及中标人服务承诺，包括项目实施人员费用、软件开发、安装、调试、测试、技术交底、技术培训、售后服务、验收、培训、采购代理服务费、保修及其他配套服务等一切税金和费用。供应商须充分考虑实际服务内容和需求，针对自身实际情况，核算所需的成本及合理 的利润，自行报价，结算时由供应商开具正式发票。</w:t>
      </w:r>
      <w:r>
        <w:rPr>
          <w:rFonts w:hint="eastAsia" w:hAnsi="宋体" w:cs="宋体"/>
          <w:bCs/>
        </w:rPr>
        <w:t>各投标人应根据招标人提供的技术资料、工程量清单，以及本工程实际情况和自身的综合实力，竞报投标报价。总报价以人民币元计。知识产权等由投标人在投标报价时综合考虑，以后不作任何调整。</w:t>
      </w:r>
    </w:p>
    <w:p>
      <w:pPr>
        <w:tabs>
          <w:tab w:val="left" w:pos="525"/>
        </w:tabs>
        <w:snapToGrid w:val="0"/>
        <w:spacing w:line="360" w:lineRule="auto"/>
        <w:ind w:firstLine="480" w:firstLineChars="200"/>
        <w:jc w:val="left"/>
        <w:rPr>
          <w:rFonts w:ascii="宋体" w:hAnsi="宋体" w:cs="宋体"/>
          <w:sz w:val="24"/>
        </w:rPr>
      </w:pPr>
      <w:r>
        <w:rPr>
          <w:rFonts w:hint="eastAsia" w:ascii="宋体" w:hAnsi="宋体" w:cs="宋体"/>
          <w:sz w:val="24"/>
        </w:rPr>
        <w:t>▲3.投标文件只允许有一个报价，有选择的或有条件的报价将不予接受。</w:t>
      </w:r>
    </w:p>
    <w:p>
      <w:pPr>
        <w:pStyle w:val="8"/>
        <w:widowControl w:val="0"/>
        <w:tabs>
          <w:tab w:val="clear" w:pos="454"/>
          <w:tab w:val="clear" w:pos="900"/>
        </w:tabs>
        <w:snapToGrid w:val="0"/>
        <w:spacing w:before="156" w:beforeLines="50" w:afterLines="0" w:line="360" w:lineRule="auto"/>
        <w:ind w:left="0" w:firstLine="472" w:firstLineChars="196"/>
        <w:rPr>
          <w:rFonts w:ascii="宋体" w:hAnsi="宋体" w:cs="宋体"/>
          <w:b/>
          <w:szCs w:val="24"/>
        </w:rPr>
      </w:pPr>
      <w:r>
        <w:rPr>
          <w:rFonts w:hint="eastAsia" w:ascii="宋体" w:hAnsi="宋体" w:cs="宋体"/>
          <w:b/>
          <w:szCs w:val="24"/>
        </w:rPr>
        <w:t>（五）投标文件的有效期</w:t>
      </w:r>
    </w:p>
    <w:p>
      <w:pPr>
        <w:pStyle w:val="8"/>
        <w:widowControl w:val="0"/>
        <w:tabs>
          <w:tab w:val="clear" w:pos="454"/>
          <w:tab w:val="clear" w:pos="900"/>
        </w:tabs>
        <w:snapToGrid w:val="0"/>
        <w:spacing w:afterLines="0" w:line="360" w:lineRule="auto"/>
        <w:ind w:left="0" w:firstLine="480" w:firstLineChars="200"/>
        <w:rPr>
          <w:rFonts w:ascii="宋体" w:hAnsi="宋体" w:cs="宋体"/>
          <w:szCs w:val="24"/>
        </w:rPr>
      </w:pPr>
      <w:r>
        <w:rPr>
          <w:rFonts w:hint="eastAsia" w:ascii="宋体" w:hAnsi="宋体" w:cs="宋体"/>
          <w:szCs w:val="24"/>
        </w:rPr>
        <w:t>▲1.自投标截止日起</w:t>
      </w:r>
      <w:r>
        <w:rPr>
          <w:rFonts w:hint="eastAsia" w:ascii="宋体" w:hAnsi="宋体" w:cs="宋体"/>
          <w:szCs w:val="24"/>
          <w:u w:val="single"/>
        </w:rPr>
        <w:t xml:space="preserve"> 90</w:t>
      </w:r>
      <w:r>
        <w:rPr>
          <w:rFonts w:hint="eastAsia" w:ascii="宋体" w:hAnsi="宋体" w:cs="宋体"/>
          <w:szCs w:val="24"/>
        </w:rPr>
        <w:t>天投标文件应保持有效。中标人投标文件有效期延长至合同有效期。有效期不足的投标文件将被拒绝。</w:t>
      </w:r>
    </w:p>
    <w:p>
      <w:pPr>
        <w:pStyle w:val="8"/>
        <w:widowControl w:val="0"/>
        <w:tabs>
          <w:tab w:val="clear" w:pos="454"/>
          <w:tab w:val="clear" w:pos="900"/>
        </w:tabs>
        <w:snapToGrid w:val="0"/>
        <w:spacing w:afterLines="0" w:line="360" w:lineRule="auto"/>
        <w:ind w:left="0" w:firstLine="480" w:firstLineChars="200"/>
        <w:rPr>
          <w:rFonts w:ascii="宋体" w:hAnsi="宋体" w:cs="宋体"/>
          <w:szCs w:val="24"/>
        </w:rPr>
      </w:pPr>
      <w:r>
        <w:rPr>
          <w:rFonts w:hint="eastAsia" w:ascii="宋体" w:hAnsi="宋体" w:cs="宋体"/>
          <w:szCs w:val="24"/>
        </w:rPr>
        <w:t>2.在特殊情况下，采购人可与投标人协商延长投标书的有效期，这种要求和答复均以书面形式进行。</w:t>
      </w:r>
    </w:p>
    <w:p>
      <w:pPr>
        <w:snapToGrid w:val="0"/>
        <w:spacing w:line="360" w:lineRule="auto"/>
        <w:ind w:firstLine="480" w:firstLineChars="200"/>
        <w:jc w:val="left"/>
        <w:outlineLvl w:val="0"/>
        <w:rPr>
          <w:rFonts w:ascii="宋体" w:hAnsi="宋体" w:cs="宋体"/>
          <w:b/>
          <w:sz w:val="24"/>
          <w:szCs w:val="20"/>
        </w:rPr>
      </w:pPr>
      <w:r>
        <w:rPr>
          <w:rFonts w:hint="eastAsia" w:ascii="宋体" w:hAnsi="宋体" w:cs="宋体"/>
          <w:sz w:val="24"/>
        </w:rPr>
        <w:t>3.投标人可拒绝接受延期要求而不会导致投标保证金被没收。同意延长有效期的投标人需要相应延长投标保证金的有效期，但不能修改投标文件。</w:t>
      </w:r>
    </w:p>
    <w:p>
      <w:pPr>
        <w:snapToGrid w:val="0"/>
        <w:spacing w:line="360" w:lineRule="auto"/>
        <w:ind w:firstLine="480" w:firstLineChars="200"/>
        <w:jc w:val="left"/>
        <w:outlineLvl w:val="0"/>
        <w:rPr>
          <w:rFonts w:ascii="宋体" w:hAnsi="宋体" w:cs="宋体"/>
          <w:b/>
          <w:sz w:val="24"/>
        </w:rPr>
      </w:pPr>
      <w:r>
        <w:rPr>
          <w:rFonts w:hint="eastAsia" w:ascii="宋体" w:hAnsi="宋体" w:cs="宋体"/>
          <w:sz w:val="24"/>
        </w:rPr>
        <w:t>4.中标人的投标文件自开标之日起至合同履行完毕止均应保持有效。</w:t>
      </w:r>
    </w:p>
    <w:p>
      <w:pPr>
        <w:snapToGrid w:val="0"/>
        <w:spacing w:before="156" w:beforeLines="50" w:line="360" w:lineRule="auto"/>
        <w:ind w:firstLine="472" w:firstLineChars="196"/>
        <w:jc w:val="left"/>
        <w:outlineLvl w:val="0"/>
        <w:rPr>
          <w:rFonts w:ascii="宋体" w:hAnsi="宋体" w:cs="宋体"/>
          <w:b/>
          <w:sz w:val="24"/>
          <w:szCs w:val="20"/>
        </w:rPr>
      </w:pPr>
      <w:r>
        <w:rPr>
          <w:rFonts w:hint="eastAsia" w:ascii="宋体" w:hAnsi="宋体" w:cs="宋体"/>
          <w:b/>
          <w:sz w:val="24"/>
        </w:rPr>
        <w:t>（六）投标保证金</w:t>
      </w:r>
    </w:p>
    <w:p>
      <w:pPr>
        <w:spacing w:line="360" w:lineRule="auto"/>
        <w:ind w:firstLine="480" w:firstLineChars="200"/>
        <w:rPr>
          <w:rFonts w:ascii="宋体" w:hAnsi="宋体" w:cs="宋体"/>
          <w:sz w:val="24"/>
          <w:szCs w:val="32"/>
        </w:rPr>
      </w:pPr>
      <w:r>
        <w:rPr>
          <w:rFonts w:hint="eastAsia" w:ascii="宋体" w:hAnsi="宋体" w:cs="宋体"/>
          <w:sz w:val="24"/>
          <w:szCs w:val="32"/>
        </w:rPr>
        <w:t>根据《浙江省财政厅关于明确政府采购保证金管理工作的通知》（浙财采监〔2019〕5号）相关规定，本项目不设置投标保证金。</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（七）投标文件的制作及递交要求</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1、投标文件的制作要求</w:t>
      </w:r>
    </w:p>
    <w:p>
      <w:pPr>
        <w:spacing w:line="360" w:lineRule="auto"/>
        <w:ind w:firstLine="480" w:firstLineChars="200"/>
        <w:rPr>
          <w:rFonts w:ascii="宋体" w:hAnsi="宋体" w:cs="宋体"/>
          <w:sz w:val="24"/>
          <w:szCs w:val="32"/>
        </w:rPr>
      </w:pPr>
      <w:r>
        <w:rPr>
          <w:rFonts w:hint="eastAsia" w:ascii="宋体" w:hAnsi="宋体" w:cs="宋体"/>
          <w:sz w:val="24"/>
          <w:szCs w:val="32"/>
        </w:rPr>
        <w:t>（1）投标人应按照投标文件组成内容及项目招标需求制作投标文件，不按招标文件要求制作投标文件的将视情处理（拒收、扣分等），由此产生的责任由投标人自行承担。</w:t>
      </w:r>
    </w:p>
    <w:p>
      <w:pPr>
        <w:spacing w:line="360" w:lineRule="auto"/>
        <w:ind w:firstLine="480" w:firstLineChars="200"/>
        <w:rPr>
          <w:rFonts w:ascii="宋体" w:hAnsi="宋体" w:cs="宋体"/>
          <w:sz w:val="24"/>
          <w:szCs w:val="32"/>
          <w:lang w:val="zh-CN"/>
        </w:rPr>
      </w:pPr>
      <w:r>
        <w:rPr>
          <w:rFonts w:hint="eastAsia" w:ascii="宋体" w:hAnsi="宋体" w:cs="宋体"/>
          <w:sz w:val="24"/>
          <w:szCs w:val="32"/>
        </w:rPr>
        <w:t>（2）投标人应对所提供的全部资料的真实性承担法律责任，</w:t>
      </w:r>
      <w:r>
        <w:rPr>
          <w:rFonts w:hint="eastAsia" w:ascii="宋体" w:hAnsi="宋体" w:cs="宋体"/>
          <w:sz w:val="24"/>
          <w:szCs w:val="32"/>
          <w:lang w:val="zh-CN"/>
        </w:rPr>
        <w:t>投标文件内容中有要求盖章或签字的地方，必须加盖投标人的公章以及法定代表人或授权委托代理人盖章或签字。</w:t>
      </w:r>
    </w:p>
    <w:p>
      <w:pPr>
        <w:spacing w:line="360" w:lineRule="auto"/>
        <w:ind w:firstLine="480" w:firstLineChars="200"/>
        <w:rPr>
          <w:rFonts w:ascii="宋体" w:hAnsi="宋体" w:cs="宋体"/>
          <w:sz w:val="24"/>
          <w:szCs w:val="32"/>
        </w:rPr>
      </w:pPr>
      <w:r>
        <w:rPr>
          <w:rFonts w:hint="eastAsia" w:ascii="宋体" w:hAnsi="宋体" w:cs="宋体"/>
          <w:sz w:val="24"/>
          <w:szCs w:val="32"/>
        </w:rPr>
        <w:t>（3）若投标人不按招标文件的要求提供资格审查材料，其风险由投标人自行承担。</w:t>
      </w:r>
    </w:p>
    <w:p>
      <w:pPr>
        <w:spacing w:line="360" w:lineRule="auto"/>
        <w:ind w:firstLine="480" w:firstLineChars="200"/>
        <w:rPr>
          <w:rFonts w:ascii="宋体" w:hAnsi="宋体" w:cs="宋体"/>
          <w:sz w:val="24"/>
          <w:szCs w:val="32"/>
        </w:rPr>
      </w:pPr>
      <w:r>
        <w:rPr>
          <w:rFonts w:hint="eastAsia" w:ascii="宋体" w:hAnsi="宋体" w:cs="宋体"/>
          <w:sz w:val="24"/>
          <w:szCs w:val="32"/>
        </w:rPr>
        <w:t>（4）与本次投标无关的内容请不要制作在内，确保投标文件有针对性、简洁明了。</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①投标文件的编制</w:t>
      </w:r>
    </w:p>
    <w:p>
      <w:pPr>
        <w:spacing w:line="360" w:lineRule="auto"/>
        <w:ind w:firstLine="480" w:firstLineChars="200"/>
        <w:rPr>
          <w:rFonts w:ascii="宋体" w:hAnsi="宋体" w:cs="宋体"/>
          <w:sz w:val="24"/>
          <w:szCs w:val="32"/>
        </w:rPr>
      </w:pPr>
      <w:r>
        <w:rPr>
          <w:rFonts w:hint="eastAsia" w:ascii="宋体" w:hAnsi="宋体" w:cs="宋体"/>
          <w:sz w:val="24"/>
          <w:szCs w:val="32"/>
        </w:rPr>
        <w:t>本项目实行电子投标，</w:t>
      </w:r>
      <w:r>
        <w:rPr>
          <w:rFonts w:hint="eastAsia" w:ascii="宋体" w:hAnsi="宋体" w:cs="宋体"/>
          <w:sz w:val="24"/>
        </w:rPr>
        <w:t>供应商应准备电子投标文件、以介质（U盘）存储的数据电文形式的备份投标文件两类</w:t>
      </w:r>
      <w:r>
        <w:rPr>
          <w:rFonts w:hint="eastAsia" w:ascii="宋体" w:hAnsi="宋体" w:cs="宋体"/>
          <w:sz w:val="24"/>
          <w:szCs w:val="32"/>
        </w:rPr>
        <w:t>：</w:t>
      </w:r>
    </w:p>
    <w:p>
      <w:pPr>
        <w:spacing w:line="360" w:lineRule="auto"/>
        <w:ind w:firstLine="480" w:firstLineChars="200"/>
        <w:rPr>
          <w:rFonts w:ascii="宋体" w:hAnsi="宋体" w:cs="宋体"/>
          <w:sz w:val="24"/>
          <w:szCs w:val="32"/>
          <w:lang w:val="en-GB"/>
        </w:rPr>
      </w:pPr>
      <w:r>
        <w:rPr>
          <w:rFonts w:hint="eastAsia" w:ascii="宋体" w:hAnsi="宋体" w:cs="宋体"/>
          <w:sz w:val="24"/>
          <w:szCs w:val="32"/>
        </w:rPr>
        <w:t>（1）按政采云平台项目采购--电子招投标操作指南及本招标文件要求编制。</w:t>
      </w:r>
      <w:r>
        <w:rPr>
          <w:rFonts w:hint="eastAsia" w:ascii="宋体" w:hAnsi="宋体" w:cs="宋体"/>
          <w:sz w:val="24"/>
          <w:szCs w:val="32"/>
          <w:lang w:val="en-GB"/>
        </w:rPr>
        <w:t>投标人应通过“政采云电子交易客户端”，并按照本招标文件和“政府采购云平台”的要求编制并加密投标文件。</w:t>
      </w:r>
    </w:p>
    <w:p>
      <w:pPr>
        <w:spacing w:line="360" w:lineRule="auto"/>
        <w:ind w:firstLine="480" w:firstLineChars="200"/>
        <w:rPr>
          <w:rFonts w:ascii="宋体" w:hAnsi="宋体" w:cs="宋体"/>
          <w:sz w:val="24"/>
          <w:szCs w:val="32"/>
          <w:lang w:val="en-GB"/>
        </w:rPr>
      </w:pPr>
      <w:r>
        <w:rPr>
          <w:rFonts w:hint="eastAsia" w:ascii="宋体" w:hAnsi="宋体" w:cs="宋体"/>
          <w:sz w:val="24"/>
          <w:szCs w:val="32"/>
          <w:lang w:val="en-GB"/>
        </w:rPr>
        <w:t>1.</w:t>
      </w:r>
      <w:r>
        <w:rPr>
          <w:rFonts w:hint="eastAsia" w:ascii="宋体" w:hAnsi="宋体" w:cs="宋体"/>
          <w:sz w:val="24"/>
          <w:szCs w:val="32"/>
        </w:rPr>
        <w:t>1</w:t>
      </w:r>
      <w:r>
        <w:rPr>
          <w:rFonts w:hint="eastAsia" w:ascii="宋体" w:hAnsi="宋体" w:cs="宋体"/>
          <w:sz w:val="24"/>
          <w:szCs w:val="32"/>
          <w:lang w:val="en-GB"/>
        </w:rPr>
        <w:t>投标人应当按照本章节 “投标文件组成”规定的内容及顺序在“政采云电子交易客户端”编制投标文件。其中《</w:t>
      </w:r>
      <w:r>
        <w:rPr>
          <w:rFonts w:hint="eastAsia" w:ascii="宋体" w:hAnsi="宋体" w:cs="宋体"/>
          <w:sz w:val="24"/>
          <w:szCs w:val="32"/>
        </w:rPr>
        <w:t>资格证明文件</w:t>
      </w:r>
      <w:r>
        <w:rPr>
          <w:rFonts w:hint="eastAsia" w:ascii="宋体" w:hAnsi="宋体" w:cs="宋体"/>
          <w:sz w:val="24"/>
          <w:szCs w:val="32"/>
          <w:lang w:val="en-GB"/>
        </w:rPr>
        <w:t>》和《</w:t>
      </w:r>
      <w:r>
        <w:rPr>
          <w:rFonts w:hint="eastAsia" w:ascii="宋体" w:hAnsi="宋体" w:cs="宋体"/>
          <w:sz w:val="24"/>
          <w:szCs w:val="32"/>
        </w:rPr>
        <w:t>商务与技术文件</w:t>
      </w:r>
      <w:r>
        <w:rPr>
          <w:rFonts w:hint="eastAsia" w:ascii="宋体" w:hAnsi="宋体" w:cs="宋体"/>
          <w:sz w:val="24"/>
          <w:szCs w:val="32"/>
          <w:lang w:val="en-GB"/>
        </w:rPr>
        <w:t>》中不得出现本项目投标报价，如因投标人原因提前泄露投标报价，是投标人的责任。</w:t>
      </w:r>
    </w:p>
    <w:p>
      <w:pPr>
        <w:spacing w:line="360" w:lineRule="auto"/>
        <w:ind w:firstLine="480" w:firstLineChars="200"/>
        <w:rPr>
          <w:rFonts w:ascii="宋体" w:hAnsi="宋体" w:cs="宋体"/>
          <w:sz w:val="24"/>
          <w:szCs w:val="32"/>
          <w:lang w:val="en-GB"/>
        </w:rPr>
      </w:pPr>
      <w:r>
        <w:rPr>
          <w:rFonts w:hint="eastAsia" w:ascii="宋体" w:hAnsi="宋体" w:cs="宋体"/>
          <w:sz w:val="24"/>
          <w:szCs w:val="32"/>
          <w:lang w:val="zh-CN"/>
        </w:rPr>
        <w:t>1.</w:t>
      </w:r>
      <w:r>
        <w:rPr>
          <w:rFonts w:hint="eastAsia" w:ascii="宋体" w:hAnsi="宋体" w:cs="宋体"/>
          <w:sz w:val="24"/>
          <w:szCs w:val="32"/>
          <w:lang w:val="en-GB"/>
        </w:rPr>
        <w:t>2</w:t>
      </w:r>
      <w:r>
        <w:rPr>
          <w:rFonts w:hint="eastAsia" w:ascii="宋体" w:hAnsi="宋体" w:cs="宋体"/>
          <w:sz w:val="24"/>
          <w:szCs w:val="32"/>
          <w:lang w:val="zh-CN"/>
        </w:rPr>
        <w:t>投标文件分为</w:t>
      </w:r>
      <w:r>
        <w:rPr>
          <w:rFonts w:hint="eastAsia" w:ascii="宋体" w:hAnsi="宋体" w:cs="宋体"/>
          <w:sz w:val="24"/>
          <w:szCs w:val="32"/>
          <w:lang w:val="en-GB"/>
        </w:rPr>
        <w:t>资格证明文件、商务与技术文件、报价文件三部分</w:t>
      </w:r>
      <w:r>
        <w:rPr>
          <w:rFonts w:hint="eastAsia" w:ascii="宋体" w:hAnsi="宋体" w:cs="宋体"/>
          <w:sz w:val="24"/>
          <w:szCs w:val="32"/>
          <w:lang w:val="zh-CN"/>
        </w:rPr>
        <w:t>。各投标人在编制投标文件时请按照采购文件</w:t>
      </w:r>
      <w:r>
        <w:rPr>
          <w:rFonts w:hint="eastAsia" w:ascii="宋体" w:hAnsi="宋体" w:cs="宋体"/>
          <w:sz w:val="24"/>
          <w:szCs w:val="32"/>
        </w:rPr>
        <w:t>中</w:t>
      </w:r>
      <w:r>
        <w:rPr>
          <w:rFonts w:hint="eastAsia" w:ascii="宋体" w:hAnsi="宋体" w:cs="宋体"/>
          <w:b/>
          <w:bCs/>
          <w:sz w:val="24"/>
          <w:szCs w:val="32"/>
          <w:lang w:val="zh-CN"/>
        </w:rPr>
        <w:t>“</w:t>
      </w:r>
      <w:r>
        <w:rPr>
          <w:rFonts w:hint="eastAsia" w:ascii="宋体" w:hAnsi="宋体" w:cs="宋体"/>
          <w:b/>
          <w:bCs/>
          <w:sz w:val="24"/>
          <w:szCs w:val="32"/>
        </w:rPr>
        <w:t>投标文件的组成”</w:t>
      </w:r>
      <w:r>
        <w:rPr>
          <w:rFonts w:hint="eastAsia" w:ascii="宋体" w:hAnsi="宋体" w:cs="宋体"/>
          <w:sz w:val="24"/>
          <w:szCs w:val="32"/>
        </w:rPr>
        <w:t>的</w:t>
      </w:r>
      <w:r>
        <w:rPr>
          <w:rFonts w:hint="eastAsia" w:ascii="宋体" w:hAnsi="宋体" w:cs="宋体"/>
          <w:sz w:val="24"/>
          <w:szCs w:val="32"/>
          <w:lang w:val="zh-CN"/>
        </w:rPr>
        <w:t>格式进行，</w:t>
      </w:r>
      <w:r>
        <w:rPr>
          <w:rFonts w:hint="eastAsia" w:ascii="宋体" w:hAnsi="宋体" w:cs="宋体"/>
          <w:sz w:val="24"/>
          <w:szCs w:val="32"/>
          <w:lang w:val="en-GB"/>
        </w:rPr>
        <w:t>并按格式要求在指定位置根据要求进行签章，否则视为未提供，未提供格式的，请各投标人自行拟定格式，并加盖单位公章并由法定代表人或其授权委托代理人签署（签字或盖章），否则视为未提供。</w:t>
      </w:r>
    </w:p>
    <w:p>
      <w:pPr>
        <w:spacing w:line="360" w:lineRule="auto"/>
        <w:ind w:firstLine="480" w:firstLineChars="200"/>
        <w:rPr>
          <w:rFonts w:ascii="宋体" w:hAnsi="宋体" w:cs="宋体"/>
          <w:sz w:val="24"/>
          <w:szCs w:val="32"/>
          <w:lang w:val="en-GB"/>
        </w:rPr>
      </w:pPr>
      <w:r>
        <w:rPr>
          <w:rFonts w:hint="eastAsia" w:ascii="宋体" w:hAnsi="宋体" w:cs="宋体"/>
          <w:sz w:val="24"/>
          <w:szCs w:val="32"/>
          <w:lang w:val="en-GB"/>
        </w:rPr>
        <w:t>1.3《投标文件》内容不完整、</w:t>
      </w:r>
      <w:r>
        <w:rPr>
          <w:rFonts w:hint="eastAsia" w:ascii="宋体" w:hAnsi="宋体" w:cs="宋体"/>
          <w:sz w:val="24"/>
          <w:szCs w:val="32"/>
          <w:lang w:val="zh-CN"/>
        </w:rPr>
        <w:t>混乱的编排导致投标文件被误读或评标委员会查找不到有效文件是投标人的责任。</w:t>
      </w:r>
      <w:r>
        <w:rPr>
          <w:rFonts w:hint="eastAsia" w:ascii="宋体" w:hAnsi="宋体" w:cs="宋体"/>
          <w:sz w:val="24"/>
          <w:szCs w:val="32"/>
          <w:lang w:val="en-GB"/>
        </w:rPr>
        <w:t>《投标文件》因字迹潦草或表达不清所引起的后果由投标人负责，▲投标文件未按规定的格式编制的，投标无效。</w:t>
      </w:r>
    </w:p>
    <w:p>
      <w:pPr>
        <w:spacing w:line="360" w:lineRule="auto"/>
        <w:ind w:firstLine="480" w:firstLineChars="200"/>
        <w:rPr>
          <w:rFonts w:ascii="宋体" w:hAnsi="宋体" w:cs="宋体"/>
          <w:sz w:val="24"/>
          <w:szCs w:val="32"/>
        </w:rPr>
      </w:pPr>
      <w:r>
        <w:rPr>
          <w:rFonts w:hint="eastAsia" w:ascii="宋体" w:hAnsi="宋体" w:cs="宋体"/>
          <w:sz w:val="24"/>
          <w:szCs w:val="32"/>
        </w:rPr>
        <w:t>（2）以介质</w:t>
      </w:r>
      <w:r>
        <w:rPr>
          <w:rFonts w:hint="eastAsia" w:ascii="宋体" w:hAnsi="宋体" w:cs="宋体"/>
          <w:sz w:val="24"/>
        </w:rPr>
        <w:t>（U盘）</w:t>
      </w:r>
      <w:r>
        <w:rPr>
          <w:rFonts w:hint="eastAsia" w:ascii="宋体" w:hAnsi="宋体" w:cs="宋体"/>
          <w:sz w:val="24"/>
          <w:szCs w:val="32"/>
        </w:rPr>
        <w:t>存储的数据电文形式的备份投标文件，按政采云平台项目采购-电子招投标操作指南中上传的电子投标文件格式，以U盘形式提供。数量为1份。</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Ⅰ电子投标文件</w:t>
      </w:r>
    </w:p>
    <w:p>
      <w:pPr>
        <w:spacing w:line="360" w:lineRule="auto"/>
        <w:ind w:firstLine="480" w:firstLineChars="200"/>
        <w:rPr>
          <w:rFonts w:ascii="宋体" w:hAnsi="宋体" w:cs="宋体"/>
          <w:sz w:val="24"/>
          <w:szCs w:val="32"/>
        </w:rPr>
      </w:pPr>
      <w:r>
        <w:rPr>
          <w:rFonts w:hint="eastAsia" w:ascii="宋体" w:hAnsi="宋体" w:cs="宋体"/>
          <w:sz w:val="24"/>
          <w:szCs w:val="32"/>
        </w:rPr>
        <w:t>1.电子投标文件中须加盖公章、法人章部分均采用CA签章，并根据“政采云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未能关联定位提供相应的内容与其对应，则评标委员会在评审时如做出对投标人不利的评审由投标人自行承担。</w:t>
      </w:r>
    </w:p>
    <w:p>
      <w:pPr>
        <w:spacing w:line="360" w:lineRule="auto"/>
        <w:ind w:firstLine="480" w:firstLineChars="200"/>
        <w:rPr>
          <w:rFonts w:ascii="宋体" w:hAnsi="宋体" w:cs="宋体"/>
          <w:sz w:val="24"/>
          <w:szCs w:val="32"/>
        </w:rPr>
      </w:pPr>
      <w:r>
        <w:rPr>
          <w:rFonts w:hint="eastAsia" w:ascii="宋体" w:hAnsi="宋体" w:cs="宋体"/>
          <w:sz w:val="24"/>
          <w:szCs w:val="32"/>
        </w:rPr>
        <w:t>电子投标文件如内容不完整、编排混乱导致投标文件被误读、漏读，或者在按采购文件规定的部位查找不到相关内容的，由投标人自行承担。</w:t>
      </w:r>
    </w:p>
    <w:p>
      <w:pPr>
        <w:spacing w:line="360" w:lineRule="auto"/>
        <w:ind w:firstLine="480" w:firstLineChars="200"/>
        <w:rPr>
          <w:rFonts w:ascii="宋体" w:hAnsi="宋体" w:cs="宋体"/>
          <w:sz w:val="24"/>
          <w:szCs w:val="32"/>
        </w:rPr>
      </w:pPr>
      <w:r>
        <w:rPr>
          <w:rFonts w:hint="eastAsia" w:ascii="宋体" w:hAnsi="宋体" w:cs="宋体"/>
          <w:sz w:val="24"/>
          <w:szCs w:val="32"/>
        </w:rPr>
        <w:t>2.温馨提醒：CA签章上目前没有法人或授权委托代理人签字信息，需要投标人联系相应公司进行办理，或在投标文件中涉及到签字的位置线下签好字然后扫描或者拍照做成PDF的格式亦可。</w:t>
      </w:r>
    </w:p>
    <w:p>
      <w:pPr>
        <w:spacing w:line="360" w:lineRule="auto"/>
        <w:ind w:firstLine="480" w:firstLineChars="200"/>
        <w:rPr>
          <w:rFonts w:ascii="宋体" w:hAnsi="宋体" w:cs="宋体"/>
          <w:sz w:val="24"/>
          <w:szCs w:val="32"/>
        </w:rPr>
      </w:pPr>
      <w:r>
        <w:rPr>
          <w:rFonts w:hint="eastAsia" w:ascii="宋体" w:hAnsi="宋体" w:cs="宋体"/>
          <w:sz w:val="24"/>
          <w:szCs w:val="32"/>
        </w:rPr>
        <w:t>3.</w:t>
      </w:r>
      <w:r>
        <w:rPr>
          <w:rFonts w:hint="eastAsia" w:ascii="宋体" w:hAnsi="宋体" w:cs="宋体"/>
          <w:b/>
          <w:bCs/>
          <w:sz w:val="24"/>
          <w:szCs w:val="32"/>
        </w:rPr>
        <w:t>以介质（U盘）存储的数据电文形式的备份投标文件</w:t>
      </w:r>
      <w:r>
        <w:rPr>
          <w:rFonts w:hint="eastAsia" w:ascii="宋体" w:hAnsi="宋体" w:cs="宋体"/>
          <w:sz w:val="24"/>
          <w:szCs w:val="32"/>
        </w:rPr>
        <w:t>，按政采云平台项目采购-电子招投标操作指南中上传的电子投标文件格式，以U盘形式提供。数量为1份。</w:t>
      </w:r>
    </w:p>
    <w:p>
      <w:pPr>
        <w:spacing w:line="360" w:lineRule="auto"/>
        <w:ind w:firstLine="482" w:firstLineChars="200"/>
        <w:rPr>
          <w:rFonts w:ascii="宋体" w:hAnsi="宋体" w:cs="宋体"/>
          <w:b/>
          <w:bCs/>
          <w:sz w:val="24"/>
          <w:szCs w:val="32"/>
        </w:rPr>
      </w:pPr>
    </w:p>
    <w:p>
      <w:pPr>
        <w:spacing w:line="360" w:lineRule="auto"/>
        <w:ind w:firstLine="482" w:firstLineChars="200"/>
        <w:rPr>
          <w:rFonts w:ascii="宋体" w:hAnsi="宋体" w:cs="宋体"/>
          <w:b/>
          <w:bCs/>
          <w:sz w:val="24"/>
          <w:szCs w:val="32"/>
        </w:rPr>
      </w:pPr>
      <w:r>
        <w:rPr>
          <w:rFonts w:hint="eastAsia" w:ascii="宋体" w:hAnsi="宋体" w:cs="宋体"/>
          <w:b/>
          <w:bCs/>
          <w:sz w:val="24"/>
          <w:szCs w:val="32"/>
        </w:rPr>
        <w:t>2、投标文件的递交要求</w:t>
      </w:r>
    </w:p>
    <w:p>
      <w:pPr>
        <w:spacing w:line="360" w:lineRule="auto"/>
        <w:ind w:firstLine="480" w:firstLineChars="200"/>
        <w:rPr>
          <w:rFonts w:ascii="宋体" w:hAnsi="宋体" w:cs="宋体"/>
          <w:sz w:val="24"/>
          <w:szCs w:val="32"/>
          <w:lang w:val="en-GB"/>
        </w:rPr>
      </w:pPr>
      <w:r>
        <w:rPr>
          <w:rFonts w:hint="eastAsia" w:ascii="宋体" w:hAnsi="宋体" w:cs="宋体"/>
          <w:sz w:val="24"/>
          <w:szCs w:val="32"/>
          <w:lang w:val="en-GB"/>
        </w:rPr>
        <w:t>（</w:t>
      </w:r>
      <w:r>
        <w:rPr>
          <w:rFonts w:hint="eastAsia" w:ascii="宋体" w:hAnsi="宋体" w:cs="宋体"/>
          <w:sz w:val="24"/>
          <w:szCs w:val="32"/>
        </w:rPr>
        <w:t>1</w:t>
      </w:r>
      <w:r>
        <w:rPr>
          <w:rFonts w:hint="eastAsia" w:ascii="宋体" w:hAnsi="宋体" w:cs="宋体"/>
          <w:sz w:val="24"/>
          <w:szCs w:val="32"/>
          <w:lang w:val="en-GB"/>
        </w:rPr>
        <w:t>）“投标文件”的上传、递交：见《前附表》。▲未传输递交电子投标文件的，投标无效。</w:t>
      </w:r>
    </w:p>
    <w:p>
      <w:pPr>
        <w:spacing w:line="360" w:lineRule="auto"/>
        <w:ind w:firstLine="480" w:firstLineChars="200"/>
        <w:rPr>
          <w:rFonts w:ascii="宋体" w:hAnsi="宋体" w:cs="宋体"/>
          <w:sz w:val="24"/>
          <w:szCs w:val="32"/>
        </w:rPr>
      </w:pPr>
      <w:r>
        <w:rPr>
          <w:rFonts w:hint="eastAsia" w:ascii="宋体" w:hAnsi="宋体" w:cs="宋体"/>
          <w:sz w:val="24"/>
          <w:szCs w:val="32"/>
        </w:rPr>
        <w:t>（2）以介质</w:t>
      </w:r>
      <w:r>
        <w:rPr>
          <w:rFonts w:hint="eastAsia" w:ascii="宋体" w:hAnsi="宋体" w:cs="宋体"/>
          <w:sz w:val="24"/>
        </w:rPr>
        <w:t>（U盘）</w:t>
      </w:r>
      <w:r>
        <w:rPr>
          <w:rFonts w:hint="eastAsia" w:ascii="宋体" w:hAnsi="宋体" w:cs="宋体"/>
          <w:sz w:val="24"/>
          <w:szCs w:val="32"/>
        </w:rPr>
        <w:t>存储的数据电文形式的备份投标文件必须在规定时间前送达或邮寄至</w:t>
      </w:r>
      <w:r>
        <w:rPr>
          <w:rFonts w:hint="eastAsia" w:ascii="宋体" w:hAnsi="宋体" w:cs="宋体"/>
          <w:sz w:val="24"/>
          <w:lang w:val="en-GB"/>
        </w:rPr>
        <w:t>公告规定的</w:t>
      </w:r>
      <w:r>
        <w:rPr>
          <w:rFonts w:hint="eastAsia" w:ascii="宋体" w:hAnsi="宋体" w:cs="宋体"/>
          <w:sz w:val="24"/>
          <w:szCs w:val="32"/>
        </w:rPr>
        <w:t>地点。备份投标文件在截止时间后提交，采购组织机构将拒绝接收。</w:t>
      </w:r>
      <w:r>
        <w:rPr>
          <w:rFonts w:hint="eastAsia" w:ascii="宋体" w:hAnsi="宋体" w:cs="宋体"/>
          <w:sz w:val="24"/>
          <w:lang w:val="en-GB"/>
        </w:rPr>
        <w:t>▲未按规定提供相应的备份投标文件，造成项目开评标活动无法进行下去的，投标无效。</w:t>
      </w:r>
    </w:p>
    <w:p>
      <w:pPr>
        <w:spacing w:line="360" w:lineRule="auto"/>
        <w:ind w:firstLine="480" w:firstLineChars="200"/>
        <w:rPr>
          <w:rFonts w:ascii="宋体" w:hAnsi="宋体" w:cs="宋体"/>
          <w:sz w:val="24"/>
          <w:szCs w:val="32"/>
        </w:rPr>
      </w:pPr>
      <w:r>
        <w:rPr>
          <w:rFonts w:hint="eastAsia" w:ascii="宋体" w:hAnsi="宋体" w:cs="宋体"/>
          <w:sz w:val="24"/>
          <w:szCs w:val="32"/>
        </w:rPr>
        <w:t>（3）如有特殊情况，采购组织机构延长截止时间和开标时间，采购组织机构和投标人的权利和义务将受到新的截止时间和开标时间的约束。</w:t>
      </w:r>
    </w:p>
    <w:p>
      <w:pPr>
        <w:spacing w:line="360" w:lineRule="auto"/>
        <w:ind w:firstLine="480" w:firstLineChars="200"/>
        <w:rPr>
          <w:rFonts w:ascii="宋体" w:hAnsi="宋体" w:cs="宋体"/>
          <w:sz w:val="24"/>
          <w:szCs w:val="32"/>
          <w:lang w:val="en-GB"/>
        </w:rPr>
      </w:pPr>
      <w:r>
        <w:rPr>
          <w:rFonts w:hint="eastAsia" w:ascii="宋体" w:hAnsi="宋体" w:cs="宋体"/>
          <w:sz w:val="24"/>
          <w:szCs w:val="32"/>
          <w:lang w:val="en-GB"/>
        </w:rPr>
        <w:t>（</w:t>
      </w:r>
      <w:r>
        <w:rPr>
          <w:rFonts w:hint="eastAsia" w:ascii="宋体" w:hAnsi="宋体" w:cs="宋体"/>
          <w:sz w:val="24"/>
          <w:szCs w:val="32"/>
        </w:rPr>
        <w:t>4</w:t>
      </w:r>
      <w:r>
        <w:rPr>
          <w:rFonts w:hint="eastAsia" w:ascii="宋体" w:hAnsi="宋体" w:cs="宋体"/>
          <w:sz w:val="24"/>
          <w:szCs w:val="32"/>
          <w:lang w:val="en-GB"/>
        </w:rPr>
        <w:t>）投标文件的备选方案</w:t>
      </w:r>
    </w:p>
    <w:p>
      <w:pPr>
        <w:spacing w:line="360" w:lineRule="auto"/>
        <w:ind w:firstLine="480" w:firstLineChars="200"/>
        <w:rPr>
          <w:rFonts w:ascii="宋体" w:hAnsi="宋体" w:cs="宋体"/>
          <w:sz w:val="24"/>
          <w:szCs w:val="32"/>
        </w:rPr>
      </w:pPr>
      <w:r>
        <w:rPr>
          <w:rFonts w:hint="eastAsia" w:ascii="宋体" w:hAnsi="宋体" w:cs="宋体"/>
          <w:sz w:val="24"/>
          <w:szCs w:val="32"/>
          <w:lang w:val="en-GB"/>
        </w:rPr>
        <w:t>投标人不得递交任何的投标备选（替代）方案，否则其投标文件将作无效标处理。与“电子加密投标文件”同时生成的“备份投标文件”不是投标备选（替代）方案。</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（八）投标文件的有效期</w:t>
      </w:r>
    </w:p>
    <w:p>
      <w:pPr>
        <w:spacing w:line="360" w:lineRule="auto"/>
        <w:ind w:firstLine="480" w:firstLineChars="200"/>
        <w:rPr>
          <w:rFonts w:ascii="宋体" w:hAnsi="宋体" w:cs="宋体"/>
          <w:sz w:val="24"/>
          <w:szCs w:val="32"/>
          <w:lang w:val="en-GB"/>
        </w:rPr>
      </w:pPr>
      <w:r>
        <w:rPr>
          <w:rFonts w:hint="eastAsia" w:ascii="宋体" w:hAnsi="宋体" w:cs="宋体"/>
          <w:sz w:val="24"/>
          <w:szCs w:val="32"/>
        </w:rPr>
        <w:t>1.</w:t>
      </w:r>
      <w:r>
        <w:rPr>
          <w:rFonts w:hint="eastAsia" w:ascii="宋体" w:hAnsi="宋体" w:cs="宋体"/>
          <w:sz w:val="24"/>
          <w:szCs w:val="32"/>
          <w:lang w:val="en-GB"/>
        </w:rPr>
        <w:t>自投标截止日起90天投标文件应保持有效。有效期不足的投标文件将被拒绝。</w:t>
      </w:r>
    </w:p>
    <w:p>
      <w:pPr>
        <w:spacing w:line="360" w:lineRule="auto"/>
        <w:ind w:firstLine="480" w:firstLineChars="200"/>
        <w:rPr>
          <w:rFonts w:ascii="宋体" w:hAnsi="宋体" w:cs="宋体"/>
          <w:sz w:val="24"/>
          <w:szCs w:val="32"/>
          <w:lang w:val="en-GB"/>
        </w:rPr>
      </w:pPr>
      <w:r>
        <w:rPr>
          <w:rFonts w:hint="eastAsia" w:ascii="宋体" w:hAnsi="宋体" w:cs="宋体"/>
          <w:sz w:val="24"/>
          <w:szCs w:val="32"/>
        </w:rPr>
        <w:t>2.</w:t>
      </w:r>
      <w:r>
        <w:rPr>
          <w:rFonts w:hint="eastAsia" w:ascii="宋体" w:hAnsi="宋体" w:cs="宋体"/>
          <w:sz w:val="24"/>
          <w:szCs w:val="32"/>
          <w:lang w:val="en-GB"/>
        </w:rPr>
        <w:t>在特殊情况下，采购人可与投标人协商延长投标文件的有效期，这种要求和答复均以书面形式进行。</w:t>
      </w:r>
    </w:p>
    <w:p>
      <w:pPr>
        <w:spacing w:line="360" w:lineRule="auto"/>
        <w:ind w:firstLine="480" w:firstLineChars="200"/>
        <w:rPr>
          <w:rFonts w:ascii="宋体" w:hAnsi="宋体" w:cs="宋体"/>
          <w:sz w:val="24"/>
          <w:szCs w:val="32"/>
        </w:rPr>
      </w:pPr>
      <w:r>
        <w:rPr>
          <w:rFonts w:hint="eastAsia" w:ascii="宋体" w:hAnsi="宋体" w:cs="宋体"/>
          <w:sz w:val="24"/>
          <w:szCs w:val="32"/>
        </w:rPr>
        <w:t>3.中标人的投标文件自开标之日起至合同履行完毕均应保持有效。</w:t>
      </w:r>
    </w:p>
    <w:p>
      <w:pPr>
        <w:pStyle w:val="21"/>
        <w:snapToGrid w:val="0"/>
        <w:spacing w:before="156" w:after="156" w:line="360" w:lineRule="auto"/>
        <w:rPr>
          <w:rFonts w:hAnsi="宋体" w:cs="宋体"/>
          <w:b/>
          <w:sz w:val="30"/>
          <w:szCs w:val="30"/>
        </w:rPr>
      </w:pPr>
      <w:r>
        <w:rPr>
          <w:rFonts w:hint="eastAsia" w:hAnsi="宋体" w:cs="宋体"/>
          <w:b/>
          <w:sz w:val="30"/>
          <w:szCs w:val="30"/>
        </w:rPr>
        <w:t>四、开标</w:t>
      </w:r>
    </w:p>
    <w:p>
      <w:pPr>
        <w:spacing w:line="360" w:lineRule="auto"/>
        <w:ind w:firstLine="480" w:firstLineChars="200"/>
        <w:rPr>
          <w:rFonts w:ascii="宋体" w:hAnsi="宋体" w:cs="宋体"/>
          <w:sz w:val="24"/>
          <w:szCs w:val="32"/>
        </w:rPr>
      </w:pPr>
      <w:r>
        <w:rPr>
          <w:rFonts w:hint="eastAsia" w:ascii="宋体" w:hAnsi="宋体" w:cs="宋体"/>
          <w:sz w:val="24"/>
          <w:szCs w:val="32"/>
        </w:rPr>
        <w:t>（一）开标事项</w:t>
      </w:r>
    </w:p>
    <w:p>
      <w:pPr>
        <w:spacing w:line="360" w:lineRule="auto"/>
        <w:ind w:firstLine="480" w:firstLineChars="200"/>
        <w:rPr>
          <w:rFonts w:ascii="宋体" w:hAnsi="宋体" w:cs="宋体"/>
          <w:sz w:val="24"/>
          <w:szCs w:val="32"/>
        </w:rPr>
      </w:pPr>
      <w:r>
        <w:rPr>
          <w:rFonts w:hint="eastAsia" w:ascii="宋体" w:hAnsi="宋体" w:cs="宋体"/>
          <w:sz w:val="24"/>
          <w:szCs w:val="32"/>
        </w:rPr>
        <w:t>采购组织机构在“招标公告”规定的时间和地点公开开标，本次招标先评审资格证明和商务与技术文件，后公开并评审报价的办法实施。</w:t>
      </w:r>
    </w:p>
    <w:p>
      <w:pPr>
        <w:spacing w:line="360" w:lineRule="auto"/>
        <w:ind w:firstLine="480" w:firstLineChars="200"/>
        <w:rPr>
          <w:rFonts w:ascii="宋体" w:hAnsi="宋体" w:cs="宋体"/>
          <w:sz w:val="24"/>
          <w:szCs w:val="32"/>
        </w:rPr>
      </w:pPr>
      <w:r>
        <w:rPr>
          <w:rFonts w:hint="eastAsia" w:ascii="宋体" w:hAnsi="宋体" w:cs="宋体"/>
          <w:sz w:val="24"/>
          <w:szCs w:val="32"/>
        </w:rPr>
        <w:t>采购过程中出现以下情形，导致电子交易平台无法正常运行，或者无法保证电子交易的公平、公正和安全时，采购组织机构可中止电子交易活动：</w:t>
      </w:r>
    </w:p>
    <w:p>
      <w:pPr>
        <w:spacing w:line="360" w:lineRule="auto"/>
        <w:ind w:firstLine="480" w:firstLineChars="200"/>
        <w:rPr>
          <w:rFonts w:ascii="宋体" w:hAnsi="宋体" w:cs="宋体"/>
          <w:sz w:val="24"/>
          <w:szCs w:val="32"/>
        </w:rPr>
      </w:pPr>
      <w:r>
        <w:rPr>
          <w:rFonts w:hint="eastAsia" w:ascii="宋体" w:hAnsi="宋体" w:cs="宋体"/>
          <w:sz w:val="24"/>
          <w:szCs w:val="32"/>
        </w:rPr>
        <w:t xml:space="preserve">（1）电子交易平台发生故障而无法登录访问的； </w:t>
      </w:r>
    </w:p>
    <w:p>
      <w:pPr>
        <w:spacing w:line="360" w:lineRule="auto"/>
        <w:ind w:firstLine="480" w:firstLineChars="200"/>
        <w:rPr>
          <w:rFonts w:ascii="宋体" w:hAnsi="宋体" w:cs="宋体"/>
          <w:sz w:val="24"/>
          <w:szCs w:val="32"/>
        </w:rPr>
      </w:pPr>
      <w:r>
        <w:rPr>
          <w:rFonts w:hint="eastAsia" w:ascii="宋体" w:hAnsi="宋体" w:cs="宋体"/>
          <w:sz w:val="24"/>
          <w:szCs w:val="32"/>
        </w:rPr>
        <w:t>（2）电子交易平台应用或数据库出现错误，不能进行正常操作的；</w:t>
      </w:r>
    </w:p>
    <w:p>
      <w:pPr>
        <w:spacing w:line="360" w:lineRule="auto"/>
        <w:ind w:firstLine="480" w:firstLineChars="200"/>
        <w:rPr>
          <w:rFonts w:ascii="宋体" w:hAnsi="宋体" w:cs="宋体"/>
          <w:sz w:val="24"/>
          <w:szCs w:val="32"/>
        </w:rPr>
      </w:pPr>
      <w:r>
        <w:rPr>
          <w:rFonts w:hint="eastAsia" w:ascii="宋体" w:hAnsi="宋体" w:cs="宋体"/>
          <w:sz w:val="24"/>
          <w:szCs w:val="32"/>
        </w:rPr>
        <w:t>（3）电子交易平台发现严重安全漏洞，有潜在泄密危险的；</w:t>
      </w:r>
    </w:p>
    <w:p>
      <w:pPr>
        <w:spacing w:line="360" w:lineRule="auto"/>
        <w:ind w:firstLine="480" w:firstLineChars="200"/>
        <w:rPr>
          <w:rFonts w:ascii="宋体" w:hAnsi="宋体" w:cs="宋体"/>
          <w:sz w:val="24"/>
          <w:szCs w:val="32"/>
        </w:rPr>
      </w:pPr>
      <w:r>
        <w:rPr>
          <w:rFonts w:hint="eastAsia" w:ascii="宋体" w:hAnsi="宋体" w:cs="宋体"/>
          <w:sz w:val="24"/>
          <w:szCs w:val="32"/>
        </w:rPr>
        <w:t xml:space="preserve">（4）病毒导致不能进行正常操作的； </w:t>
      </w:r>
    </w:p>
    <w:p>
      <w:pPr>
        <w:spacing w:line="360" w:lineRule="auto"/>
        <w:ind w:firstLine="480" w:firstLineChars="200"/>
        <w:rPr>
          <w:rFonts w:ascii="宋体" w:hAnsi="宋体" w:cs="宋体"/>
          <w:sz w:val="24"/>
          <w:szCs w:val="32"/>
        </w:rPr>
      </w:pPr>
      <w:r>
        <w:rPr>
          <w:rFonts w:hint="eastAsia" w:ascii="宋体" w:hAnsi="宋体" w:cs="宋体"/>
          <w:sz w:val="24"/>
          <w:szCs w:val="32"/>
        </w:rPr>
        <w:t>（5）其他无法保证电子交易的公平、公正和安全的情况。</w:t>
      </w:r>
    </w:p>
    <w:p>
      <w:pPr>
        <w:spacing w:line="360" w:lineRule="auto"/>
        <w:ind w:firstLine="480" w:firstLineChars="200"/>
        <w:rPr>
          <w:rFonts w:ascii="宋体" w:hAnsi="宋体" w:cs="宋体"/>
          <w:sz w:val="24"/>
          <w:szCs w:val="32"/>
        </w:rPr>
      </w:pPr>
      <w:r>
        <w:rPr>
          <w:rFonts w:hint="eastAsia" w:ascii="宋体" w:hAnsi="宋体" w:cs="宋体"/>
          <w:sz w:val="24"/>
          <w:szCs w:val="32"/>
        </w:rPr>
        <w:t>出现前款规定情形，不影响采购公平、公正性的，采购组织机构可以待上述情形消除后继续组织电子交易活动；影响或可能影响采购公平、公正性的，应当重新采购。</w:t>
      </w:r>
    </w:p>
    <w:p>
      <w:pPr>
        <w:spacing w:line="360" w:lineRule="auto"/>
        <w:ind w:firstLine="480" w:firstLineChars="200"/>
        <w:rPr>
          <w:rFonts w:ascii="宋体" w:hAnsi="宋体" w:cs="宋体"/>
          <w:sz w:val="24"/>
          <w:szCs w:val="32"/>
        </w:rPr>
      </w:pPr>
      <w:r>
        <w:rPr>
          <w:rFonts w:hint="eastAsia" w:ascii="宋体" w:hAnsi="宋体" w:cs="宋体"/>
          <w:sz w:val="24"/>
          <w:szCs w:val="32"/>
        </w:rPr>
        <w:t>（二） 开标程序：</w:t>
      </w:r>
    </w:p>
    <w:p>
      <w:pPr>
        <w:spacing w:line="360" w:lineRule="auto"/>
        <w:ind w:firstLine="480" w:firstLineChars="200"/>
        <w:rPr>
          <w:rFonts w:ascii="宋体" w:hAnsi="宋体" w:cs="宋体"/>
          <w:sz w:val="24"/>
          <w:szCs w:val="32"/>
        </w:rPr>
      </w:pPr>
      <w:r>
        <w:rPr>
          <w:rFonts w:hint="eastAsia" w:ascii="宋体" w:hAnsi="宋体" w:cs="宋体"/>
          <w:sz w:val="24"/>
          <w:szCs w:val="32"/>
        </w:rPr>
        <w:t>1、开标会由招标项目负责人主持，主持人宣布开标会议开始；</w:t>
      </w:r>
    </w:p>
    <w:p>
      <w:pPr>
        <w:spacing w:line="360" w:lineRule="auto"/>
        <w:ind w:firstLine="480" w:firstLineChars="200"/>
        <w:rPr>
          <w:rFonts w:ascii="宋体" w:hAnsi="宋体" w:cs="宋体"/>
          <w:sz w:val="24"/>
          <w:szCs w:val="32"/>
        </w:rPr>
      </w:pPr>
      <w:r>
        <w:rPr>
          <w:rFonts w:hint="eastAsia" w:ascii="宋体" w:hAnsi="宋体" w:cs="宋体"/>
          <w:sz w:val="24"/>
          <w:szCs w:val="32"/>
        </w:rPr>
        <w:t xml:space="preserve">2、主持人介绍参加开标会的人员名单； </w:t>
      </w:r>
    </w:p>
    <w:p>
      <w:pPr>
        <w:spacing w:line="360" w:lineRule="auto"/>
        <w:ind w:firstLine="480" w:firstLineChars="200"/>
        <w:rPr>
          <w:rFonts w:ascii="宋体" w:hAnsi="宋体" w:cs="宋体"/>
          <w:sz w:val="24"/>
          <w:szCs w:val="32"/>
        </w:rPr>
      </w:pPr>
      <w:r>
        <w:rPr>
          <w:rFonts w:hint="eastAsia" w:ascii="宋体" w:hAnsi="宋体" w:cs="宋体"/>
          <w:sz w:val="24"/>
          <w:szCs w:val="32"/>
        </w:rPr>
        <w:t>3、主持人宣布评标期间的有关事项，告知应当回避的情形,提请有关人员回避；对投标人进行签到验证。</w:t>
      </w:r>
    </w:p>
    <w:p>
      <w:pPr>
        <w:spacing w:line="360" w:lineRule="auto"/>
        <w:ind w:firstLine="480" w:firstLineChars="200"/>
        <w:rPr>
          <w:rFonts w:ascii="宋体" w:hAnsi="宋体" w:cs="宋体"/>
          <w:sz w:val="24"/>
          <w:szCs w:val="32"/>
        </w:rPr>
      </w:pPr>
      <w:r>
        <w:rPr>
          <w:rFonts w:hint="eastAsia" w:ascii="宋体" w:hAnsi="宋体" w:cs="宋体"/>
          <w:sz w:val="24"/>
          <w:szCs w:val="32"/>
        </w:rPr>
        <w:t>4、向各投标人发出电子加密投标文件【开始解密】通知，由投标人按招标文件规定的时间内自行进行投标文件解密。投标文件的制作和解密应使用同一个数字证书，否则将可能解密失败。</w:t>
      </w:r>
    </w:p>
    <w:p>
      <w:pPr>
        <w:spacing w:line="360" w:lineRule="auto"/>
        <w:ind w:firstLine="480" w:firstLineChars="200"/>
        <w:rPr>
          <w:rFonts w:ascii="宋体" w:hAnsi="宋体" w:cs="宋体"/>
          <w:sz w:val="24"/>
          <w:szCs w:val="32"/>
        </w:rPr>
      </w:pPr>
      <w:r>
        <w:rPr>
          <w:rFonts w:hint="eastAsia" w:ascii="宋体" w:hAnsi="宋体" w:cs="宋体"/>
          <w:sz w:val="24"/>
          <w:szCs w:val="32"/>
        </w:rPr>
        <w:t>5、采购组织机构点击【开启标书信息】，开启标书成功后进入开标流程。</w:t>
      </w:r>
    </w:p>
    <w:p>
      <w:pPr>
        <w:spacing w:line="360" w:lineRule="auto"/>
        <w:ind w:firstLine="480" w:firstLineChars="200"/>
        <w:rPr>
          <w:rFonts w:ascii="宋体" w:hAnsi="宋体" w:cs="宋体"/>
          <w:sz w:val="24"/>
          <w:szCs w:val="32"/>
        </w:rPr>
      </w:pPr>
      <w:r>
        <w:rPr>
          <w:rFonts w:hint="eastAsia" w:ascii="宋体" w:hAnsi="宋体" w:cs="宋体"/>
          <w:sz w:val="24"/>
          <w:szCs w:val="32"/>
        </w:rPr>
        <w:t>6、</w:t>
      </w:r>
      <w:r>
        <w:rPr>
          <w:rFonts w:hint="eastAsia" w:ascii="宋体" w:hAnsi="宋体" w:cs="宋体"/>
          <w:sz w:val="24"/>
          <w:szCs w:val="32"/>
          <w:lang w:val="zh-CN"/>
        </w:rPr>
        <w:t>资格证明文件和商务与技术文件</w:t>
      </w:r>
      <w:r>
        <w:rPr>
          <w:rFonts w:hint="eastAsia" w:ascii="宋体" w:hAnsi="宋体" w:cs="宋体"/>
          <w:sz w:val="24"/>
          <w:szCs w:val="32"/>
        </w:rPr>
        <w:t>评审；</w:t>
      </w:r>
    </w:p>
    <w:p>
      <w:pPr>
        <w:spacing w:line="360" w:lineRule="auto"/>
        <w:ind w:firstLine="480" w:firstLineChars="200"/>
        <w:rPr>
          <w:rFonts w:ascii="宋体" w:hAnsi="宋体" w:cs="宋体"/>
          <w:sz w:val="24"/>
          <w:szCs w:val="32"/>
        </w:rPr>
      </w:pPr>
      <w:r>
        <w:rPr>
          <w:rFonts w:hint="eastAsia" w:ascii="宋体" w:hAnsi="宋体" w:cs="宋体"/>
          <w:sz w:val="24"/>
          <w:szCs w:val="32"/>
        </w:rPr>
        <w:t>7、由主持人公布无效投标的投标人名单、投标无效的原因及其他有效投标的评分汇总分；</w:t>
      </w:r>
    </w:p>
    <w:p>
      <w:pPr>
        <w:spacing w:line="360" w:lineRule="auto"/>
        <w:ind w:firstLine="480" w:firstLineChars="200"/>
        <w:rPr>
          <w:rFonts w:ascii="宋体" w:hAnsi="宋体" w:cs="宋体"/>
          <w:sz w:val="24"/>
          <w:szCs w:val="32"/>
        </w:rPr>
      </w:pPr>
      <w:r>
        <w:rPr>
          <w:rFonts w:hint="eastAsia" w:ascii="宋体" w:hAnsi="宋体" w:cs="宋体"/>
          <w:sz w:val="24"/>
          <w:szCs w:val="32"/>
        </w:rPr>
        <w:t>8、开启报价响应文件：采购代理机构成功开启报价响应文件后，方可查看各供应商报价情况。</w:t>
      </w:r>
    </w:p>
    <w:p>
      <w:pPr>
        <w:spacing w:line="360" w:lineRule="auto"/>
        <w:ind w:firstLine="480" w:firstLineChars="200"/>
        <w:rPr>
          <w:rFonts w:ascii="宋体" w:hAnsi="宋体" w:cs="宋体"/>
          <w:sz w:val="24"/>
          <w:szCs w:val="32"/>
        </w:rPr>
      </w:pPr>
      <w:r>
        <w:rPr>
          <w:rFonts w:hint="eastAsia" w:ascii="宋体" w:hAnsi="宋体" w:cs="宋体"/>
          <w:sz w:val="24"/>
          <w:szCs w:val="32"/>
        </w:rPr>
        <w:t>9、报价文件评审；</w:t>
      </w:r>
    </w:p>
    <w:p>
      <w:pPr>
        <w:spacing w:line="360" w:lineRule="auto"/>
        <w:ind w:firstLine="480" w:firstLineChars="200"/>
        <w:rPr>
          <w:rFonts w:ascii="宋体" w:hAnsi="宋体" w:cs="宋体"/>
          <w:sz w:val="24"/>
          <w:szCs w:val="32"/>
        </w:rPr>
      </w:pPr>
      <w:r>
        <w:rPr>
          <w:rFonts w:hint="eastAsia" w:ascii="宋体" w:hAnsi="宋体" w:cs="宋体"/>
          <w:sz w:val="24"/>
          <w:szCs w:val="32"/>
        </w:rPr>
        <w:t>10、由主持人公布无效投标的投标人名单、投标无效的原因及其他有效投标的报价文件得分；</w:t>
      </w:r>
    </w:p>
    <w:p>
      <w:pPr>
        <w:spacing w:line="360" w:lineRule="auto"/>
        <w:ind w:firstLine="480" w:firstLineChars="200"/>
        <w:rPr>
          <w:rFonts w:ascii="宋体" w:hAnsi="宋体" w:cs="宋体"/>
          <w:sz w:val="24"/>
          <w:szCs w:val="32"/>
        </w:rPr>
      </w:pPr>
      <w:r>
        <w:rPr>
          <w:rFonts w:hint="eastAsia" w:ascii="宋体" w:hAnsi="宋体" w:cs="宋体"/>
          <w:sz w:val="24"/>
          <w:szCs w:val="32"/>
        </w:rPr>
        <w:t>11、宣布综合得分结果及中标候选人名单；</w:t>
      </w:r>
    </w:p>
    <w:p>
      <w:pPr>
        <w:spacing w:line="360" w:lineRule="auto"/>
        <w:ind w:firstLine="480" w:firstLineChars="200"/>
        <w:rPr>
          <w:rFonts w:ascii="宋体" w:hAnsi="宋体" w:cs="宋体"/>
          <w:sz w:val="24"/>
          <w:szCs w:val="32"/>
        </w:rPr>
      </w:pPr>
      <w:r>
        <w:rPr>
          <w:rFonts w:hint="eastAsia" w:ascii="宋体" w:hAnsi="宋体" w:cs="宋体"/>
          <w:sz w:val="24"/>
          <w:szCs w:val="32"/>
        </w:rPr>
        <w:t>12、开标会议结束。</w:t>
      </w:r>
    </w:p>
    <w:p>
      <w:pPr>
        <w:pStyle w:val="21"/>
        <w:snapToGrid w:val="0"/>
        <w:spacing w:before="156" w:after="156" w:line="360" w:lineRule="auto"/>
        <w:rPr>
          <w:rFonts w:hAnsi="宋体" w:cs="宋体"/>
          <w:b/>
          <w:sz w:val="30"/>
          <w:szCs w:val="30"/>
        </w:rPr>
      </w:pPr>
      <w:r>
        <w:rPr>
          <w:rFonts w:hint="eastAsia" w:hAnsi="宋体" w:cs="宋体"/>
          <w:b/>
          <w:sz w:val="30"/>
          <w:szCs w:val="30"/>
        </w:rPr>
        <w:t>五、评标</w:t>
      </w:r>
    </w:p>
    <w:p>
      <w:pPr>
        <w:spacing w:line="360" w:lineRule="auto"/>
        <w:ind w:firstLine="480" w:firstLineChars="200"/>
        <w:rPr>
          <w:rFonts w:ascii="宋体" w:hAnsi="宋体" w:cs="宋体"/>
          <w:sz w:val="24"/>
          <w:szCs w:val="32"/>
        </w:rPr>
      </w:pPr>
      <w:r>
        <w:rPr>
          <w:rFonts w:hint="eastAsia" w:ascii="宋体" w:hAnsi="宋体" w:cs="宋体"/>
          <w:sz w:val="24"/>
          <w:szCs w:val="32"/>
        </w:rPr>
        <w:t>本项目采用不公开方式评标，评标的依据为招标文件和投标文件。本项目采用电子评审方法，若因政采云平台原因无法读取或电子开评标无法正常进行，本次开标失败。</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（一）组建评标委员会</w:t>
      </w:r>
    </w:p>
    <w:p>
      <w:pPr>
        <w:spacing w:line="360" w:lineRule="auto"/>
        <w:ind w:firstLine="480" w:firstLineChars="200"/>
        <w:rPr>
          <w:rFonts w:ascii="宋体" w:hAnsi="宋体" w:cs="宋体"/>
          <w:sz w:val="24"/>
        </w:rPr>
      </w:pPr>
      <w:r>
        <w:rPr>
          <w:rFonts w:hint="eastAsia" w:ascii="宋体" w:hAnsi="宋体" w:cs="宋体"/>
          <w:sz w:val="24"/>
        </w:rPr>
        <w:t>评标委员会由采购人代表和评审专家组成，成员人数为5人以上单数，其中评审专家不得少于成员总数的三分之二。</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（二）评标程序</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1、资格审查</w:t>
      </w:r>
    </w:p>
    <w:p>
      <w:pPr>
        <w:spacing w:line="360" w:lineRule="auto"/>
        <w:ind w:firstLine="480" w:firstLineChars="200"/>
        <w:rPr>
          <w:rFonts w:ascii="宋体" w:hAnsi="宋体" w:cs="宋体"/>
          <w:sz w:val="24"/>
          <w:szCs w:val="32"/>
        </w:rPr>
      </w:pPr>
      <w:r>
        <w:rPr>
          <w:rFonts w:hint="eastAsia" w:ascii="宋体" w:hAnsi="宋体" w:cs="宋体"/>
          <w:sz w:val="24"/>
          <w:szCs w:val="32"/>
        </w:rPr>
        <w:t>公开招标采购项目开标结束后，采购人或者采购组织机构应当依法对投标人的资格进行审查，对审查发现无效的进行必要的询标，结束后公布无效投标的投标人名单、投标无效的原因。</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2、符合性审查</w:t>
      </w:r>
    </w:p>
    <w:p>
      <w:pPr>
        <w:spacing w:line="360" w:lineRule="auto"/>
        <w:ind w:firstLine="480" w:firstLineChars="200"/>
        <w:rPr>
          <w:rFonts w:ascii="宋体" w:hAnsi="宋体" w:cs="宋体"/>
          <w:sz w:val="24"/>
          <w:szCs w:val="32"/>
        </w:rPr>
      </w:pPr>
      <w:r>
        <w:rPr>
          <w:rFonts w:hint="eastAsia" w:ascii="宋体" w:hAnsi="宋体" w:cs="宋体"/>
          <w:sz w:val="24"/>
          <w:szCs w:val="32"/>
        </w:rPr>
        <w:t>评标委员会应当对符合资格的投标人的投标文件进行符合性审查，以确定其是否满足招标文件的实质性要求，对审查发现无效的进行必要的询标，结束后公布无效投标的投标人名单、投标无效的原因。</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3、综合比较与评价</w:t>
      </w:r>
    </w:p>
    <w:p>
      <w:pPr>
        <w:spacing w:line="360" w:lineRule="auto"/>
        <w:ind w:firstLine="480" w:firstLineChars="200"/>
        <w:rPr>
          <w:rFonts w:ascii="宋体" w:hAnsi="宋体" w:cs="宋体"/>
          <w:sz w:val="24"/>
          <w:szCs w:val="32"/>
        </w:rPr>
      </w:pPr>
      <w:r>
        <w:rPr>
          <w:rFonts w:hint="eastAsia" w:ascii="宋体" w:hAnsi="宋体" w:cs="宋体"/>
          <w:sz w:val="24"/>
          <w:szCs w:val="32"/>
        </w:rPr>
        <w:t>（1）对于投标文件中含义不明确、同类问题表述不一致或者有明显文字和计算错误的内容，评标委员会应当以书面形式要求投标人作出必要的澄清、说明或者补正。</w:t>
      </w:r>
    </w:p>
    <w:p>
      <w:pPr>
        <w:spacing w:line="360" w:lineRule="auto"/>
        <w:ind w:firstLine="480" w:firstLineChars="200"/>
        <w:rPr>
          <w:rFonts w:ascii="宋体" w:hAnsi="宋体" w:cs="宋体"/>
          <w:sz w:val="24"/>
          <w:szCs w:val="32"/>
        </w:rPr>
      </w:pPr>
      <w:r>
        <w:rPr>
          <w:rFonts w:hint="eastAsia" w:ascii="宋体" w:hAnsi="宋体" w:cs="宋体"/>
          <w:sz w:val="24"/>
          <w:szCs w:val="32"/>
        </w:rPr>
        <w:t>（2）评标委员会应当按照招标文件中规定的评标方法和标准，对符合性审查合格的投标文件进行商务和技术评估，综合比较与评价。</w:t>
      </w:r>
    </w:p>
    <w:p>
      <w:pPr>
        <w:spacing w:line="360" w:lineRule="auto"/>
        <w:ind w:firstLine="480" w:firstLineChars="200"/>
        <w:rPr>
          <w:rFonts w:ascii="宋体" w:hAnsi="宋体" w:cs="宋体"/>
          <w:sz w:val="24"/>
          <w:szCs w:val="32"/>
        </w:rPr>
      </w:pPr>
      <w:r>
        <w:rPr>
          <w:rFonts w:hint="eastAsia" w:ascii="宋体" w:hAnsi="宋体" w:cs="宋体"/>
          <w:sz w:val="24"/>
          <w:szCs w:val="32"/>
        </w:rPr>
        <w:t>（3）评标时，评标委员会各成员应当独立对每个投标人的投标文件进行评价，并汇总每个投标人的得分。</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4、得分确认及评审报告编写</w:t>
      </w:r>
    </w:p>
    <w:p>
      <w:pPr>
        <w:spacing w:line="360" w:lineRule="auto"/>
        <w:ind w:firstLine="480" w:firstLineChars="200"/>
        <w:rPr>
          <w:rFonts w:ascii="宋体" w:hAnsi="宋体" w:cs="宋体"/>
          <w:sz w:val="24"/>
          <w:szCs w:val="32"/>
        </w:rPr>
      </w:pPr>
      <w:r>
        <w:rPr>
          <w:rFonts w:hint="eastAsia" w:ascii="宋体" w:hAnsi="宋体" w:cs="宋体"/>
          <w:sz w:val="24"/>
          <w:szCs w:val="32"/>
        </w:rPr>
        <w:t>（1）评标委员会对报价文件进行复核，对于系统计算出的价格分及总得分进行确认；</w:t>
      </w:r>
    </w:p>
    <w:p>
      <w:pPr>
        <w:spacing w:line="360" w:lineRule="auto"/>
        <w:ind w:firstLine="480" w:firstLineChars="200"/>
        <w:rPr>
          <w:rFonts w:ascii="宋体" w:hAnsi="宋体" w:cs="宋体"/>
          <w:sz w:val="24"/>
          <w:szCs w:val="32"/>
        </w:rPr>
      </w:pPr>
      <w:r>
        <w:rPr>
          <w:rFonts w:hint="eastAsia" w:ascii="宋体" w:hAnsi="宋体" w:cs="宋体"/>
          <w:sz w:val="24"/>
          <w:szCs w:val="32"/>
        </w:rPr>
        <w:t>（2）评标委员会应当按照招标文件中规定的评标方法和标准，对符合性审查合格的投标文件进行商务和技术评估，综合比较与评价。</w:t>
      </w:r>
    </w:p>
    <w:p>
      <w:pPr>
        <w:spacing w:line="360" w:lineRule="auto"/>
        <w:ind w:firstLine="480" w:firstLineChars="200"/>
        <w:rPr>
          <w:rFonts w:ascii="宋体" w:hAnsi="宋体" w:cs="宋体"/>
          <w:sz w:val="24"/>
          <w:szCs w:val="32"/>
        </w:rPr>
      </w:pPr>
      <w:r>
        <w:rPr>
          <w:rFonts w:hint="eastAsia" w:ascii="宋体" w:hAnsi="宋体" w:cs="宋体"/>
          <w:sz w:val="24"/>
          <w:szCs w:val="32"/>
        </w:rPr>
        <w:t>（3）评标委员会按评标原则及得分情况编写评审报告。</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5、评价</w:t>
      </w:r>
    </w:p>
    <w:p>
      <w:pPr>
        <w:spacing w:line="360" w:lineRule="auto"/>
        <w:ind w:firstLine="480" w:firstLineChars="200"/>
        <w:rPr>
          <w:rFonts w:ascii="宋体" w:hAnsi="宋体" w:cs="宋体"/>
          <w:sz w:val="24"/>
          <w:szCs w:val="32"/>
        </w:rPr>
      </w:pPr>
      <w:r>
        <w:rPr>
          <w:rFonts w:hint="eastAsia" w:ascii="宋体" w:hAnsi="宋体" w:cs="宋体"/>
          <w:sz w:val="24"/>
          <w:szCs w:val="32"/>
        </w:rPr>
        <w:t>采购组织机构对评标委员会评审专家进行评价。</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（三）澄清问题的形式</w:t>
      </w:r>
    </w:p>
    <w:p>
      <w:pPr>
        <w:spacing w:line="360" w:lineRule="auto"/>
        <w:ind w:firstLine="480" w:firstLineChars="200"/>
        <w:rPr>
          <w:rFonts w:ascii="宋体" w:hAnsi="宋体" w:cs="宋体"/>
          <w:sz w:val="24"/>
          <w:szCs w:val="32"/>
        </w:rPr>
      </w:pPr>
      <w:r>
        <w:rPr>
          <w:rFonts w:hint="eastAsia" w:ascii="宋体" w:hAnsi="宋体" w:cs="宋体"/>
          <w:sz w:val="24"/>
          <w:szCs w:val="32"/>
        </w:rPr>
        <w:t>投标人的澄清、说明或者补正应当采用书面形式，并加盖公章，或者由法定代理人或其授权委托代理人签字，并不得超出投标文件的范围或者改变投标文件的实质性内容。</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（四）错误修正</w:t>
      </w:r>
    </w:p>
    <w:p>
      <w:pPr>
        <w:spacing w:line="360" w:lineRule="auto"/>
        <w:ind w:firstLine="480" w:firstLineChars="200"/>
        <w:rPr>
          <w:rFonts w:ascii="宋体" w:hAnsi="宋体" w:cs="宋体"/>
          <w:sz w:val="24"/>
          <w:szCs w:val="32"/>
        </w:rPr>
      </w:pPr>
      <w:r>
        <w:rPr>
          <w:rFonts w:hint="eastAsia" w:ascii="宋体" w:hAnsi="宋体" w:cs="宋体"/>
          <w:sz w:val="24"/>
          <w:szCs w:val="32"/>
        </w:rPr>
        <w:t>投标文件报价出现前后不一致的，除招标文件另有规定外，按照下列规定修正：</w:t>
      </w:r>
    </w:p>
    <w:p>
      <w:pPr>
        <w:spacing w:line="360" w:lineRule="auto"/>
        <w:ind w:firstLine="480" w:firstLineChars="200"/>
        <w:rPr>
          <w:rFonts w:ascii="宋体" w:hAnsi="宋体" w:cs="宋体"/>
          <w:sz w:val="24"/>
          <w:szCs w:val="32"/>
        </w:rPr>
      </w:pPr>
      <w:r>
        <w:rPr>
          <w:rFonts w:hint="eastAsia" w:ascii="宋体" w:hAnsi="宋体" w:cs="宋体"/>
          <w:sz w:val="24"/>
          <w:szCs w:val="32"/>
        </w:rPr>
        <w:t>1、投标文件中开标一览表（报价表）内容与投标文件中相应内容不一致的，以开标一览表（报价表）为准；</w:t>
      </w:r>
    </w:p>
    <w:p>
      <w:pPr>
        <w:spacing w:line="360" w:lineRule="auto"/>
        <w:ind w:firstLine="480" w:firstLineChars="200"/>
        <w:rPr>
          <w:rFonts w:ascii="宋体" w:hAnsi="宋体" w:cs="宋体"/>
          <w:sz w:val="24"/>
          <w:szCs w:val="32"/>
        </w:rPr>
      </w:pPr>
      <w:r>
        <w:rPr>
          <w:rFonts w:hint="eastAsia" w:ascii="宋体" w:hAnsi="宋体" w:cs="宋体"/>
          <w:sz w:val="24"/>
          <w:szCs w:val="32"/>
        </w:rPr>
        <w:t>2、大写金额和小写金额不一致的，以大写金额为准；</w:t>
      </w:r>
    </w:p>
    <w:p>
      <w:pPr>
        <w:spacing w:line="360" w:lineRule="auto"/>
        <w:ind w:firstLine="480" w:firstLineChars="200"/>
        <w:rPr>
          <w:rFonts w:ascii="宋体" w:hAnsi="宋体" w:cs="宋体"/>
          <w:sz w:val="24"/>
          <w:szCs w:val="32"/>
        </w:rPr>
      </w:pPr>
      <w:r>
        <w:rPr>
          <w:rFonts w:hint="eastAsia" w:ascii="宋体" w:hAnsi="宋体" w:cs="宋体"/>
          <w:sz w:val="24"/>
          <w:szCs w:val="32"/>
        </w:rPr>
        <w:t>3、单价金额小数点或者百分比有明显错位的，以开标一览表的总价为准，并修改单价；</w:t>
      </w:r>
    </w:p>
    <w:p>
      <w:pPr>
        <w:spacing w:line="360" w:lineRule="auto"/>
        <w:ind w:firstLine="480" w:firstLineChars="200"/>
        <w:rPr>
          <w:rFonts w:ascii="宋体" w:hAnsi="宋体" w:cs="宋体"/>
          <w:sz w:val="24"/>
          <w:szCs w:val="32"/>
        </w:rPr>
      </w:pPr>
      <w:r>
        <w:rPr>
          <w:rFonts w:hint="eastAsia" w:ascii="宋体" w:hAnsi="宋体" w:cs="宋体"/>
          <w:sz w:val="24"/>
          <w:szCs w:val="32"/>
        </w:rPr>
        <w:t>4、总价金额与按单价汇总金额不一致的，以单价金额计算结果为准。</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同时出现两种以上不一致的，按照前款规定的顺序修正。修正应当采用书面形式，并加盖公章，或者由法定代表人或其授权委托代理人签字。修正后的报价经投标人确认后产生约束力，投标人不确认的，其投标无效。</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（五）投标人存在下列情况之一的，投标无效：</w:t>
      </w:r>
    </w:p>
    <w:p>
      <w:pPr>
        <w:spacing w:line="360" w:lineRule="auto"/>
        <w:ind w:firstLine="480" w:firstLineChars="200"/>
        <w:rPr>
          <w:rFonts w:ascii="宋体" w:hAnsi="宋体" w:cs="宋体"/>
          <w:sz w:val="24"/>
          <w:szCs w:val="32"/>
        </w:rPr>
      </w:pPr>
      <w:r>
        <w:rPr>
          <w:rFonts w:hint="eastAsia" w:ascii="宋体" w:hAnsi="宋体" w:cs="宋体"/>
          <w:sz w:val="24"/>
          <w:szCs w:val="32"/>
        </w:rPr>
        <w:t>1、电子投标文件在指定页面无法定代表人盖章或签字、未在指定页面盖公章、在指定页面无被授权人签字、未提供法定代表人授权委托书、未提供投标函或者投标函格式不符合招标文件要求或填写项目不齐全的。</w:t>
      </w:r>
    </w:p>
    <w:p>
      <w:pPr>
        <w:spacing w:line="360" w:lineRule="auto"/>
        <w:ind w:firstLine="480" w:firstLineChars="200"/>
        <w:rPr>
          <w:rFonts w:ascii="宋体" w:hAnsi="宋体" w:cs="宋体"/>
          <w:sz w:val="24"/>
          <w:szCs w:val="32"/>
        </w:rPr>
      </w:pPr>
      <w:r>
        <w:rPr>
          <w:rFonts w:hint="eastAsia" w:ascii="宋体" w:hAnsi="宋体" w:cs="宋体"/>
          <w:sz w:val="24"/>
          <w:szCs w:val="32"/>
        </w:rPr>
        <w:t>2、</w:t>
      </w:r>
      <w:r>
        <w:rPr>
          <w:rFonts w:hint="eastAsia" w:ascii="宋体" w:hAnsi="宋体" w:cs="宋体"/>
          <w:sz w:val="24"/>
          <w:szCs w:val="32"/>
          <w:lang w:val="zh-CN"/>
        </w:rPr>
        <w:t>资格证明文件、商务与技术文件</w:t>
      </w:r>
      <w:r>
        <w:rPr>
          <w:rFonts w:hint="eastAsia" w:ascii="宋体" w:hAnsi="宋体" w:cs="宋体"/>
          <w:sz w:val="24"/>
          <w:szCs w:val="32"/>
        </w:rPr>
        <w:t>跟报价文件出现混装或在</w:t>
      </w:r>
      <w:r>
        <w:rPr>
          <w:rFonts w:hint="eastAsia" w:ascii="宋体" w:hAnsi="宋体" w:cs="宋体"/>
          <w:sz w:val="24"/>
          <w:szCs w:val="32"/>
          <w:lang w:val="zh-CN"/>
        </w:rPr>
        <w:t>资格证明文件、商务与技术文件</w:t>
      </w:r>
      <w:r>
        <w:rPr>
          <w:rFonts w:hint="eastAsia" w:ascii="宋体" w:hAnsi="宋体" w:cs="宋体"/>
          <w:sz w:val="24"/>
          <w:szCs w:val="32"/>
        </w:rPr>
        <w:t>中出现投标报价的，或者报价文件中报价的项目跟</w:t>
      </w:r>
      <w:r>
        <w:rPr>
          <w:rFonts w:hint="eastAsia" w:ascii="宋体" w:hAnsi="宋体" w:cs="宋体"/>
          <w:sz w:val="24"/>
          <w:szCs w:val="32"/>
          <w:lang w:val="zh-CN"/>
        </w:rPr>
        <w:t>资格证明文件、商务与技术文件</w:t>
      </w:r>
      <w:r>
        <w:rPr>
          <w:rFonts w:hint="eastAsia" w:ascii="宋体" w:hAnsi="宋体" w:cs="宋体"/>
          <w:sz w:val="24"/>
          <w:szCs w:val="32"/>
        </w:rPr>
        <w:t>中的投标项目出现重大偏差的。</w:t>
      </w:r>
    </w:p>
    <w:p>
      <w:pPr>
        <w:spacing w:line="360" w:lineRule="auto"/>
        <w:ind w:firstLine="480" w:firstLineChars="200"/>
        <w:rPr>
          <w:rFonts w:ascii="宋体" w:hAnsi="宋体" w:cs="宋体"/>
          <w:sz w:val="24"/>
          <w:szCs w:val="32"/>
        </w:rPr>
      </w:pPr>
      <w:r>
        <w:rPr>
          <w:rFonts w:hint="eastAsia" w:ascii="宋体" w:hAnsi="宋体" w:cs="宋体"/>
          <w:sz w:val="24"/>
          <w:szCs w:val="32"/>
        </w:rPr>
        <w:t>3、不具备招标文件中规定的资格要求的。</w:t>
      </w:r>
      <w:r>
        <w:rPr>
          <w:rFonts w:hint="eastAsia" w:ascii="宋体" w:hAnsi="宋体" w:cs="宋体"/>
          <w:sz w:val="24"/>
          <w:szCs w:val="32"/>
        </w:rPr>
        <w:tab/>
      </w:r>
    </w:p>
    <w:p>
      <w:pPr>
        <w:spacing w:line="360" w:lineRule="auto"/>
        <w:ind w:firstLine="480" w:firstLineChars="200"/>
        <w:rPr>
          <w:rFonts w:ascii="宋体" w:hAnsi="宋体" w:cs="宋体"/>
          <w:sz w:val="24"/>
          <w:szCs w:val="32"/>
        </w:rPr>
      </w:pPr>
      <w:r>
        <w:rPr>
          <w:rFonts w:hint="eastAsia" w:ascii="宋体" w:hAnsi="宋体" w:cs="宋体"/>
          <w:sz w:val="24"/>
          <w:szCs w:val="32"/>
        </w:rPr>
        <w:t>4、投标文件含有采购人不能接受的附加条件的。</w:t>
      </w:r>
    </w:p>
    <w:p>
      <w:pPr>
        <w:spacing w:line="360" w:lineRule="auto"/>
        <w:ind w:firstLine="480" w:firstLineChars="200"/>
        <w:rPr>
          <w:rFonts w:ascii="宋体" w:hAnsi="宋体" w:cs="宋体"/>
          <w:sz w:val="24"/>
          <w:szCs w:val="32"/>
        </w:rPr>
      </w:pPr>
      <w:r>
        <w:rPr>
          <w:rFonts w:hint="eastAsia" w:ascii="宋体" w:hAnsi="宋体" w:cs="宋体"/>
          <w:sz w:val="24"/>
          <w:szCs w:val="32"/>
        </w:rPr>
        <w:t>5、授权委托代理人未能出具身份证明或与法定代表人授权委托代理人身份不符的。</w:t>
      </w:r>
    </w:p>
    <w:p>
      <w:pPr>
        <w:spacing w:line="360" w:lineRule="auto"/>
        <w:ind w:firstLine="480" w:firstLineChars="200"/>
        <w:rPr>
          <w:rFonts w:ascii="宋体" w:hAnsi="宋体" w:cs="宋体"/>
          <w:sz w:val="24"/>
          <w:szCs w:val="32"/>
        </w:rPr>
      </w:pPr>
      <w:r>
        <w:rPr>
          <w:rFonts w:hint="eastAsia" w:ascii="宋体" w:hAnsi="宋体" w:cs="宋体"/>
          <w:sz w:val="24"/>
          <w:szCs w:val="32"/>
        </w:rPr>
        <w:t>6、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360" w:lineRule="auto"/>
        <w:ind w:firstLine="480" w:firstLineChars="200"/>
        <w:rPr>
          <w:rFonts w:ascii="宋体" w:hAnsi="宋体" w:cs="宋体"/>
          <w:sz w:val="24"/>
          <w:szCs w:val="32"/>
        </w:rPr>
      </w:pPr>
      <w:r>
        <w:rPr>
          <w:rFonts w:hint="eastAsia" w:ascii="宋体" w:hAnsi="宋体" w:cs="宋体"/>
          <w:sz w:val="24"/>
          <w:szCs w:val="32"/>
        </w:rPr>
        <w:t>7、报价超过招标文件中规定的预算金额/最高限价。</w:t>
      </w:r>
    </w:p>
    <w:p>
      <w:pPr>
        <w:spacing w:line="360" w:lineRule="auto"/>
        <w:ind w:firstLine="480" w:firstLineChars="200"/>
        <w:rPr>
          <w:rFonts w:ascii="宋体" w:hAnsi="宋体" w:cs="宋体"/>
          <w:sz w:val="24"/>
          <w:szCs w:val="32"/>
        </w:rPr>
      </w:pPr>
      <w:r>
        <w:rPr>
          <w:rFonts w:hint="eastAsia" w:ascii="宋体" w:hAnsi="宋体" w:cs="宋体"/>
          <w:sz w:val="24"/>
          <w:szCs w:val="32"/>
        </w:rPr>
        <w:t>8、投标参数未如实填写，完全复制粘贴招标参数的。</w:t>
      </w:r>
    </w:p>
    <w:p>
      <w:pPr>
        <w:spacing w:line="360" w:lineRule="auto"/>
        <w:ind w:firstLine="480" w:firstLineChars="200"/>
        <w:rPr>
          <w:rFonts w:ascii="宋体" w:hAnsi="宋体" w:cs="宋体"/>
          <w:sz w:val="24"/>
          <w:szCs w:val="32"/>
        </w:rPr>
      </w:pPr>
      <w:r>
        <w:rPr>
          <w:rFonts w:hint="eastAsia" w:ascii="宋体" w:hAnsi="宋体" w:cs="宋体"/>
          <w:sz w:val="24"/>
          <w:szCs w:val="32"/>
        </w:rPr>
        <w:t>9、投标文件提供虚假材料的。</w:t>
      </w:r>
    </w:p>
    <w:p>
      <w:pPr>
        <w:spacing w:line="360" w:lineRule="auto"/>
        <w:ind w:firstLine="480" w:firstLineChars="200"/>
        <w:rPr>
          <w:rFonts w:ascii="宋体" w:hAnsi="宋体" w:cs="宋体"/>
          <w:sz w:val="24"/>
          <w:szCs w:val="32"/>
        </w:rPr>
      </w:pPr>
      <w:r>
        <w:rPr>
          <w:rFonts w:hint="eastAsia" w:ascii="宋体" w:hAnsi="宋体" w:cs="宋体"/>
          <w:sz w:val="24"/>
          <w:szCs w:val="32"/>
        </w:rPr>
        <w:t>10、投标人的电子投标文件无法按时解密的。</w:t>
      </w:r>
    </w:p>
    <w:p>
      <w:pPr>
        <w:spacing w:line="360" w:lineRule="auto"/>
        <w:ind w:firstLine="480" w:firstLineChars="200"/>
        <w:rPr>
          <w:rFonts w:ascii="宋体" w:hAnsi="宋体" w:cs="宋体"/>
          <w:sz w:val="24"/>
          <w:szCs w:val="32"/>
        </w:rPr>
      </w:pPr>
      <w:r>
        <w:rPr>
          <w:rFonts w:hint="eastAsia" w:ascii="宋体" w:hAnsi="宋体" w:cs="宋体"/>
          <w:sz w:val="24"/>
          <w:szCs w:val="32"/>
        </w:rPr>
        <w:t>11、不符合中华人民共和国财政部令第87号《政府采购货物和服务招标投标管理办法》第三十七条情形之一的，视为投标人串通投标，其投标无效，并移送采购监管部门：</w:t>
      </w:r>
    </w:p>
    <w:p>
      <w:pPr>
        <w:spacing w:line="360" w:lineRule="auto"/>
        <w:ind w:firstLine="480" w:firstLineChars="200"/>
        <w:rPr>
          <w:rFonts w:ascii="宋体" w:hAnsi="宋体" w:cs="宋体"/>
          <w:sz w:val="24"/>
          <w:szCs w:val="32"/>
        </w:rPr>
      </w:pPr>
      <w:r>
        <w:rPr>
          <w:rFonts w:hint="eastAsia" w:ascii="宋体" w:hAnsi="宋体" w:cs="宋体"/>
          <w:sz w:val="24"/>
          <w:szCs w:val="32"/>
        </w:rPr>
        <w:t>（1）不同投标人的投标文件由同一单位或者个人编制；不同投标人的投标文件,由同一台电脑编制；</w:t>
      </w:r>
    </w:p>
    <w:p>
      <w:pPr>
        <w:spacing w:line="360" w:lineRule="auto"/>
        <w:ind w:firstLine="480" w:firstLineChars="200"/>
        <w:rPr>
          <w:rFonts w:ascii="宋体" w:hAnsi="宋体" w:cs="宋体"/>
          <w:sz w:val="24"/>
          <w:szCs w:val="32"/>
        </w:rPr>
      </w:pPr>
      <w:r>
        <w:rPr>
          <w:rFonts w:hint="eastAsia" w:ascii="宋体" w:hAnsi="宋体" w:cs="宋体"/>
          <w:sz w:val="24"/>
          <w:szCs w:val="32"/>
        </w:rPr>
        <w:t>（2）不同投标人委托同一单位或者个人办理投标事宜；</w:t>
      </w:r>
    </w:p>
    <w:p>
      <w:pPr>
        <w:spacing w:line="360" w:lineRule="auto"/>
        <w:ind w:firstLine="480" w:firstLineChars="200"/>
        <w:rPr>
          <w:rFonts w:ascii="宋体" w:hAnsi="宋体" w:cs="宋体"/>
          <w:sz w:val="24"/>
          <w:szCs w:val="32"/>
        </w:rPr>
      </w:pPr>
      <w:r>
        <w:rPr>
          <w:rFonts w:hint="eastAsia" w:ascii="宋体" w:hAnsi="宋体" w:cs="宋体"/>
          <w:sz w:val="24"/>
          <w:szCs w:val="32"/>
        </w:rPr>
        <w:t>（3）不同投标人的投标文件载明的项目管理成员或者联系人员为同一人；</w:t>
      </w:r>
    </w:p>
    <w:p>
      <w:pPr>
        <w:spacing w:line="360" w:lineRule="auto"/>
        <w:ind w:firstLine="480" w:firstLineChars="200"/>
        <w:rPr>
          <w:rFonts w:ascii="宋体" w:hAnsi="宋体" w:cs="宋体"/>
          <w:sz w:val="24"/>
          <w:szCs w:val="32"/>
        </w:rPr>
      </w:pPr>
      <w:r>
        <w:rPr>
          <w:rFonts w:hint="eastAsia" w:ascii="宋体" w:hAnsi="宋体" w:cs="宋体"/>
          <w:sz w:val="24"/>
          <w:szCs w:val="32"/>
        </w:rPr>
        <w:t>（4）不同投标人的投标文件异常一致或者投标报价呈规律性差异；</w:t>
      </w:r>
    </w:p>
    <w:p>
      <w:pPr>
        <w:spacing w:line="360" w:lineRule="auto"/>
        <w:ind w:firstLine="480" w:firstLineChars="200"/>
        <w:rPr>
          <w:rFonts w:ascii="宋体" w:hAnsi="宋体" w:cs="宋体"/>
          <w:sz w:val="24"/>
          <w:szCs w:val="32"/>
        </w:rPr>
      </w:pPr>
      <w:r>
        <w:rPr>
          <w:rFonts w:hint="eastAsia" w:ascii="宋体" w:hAnsi="宋体" w:cs="宋体"/>
          <w:sz w:val="24"/>
          <w:szCs w:val="32"/>
        </w:rPr>
        <w:t>（5）不同投标人的投标文件相互混装。</w:t>
      </w:r>
    </w:p>
    <w:p>
      <w:pPr>
        <w:spacing w:line="360" w:lineRule="auto"/>
        <w:ind w:firstLine="480" w:firstLineChars="200"/>
        <w:rPr>
          <w:rFonts w:ascii="宋体" w:hAnsi="宋体" w:cs="宋体"/>
          <w:sz w:val="24"/>
          <w:szCs w:val="32"/>
        </w:rPr>
      </w:pPr>
      <w:r>
        <w:rPr>
          <w:rFonts w:hint="eastAsia" w:ascii="宋体" w:hAnsi="宋体" w:cs="宋体"/>
          <w:sz w:val="24"/>
          <w:szCs w:val="32"/>
        </w:rPr>
        <w:t>12、不符合法律、法规和招标文件中规定的其他实质性要求的（招标文件中打“▲”内容及被拒绝的条款）。</w:t>
      </w:r>
    </w:p>
    <w:p>
      <w:pPr>
        <w:spacing w:line="360" w:lineRule="auto"/>
        <w:ind w:firstLine="480" w:firstLineChars="200"/>
        <w:rPr>
          <w:rFonts w:ascii="宋体" w:hAnsi="宋体" w:cs="宋体"/>
          <w:sz w:val="24"/>
          <w:szCs w:val="32"/>
        </w:rPr>
      </w:pPr>
      <w:r>
        <w:rPr>
          <w:rFonts w:hint="eastAsia" w:ascii="宋体" w:hAnsi="宋体" w:cs="宋体"/>
          <w:sz w:val="24"/>
          <w:szCs w:val="32"/>
        </w:rPr>
        <w:t>13、未传输递交电子投标文件的或者未按规定提供相应的备份投标文件，造成项目开评标活动无法进行下去的。</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（六）有下列情况之一的，本次招标作为废标处理</w:t>
      </w:r>
    </w:p>
    <w:p>
      <w:pPr>
        <w:spacing w:line="360" w:lineRule="auto"/>
        <w:ind w:firstLine="480" w:firstLineChars="200"/>
        <w:rPr>
          <w:rFonts w:ascii="宋体" w:hAnsi="宋体" w:cs="宋体"/>
          <w:sz w:val="24"/>
          <w:szCs w:val="32"/>
        </w:rPr>
      </w:pPr>
      <w:r>
        <w:rPr>
          <w:rFonts w:hint="eastAsia" w:ascii="宋体" w:hAnsi="宋体" w:cs="宋体"/>
          <w:sz w:val="24"/>
          <w:szCs w:val="32"/>
        </w:rPr>
        <w:t>1、符合专业条件的投标人或者对招标文件作实质响应的投标人不足3家，评标委员会认定投标明显缺乏竞争的；</w:t>
      </w:r>
    </w:p>
    <w:p>
      <w:pPr>
        <w:spacing w:line="360" w:lineRule="auto"/>
        <w:ind w:firstLine="480" w:firstLineChars="200"/>
        <w:rPr>
          <w:rFonts w:ascii="宋体" w:hAnsi="宋体" w:cs="宋体"/>
          <w:sz w:val="24"/>
          <w:szCs w:val="32"/>
        </w:rPr>
      </w:pPr>
      <w:r>
        <w:rPr>
          <w:rFonts w:hint="eastAsia" w:ascii="宋体" w:hAnsi="宋体" w:cs="宋体"/>
          <w:sz w:val="24"/>
          <w:szCs w:val="32"/>
        </w:rPr>
        <w:t>2、出现影响采购公正的违法、违规行为的；</w:t>
      </w:r>
    </w:p>
    <w:p>
      <w:pPr>
        <w:spacing w:line="360" w:lineRule="auto"/>
        <w:ind w:firstLine="480" w:firstLineChars="200"/>
        <w:rPr>
          <w:rFonts w:ascii="宋体" w:hAnsi="宋体" w:cs="宋体"/>
          <w:sz w:val="24"/>
          <w:szCs w:val="32"/>
        </w:rPr>
      </w:pPr>
      <w:r>
        <w:rPr>
          <w:rFonts w:hint="eastAsia" w:ascii="宋体" w:hAnsi="宋体" w:cs="宋体"/>
          <w:sz w:val="24"/>
          <w:szCs w:val="32"/>
        </w:rPr>
        <w:t xml:space="preserve">3、评标委员会发现招标文件存在歧义、重大缺陷导致评标工作无法进行，或者招标文件内容违反国家有关强制性规定的； </w:t>
      </w:r>
    </w:p>
    <w:p>
      <w:pPr>
        <w:spacing w:line="360" w:lineRule="auto"/>
        <w:ind w:firstLine="480" w:firstLineChars="200"/>
        <w:rPr>
          <w:rFonts w:ascii="宋体" w:hAnsi="宋体" w:cs="宋体"/>
          <w:sz w:val="24"/>
          <w:szCs w:val="32"/>
        </w:rPr>
      </w:pPr>
      <w:r>
        <w:rPr>
          <w:rFonts w:hint="eastAsia" w:ascii="宋体" w:hAnsi="宋体" w:cs="宋体"/>
          <w:sz w:val="24"/>
          <w:szCs w:val="32"/>
        </w:rPr>
        <w:t>4、因重大变故，采购任务取消的；</w:t>
      </w:r>
    </w:p>
    <w:p>
      <w:pPr>
        <w:spacing w:line="360" w:lineRule="auto"/>
        <w:ind w:firstLine="480" w:firstLineChars="200"/>
        <w:rPr>
          <w:rFonts w:ascii="宋体" w:hAnsi="宋体" w:cs="宋体"/>
          <w:sz w:val="24"/>
          <w:szCs w:val="32"/>
        </w:rPr>
      </w:pPr>
      <w:r>
        <w:rPr>
          <w:rFonts w:hint="eastAsia" w:ascii="宋体" w:hAnsi="宋体" w:cs="宋体"/>
          <w:sz w:val="24"/>
          <w:szCs w:val="32"/>
        </w:rPr>
        <w:t>5、法律、法规和招标文件规定的其他导致评标结果无效的。</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（七）评标原则和评标办法</w:t>
      </w:r>
    </w:p>
    <w:p>
      <w:pPr>
        <w:spacing w:line="360" w:lineRule="auto"/>
        <w:ind w:firstLine="480" w:firstLineChars="200"/>
        <w:rPr>
          <w:rFonts w:ascii="宋体" w:hAnsi="宋体" w:cs="宋体"/>
          <w:sz w:val="24"/>
          <w:szCs w:val="32"/>
        </w:rPr>
      </w:pPr>
      <w:r>
        <w:rPr>
          <w:rFonts w:hint="eastAsia" w:ascii="宋体" w:hAnsi="宋体" w:cs="宋体"/>
          <w:sz w:val="24"/>
          <w:szCs w:val="32"/>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spacing w:line="360" w:lineRule="auto"/>
        <w:ind w:firstLine="480" w:firstLineChars="200"/>
        <w:rPr>
          <w:rFonts w:ascii="宋体" w:hAnsi="宋体" w:cs="宋体"/>
          <w:sz w:val="24"/>
          <w:szCs w:val="32"/>
        </w:rPr>
      </w:pPr>
      <w:r>
        <w:rPr>
          <w:rFonts w:hint="eastAsia" w:ascii="宋体" w:hAnsi="宋体" w:cs="宋体"/>
          <w:sz w:val="24"/>
          <w:szCs w:val="32"/>
        </w:rPr>
        <w:t>2、评标办法。具体评标内容及评分标准等详见《第四章 评标方法及评分标准》。</w:t>
      </w:r>
    </w:p>
    <w:p>
      <w:pPr>
        <w:spacing w:line="360" w:lineRule="auto"/>
        <w:ind w:firstLine="482" w:firstLineChars="200"/>
        <w:rPr>
          <w:rFonts w:ascii="宋体" w:hAnsi="宋体" w:cs="宋体"/>
          <w:b/>
          <w:bCs/>
          <w:sz w:val="24"/>
          <w:szCs w:val="32"/>
        </w:rPr>
      </w:pPr>
      <w:r>
        <w:rPr>
          <w:rFonts w:hint="eastAsia" w:ascii="宋体" w:hAnsi="宋体" w:cs="宋体"/>
          <w:b/>
          <w:bCs/>
          <w:sz w:val="24"/>
          <w:szCs w:val="32"/>
        </w:rPr>
        <w:t>（八）评标过程的监控</w:t>
      </w:r>
    </w:p>
    <w:p>
      <w:pPr>
        <w:spacing w:line="360" w:lineRule="auto"/>
        <w:ind w:firstLine="480" w:firstLineChars="200"/>
        <w:rPr>
          <w:rFonts w:ascii="宋体" w:hAnsi="宋体" w:cs="宋体"/>
          <w:sz w:val="24"/>
          <w:szCs w:val="32"/>
        </w:rPr>
      </w:pPr>
      <w:r>
        <w:rPr>
          <w:rFonts w:hint="eastAsia" w:ascii="宋体" w:hAnsi="宋体" w:cs="宋体"/>
          <w:sz w:val="24"/>
          <w:szCs w:val="32"/>
        </w:rPr>
        <w:t>本项目评标过程实行全程录音、录像监控，政府采购监管部门视情进行现场监督，投标人在评标过程中所进行的试图影响评标结果的不公正活动，可能导致其投标被拒绝。</w:t>
      </w:r>
    </w:p>
    <w:p>
      <w:pPr>
        <w:pStyle w:val="21"/>
        <w:snapToGrid w:val="0"/>
        <w:spacing w:beforeLines="0" w:afterLines="0" w:line="360" w:lineRule="auto"/>
        <w:rPr>
          <w:rFonts w:hAnsi="宋体" w:cs="宋体"/>
          <w:b/>
          <w:sz w:val="30"/>
          <w:szCs w:val="30"/>
        </w:rPr>
      </w:pPr>
    </w:p>
    <w:p>
      <w:pPr>
        <w:pStyle w:val="21"/>
        <w:snapToGrid w:val="0"/>
        <w:spacing w:beforeLines="0" w:afterLines="0" w:line="360" w:lineRule="auto"/>
        <w:rPr>
          <w:rFonts w:hAnsi="宋体" w:cs="宋体"/>
          <w:b/>
          <w:sz w:val="30"/>
          <w:szCs w:val="30"/>
        </w:rPr>
      </w:pPr>
      <w:r>
        <w:rPr>
          <w:rFonts w:hint="eastAsia" w:hAnsi="宋体" w:cs="宋体"/>
          <w:b/>
          <w:sz w:val="30"/>
          <w:szCs w:val="30"/>
        </w:rPr>
        <w:t>六、定标</w:t>
      </w:r>
    </w:p>
    <w:p>
      <w:pPr>
        <w:pStyle w:val="21"/>
        <w:snapToGrid w:val="0"/>
        <w:spacing w:beforeLines="0" w:afterLines="0" w:line="360" w:lineRule="auto"/>
        <w:ind w:firstLine="472" w:firstLineChars="196"/>
        <w:rPr>
          <w:rFonts w:hAnsi="宋体" w:cs="宋体"/>
          <w:b/>
          <w:bCs/>
          <w:szCs w:val="20"/>
        </w:rPr>
      </w:pPr>
      <w:r>
        <w:rPr>
          <w:rFonts w:hint="eastAsia" w:hAnsi="宋体" w:cs="宋体"/>
          <w:b/>
          <w:bCs/>
        </w:rPr>
        <w:t>（一）确定中标人。</w:t>
      </w:r>
    </w:p>
    <w:p>
      <w:pPr>
        <w:snapToGrid w:val="0"/>
        <w:spacing w:line="360" w:lineRule="auto"/>
        <w:ind w:firstLine="480" w:firstLineChars="200"/>
        <w:rPr>
          <w:rFonts w:ascii="宋体" w:hAnsi="宋体" w:cs="宋体"/>
          <w:sz w:val="24"/>
        </w:rPr>
      </w:pPr>
      <w:r>
        <w:rPr>
          <w:rFonts w:hint="eastAsia" w:ascii="宋体" w:hAnsi="宋体" w:cs="宋体"/>
          <w:sz w:val="24"/>
        </w:rPr>
        <w:t>采购人应确定排名第一的中标候选供应商为供应商，排名第一的中标候选供应商放弃成交；或因不可抗力或自身原因提出不能履行合同；或者招标文件规定或合同约定应当提交履约保证金而在规定的期限内未能提交的；或未能在规定时间内与采购人签订合同的；或在规定时间内借故否认已经承诺的条件而拒签合同的；或已签合同却拒绝按合同约定履约的；或者经质疑，采购人审查后，确因排名第一的候选供应商在本次采购活动中存在违法违规行为或其他原因使质疑成立的，采购人重新招标。</w:t>
      </w:r>
    </w:p>
    <w:p>
      <w:pPr>
        <w:pStyle w:val="21"/>
        <w:snapToGrid w:val="0"/>
        <w:spacing w:beforeLines="0" w:afterLines="0" w:line="360" w:lineRule="auto"/>
        <w:ind w:firstLine="472" w:firstLineChars="196"/>
        <w:rPr>
          <w:rFonts w:hAnsi="宋体" w:cs="宋体"/>
          <w:b/>
          <w:bCs/>
        </w:rPr>
      </w:pPr>
    </w:p>
    <w:p>
      <w:pPr>
        <w:pStyle w:val="21"/>
        <w:snapToGrid w:val="0"/>
        <w:spacing w:beforeLines="0" w:afterLines="0" w:line="360" w:lineRule="auto"/>
        <w:rPr>
          <w:rFonts w:hAnsi="宋体" w:cs="宋体"/>
          <w:b/>
          <w:sz w:val="30"/>
          <w:szCs w:val="30"/>
        </w:rPr>
      </w:pPr>
      <w:r>
        <w:rPr>
          <w:rFonts w:hint="eastAsia" w:hAnsi="宋体" w:cs="宋体"/>
          <w:b/>
          <w:sz w:val="30"/>
          <w:szCs w:val="30"/>
        </w:rPr>
        <w:t>七、合同授予</w:t>
      </w:r>
    </w:p>
    <w:p>
      <w:pPr>
        <w:snapToGrid w:val="0"/>
        <w:spacing w:line="360" w:lineRule="auto"/>
        <w:ind w:firstLine="472" w:firstLineChars="196"/>
        <w:rPr>
          <w:rFonts w:ascii="宋体" w:hAnsi="宋体" w:cs="宋体"/>
          <w:b/>
          <w:bCs/>
          <w:sz w:val="24"/>
          <w:szCs w:val="20"/>
        </w:rPr>
      </w:pPr>
      <w:r>
        <w:rPr>
          <w:rFonts w:hint="eastAsia" w:ascii="宋体" w:hAnsi="宋体" w:cs="宋体"/>
          <w:b/>
          <w:bCs/>
          <w:sz w:val="24"/>
        </w:rPr>
        <w:t>（一）签订合同</w:t>
      </w:r>
    </w:p>
    <w:p>
      <w:pPr>
        <w:snapToGrid w:val="0"/>
        <w:spacing w:line="360" w:lineRule="auto"/>
        <w:ind w:firstLine="480" w:firstLineChars="200"/>
        <w:rPr>
          <w:rFonts w:ascii="宋体" w:hAnsi="宋体" w:cs="宋体"/>
          <w:sz w:val="24"/>
          <w:szCs w:val="20"/>
        </w:rPr>
      </w:pPr>
      <w:r>
        <w:rPr>
          <w:rFonts w:hint="eastAsia" w:ascii="宋体" w:hAnsi="宋体" w:cs="宋体"/>
          <w:sz w:val="24"/>
        </w:rPr>
        <w:t>1.采购人与中标人应当在《中标通知书》发出之日起30日内签订政府采购合同。同时，采购代理机构对合同内容进行审查，如发现与采购结果和投标承诺内容不一致的，应予以纠正。</w:t>
      </w:r>
    </w:p>
    <w:p>
      <w:pPr>
        <w:snapToGrid w:val="0"/>
        <w:spacing w:line="360" w:lineRule="auto"/>
        <w:ind w:firstLine="480" w:firstLineChars="200"/>
        <w:rPr>
          <w:rFonts w:ascii="宋体" w:hAnsi="宋体" w:cs="宋体"/>
          <w:sz w:val="24"/>
        </w:rPr>
      </w:pPr>
      <w:r>
        <w:rPr>
          <w:rFonts w:hint="eastAsia" w:ascii="宋体" w:hAnsi="宋体" w:cs="宋体"/>
          <w:sz w:val="24"/>
        </w:rPr>
        <w:t>2.中标人拖延、拒签合同的,将被取消中标资格。</w:t>
      </w:r>
    </w:p>
    <w:p>
      <w:pPr>
        <w:pStyle w:val="21"/>
        <w:snapToGrid w:val="0"/>
        <w:spacing w:beforeLines="0" w:afterLines="0" w:line="360" w:lineRule="auto"/>
        <w:ind w:firstLine="472" w:firstLineChars="196"/>
        <w:rPr>
          <w:rFonts w:hAnsi="宋体" w:cs="宋体"/>
          <w:b/>
        </w:rPr>
      </w:pPr>
      <w:r>
        <w:rPr>
          <w:rFonts w:hint="eastAsia" w:hAnsi="宋体" w:cs="宋体"/>
          <w:b/>
        </w:rPr>
        <w:t>（二）履约保证金</w:t>
      </w:r>
    </w:p>
    <w:p>
      <w:pPr>
        <w:pStyle w:val="21"/>
        <w:snapToGrid w:val="0"/>
        <w:spacing w:beforeLines="0" w:afterLines="0" w:line="360" w:lineRule="auto"/>
        <w:ind w:firstLine="480" w:firstLineChars="200"/>
        <w:rPr>
          <w:rFonts w:hAnsi="宋体" w:cs="宋体"/>
        </w:rPr>
      </w:pPr>
      <w:r>
        <w:rPr>
          <w:rFonts w:hint="eastAsia" w:hAnsi="宋体" w:cs="宋体"/>
        </w:rPr>
        <w:t>1.签订合同前，中标人应按招标文件确定的履约保证金的金额，向采购人交纳履约保证金，否则，采购人将没收中标人的全部投标保证金。</w:t>
      </w:r>
    </w:p>
    <w:p>
      <w:pPr>
        <w:pStyle w:val="21"/>
        <w:snapToGrid w:val="0"/>
        <w:spacing w:beforeLines="0" w:afterLines="0" w:line="360" w:lineRule="auto"/>
        <w:ind w:firstLine="480" w:firstLineChars="200"/>
        <w:rPr>
          <w:rFonts w:hAnsi="宋体" w:cs="宋体"/>
          <w:b/>
          <w:bCs/>
          <w:szCs w:val="20"/>
        </w:rPr>
      </w:pPr>
      <w:r>
        <w:rPr>
          <w:rFonts w:hint="eastAsia" w:hAnsi="宋体" w:cs="宋体"/>
        </w:rPr>
        <w:t>2.签订合同后，如中标人不按双方合同约定履约，则没收其全部履约保证金，履约保证金不足以赔偿损失的，按实际损失赔偿。</w:t>
      </w:r>
    </w:p>
    <w:p>
      <w:pPr>
        <w:pStyle w:val="21"/>
        <w:snapToGrid w:val="0"/>
        <w:spacing w:before="156" w:after="156" w:line="360" w:lineRule="auto"/>
        <w:ind w:firstLine="480" w:firstLineChars="200"/>
        <w:jc w:val="center"/>
        <w:rPr>
          <w:rFonts w:hAnsi="宋体" w:cs="宋体"/>
          <w:b/>
          <w:color w:val="auto"/>
          <w:sz w:val="30"/>
          <w:szCs w:val="30"/>
          <w:highlight w:val="none"/>
        </w:rPr>
      </w:pPr>
      <w:r>
        <w:rPr>
          <w:rFonts w:hint="eastAsia" w:hAnsi="宋体" w:cs="宋体"/>
        </w:rPr>
        <w:br w:type="page"/>
      </w:r>
      <w:r>
        <w:rPr>
          <w:rFonts w:hint="eastAsia" w:hAnsi="宋体" w:cs="宋体"/>
          <w:b/>
          <w:color w:val="auto"/>
          <w:sz w:val="30"/>
          <w:szCs w:val="30"/>
          <w:highlight w:val="none"/>
        </w:rPr>
        <w:t>第四章  评标办法及评分标准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为公正、公平、科学地选择中标人，根据《中华人民共和国政府采购法》、《政府采购货物和服务招投标管理办法》等有关法律法规的规定，并结合本项目的实际，制定本办法。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采购组织机构将组织评标委员会，对投标人提供的投标文件进行综合评审。本项目原则上采用电子评审方法，若因政采云平台原因无法读取或电子开评标无法正常进行，采购代理机构将开启投标人递交的以介质（U盘）存储的数据电文形式的备份投标文件，以完成开、评标。</w:t>
      </w:r>
    </w:p>
    <w:p>
      <w:pPr>
        <w:spacing w:before="156" w:beforeLines="50" w:after="156" w:afterLines="5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一、总则</w:t>
      </w:r>
    </w:p>
    <w:p>
      <w:pPr>
        <w:spacing w:line="360" w:lineRule="auto"/>
        <w:ind w:left="238" w:leftChars="85" w:firstLine="240" w:firstLineChars="100"/>
        <w:rPr>
          <w:rFonts w:ascii="宋体" w:hAnsi="宋体" w:cs="宋体"/>
          <w:bCs/>
          <w:color w:val="auto"/>
          <w:sz w:val="24"/>
          <w:highlight w:val="none"/>
        </w:rPr>
      </w:pPr>
      <w:r>
        <w:rPr>
          <w:rFonts w:hint="eastAsia" w:ascii="宋体" w:hAnsi="宋体" w:cs="宋体"/>
          <w:color w:val="auto"/>
          <w:sz w:val="24"/>
          <w:highlight w:val="none"/>
        </w:rPr>
        <w:t>本次评标采用综合评分法，</w:t>
      </w:r>
      <w:r>
        <w:rPr>
          <w:rFonts w:hint="eastAsia" w:ascii="宋体" w:hAnsi="宋体" w:cs="宋体"/>
          <w:b/>
          <w:color w:val="auto"/>
          <w:sz w:val="24"/>
          <w:highlight w:val="none"/>
        </w:rPr>
        <w:t>总分为100分，其中报价文件</w:t>
      </w:r>
      <w:r>
        <w:rPr>
          <w:rFonts w:hint="eastAsia" w:ascii="宋体" w:hAnsi="宋体" w:cs="宋体"/>
          <w:b/>
          <w:color w:val="auto"/>
          <w:sz w:val="24"/>
          <w:highlight w:val="none"/>
          <w:lang w:val="en-US" w:eastAsia="zh-CN"/>
        </w:rPr>
        <w:t>15</w:t>
      </w:r>
      <w:r>
        <w:rPr>
          <w:rFonts w:hint="eastAsia" w:ascii="宋体" w:hAnsi="宋体" w:cs="宋体"/>
          <w:b/>
          <w:color w:val="auto"/>
          <w:sz w:val="24"/>
          <w:highlight w:val="none"/>
        </w:rPr>
        <w:t>分、商务与技术文件</w:t>
      </w:r>
      <w:r>
        <w:rPr>
          <w:rFonts w:hint="eastAsia" w:ascii="宋体" w:hAnsi="宋体" w:cs="宋体"/>
          <w:b/>
          <w:color w:val="auto"/>
          <w:sz w:val="24"/>
          <w:highlight w:val="none"/>
          <w:lang w:val="en-US" w:eastAsia="zh-CN"/>
        </w:rPr>
        <w:t>85</w:t>
      </w:r>
      <w:r>
        <w:rPr>
          <w:rFonts w:hint="eastAsia" w:ascii="宋体" w:hAnsi="宋体" w:cs="宋体"/>
          <w:b/>
          <w:color w:val="auto"/>
          <w:sz w:val="24"/>
          <w:highlight w:val="none"/>
        </w:rPr>
        <w:t>分</w:t>
      </w:r>
      <w:r>
        <w:rPr>
          <w:rFonts w:hint="eastAsia" w:ascii="宋体" w:hAnsi="宋体" w:cs="宋体"/>
          <w:color w:val="auto"/>
          <w:sz w:val="24"/>
          <w:highlight w:val="none"/>
        </w:rPr>
        <w:t>。</w:t>
      </w:r>
    </w:p>
    <w:p>
      <w:pPr>
        <w:spacing w:line="360" w:lineRule="auto"/>
        <w:ind w:firstLine="472" w:firstLineChars="197"/>
        <w:rPr>
          <w:rFonts w:ascii="宋体" w:hAnsi="宋体" w:cs="宋体"/>
          <w:color w:val="auto"/>
          <w:sz w:val="24"/>
          <w:highlight w:val="none"/>
        </w:rPr>
      </w:pPr>
      <w:r>
        <w:rPr>
          <w:rFonts w:hint="eastAsia" w:ascii="宋体" w:hAnsi="宋体" w:cs="宋体"/>
          <w:bCs/>
          <w:color w:val="auto"/>
          <w:sz w:val="24"/>
          <w:highlight w:val="none"/>
        </w:rPr>
        <w:t>投标人的总得分＝商务与技术文件得分+报价文件得分。</w:t>
      </w:r>
    </w:p>
    <w:p>
      <w:pPr>
        <w:spacing w:before="156" w:beforeLines="50" w:after="156" w:afterLines="50"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二、评标内容及标准</w:t>
      </w:r>
    </w:p>
    <w:p>
      <w:pPr>
        <w:spacing w:before="156" w:beforeLines="50" w:after="156" w:afterLines="50"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（1）资格证明文件审查</w:t>
      </w:r>
    </w:p>
    <w:p>
      <w:pPr>
        <w:spacing w:before="156" w:beforeLines="50" w:after="156" w:afterLines="50"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评标委员会按照招标文件载明的投标人资格条件对投标人进行审查，凡不符合资格审查中合格条件要求的，以无效标处理，不再进入后续阶段评标。</w:t>
      </w:r>
    </w:p>
    <w:p>
      <w:pPr>
        <w:spacing w:line="360" w:lineRule="auto"/>
        <w:ind w:firstLine="482" w:firstLineChars="200"/>
        <w:rPr>
          <w:rFonts w:ascii="宋体" w:hAnsi="宋体" w:cs="宋体"/>
          <w:bCs/>
          <w:color w:val="auto"/>
          <w:spacing w:val="14"/>
          <w:sz w:val="24"/>
          <w:highlight w:val="none"/>
        </w:rPr>
      </w:pPr>
      <w:r>
        <w:rPr>
          <w:rFonts w:hint="eastAsia" w:ascii="宋体" w:hAnsi="宋体" w:cs="宋体"/>
          <w:b/>
          <w:color w:val="auto"/>
          <w:sz w:val="24"/>
          <w:highlight w:val="none"/>
        </w:rPr>
        <w:t>（2）商务与技术文件评审（</w:t>
      </w:r>
      <w:r>
        <w:rPr>
          <w:rFonts w:hint="eastAsia" w:ascii="宋体" w:hAnsi="宋体" w:cs="宋体"/>
          <w:b/>
          <w:color w:val="auto"/>
          <w:sz w:val="24"/>
          <w:highlight w:val="none"/>
          <w:lang w:val="en-US" w:eastAsia="zh-CN"/>
        </w:rPr>
        <w:t>85</w:t>
      </w:r>
      <w:r>
        <w:rPr>
          <w:rFonts w:hint="eastAsia" w:ascii="宋体" w:hAnsi="宋体" w:cs="宋体"/>
          <w:b/>
          <w:color w:val="auto"/>
          <w:sz w:val="24"/>
          <w:highlight w:val="none"/>
        </w:rPr>
        <w:t>分）</w:t>
      </w:r>
    </w:p>
    <w:p>
      <w:pPr>
        <w:autoSpaceDE w:val="0"/>
        <w:autoSpaceDN w:val="0"/>
        <w:adjustRightInd w:val="0"/>
        <w:spacing w:line="360" w:lineRule="auto"/>
        <w:jc w:val="left"/>
        <w:rPr>
          <w:rFonts w:ascii="宋体" w:hAnsi="宋体" w:cs="宋体"/>
          <w:color w:val="auto"/>
          <w:sz w:val="24"/>
          <w:highlight w:val="none"/>
        </w:rPr>
        <w:sectPr>
          <w:footerReference r:id="rId4" w:type="default"/>
          <w:pgSz w:w="11906" w:h="16838"/>
          <w:pgMar w:top="1247" w:right="1361" w:bottom="1247" w:left="1361" w:header="851" w:footer="851" w:gutter="0"/>
          <w:cols w:space="720" w:num="1"/>
          <w:docGrid w:type="lines" w:linePitch="312" w:charSpace="0"/>
        </w:sectPr>
      </w:pPr>
      <w:r>
        <w:rPr>
          <w:rFonts w:hint="eastAsia" w:ascii="宋体" w:hAnsi="宋体" w:cs="宋体"/>
          <w:color w:val="auto"/>
          <w:sz w:val="24"/>
          <w:highlight w:val="none"/>
        </w:rPr>
        <w:t>评标委员会成员按商务与技术文件的评分标准，在确定的最终类别的分值范围内各自打分。商务与技术文件分按照评标委员会成员的评分结果取平均值，为投标人的商务与技术文件得分。（评委评分结果每项保留1位小数，第2位四舍五入；平均值小数点后保留2位，第3位四舍五入）</w:t>
      </w:r>
    </w:p>
    <w:tbl>
      <w:tblPr>
        <w:tblStyle w:val="37"/>
        <w:tblpPr w:leftFromText="180" w:rightFromText="180" w:vertAnchor="text" w:horzAnchor="page" w:tblpX="1455" w:tblpY="637"/>
        <w:tblOverlap w:val="never"/>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
        <w:gridCol w:w="1658"/>
        <w:gridCol w:w="6025"/>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序号</w:t>
            </w:r>
          </w:p>
        </w:tc>
        <w:tc>
          <w:tcPr>
            <w:tcW w:w="165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评分因素</w:t>
            </w:r>
          </w:p>
        </w:tc>
        <w:tc>
          <w:tcPr>
            <w:tcW w:w="602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评分细则</w:t>
            </w:r>
          </w:p>
        </w:tc>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分值（</w:t>
            </w:r>
            <w:r>
              <w:rPr>
                <w:rFonts w:hint="eastAsia" w:ascii="仿宋" w:hAnsi="仿宋" w:cs="仿宋"/>
                <w:color w:val="auto"/>
                <w:kern w:val="0"/>
                <w:sz w:val="22"/>
                <w:szCs w:val="22"/>
                <w:highlight w:val="none"/>
              </w:rPr>
              <w:t>分</w:t>
            </w:r>
            <w:r>
              <w:rPr>
                <w:rFonts w:hint="eastAsia" w:ascii="仿宋" w:hAnsi="仿宋" w:cs="仿宋"/>
                <w:color w:val="auto"/>
                <w:sz w:val="22"/>
                <w:szCs w:val="22"/>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1</w:t>
            </w:r>
          </w:p>
        </w:tc>
        <w:tc>
          <w:tcPr>
            <w:tcW w:w="165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业务需求设计</w:t>
            </w:r>
          </w:p>
        </w:tc>
        <w:tc>
          <w:tcPr>
            <w:tcW w:w="602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left"/>
              <w:rPr>
                <w:rFonts w:ascii="仿宋" w:hAnsi="仿宋" w:cs="仿宋"/>
                <w:color w:val="auto"/>
                <w:sz w:val="22"/>
                <w:szCs w:val="22"/>
                <w:highlight w:val="none"/>
              </w:rPr>
            </w:pPr>
            <w:r>
              <w:rPr>
                <w:rFonts w:hint="eastAsia" w:ascii="仿宋" w:hAnsi="仿宋" w:cs="仿宋"/>
                <w:color w:val="auto"/>
                <w:sz w:val="22"/>
                <w:szCs w:val="22"/>
                <w:highlight w:val="none"/>
              </w:rPr>
              <w:t>投标方案具备：①详细阐述本系统采用的需求分析的方法和流程；②进行系统用户需求分析（含学员、教职工、管理决策人员、系统管理人员等用户需求分析）；③进行业务规模需求分析；④进行业务流程需求分析（画出教学任务流程图、教学计划安排流程图、网上报名流程图、教学排课流程图、教学调课流程图、教学评估流程图、考情管理流程图、学员服务流程图、科研管理流程图）；⑤进行功能、性能、兼容性、可靠性、稳定性需求分析；⑥进行信息传输量、存储量分析与预测；⑦进行安全需求分析；⑧其他方面技术需求分析；</w:t>
            </w:r>
          </w:p>
          <w:p>
            <w:pPr>
              <w:adjustRightInd w:val="0"/>
              <w:snapToGrid w:val="0"/>
              <w:spacing w:line="300" w:lineRule="auto"/>
              <w:ind w:firstLine="0" w:firstLineChars="0"/>
              <w:jc w:val="left"/>
              <w:rPr>
                <w:rFonts w:ascii="仿宋" w:hAnsi="仿宋" w:cs="仿宋"/>
                <w:color w:val="auto"/>
                <w:sz w:val="22"/>
                <w:szCs w:val="22"/>
                <w:highlight w:val="none"/>
              </w:rPr>
            </w:pPr>
            <w:r>
              <w:rPr>
                <w:rFonts w:hint="eastAsia" w:ascii="仿宋" w:hAnsi="仿宋" w:cs="仿宋"/>
                <w:color w:val="auto"/>
                <w:sz w:val="22"/>
                <w:szCs w:val="22"/>
                <w:highlight w:val="none"/>
              </w:rPr>
              <w:t>综合评审：投标方案结合采购人实际需求和干部培训的特性针对以上8项要求进行完整应答，根据方案思路清晰内容完整，功能具备合理性、科学性、易用性的设计进行0到</w:t>
            </w:r>
            <w:r>
              <w:rPr>
                <w:rFonts w:hint="eastAsia" w:ascii="仿宋" w:hAnsi="仿宋" w:cs="仿宋"/>
                <w:color w:val="auto"/>
                <w:sz w:val="22"/>
                <w:szCs w:val="22"/>
                <w:highlight w:val="none"/>
                <w:lang w:val="en-US" w:eastAsia="zh-CN"/>
              </w:rPr>
              <w:t>10</w:t>
            </w:r>
            <w:r>
              <w:rPr>
                <w:rFonts w:hint="eastAsia" w:ascii="仿宋" w:hAnsi="仿宋" w:cs="仿宋"/>
                <w:color w:val="auto"/>
                <w:sz w:val="22"/>
                <w:szCs w:val="22"/>
                <w:highlight w:val="none"/>
              </w:rPr>
              <w:t>分的区间评分，满分</w:t>
            </w:r>
            <w:r>
              <w:rPr>
                <w:rFonts w:hint="eastAsia" w:ascii="仿宋" w:hAnsi="仿宋" w:cs="仿宋"/>
                <w:color w:val="auto"/>
                <w:sz w:val="22"/>
                <w:szCs w:val="22"/>
                <w:highlight w:val="none"/>
                <w:lang w:val="en-US" w:eastAsia="zh-CN"/>
              </w:rPr>
              <w:t>10</w:t>
            </w:r>
            <w:r>
              <w:rPr>
                <w:rFonts w:hint="eastAsia" w:ascii="仿宋" w:hAnsi="仿宋" w:cs="仿宋"/>
                <w:color w:val="auto"/>
                <w:sz w:val="22"/>
                <w:szCs w:val="22"/>
                <w:highlight w:val="none"/>
              </w:rPr>
              <w:t>分。</w:t>
            </w:r>
          </w:p>
        </w:tc>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hint="default" w:ascii="仿宋" w:hAnsi="仿宋" w:eastAsia="宋体" w:cs="仿宋"/>
                <w:color w:val="auto"/>
                <w:sz w:val="22"/>
                <w:szCs w:val="22"/>
                <w:highlight w:val="none"/>
                <w:lang w:val="en-US" w:eastAsia="zh-CN"/>
              </w:rPr>
            </w:pPr>
            <w:r>
              <w:rPr>
                <w:rFonts w:hint="eastAsia" w:ascii="仿宋" w:hAnsi="仿宋" w:cs="仿宋"/>
                <w:color w:val="auto"/>
                <w:sz w:val="22"/>
                <w:szCs w:val="22"/>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2</w:t>
            </w:r>
          </w:p>
        </w:tc>
        <w:tc>
          <w:tcPr>
            <w:tcW w:w="165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功能需求应答</w:t>
            </w:r>
          </w:p>
        </w:tc>
        <w:tc>
          <w:tcPr>
            <w:tcW w:w="602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left"/>
              <w:rPr>
                <w:rFonts w:hint="eastAsia" w:ascii="仿宋" w:hAnsi="仿宋" w:cs="仿宋"/>
                <w:color w:val="auto"/>
                <w:sz w:val="22"/>
                <w:szCs w:val="22"/>
                <w:highlight w:val="none"/>
              </w:rPr>
            </w:pPr>
            <w:r>
              <w:rPr>
                <w:rFonts w:hint="eastAsia" w:ascii="仿宋" w:hAnsi="仿宋" w:cs="仿宋"/>
                <w:color w:val="auto"/>
                <w:sz w:val="22"/>
                <w:szCs w:val="22"/>
                <w:highlight w:val="none"/>
              </w:rPr>
              <w:t>对照招标文件项目采购需求中各个功能模块要求中的指标描述，能结合学校实际需求和干部培训的特性①标准规范建设方案②技术中台建设方案③数据中台建设方案④集成平台建设方案⑤浙政钉应用集成方案⑥应用支撑平台建设方案⑦应用系统建设方案⑧信创适配设计方案⑨数字化改革应用场景与亮点⑩安全建设方案。</w:t>
            </w:r>
          </w:p>
          <w:p>
            <w:pPr>
              <w:adjustRightInd w:val="0"/>
              <w:snapToGrid w:val="0"/>
              <w:spacing w:line="300" w:lineRule="auto"/>
              <w:ind w:firstLine="0" w:firstLineChars="0"/>
              <w:jc w:val="left"/>
              <w:rPr>
                <w:rFonts w:ascii="仿宋" w:hAnsi="仿宋" w:cs="仿宋"/>
                <w:color w:val="auto"/>
                <w:sz w:val="22"/>
                <w:szCs w:val="22"/>
                <w:highlight w:val="none"/>
              </w:rPr>
            </w:pPr>
            <w:r>
              <w:rPr>
                <w:rFonts w:hint="eastAsia" w:ascii="仿宋" w:hAnsi="仿宋" w:cs="仿宋"/>
                <w:color w:val="auto"/>
                <w:sz w:val="22"/>
                <w:szCs w:val="22"/>
                <w:highlight w:val="none"/>
              </w:rPr>
              <w:t>综合评审：投标方案结合采购人实际需求和干部培训的特性针对以上10项要求进行完整应答，根据方案思路清晰内容完整，功能具备合理性、科学性、易用性的设计进行0到</w:t>
            </w:r>
            <w:r>
              <w:rPr>
                <w:rFonts w:hint="eastAsia" w:ascii="仿宋" w:hAnsi="仿宋" w:cs="仿宋"/>
                <w:color w:val="auto"/>
                <w:sz w:val="22"/>
                <w:szCs w:val="22"/>
                <w:highlight w:val="none"/>
                <w:lang w:val="en-US" w:eastAsia="zh-CN"/>
              </w:rPr>
              <w:t>10</w:t>
            </w:r>
            <w:r>
              <w:rPr>
                <w:rFonts w:hint="eastAsia" w:ascii="仿宋" w:hAnsi="仿宋" w:cs="仿宋"/>
                <w:color w:val="auto"/>
                <w:sz w:val="22"/>
                <w:szCs w:val="22"/>
                <w:highlight w:val="none"/>
              </w:rPr>
              <w:t>分的区间评分，满分</w:t>
            </w:r>
            <w:r>
              <w:rPr>
                <w:rFonts w:hint="eastAsia" w:ascii="仿宋" w:hAnsi="仿宋" w:cs="仿宋"/>
                <w:color w:val="auto"/>
                <w:sz w:val="22"/>
                <w:szCs w:val="22"/>
                <w:highlight w:val="none"/>
                <w:lang w:val="en-US" w:eastAsia="zh-CN"/>
              </w:rPr>
              <w:t>10</w:t>
            </w:r>
            <w:r>
              <w:rPr>
                <w:rFonts w:hint="eastAsia" w:ascii="仿宋" w:hAnsi="仿宋" w:cs="仿宋"/>
                <w:color w:val="auto"/>
                <w:sz w:val="22"/>
                <w:szCs w:val="22"/>
                <w:highlight w:val="none"/>
              </w:rPr>
              <w:t>分。</w:t>
            </w:r>
          </w:p>
        </w:tc>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hint="default" w:ascii="仿宋" w:hAnsi="仿宋" w:eastAsia="宋体" w:cs="仿宋"/>
                <w:color w:val="auto"/>
                <w:sz w:val="84"/>
                <w:szCs w:val="84"/>
                <w:highlight w:val="none"/>
                <w:lang w:val="en-US" w:eastAsia="zh-CN"/>
              </w:rPr>
            </w:pPr>
            <w:r>
              <w:rPr>
                <w:rFonts w:hint="eastAsia" w:ascii="仿宋" w:hAnsi="仿宋" w:cs="仿宋"/>
                <w:color w:val="auto"/>
                <w:sz w:val="22"/>
                <w:szCs w:val="22"/>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3</w:t>
            </w:r>
          </w:p>
        </w:tc>
        <w:tc>
          <w:tcPr>
            <w:tcW w:w="165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left"/>
              <w:rPr>
                <w:rFonts w:ascii="仿宋" w:hAnsi="仿宋" w:cs="仿宋"/>
                <w:color w:val="auto"/>
                <w:sz w:val="22"/>
                <w:szCs w:val="22"/>
                <w:highlight w:val="none"/>
              </w:rPr>
            </w:pPr>
            <w:r>
              <w:rPr>
                <w:rFonts w:hint="eastAsia" w:ascii="仿宋" w:hAnsi="仿宋" w:cs="仿宋"/>
                <w:color w:val="auto"/>
                <w:sz w:val="22"/>
                <w:szCs w:val="22"/>
                <w:highlight w:val="none"/>
              </w:rPr>
              <w:t>技术架构设计</w:t>
            </w:r>
          </w:p>
        </w:tc>
        <w:tc>
          <w:tcPr>
            <w:tcW w:w="6025" w:type="dxa"/>
            <w:tcBorders>
              <w:top w:val="single" w:color="auto" w:sz="4" w:space="0"/>
              <w:left w:val="single" w:color="auto" w:sz="4" w:space="0"/>
              <w:bottom w:val="single" w:color="auto" w:sz="4" w:space="0"/>
              <w:right w:val="single" w:color="auto" w:sz="4" w:space="0"/>
            </w:tcBorders>
            <w:vAlign w:val="center"/>
          </w:tcPr>
          <w:p>
            <w:pPr>
              <w:pStyle w:val="12"/>
              <w:spacing w:line="300" w:lineRule="auto"/>
              <w:ind w:firstLine="0" w:firstLineChars="0"/>
              <w:rPr>
                <w:rFonts w:hint="eastAsia" w:ascii="仿宋" w:hAnsi="仿宋" w:eastAsia="宋体" w:cs="仿宋"/>
                <w:color w:val="auto"/>
                <w:sz w:val="22"/>
                <w:szCs w:val="18"/>
                <w:highlight w:val="none"/>
                <w:lang w:eastAsia="zh-CN"/>
              </w:rPr>
            </w:pPr>
            <w:r>
              <w:rPr>
                <w:rFonts w:hint="eastAsia" w:ascii="仿宋" w:hAnsi="仿宋" w:cs="仿宋"/>
                <w:color w:val="auto"/>
                <w:sz w:val="22"/>
                <w:szCs w:val="18"/>
                <w:highlight w:val="none"/>
              </w:rPr>
              <w:t>投标方案具备：①根据浙江省数字化改革四横四种总体要求画出系统架构图，并详细描述基础设施体系、数据资源体系、应用支撑体系、业务应用体系、政策制度体系、标准规范体系、组织保障体系、安全保障体系；②详细描述本项目采用的技术路线（含总体技术路线、软件系统技术的实现方法、关键技术）</w:t>
            </w:r>
            <w:r>
              <w:rPr>
                <w:rFonts w:hint="eastAsia" w:ascii="仿宋" w:hAnsi="仿宋" w:cs="仿宋"/>
                <w:color w:val="auto"/>
                <w:sz w:val="22"/>
                <w:szCs w:val="18"/>
                <w:highlight w:val="none"/>
                <w:lang w:eastAsia="zh-CN"/>
              </w:rPr>
              <w:t>。</w:t>
            </w:r>
          </w:p>
          <w:p>
            <w:pPr>
              <w:pStyle w:val="12"/>
              <w:spacing w:line="300" w:lineRule="auto"/>
              <w:ind w:firstLine="0" w:firstLineChars="0"/>
              <w:rPr>
                <w:rFonts w:ascii="仿宋" w:hAnsi="仿宋" w:cs="仿宋"/>
                <w:color w:val="auto"/>
                <w:sz w:val="22"/>
                <w:szCs w:val="18"/>
                <w:highlight w:val="none"/>
              </w:rPr>
            </w:pPr>
            <w:r>
              <w:rPr>
                <w:rFonts w:hint="eastAsia" w:ascii="仿宋" w:hAnsi="仿宋" w:cs="仿宋"/>
                <w:color w:val="auto"/>
                <w:sz w:val="22"/>
                <w:szCs w:val="18"/>
                <w:highlight w:val="none"/>
              </w:rPr>
              <w:t>综合评审：投标方案能结合采购人实际需求和干部培训的特性，根据系统总体设计具合理性、科学性进行0到</w:t>
            </w:r>
            <w:r>
              <w:rPr>
                <w:rFonts w:hint="eastAsia" w:ascii="仿宋" w:hAnsi="仿宋" w:cs="仿宋"/>
                <w:color w:val="auto"/>
                <w:sz w:val="22"/>
                <w:szCs w:val="18"/>
                <w:highlight w:val="none"/>
                <w:lang w:val="en-US" w:eastAsia="zh-CN"/>
              </w:rPr>
              <w:t>5</w:t>
            </w:r>
            <w:r>
              <w:rPr>
                <w:rFonts w:hint="eastAsia" w:ascii="仿宋" w:hAnsi="仿宋" w:cs="仿宋"/>
                <w:color w:val="auto"/>
                <w:sz w:val="22"/>
                <w:szCs w:val="18"/>
                <w:highlight w:val="none"/>
              </w:rPr>
              <w:t>分的区间评分，满分</w:t>
            </w:r>
            <w:r>
              <w:rPr>
                <w:rFonts w:hint="eastAsia" w:ascii="仿宋" w:hAnsi="仿宋" w:cs="仿宋"/>
                <w:color w:val="auto"/>
                <w:sz w:val="22"/>
                <w:szCs w:val="18"/>
                <w:highlight w:val="none"/>
                <w:lang w:val="en-US" w:eastAsia="zh-CN"/>
              </w:rPr>
              <w:t>5</w:t>
            </w:r>
            <w:r>
              <w:rPr>
                <w:rFonts w:hint="eastAsia" w:ascii="仿宋" w:hAnsi="仿宋" w:cs="仿宋"/>
                <w:color w:val="auto"/>
                <w:sz w:val="22"/>
                <w:szCs w:val="18"/>
                <w:highlight w:val="none"/>
              </w:rPr>
              <w:t>分。</w:t>
            </w:r>
          </w:p>
        </w:tc>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hint="eastAsia" w:ascii="仿宋" w:hAnsi="仿宋" w:eastAsia="宋体" w:cs="仿宋"/>
                <w:color w:val="auto"/>
                <w:sz w:val="22"/>
                <w:szCs w:val="22"/>
                <w:highlight w:val="none"/>
                <w:lang w:eastAsia="zh-CN"/>
              </w:rPr>
            </w:pPr>
            <w:r>
              <w:rPr>
                <w:rFonts w:hint="eastAsia" w:ascii="仿宋" w:hAnsi="仿宋" w:cs="仿宋"/>
                <w:color w:val="auto"/>
                <w:sz w:val="22"/>
                <w:szCs w:val="22"/>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4</w:t>
            </w:r>
          </w:p>
        </w:tc>
        <w:tc>
          <w:tcPr>
            <w:tcW w:w="1658"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ascii="仿宋" w:hAnsi="仿宋" w:cs="仿宋"/>
                <w:color w:val="auto"/>
                <w:sz w:val="22"/>
                <w:szCs w:val="22"/>
                <w:highlight w:val="none"/>
              </w:rPr>
            </w:pPr>
            <w:r>
              <w:rPr>
                <w:rFonts w:hint="eastAsia" w:ascii="仿宋" w:hAnsi="仿宋" w:cs="仿宋"/>
                <w:color w:val="auto"/>
                <w:sz w:val="22"/>
                <w:szCs w:val="22"/>
                <w:highlight w:val="none"/>
              </w:rPr>
              <w:t>软件系统设计</w:t>
            </w:r>
          </w:p>
        </w:tc>
        <w:tc>
          <w:tcPr>
            <w:tcW w:w="6025"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textAlignment w:val="center"/>
              <w:rPr>
                <w:rFonts w:ascii="仿宋" w:hAnsi="仿宋" w:cs="仿宋"/>
                <w:color w:val="auto"/>
                <w:sz w:val="22"/>
                <w:szCs w:val="22"/>
                <w:highlight w:val="none"/>
              </w:rPr>
            </w:pPr>
            <w:r>
              <w:rPr>
                <w:rFonts w:hint="eastAsia" w:ascii="仿宋" w:hAnsi="仿宋" w:cs="仿宋"/>
                <w:color w:val="auto"/>
                <w:sz w:val="22"/>
                <w:szCs w:val="22"/>
                <w:highlight w:val="none"/>
              </w:rPr>
              <w:t>投标方案从以下几个方面进行技术详细分析设计：①接口设计②数据结构设计③数据库设计④安全架构及可靠性设计⑤开放性设计⑥可扩展性设计等。</w:t>
            </w:r>
          </w:p>
          <w:p>
            <w:pPr>
              <w:widowControl/>
              <w:spacing w:line="300" w:lineRule="auto"/>
              <w:ind w:firstLine="0" w:firstLineChars="0"/>
              <w:textAlignment w:val="center"/>
              <w:rPr>
                <w:rFonts w:ascii="仿宋" w:hAnsi="仿宋" w:cs="仿宋"/>
                <w:color w:val="auto"/>
                <w:sz w:val="22"/>
                <w:szCs w:val="22"/>
                <w:highlight w:val="none"/>
              </w:rPr>
            </w:pPr>
            <w:r>
              <w:rPr>
                <w:rFonts w:hint="eastAsia" w:ascii="仿宋" w:hAnsi="仿宋" w:cs="仿宋"/>
                <w:color w:val="auto"/>
                <w:sz w:val="22"/>
                <w:szCs w:val="22"/>
                <w:highlight w:val="none"/>
              </w:rPr>
              <w:t>综合评审：投标方案能结合采购人实际需求和干部培训的特性，根据软件系统总体设计具合理性、科学性、易用性，且对以上6项要求进行完整应答的进行0到</w:t>
            </w:r>
            <w:r>
              <w:rPr>
                <w:rFonts w:hint="eastAsia" w:ascii="仿宋" w:hAnsi="仿宋" w:cs="仿宋"/>
                <w:color w:val="auto"/>
                <w:sz w:val="22"/>
                <w:szCs w:val="22"/>
                <w:highlight w:val="none"/>
                <w:lang w:val="en-US" w:eastAsia="zh-CN"/>
              </w:rPr>
              <w:t>6</w:t>
            </w:r>
            <w:r>
              <w:rPr>
                <w:rFonts w:hint="eastAsia" w:ascii="仿宋" w:hAnsi="仿宋" w:cs="仿宋"/>
                <w:color w:val="auto"/>
                <w:sz w:val="22"/>
                <w:szCs w:val="22"/>
                <w:highlight w:val="none"/>
              </w:rPr>
              <w:t>分的区间评分，满分</w:t>
            </w:r>
            <w:r>
              <w:rPr>
                <w:rFonts w:hint="eastAsia" w:ascii="仿宋" w:hAnsi="仿宋" w:cs="仿宋"/>
                <w:color w:val="auto"/>
                <w:sz w:val="22"/>
                <w:szCs w:val="22"/>
                <w:highlight w:val="none"/>
                <w:lang w:val="en-US" w:eastAsia="zh-CN"/>
              </w:rPr>
              <w:t>6</w:t>
            </w:r>
            <w:r>
              <w:rPr>
                <w:rFonts w:hint="eastAsia" w:ascii="仿宋" w:hAnsi="仿宋" w:cs="仿宋"/>
                <w:color w:val="auto"/>
                <w:sz w:val="22"/>
                <w:szCs w:val="22"/>
                <w:highlight w:val="none"/>
              </w:rPr>
              <w:t>分。</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hint="eastAsia" w:ascii="仿宋" w:hAnsi="仿宋" w:eastAsia="宋体" w:cs="仿宋"/>
                <w:color w:val="auto"/>
                <w:sz w:val="22"/>
                <w:szCs w:val="22"/>
                <w:highlight w:val="none"/>
                <w:lang w:eastAsia="zh-CN"/>
              </w:rPr>
            </w:pPr>
            <w:r>
              <w:rPr>
                <w:rFonts w:hint="eastAsia" w:ascii="仿宋" w:hAnsi="仿宋" w:cs="仿宋"/>
                <w:color w:val="auto"/>
                <w:kern w:val="0"/>
                <w:sz w:val="22"/>
                <w:szCs w:val="22"/>
                <w:highlight w:val="none"/>
                <w:lang w:val="en-US" w:eastAsia="zh-CN" w:bidi="ar"/>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5</w:t>
            </w:r>
          </w:p>
        </w:tc>
        <w:tc>
          <w:tcPr>
            <w:tcW w:w="1658"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bidi="ar"/>
              </w:rPr>
              <w:t>软件系统业务能力现场演示</w:t>
            </w:r>
          </w:p>
        </w:tc>
        <w:tc>
          <w:tcPr>
            <w:tcW w:w="6025"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bidi="ar"/>
              </w:rPr>
              <w:t>软件系统业务能力现场演示：</w:t>
            </w:r>
          </w:p>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b/>
                <w:bCs/>
                <w:color w:val="auto"/>
                <w:kern w:val="0"/>
                <w:sz w:val="22"/>
                <w:szCs w:val="22"/>
                <w:highlight w:val="none"/>
                <w:lang w:bidi="ar"/>
              </w:rPr>
              <w:t>1.教学管理系统功能演示</w:t>
            </w:r>
            <w:r>
              <w:rPr>
                <w:rFonts w:hint="eastAsia" w:ascii="仿宋" w:hAnsi="仿宋" w:cs="仿宋"/>
                <w:color w:val="auto"/>
                <w:kern w:val="0"/>
                <w:sz w:val="22"/>
                <w:szCs w:val="22"/>
                <w:highlight w:val="none"/>
                <w:lang w:bidi="ar"/>
              </w:rPr>
              <w:cr/>
            </w:r>
            <w:r>
              <w:rPr>
                <w:rFonts w:hint="eastAsia" w:ascii="仿宋" w:hAnsi="仿宋" w:cs="仿宋"/>
                <w:color w:val="auto"/>
                <w:kern w:val="0"/>
                <w:sz w:val="22"/>
                <w:szCs w:val="22"/>
                <w:highlight w:val="none"/>
                <w:lang w:bidi="ar"/>
              </w:rPr>
              <w:t>教务处登录：①在线制定教学目的，要求，单元，课程，可增加、减少各个单元②复制教学计划，教学计划预览和导出；③实现拖拽式排课和百度式快速排课及冲突提醒底色区分。④支持导入排课（支持excel，word导入）⑤实现在线调课，生成调课记录、调课通知⑥自动生成学员手册。⑦考试管理，包括考试题库设置，试题审核，出卷和考试成绩查询⑧毕业证书证书编号生成，批量生成毕业证书</w:t>
            </w:r>
            <w:r>
              <w:rPr>
                <w:rFonts w:hint="eastAsia" w:ascii="仿宋" w:hAnsi="仿宋" w:cs="仿宋"/>
                <w:color w:val="auto"/>
                <w:kern w:val="0"/>
                <w:sz w:val="22"/>
                <w:szCs w:val="22"/>
                <w:highlight w:val="none"/>
                <w:lang w:eastAsia="zh-CN" w:bidi="ar"/>
              </w:rPr>
              <w:t>。</w:t>
            </w:r>
            <w:r>
              <w:rPr>
                <w:rFonts w:hint="eastAsia" w:ascii="仿宋" w:hAnsi="仿宋" w:cs="仿宋"/>
                <w:color w:val="auto"/>
                <w:kern w:val="0"/>
                <w:sz w:val="22"/>
                <w:szCs w:val="22"/>
                <w:highlight w:val="none"/>
                <w:lang w:bidi="ar"/>
              </w:rPr>
              <w:cr/>
            </w:r>
            <w:r>
              <w:rPr>
                <w:rFonts w:hint="eastAsia" w:ascii="仿宋" w:hAnsi="仿宋" w:cs="仿宋"/>
                <w:color w:val="auto"/>
                <w:kern w:val="0"/>
                <w:sz w:val="22"/>
                <w:szCs w:val="22"/>
                <w:highlight w:val="none"/>
                <w:lang w:bidi="ar"/>
              </w:rPr>
              <w:t>共8项演示，采用实际可运行系统现场进行操作，每演示成功一项得0.5分，最高得4分。</w:t>
            </w:r>
            <w:r>
              <w:rPr>
                <w:rFonts w:hint="eastAsia" w:ascii="仿宋" w:hAnsi="仿宋" w:cs="仿宋"/>
                <w:color w:val="auto"/>
                <w:kern w:val="0"/>
                <w:sz w:val="22"/>
                <w:szCs w:val="22"/>
                <w:highlight w:val="none"/>
                <w:lang w:bidi="ar"/>
              </w:rPr>
              <w:cr/>
            </w:r>
            <w:r>
              <w:rPr>
                <w:rFonts w:hint="eastAsia" w:ascii="仿宋" w:hAnsi="仿宋" w:cs="仿宋"/>
                <w:b/>
                <w:bCs/>
                <w:color w:val="auto"/>
                <w:kern w:val="0"/>
                <w:sz w:val="22"/>
                <w:szCs w:val="22"/>
                <w:highlight w:val="none"/>
                <w:lang w:bidi="ar"/>
              </w:rPr>
              <w:t>2.学员培训管理系统功能演示</w:t>
            </w:r>
            <w:r>
              <w:rPr>
                <w:rFonts w:hint="eastAsia" w:ascii="仿宋" w:hAnsi="仿宋" w:cs="仿宋"/>
                <w:color w:val="auto"/>
                <w:kern w:val="0"/>
                <w:sz w:val="22"/>
                <w:szCs w:val="22"/>
                <w:highlight w:val="none"/>
                <w:lang w:bidi="ar"/>
              </w:rPr>
              <w:cr/>
            </w:r>
            <w:r>
              <w:rPr>
                <w:rFonts w:hint="eastAsia" w:ascii="仿宋" w:hAnsi="仿宋" w:cs="仿宋"/>
                <w:color w:val="auto"/>
                <w:kern w:val="0"/>
                <w:sz w:val="22"/>
                <w:szCs w:val="22"/>
                <w:highlight w:val="none"/>
                <w:lang w:bidi="ar"/>
              </w:rPr>
              <w:t xml:space="preserve">班主任登录：①学员管理，设置班委、学员分组，支持自动分组和手动分组；②作业管理（作业生成、作业批改）；③座位编排（随机排座、条件排座、打印席卡）；④对学员进行量化考核，量化考核指标设置，模板设置； </w:t>
            </w:r>
            <w:r>
              <w:rPr>
                <w:rFonts w:hint="eastAsia" w:ascii="仿宋" w:hAnsi="仿宋" w:cs="仿宋"/>
                <w:color w:val="auto"/>
                <w:kern w:val="0"/>
                <w:sz w:val="22"/>
                <w:szCs w:val="22"/>
                <w:highlight w:val="none"/>
                <w:lang w:bidi="ar"/>
              </w:rPr>
              <w:cr/>
            </w:r>
            <w:r>
              <w:rPr>
                <w:rFonts w:hint="eastAsia" w:ascii="仿宋" w:hAnsi="仿宋" w:cs="仿宋"/>
                <w:color w:val="auto"/>
                <w:kern w:val="0"/>
                <w:sz w:val="22"/>
                <w:szCs w:val="22"/>
                <w:highlight w:val="none"/>
                <w:lang w:bidi="ar"/>
              </w:rPr>
              <w:t>共4项演示，采用实际可运行系统现场进行操作每演示成功一项得</w:t>
            </w:r>
            <w:r>
              <w:rPr>
                <w:rFonts w:ascii="仿宋" w:hAnsi="仿宋" w:cs="仿宋"/>
                <w:color w:val="auto"/>
                <w:kern w:val="0"/>
                <w:sz w:val="22"/>
                <w:szCs w:val="22"/>
                <w:highlight w:val="none"/>
                <w:lang w:bidi="ar"/>
              </w:rPr>
              <w:t>0.5</w:t>
            </w:r>
            <w:r>
              <w:rPr>
                <w:rFonts w:hint="eastAsia" w:ascii="仿宋" w:hAnsi="仿宋" w:cs="仿宋"/>
                <w:color w:val="auto"/>
                <w:kern w:val="0"/>
                <w:sz w:val="22"/>
                <w:szCs w:val="22"/>
                <w:highlight w:val="none"/>
                <w:lang w:bidi="ar"/>
              </w:rPr>
              <w:t>分，最高得</w:t>
            </w:r>
            <w:r>
              <w:rPr>
                <w:rFonts w:ascii="仿宋" w:hAnsi="仿宋" w:cs="仿宋"/>
                <w:color w:val="auto"/>
                <w:kern w:val="0"/>
                <w:sz w:val="22"/>
                <w:szCs w:val="22"/>
                <w:highlight w:val="none"/>
                <w:lang w:bidi="ar"/>
              </w:rPr>
              <w:t>2</w:t>
            </w:r>
            <w:r>
              <w:rPr>
                <w:rFonts w:hint="eastAsia" w:ascii="仿宋" w:hAnsi="仿宋" w:cs="仿宋"/>
                <w:color w:val="auto"/>
                <w:kern w:val="0"/>
                <w:sz w:val="22"/>
                <w:szCs w:val="22"/>
                <w:highlight w:val="none"/>
                <w:lang w:bidi="ar"/>
              </w:rPr>
              <w:t>分。</w:t>
            </w:r>
            <w:r>
              <w:rPr>
                <w:rFonts w:hint="eastAsia" w:ascii="仿宋" w:hAnsi="仿宋" w:cs="仿宋"/>
                <w:color w:val="auto"/>
                <w:kern w:val="0"/>
                <w:sz w:val="22"/>
                <w:szCs w:val="22"/>
                <w:highlight w:val="none"/>
                <w:lang w:bidi="ar"/>
              </w:rPr>
              <w:cr/>
            </w:r>
            <w:r>
              <w:rPr>
                <w:rFonts w:hint="eastAsia" w:ascii="仿宋" w:hAnsi="仿宋" w:cs="仿宋"/>
                <w:b/>
                <w:bCs/>
                <w:color w:val="auto"/>
                <w:kern w:val="0"/>
                <w:sz w:val="22"/>
                <w:szCs w:val="22"/>
                <w:highlight w:val="none"/>
                <w:lang w:bidi="ar"/>
              </w:rPr>
              <w:t>3.大数据分析系统功能演示</w:t>
            </w:r>
            <w:r>
              <w:rPr>
                <w:rFonts w:hint="eastAsia" w:ascii="仿宋" w:hAnsi="仿宋" w:cs="仿宋"/>
                <w:color w:val="auto"/>
                <w:kern w:val="0"/>
                <w:sz w:val="22"/>
                <w:szCs w:val="22"/>
                <w:highlight w:val="none"/>
                <w:lang w:bidi="ar"/>
              </w:rPr>
              <w:cr/>
            </w:r>
            <w:r>
              <w:rPr>
                <w:rFonts w:hint="eastAsia" w:ascii="仿宋" w:hAnsi="仿宋" w:cs="仿宋"/>
                <w:color w:val="auto"/>
                <w:kern w:val="0"/>
                <w:sz w:val="22"/>
                <w:szCs w:val="22"/>
                <w:highlight w:val="none"/>
                <w:lang w:bidi="ar"/>
              </w:rPr>
              <w:t>1</w:t>
            </w:r>
            <w:r>
              <w:rPr>
                <w:rFonts w:hint="eastAsia" w:ascii="仿宋" w:hAnsi="仿宋" w:cs="仿宋"/>
                <w:color w:val="auto"/>
                <w:kern w:val="0"/>
                <w:sz w:val="22"/>
                <w:szCs w:val="22"/>
                <w:highlight w:val="none"/>
                <w:lang w:eastAsia="zh-CN" w:bidi="ar"/>
              </w:rPr>
              <w:t>）</w:t>
            </w:r>
            <w:r>
              <w:rPr>
                <w:rFonts w:hint="eastAsia" w:ascii="仿宋" w:hAnsi="仿宋" w:cs="仿宋"/>
                <w:color w:val="auto"/>
                <w:kern w:val="0"/>
                <w:sz w:val="22"/>
                <w:szCs w:val="22"/>
                <w:highlight w:val="none"/>
                <w:lang w:bidi="ar"/>
              </w:rPr>
              <w:t>现场将采购人提供的U盘中的数据（学员信息、学员考勤、课程评估）完整加载至演示系统中，专家对导入数据的完整性、正确性进行数据量、条件查询等方面的验证无误。导入数据出错或未成功终止本项演示，教学分析系统演示部分不得分；</w:t>
            </w:r>
            <w:r>
              <w:rPr>
                <w:rFonts w:hint="eastAsia" w:ascii="仿宋" w:hAnsi="仿宋" w:cs="仿宋"/>
                <w:color w:val="auto"/>
                <w:kern w:val="0"/>
                <w:sz w:val="22"/>
                <w:szCs w:val="22"/>
                <w:highlight w:val="none"/>
                <w:lang w:bidi="ar"/>
              </w:rPr>
              <w:cr/>
            </w:r>
            <w:r>
              <w:rPr>
                <w:rFonts w:hint="eastAsia" w:ascii="仿宋" w:hAnsi="仿宋" w:cs="仿宋"/>
                <w:color w:val="auto"/>
                <w:kern w:val="0"/>
                <w:sz w:val="22"/>
                <w:szCs w:val="22"/>
                <w:highlight w:val="none"/>
                <w:lang w:bidi="ar"/>
              </w:rPr>
              <w:t>2</w:t>
            </w:r>
            <w:r>
              <w:rPr>
                <w:rFonts w:hint="eastAsia" w:ascii="仿宋" w:hAnsi="仿宋" w:cs="仿宋"/>
                <w:color w:val="auto"/>
                <w:kern w:val="0"/>
                <w:sz w:val="22"/>
                <w:szCs w:val="22"/>
                <w:highlight w:val="none"/>
                <w:lang w:eastAsia="zh-CN" w:bidi="ar"/>
              </w:rPr>
              <w:t>）</w:t>
            </w:r>
            <w:r>
              <w:rPr>
                <w:rFonts w:hint="eastAsia" w:ascii="仿宋" w:hAnsi="仿宋" w:cs="仿宋"/>
                <w:color w:val="auto"/>
                <w:kern w:val="0"/>
                <w:sz w:val="22"/>
                <w:szCs w:val="22"/>
                <w:highlight w:val="none"/>
                <w:lang w:bidi="ar"/>
              </w:rPr>
              <w:t>基于导入的数据在大数据分析系统中实现学员信息、学员考勤、课程评估关联查询，并实现查询项、多组条件项及排序项的设置且验证结果正确；</w:t>
            </w:r>
            <w:r>
              <w:rPr>
                <w:rFonts w:hint="eastAsia" w:ascii="仿宋" w:hAnsi="仿宋" w:cs="仿宋"/>
                <w:color w:val="auto"/>
                <w:kern w:val="0"/>
                <w:sz w:val="22"/>
                <w:szCs w:val="22"/>
                <w:highlight w:val="none"/>
                <w:lang w:bidi="ar"/>
              </w:rPr>
              <w:cr/>
            </w:r>
            <w:r>
              <w:rPr>
                <w:rFonts w:hint="eastAsia" w:ascii="仿宋" w:hAnsi="仿宋" w:cs="仿宋"/>
                <w:color w:val="auto"/>
                <w:kern w:val="0"/>
                <w:sz w:val="22"/>
                <w:szCs w:val="22"/>
                <w:highlight w:val="none"/>
                <w:lang w:bidi="ar"/>
              </w:rPr>
              <w:t>3</w:t>
            </w:r>
            <w:r>
              <w:rPr>
                <w:rFonts w:hint="eastAsia" w:ascii="仿宋" w:hAnsi="仿宋" w:cs="仿宋"/>
                <w:color w:val="auto"/>
                <w:kern w:val="0"/>
                <w:sz w:val="22"/>
                <w:szCs w:val="22"/>
                <w:highlight w:val="none"/>
                <w:lang w:val="en-US" w:eastAsia="zh-CN" w:bidi="ar"/>
              </w:rPr>
              <w:t>)</w:t>
            </w:r>
            <w:r>
              <w:rPr>
                <w:rFonts w:hint="eastAsia" w:ascii="仿宋" w:hAnsi="仿宋" w:cs="仿宋"/>
                <w:color w:val="auto"/>
                <w:kern w:val="0"/>
                <w:sz w:val="22"/>
                <w:szCs w:val="22"/>
                <w:highlight w:val="none"/>
                <w:lang w:bidi="ar"/>
              </w:rPr>
              <w:t>基于导入的数据现场利用查询的结果在大数据分析系统中，快速准确实现每个学员评价分数计算且验证结果正确；</w:t>
            </w:r>
            <w:r>
              <w:rPr>
                <w:rFonts w:hint="eastAsia" w:ascii="仿宋" w:hAnsi="仿宋" w:cs="仿宋"/>
                <w:color w:val="auto"/>
                <w:kern w:val="0"/>
                <w:sz w:val="22"/>
                <w:szCs w:val="22"/>
                <w:highlight w:val="none"/>
                <w:lang w:bidi="ar"/>
              </w:rPr>
              <w:cr/>
            </w:r>
            <w:r>
              <w:rPr>
                <w:rFonts w:hint="eastAsia" w:ascii="仿宋" w:hAnsi="仿宋" w:cs="仿宋"/>
                <w:color w:val="auto"/>
                <w:kern w:val="0"/>
                <w:sz w:val="22"/>
                <w:szCs w:val="22"/>
                <w:highlight w:val="none"/>
                <w:lang w:bidi="ar"/>
              </w:rPr>
              <w:t>4</w:t>
            </w:r>
            <w:r>
              <w:rPr>
                <w:rFonts w:hint="eastAsia" w:ascii="仿宋" w:hAnsi="仿宋" w:cs="仿宋"/>
                <w:color w:val="auto"/>
                <w:kern w:val="0"/>
                <w:sz w:val="22"/>
                <w:szCs w:val="22"/>
                <w:highlight w:val="none"/>
                <w:lang w:val="en-US" w:eastAsia="zh-CN" w:bidi="ar"/>
              </w:rPr>
              <w:t>)</w:t>
            </w:r>
            <w:r>
              <w:rPr>
                <w:rFonts w:hint="eastAsia" w:ascii="仿宋" w:hAnsi="仿宋" w:cs="仿宋"/>
                <w:color w:val="auto"/>
                <w:kern w:val="0"/>
                <w:sz w:val="22"/>
                <w:szCs w:val="22"/>
                <w:highlight w:val="none"/>
                <w:lang w:bidi="ar"/>
              </w:rPr>
              <w:t>利用查询和计算的结果数据在大数据分析系统中，通过拖拽式的可视化工具快速制作班级出勤率及班级评估率情况汇总表，查看数据汇总表，同时提供课程、学员和班级互查关联数据图、上钻下钻、数据溯源等功能且验证结果正确；</w:t>
            </w:r>
            <w:r>
              <w:rPr>
                <w:rFonts w:hint="eastAsia" w:ascii="仿宋" w:hAnsi="仿宋" w:cs="仿宋"/>
                <w:color w:val="auto"/>
                <w:kern w:val="0"/>
                <w:sz w:val="22"/>
                <w:szCs w:val="22"/>
                <w:highlight w:val="none"/>
                <w:lang w:bidi="ar"/>
              </w:rPr>
              <w:cr/>
            </w:r>
            <w:r>
              <w:rPr>
                <w:rFonts w:hint="eastAsia" w:ascii="仿宋" w:hAnsi="仿宋" w:cs="仿宋"/>
                <w:color w:val="auto"/>
                <w:kern w:val="0"/>
                <w:sz w:val="22"/>
                <w:szCs w:val="22"/>
                <w:highlight w:val="none"/>
                <w:lang w:bidi="ar"/>
              </w:rPr>
              <w:t>5</w:t>
            </w:r>
            <w:r>
              <w:rPr>
                <w:rFonts w:hint="eastAsia" w:ascii="仿宋" w:hAnsi="仿宋" w:cs="仿宋"/>
                <w:color w:val="auto"/>
                <w:kern w:val="0"/>
                <w:sz w:val="22"/>
                <w:szCs w:val="22"/>
                <w:highlight w:val="none"/>
                <w:lang w:val="en-US" w:eastAsia="zh-CN" w:bidi="ar"/>
              </w:rPr>
              <w:t>)</w:t>
            </w:r>
            <w:r>
              <w:rPr>
                <w:rFonts w:hint="eastAsia" w:ascii="仿宋" w:hAnsi="仿宋" w:cs="仿宋"/>
                <w:color w:val="auto"/>
                <w:kern w:val="0"/>
                <w:sz w:val="22"/>
                <w:szCs w:val="22"/>
                <w:highlight w:val="none"/>
                <w:lang w:bidi="ar"/>
              </w:rPr>
              <w:t>利用处理查询的教学数据在大数据分析系统中进行图表展现，图形至少包含柱状图、饼图、曲线等三种内容，并实现图表间的联动，图形设计工具及展示的图表满足要求且验证结果正确；</w:t>
            </w:r>
            <w:r>
              <w:rPr>
                <w:rFonts w:hint="eastAsia" w:ascii="仿宋" w:hAnsi="仿宋" w:cs="仿宋"/>
                <w:color w:val="auto"/>
                <w:kern w:val="0"/>
                <w:sz w:val="22"/>
                <w:szCs w:val="22"/>
                <w:highlight w:val="none"/>
                <w:lang w:bidi="ar"/>
              </w:rPr>
              <w:cr/>
            </w:r>
            <w:r>
              <w:rPr>
                <w:rFonts w:hint="eastAsia" w:ascii="仿宋" w:hAnsi="仿宋" w:cs="仿宋"/>
                <w:color w:val="auto"/>
                <w:kern w:val="0"/>
                <w:sz w:val="22"/>
                <w:szCs w:val="22"/>
                <w:highlight w:val="none"/>
                <w:lang w:bidi="ar"/>
              </w:rPr>
              <w:t>6</w:t>
            </w:r>
            <w:r>
              <w:rPr>
                <w:rFonts w:hint="eastAsia" w:ascii="仿宋" w:hAnsi="仿宋" w:cs="仿宋"/>
                <w:color w:val="auto"/>
                <w:kern w:val="0"/>
                <w:sz w:val="22"/>
                <w:szCs w:val="22"/>
                <w:highlight w:val="none"/>
                <w:lang w:val="en-US" w:eastAsia="zh-CN" w:bidi="ar"/>
              </w:rPr>
              <w:t>)</w:t>
            </w:r>
            <w:r>
              <w:rPr>
                <w:rFonts w:hint="eastAsia" w:ascii="仿宋" w:hAnsi="仿宋" w:cs="仿宋"/>
                <w:color w:val="auto"/>
                <w:kern w:val="0"/>
                <w:sz w:val="22"/>
                <w:szCs w:val="22"/>
                <w:highlight w:val="none"/>
                <w:lang w:bidi="ar"/>
              </w:rPr>
              <w:t>将上述教学数据处理过程在大数据分析系统录制成模板，能够通过一键执行的方式，实现快速高效过程录制，能重现数据处理过程且验证结果正确。</w:t>
            </w:r>
            <w:r>
              <w:rPr>
                <w:rFonts w:hint="eastAsia" w:ascii="仿宋" w:hAnsi="仿宋" w:cs="仿宋"/>
                <w:color w:val="auto"/>
                <w:kern w:val="0"/>
                <w:sz w:val="22"/>
                <w:szCs w:val="22"/>
                <w:highlight w:val="none"/>
                <w:lang w:bidi="ar"/>
              </w:rPr>
              <w:cr/>
            </w:r>
            <w:r>
              <w:rPr>
                <w:rFonts w:hint="eastAsia" w:ascii="仿宋" w:hAnsi="仿宋" w:cs="仿宋"/>
                <w:color w:val="auto"/>
                <w:kern w:val="0"/>
                <w:sz w:val="22"/>
                <w:szCs w:val="22"/>
                <w:highlight w:val="none"/>
                <w:lang w:bidi="ar"/>
              </w:rPr>
              <w:t>共6项演示，采用实际可运行系统现场进行操作，第一项演示不成功整个数据分析系统功能演示不得分，其他每演示成功一项得1分，最高得6分。</w:t>
            </w:r>
            <w:r>
              <w:rPr>
                <w:rFonts w:hint="eastAsia" w:ascii="仿宋" w:hAnsi="仿宋" w:cs="仿宋"/>
                <w:color w:val="auto"/>
                <w:kern w:val="0"/>
                <w:sz w:val="22"/>
                <w:szCs w:val="22"/>
                <w:highlight w:val="none"/>
                <w:lang w:bidi="ar"/>
              </w:rPr>
              <w:cr/>
            </w:r>
            <w:r>
              <w:rPr>
                <w:rFonts w:hint="eastAsia" w:ascii="仿宋" w:hAnsi="仿宋" w:cs="仿宋"/>
                <w:b/>
                <w:bCs/>
                <w:color w:val="auto"/>
                <w:kern w:val="0"/>
                <w:sz w:val="22"/>
                <w:szCs w:val="22"/>
                <w:highlight w:val="none"/>
                <w:lang w:bidi="ar"/>
              </w:rPr>
              <w:t>4.移动服务平台功能演示</w:t>
            </w:r>
            <w:r>
              <w:rPr>
                <w:rFonts w:hint="eastAsia" w:ascii="仿宋" w:hAnsi="仿宋" w:cs="仿宋"/>
                <w:color w:val="auto"/>
                <w:kern w:val="0"/>
                <w:sz w:val="22"/>
                <w:szCs w:val="22"/>
                <w:highlight w:val="none"/>
                <w:lang w:bidi="ar"/>
              </w:rPr>
              <w:cr/>
            </w:r>
            <w:r>
              <w:rPr>
                <w:rFonts w:hint="eastAsia" w:ascii="仿宋" w:hAnsi="仿宋" w:cs="仿宋"/>
                <w:color w:val="auto"/>
                <w:kern w:val="0"/>
                <w:sz w:val="22"/>
                <w:szCs w:val="22"/>
                <w:highlight w:val="none"/>
                <w:lang w:bidi="ar"/>
              </w:rPr>
              <w:t>班主任登录可实现①查看待阅信息、待办任务、通知公告；②班级切换、周课表，日课表、评价查看③学员请假审核，外出报备查看④问卷调查填写</w:t>
            </w:r>
            <w:r>
              <w:rPr>
                <w:rFonts w:hint="eastAsia" w:ascii="仿宋" w:hAnsi="仿宋" w:cs="仿宋"/>
                <w:color w:val="auto"/>
                <w:kern w:val="0"/>
                <w:sz w:val="22"/>
                <w:szCs w:val="22"/>
                <w:highlight w:val="none"/>
                <w:lang w:eastAsia="zh-CN" w:bidi="ar"/>
              </w:rPr>
              <w:t>。</w:t>
            </w:r>
            <w:r>
              <w:rPr>
                <w:rFonts w:hint="eastAsia" w:ascii="仿宋" w:hAnsi="仿宋" w:cs="仿宋"/>
                <w:color w:val="auto"/>
                <w:kern w:val="0"/>
                <w:sz w:val="22"/>
                <w:szCs w:val="22"/>
                <w:highlight w:val="none"/>
                <w:lang w:bidi="ar"/>
              </w:rPr>
              <w:cr/>
            </w:r>
            <w:r>
              <w:rPr>
                <w:rFonts w:hint="eastAsia" w:ascii="仿宋" w:hAnsi="仿宋" w:cs="仿宋"/>
                <w:color w:val="auto"/>
                <w:kern w:val="0"/>
                <w:sz w:val="22"/>
                <w:szCs w:val="22"/>
                <w:highlight w:val="none"/>
                <w:lang w:bidi="ar"/>
              </w:rPr>
              <w:t>学员登录可实现①班级互动交流，支持发帖点赞；②进行课程评价，教学评价、后勤评价；③请假申请，出行申报；④作业上交和党性考核</w:t>
            </w:r>
            <w:r>
              <w:rPr>
                <w:rFonts w:hint="eastAsia" w:ascii="仿宋" w:hAnsi="仿宋" w:cs="仿宋"/>
                <w:color w:val="auto"/>
                <w:kern w:val="0"/>
                <w:sz w:val="22"/>
                <w:szCs w:val="22"/>
                <w:highlight w:val="none"/>
                <w:lang w:eastAsia="zh-CN" w:bidi="ar"/>
              </w:rPr>
              <w:t>。</w:t>
            </w:r>
            <w:r>
              <w:rPr>
                <w:rFonts w:hint="eastAsia" w:ascii="仿宋" w:hAnsi="仿宋" w:cs="仿宋"/>
                <w:color w:val="auto"/>
                <w:kern w:val="0"/>
                <w:sz w:val="22"/>
                <w:szCs w:val="22"/>
                <w:highlight w:val="none"/>
                <w:lang w:bidi="ar"/>
              </w:rPr>
              <w:cr/>
            </w:r>
            <w:r>
              <w:rPr>
                <w:rFonts w:hint="eastAsia" w:ascii="仿宋" w:hAnsi="仿宋" w:cs="仿宋"/>
                <w:color w:val="auto"/>
                <w:kern w:val="0"/>
                <w:sz w:val="22"/>
                <w:szCs w:val="22"/>
                <w:highlight w:val="none"/>
                <w:lang w:bidi="ar"/>
              </w:rPr>
              <w:t>共8项演示，采用实际可运行系统现场进行操作每演示成功一项得0.5分，最高得4分。</w:t>
            </w:r>
          </w:p>
          <w:p>
            <w:pPr>
              <w:widowControl/>
              <w:spacing w:line="300" w:lineRule="auto"/>
              <w:ind w:firstLine="0" w:firstLineChars="0"/>
              <w:textAlignment w:val="center"/>
              <w:rPr>
                <w:rFonts w:ascii="仿宋" w:hAnsi="仿宋" w:cs="仿宋"/>
                <w:b/>
                <w:bCs/>
                <w:color w:val="auto"/>
                <w:kern w:val="0"/>
                <w:sz w:val="22"/>
                <w:szCs w:val="22"/>
                <w:highlight w:val="none"/>
                <w:lang w:bidi="ar"/>
              </w:rPr>
            </w:pPr>
            <w:r>
              <w:rPr>
                <w:rFonts w:hint="eastAsia" w:ascii="仿宋" w:hAnsi="仿宋" w:cs="仿宋"/>
                <w:b/>
                <w:bCs/>
                <w:color w:val="auto"/>
                <w:kern w:val="0"/>
                <w:sz w:val="22"/>
                <w:szCs w:val="22"/>
                <w:highlight w:val="none"/>
                <w:lang w:bidi="ar"/>
              </w:rPr>
              <w:t>5.</w:t>
            </w:r>
            <w:r>
              <w:rPr>
                <w:rFonts w:ascii="仿宋" w:hAnsi="仿宋" w:cs="仿宋"/>
                <w:b/>
                <w:bCs/>
                <w:color w:val="auto"/>
                <w:kern w:val="0"/>
                <w:sz w:val="22"/>
                <w:szCs w:val="22"/>
                <w:highlight w:val="none"/>
                <w:lang w:bidi="ar"/>
              </w:rPr>
              <w:t>工作流和表单演示</w:t>
            </w:r>
          </w:p>
          <w:p>
            <w:pPr>
              <w:widowControl/>
              <w:spacing w:line="300" w:lineRule="auto"/>
              <w:ind w:firstLine="0" w:firstLineChars="0"/>
              <w:textAlignment w:val="center"/>
              <w:rPr>
                <w:rFonts w:hint="default" w:ascii="仿宋" w:hAnsi="仿宋" w:cs="仿宋"/>
                <w:color w:val="auto"/>
                <w:kern w:val="0"/>
                <w:sz w:val="22"/>
                <w:szCs w:val="22"/>
                <w:highlight w:val="none"/>
                <w:lang w:val="en-US" w:eastAsia="zh-CN" w:bidi="ar"/>
              </w:rPr>
            </w:pPr>
            <w:r>
              <w:rPr>
                <w:rFonts w:hint="eastAsia" w:ascii="仿宋" w:hAnsi="仿宋" w:cs="仿宋"/>
                <w:color w:val="auto"/>
                <w:kern w:val="0"/>
                <w:sz w:val="22"/>
                <w:szCs w:val="22"/>
                <w:highlight w:val="none"/>
                <w:lang w:val="en-US" w:eastAsia="zh-CN" w:bidi="ar"/>
              </w:rPr>
              <w:t>支持拖拽式设计包括布局，表单组件，文字相关，导航条，数据，按钮的拖拽，支持表格布局可类似于excel表格的操作方式。支持自定义模板及模板选择。表单组件支持复制粘贴，自动生成数据表结构。表单中的自动支持格式校验，自定义错误提醒。</w:t>
            </w:r>
          </w:p>
          <w:p>
            <w:pPr>
              <w:widowControl/>
              <w:spacing w:line="300" w:lineRule="auto"/>
              <w:ind w:firstLine="0" w:firstLineChars="0"/>
              <w:textAlignment w:val="center"/>
              <w:rPr>
                <w:rFonts w:hint="default" w:ascii="仿宋" w:hAnsi="仿宋" w:cs="仿宋"/>
                <w:color w:val="auto"/>
                <w:kern w:val="0"/>
                <w:sz w:val="22"/>
                <w:szCs w:val="22"/>
                <w:highlight w:val="none"/>
                <w:lang w:val="en-US" w:bidi="ar"/>
              </w:rPr>
            </w:pPr>
            <w:r>
              <w:rPr>
                <w:rFonts w:hint="eastAsia" w:ascii="仿宋" w:hAnsi="仿宋" w:cs="仿宋"/>
                <w:color w:val="auto"/>
                <w:kern w:val="0"/>
                <w:sz w:val="22"/>
                <w:szCs w:val="22"/>
                <w:highlight w:val="none"/>
                <w:lang w:val="en-US" w:eastAsia="zh-CN" w:bidi="ar"/>
              </w:rPr>
              <w:t>拖拽式流程图设计，支持泳道图模式，支持用户节点自定义处理范围和处理方式，支持发送条件自定义配置，支持节点复制粘贴，支持流程导出图片。</w:t>
            </w:r>
          </w:p>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bidi="ar"/>
              </w:rPr>
              <w:t>共2项演示，采用实际可运行系统现场进行操作每演示成功一项得</w:t>
            </w:r>
            <w:r>
              <w:rPr>
                <w:rFonts w:ascii="仿宋" w:hAnsi="仿宋" w:cs="仿宋"/>
                <w:color w:val="auto"/>
                <w:kern w:val="0"/>
                <w:sz w:val="22"/>
                <w:szCs w:val="22"/>
                <w:highlight w:val="none"/>
                <w:lang w:bidi="ar"/>
              </w:rPr>
              <w:t>2</w:t>
            </w:r>
            <w:r>
              <w:rPr>
                <w:rFonts w:hint="eastAsia" w:ascii="仿宋" w:hAnsi="仿宋" w:cs="仿宋"/>
                <w:color w:val="auto"/>
                <w:kern w:val="0"/>
                <w:sz w:val="22"/>
                <w:szCs w:val="22"/>
                <w:highlight w:val="none"/>
                <w:lang w:bidi="ar"/>
              </w:rPr>
              <w:t>分，最高得</w:t>
            </w:r>
            <w:r>
              <w:rPr>
                <w:rFonts w:ascii="仿宋" w:hAnsi="仿宋" w:cs="仿宋"/>
                <w:color w:val="auto"/>
                <w:kern w:val="0"/>
                <w:sz w:val="22"/>
                <w:szCs w:val="22"/>
                <w:highlight w:val="none"/>
                <w:lang w:bidi="ar"/>
              </w:rPr>
              <w:t>4</w:t>
            </w:r>
            <w:r>
              <w:rPr>
                <w:rFonts w:hint="eastAsia" w:ascii="仿宋" w:hAnsi="仿宋" w:cs="仿宋"/>
                <w:color w:val="auto"/>
                <w:kern w:val="0"/>
                <w:sz w:val="22"/>
                <w:szCs w:val="22"/>
                <w:highlight w:val="none"/>
                <w:lang w:bidi="ar"/>
              </w:rPr>
              <w:t>分。</w:t>
            </w:r>
          </w:p>
          <w:p>
            <w:pPr>
              <w:widowControl/>
              <w:spacing w:line="300" w:lineRule="auto"/>
              <w:ind w:firstLine="0" w:firstLineChars="0"/>
              <w:jc w:val="left"/>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bidi="ar"/>
              </w:rPr>
              <w:t>所演示的的教学管理系统、学员培训、移动服务系统、大数据分析、工作流和表单需按照招标文件提供的数据进行演示。注：</w:t>
            </w:r>
          </w:p>
          <w:p>
            <w:pPr>
              <w:widowControl/>
              <w:numPr>
                <w:ilvl w:val="0"/>
                <w:numId w:val="4"/>
              </w:numPr>
              <w:spacing w:line="300" w:lineRule="auto"/>
              <w:ind w:firstLine="0" w:firstLineChars="0"/>
              <w:textAlignment w:val="center"/>
              <w:rPr>
                <w:rFonts w:hint="eastAsia" w:ascii="仿宋" w:hAnsi="仿宋" w:cs="仿宋"/>
                <w:color w:val="auto"/>
                <w:kern w:val="0"/>
                <w:sz w:val="22"/>
                <w:szCs w:val="22"/>
                <w:highlight w:val="none"/>
                <w:lang w:eastAsia="zh-CN" w:bidi="ar"/>
              </w:rPr>
            </w:pPr>
            <w:r>
              <w:rPr>
                <w:rFonts w:hint="eastAsia" w:ascii="仿宋" w:hAnsi="仿宋" w:cs="仿宋"/>
                <w:color w:val="auto"/>
                <w:kern w:val="0"/>
                <w:sz w:val="22"/>
                <w:szCs w:val="22"/>
                <w:highlight w:val="none"/>
                <w:lang w:bidi="ar"/>
              </w:rPr>
              <w:t>投标人派代表（最多不超过2人）到评审现场演示</w:t>
            </w:r>
            <w:r>
              <w:rPr>
                <w:rFonts w:hint="eastAsia" w:ascii="仿宋" w:hAnsi="仿宋" w:cs="仿宋"/>
                <w:color w:val="auto"/>
                <w:kern w:val="0"/>
                <w:sz w:val="22"/>
                <w:szCs w:val="22"/>
                <w:highlight w:val="none"/>
                <w:lang w:eastAsia="zh-CN" w:bidi="ar"/>
              </w:rPr>
              <w:t>。</w:t>
            </w:r>
          </w:p>
          <w:p>
            <w:pPr>
              <w:widowControl/>
              <w:numPr>
                <w:ilvl w:val="0"/>
                <w:numId w:val="4"/>
              </w:numPr>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bidi="ar"/>
              </w:rPr>
              <w:t>演示时间不超过</w:t>
            </w:r>
            <w:r>
              <w:rPr>
                <w:rFonts w:hint="eastAsia" w:ascii="仿宋" w:hAnsi="仿宋" w:cs="仿宋"/>
                <w:color w:val="auto"/>
                <w:kern w:val="0"/>
                <w:sz w:val="22"/>
                <w:szCs w:val="22"/>
                <w:highlight w:val="none"/>
                <w:lang w:val="en-US" w:eastAsia="zh-CN" w:bidi="ar"/>
              </w:rPr>
              <w:t>15</w:t>
            </w:r>
            <w:r>
              <w:rPr>
                <w:rFonts w:hint="eastAsia" w:ascii="仿宋" w:hAnsi="仿宋" w:cs="仿宋"/>
                <w:color w:val="auto"/>
                <w:kern w:val="0"/>
                <w:sz w:val="22"/>
                <w:szCs w:val="22"/>
                <w:highlight w:val="none"/>
                <w:lang w:bidi="ar"/>
              </w:rPr>
              <w:t>分钟</w:t>
            </w:r>
            <w:r>
              <w:rPr>
                <w:rFonts w:hint="eastAsia" w:ascii="仿宋" w:hAnsi="仿宋" w:cs="仿宋"/>
                <w:color w:val="auto"/>
                <w:kern w:val="0"/>
                <w:sz w:val="22"/>
                <w:szCs w:val="22"/>
                <w:highlight w:val="none"/>
                <w:lang w:eastAsia="zh-CN" w:bidi="ar"/>
              </w:rPr>
              <w:t>。</w:t>
            </w:r>
          </w:p>
          <w:p>
            <w:pPr>
              <w:widowControl/>
              <w:numPr>
                <w:ilvl w:val="0"/>
                <w:numId w:val="4"/>
              </w:numPr>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val="en-US" w:eastAsia="zh-CN" w:bidi="ar"/>
              </w:rPr>
              <w:t>“行程卡”带*的人员参与开评标活动的，需提供48小时内有效的核酸检测阴性的证明报告，否则对投标造成影响，后果由投标人自行承担。</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hint="default" w:ascii="仿宋" w:hAnsi="仿宋" w:eastAsia="宋体" w:cs="仿宋"/>
                <w:color w:val="auto"/>
                <w:kern w:val="0"/>
                <w:sz w:val="22"/>
                <w:szCs w:val="22"/>
                <w:highlight w:val="none"/>
                <w:lang w:val="en-US" w:eastAsia="zh-CN" w:bidi="ar"/>
              </w:rPr>
            </w:pPr>
            <w:r>
              <w:rPr>
                <w:rFonts w:hint="eastAsia" w:ascii="仿宋" w:hAnsi="仿宋" w:cs="仿宋"/>
                <w:color w:val="auto"/>
                <w:kern w:val="0"/>
                <w:sz w:val="22"/>
                <w:szCs w:val="22"/>
                <w:highlight w:val="none"/>
                <w:lang w:val="en-US" w:eastAsia="zh-CN" w:bidi="ar"/>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6</w:t>
            </w:r>
          </w:p>
        </w:tc>
        <w:tc>
          <w:tcPr>
            <w:tcW w:w="1658"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bidi="ar"/>
              </w:rPr>
              <w:t>难点分析和建议</w:t>
            </w:r>
          </w:p>
        </w:tc>
        <w:tc>
          <w:tcPr>
            <w:tcW w:w="6025"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val="en-US" w:eastAsia="zh-CN" w:bidi="ar"/>
              </w:rPr>
              <w:t>1）</w:t>
            </w:r>
            <w:r>
              <w:rPr>
                <w:rFonts w:hint="eastAsia" w:ascii="仿宋" w:hAnsi="仿宋" w:cs="仿宋"/>
                <w:color w:val="auto"/>
                <w:kern w:val="0"/>
                <w:sz w:val="22"/>
                <w:szCs w:val="22"/>
                <w:highlight w:val="none"/>
                <w:lang w:bidi="ar"/>
              </w:rPr>
              <w:t>结合教学管理信息系统建设过程中需求调研、系统设计、应用推广等难点方面给出合理性的方案和建议；</w:t>
            </w:r>
          </w:p>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val="en-US" w:eastAsia="zh-CN" w:bidi="ar"/>
              </w:rPr>
              <w:t>2）</w:t>
            </w:r>
            <w:r>
              <w:rPr>
                <w:rFonts w:hint="eastAsia" w:ascii="仿宋" w:hAnsi="仿宋" w:cs="仿宋"/>
                <w:color w:val="auto"/>
                <w:kern w:val="0"/>
                <w:sz w:val="22"/>
                <w:szCs w:val="22"/>
                <w:highlight w:val="none"/>
                <w:lang w:bidi="ar"/>
              </w:rPr>
              <w:t>方案具备针对党校软件系统整体建设思路和后期建设规划给出科学、合理的建议。</w:t>
            </w:r>
          </w:p>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bidi="ar"/>
              </w:rPr>
              <w:t>综合评审：方案结合采购人实际情况和干部培训的特性进行建设过程中难点分析及合理化建议，要素齐全</w:t>
            </w:r>
            <w:r>
              <w:rPr>
                <w:rFonts w:hint="eastAsia" w:ascii="仿宋" w:hAnsi="仿宋" w:cs="仿宋"/>
                <w:color w:val="auto"/>
                <w:kern w:val="0"/>
                <w:sz w:val="22"/>
                <w:szCs w:val="22"/>
                <w:highlight w:val="none"/>
                <w:lang w:eastAsia="zh-CN" w:bidi="ar"/>
              </w:rPr>
              <w:t>、</w:t>
            </w:r>
            <w:r>
              <w:rPr>
                <w:rFonts w:hint="eastAsia" w:ascii="仿宋" w:hAnsi="仿宋" w:cs="仿宋"/>
                <w:color w:val="auto"/>
                <w:kern w:val="0"/>
                <w:sz w:val="22"/>
                <w:szCs w:val="22"/>
                <w:highlight w:val="none"/>
                <w:lang w:bidi="ar"/>
              </w:rPr>
              <w:t>重点难点突出且方案建议合理有效的</w:t>
            </w:r>
            <w:r>
              <w:rPr>
                <w:rFonts w:hint="eastAsia" w:ascii="仿宋" w:hAnsi="仿宋" w:cs="仿宋"/>
                <w:color w:val="auto"/>
                <w:kern w:val="0"/>
                <w:sz w:val="22"/>
                <w:szCs w:val="22"/>
                <w:highlight w:val="none"/>
                <w:lang w:val="en-US" w:eastAsia="zh-CN" w:bidi="ar"/>
              </w:rPr>
              <w:t>得</w:t>
            </w:r>
            <w:r>
              <w:rPr>
                <w:rFonts w:ascii="仿宋" w:hAnsi="仿宋" w:cs="仿宋"/>
                <w:color w:val="auto"/>
                <w:kern w:val="0"/>
                <w:sz w:val="22"/>
                <w:szCs w:val="22"/>
                <w:highlight w:val="none"/>
                <w:lang w:bidi="ar"/>
              </w:rPr>
              <w:t>1</w:t>
            </w:r>
            <w:r>
              <w:rPr>
                <w:rFonts w:hint="eastAsia" w:ascii="仿宋" w:hAnsi="仿宋" w:cs="仿宋"/>
                <w:color w:val="auto"/>
                <w:kern w:val="0"/>
                <w:sz w:val="22"/>
                <w:szCs w:val="22"/>
                <w:highlight w:val="none"/>
                <w:lang w:bidi="ar"/>
              </w:rPr>
              <w:t>分；后期规划和合理化建议具有实用性、可操作性、创新性的</w:t>
            </w:r>
            <w:r>
              <w:rPr>
                <w:rFonts w:ascii="仿宋" w:hAnsi="仿宋" w:cs="仿宋"/>
                <w:color w:val="auto"/>
                <w:kern w:val="0"/>
                <w:sz w:val="22"/>
                <w:szCs w:val="22"/>
                <w:highlight w:val="none"/>
                <w:lang w:bidi="ar"/>
              </w:rPr>
              <w:t>1</w:t>
            </w:r>
            <w:r>
              <w:rPr>
                <w:rFonts w:hint="eastAsia" w:ascii="仿宋" w:hAnsi="仿宋" w:cs="仿宋"/>
                <w:color w:val="auto"/>
                <w:kern w:val="0"/>
                <w:sz w:val="22"/>
                <w:szCs w:val="22"/>
                <w:highlight w:val="none"/>
                <w:lang w:bidi="ar"/>
              </w:rPr>
              <w:t>分，本项最高得2分</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hint="eastAsia" w:ascii="仿宋" w:hAnsi="仿宋" w:eastAsia="宋体" w:cs="仿宋"/>
                <w:color w:val="auto"/>
                <w:kern w:val="0"/>
                <w:sz w:val="22"/>
                <w:szCs w:val="22"/>
                <w:highlight w:val="none"/>
                <w:lang w:eastAsia="zh-CN" w:bidi="ar"/>
              </w:rPr>
            </w:pPr>
            <w:r>
              <w:rPr>
                <w:rFonts w:hint="eastAsia" w:ascii="仿宋" w:hAnsi="仿宋" w:cs="仿宋"/>
                <w:color w:val="auto"/>
                <w:kern w:val="0"/>
                <w:sz w:val="22"/>
                <w:szCs w:val="22"/>
                <w:highlight w:val="none"/>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7</w:t>
            </w:r>
          </w:p>
        </w:tc>
        <w:tc>
          <w:tcPr>
            <w:tcW w:w="1658"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bidi="ar"/>
              </w:rPr>
              <w:t>类似业绩</w:t>
            </w:r>
          </w:p>
        </w:tc>
        <w:tc>
          <w:tcPr>
            <w:tcW w:w="602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宋体" w:cs="仿宋"/>
                <w:color w:val="auto"/>
                <w:kern w:val="0"/>
                <w:sz w:val="22"/>
                <w:szCs w:val="22"/>
                <w:highlight w:val="none"/>
                <w:lang w:eastAsia="zh-CN" w:bidi="ar"/>
              </w:rPr>
            </w:pPr>
            <w:r>
              <w:rPr>
                <w:rFonts w:hint="eastAsia" w:ascii="仿宋" w:hAnsi="仿宋" w:cs="仿宋"/>
                <w:color w:val="auto"/>
                <w:kern w:val="0"/>
                <w:sz w:val="22"/>
                <w:szCs w:val="22"/>
                <w:highlight w:val="none"/>
                <w:lang w:bidi="ar"/>
              </w:rPr>
              <w:t>投标人具有201</w:t>
            </w:r>
            <w:r>
              <w:rPr>
                <w:rFonts w:ascii="仿宋" w:hAnsi="仿宋" w:cs="仿宋"/>
                <w:color w:val="auto"/>
                <w:kern w:val="0"/>
                <w:sz w:val="22"/>
                <w:szCs w:val="22"/>
                <w:highlight w:val="none"/>
                <w:lang w:bidi="ar"/>
              </w:rPr>
              <w:t>9</w:t>
            </w:r>
            <w:r>
              <w:rPr>
                <w:rFonts w:hint="eastAsia" w:ascii="仿宋" w:hAnsi="仿宋" w:cs="仿宋"/>
                <w:color w:val="auto"/>
                <w:kern w:val="0"/>
                <w:sz w:val="22"/>
                <w:szCs w:val="22"/>
                <w:highlight w:val="none"/>
                <w:lang w:bidi="ar"/>
              </w:rPr>
              <w:t>年1月1日以来类似干部培训类软件项目相关开发业绩（与采购需求类似），每个得</w:t>
            </w:r>
            <w:r>
              <w:rPr>
                <w:rFonts w:hint="eastAsia" w:ascii="仿宋" w:hAnsi="仿宋" w:cs="仿宋"/>
                <w:color w:val="auto"/>
                <w:kern w:val="0"/>
                <w:sz w:val="22"/>
                <w:szCs w:val="22"/>
                <w:highlight w:val="none"/>
                <w:lang w:val="en-US" w:eastAsia="zh-CN" w:bidi="ar"/>
              </w:rPr>
              <w:t>0.5</w:t>
            </w:r>
            <w:r>
              <w:rPr>
                <w:rFonts w:hint="eastAsia" w:ascii="仿宋" w:hAnsi="仿宋" w:cs="仿宋"/>
                <w:color w:val="auto"/>
                <w:kern w:val="0"/>
                <w:sz w:val="22"/>
                <w:szCs w:val="22"/>
                <w:highlight w:val="none"/>
                <w:lang w:bidi="ar"/>
              </w:rPr>
              <w:t>分，最高得</w:t>
            </w:r>
            <w:r>
              <w:rPr>
                <w:rFonts w:hint="eastAsia" w:ascii="仿宋" w:hAnsi="仿宋" w:cs="仿宋"/>
                <w:color w:val="auto"/>
                <w:kern w:val="0"/>
                <w:sz w:val="22"/>
                <w:szCs w:val="22"/>
                <w:highlight w:val="none"/>
                <w:lang w:val="en-US" w:eastAsia="zh-CN" w:bidi="ar"/>
              </w:rPr>
              <w:t>10</w:t>
            </w:r>
            <w:r>
              <w:rPr>
                <w:rFonts w:hint="eastAsia" w:ascii="仿宋" w:hAnsi="仿宋" w:cs="仿宋"/>
                <w:color w:val="auto"/>
                <w:kern w:val="0"/>
                <w:sz w:val="22"/>
                <w:szCs w:val="22"/>
                <w:highlight w:val="none"/>
                <w:lang w:bidi="ar"/>
              </w:rPr>
              <w:t>分，提供关于上述同类软件开发项目案例的中标通知书（或官网中标公示截图）、合同</w:t>
            </w:r>
            <w:r>
              <w:rPr>
                <w:rFonts w:hint="eastAsia" w:ascii="仿宋" w:hAnsi="仿宋" w:cs="仿宋"/>
                <w:color w:val="auto"/>
                <w:kern w:val="0"/>
                <w:sz w:val="22"/>
                <w:szCs w:val="22"/>
                <w:highlight w:val="none"/>
                <w:lang w:val="en-US" w:eastAsia="zh-CN" w:bidi="ar"/>
              </w:rPr>
              <w:t>复印件</w:t>
            </w:r>
            <w:r>
              <w:rPr>
                <w:rFonts w:hint="eastAsia" w:ascii="仿宋" w:hAnsi="仿宋" w:cs="仿宋"/>
                <w:color w:val="auto"/>
                <w:kern w:val="0"/>
                <w:sz w:val="22"/>
                <w:szCs w:val="22"/>
                <w:highlight w:val="none"/>
                <w:lang w:bidi="ar"/>
              </w:rPr>
              <w:t>、甲方出具的验收合格证明复印件（或甲方出具的正面评价证明），验收合格证明或甲方出具的正面评价证明须含甲方公章（公章名称与合同名称一致），加盖制造商公章进行佐证</w:t>
            </w:r>
            <w:r>
              <w:rPr>
                <w:rFonts w:hint="eastAsia" w:ascii="仿宋" w:hAnsi="仿宋" w:cs="仿宋"/>
                <w:color w:val="auto"/>
                <w:kern w:val="0"/>
                <w:sz w:val="22"/>
                <w:szCs w:val="22"/>
                <w:highlight w:val="none"/>
                <w:lang w:eastAsia="zh-CN" w:bidi="ar"/>
              </w:rPr>
              <w:t>。</w:t>
            </w:r>
          </w:p>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bidi="ar"/>
              </w:rPr>
              <w:t>（注：投标文件中提供的合同复印件需体现合同的签订主体、签订时间、建设内容等内容。）</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hint="default" w:ascii="仿宋" w:hAnsi="仿宋" w:eastAsia="宋体" w:cs="仿宋"/>
                <w:color w:val="auto"/>
                <w:kern w:val="0"/>
                <w:sz w:val="22"/>
                <w:szCs w:val="22"/>
                <w:highlight w:val="none"/>
                <w:lang w:val="en-US" w:eastAsia="zh-CN" w:bidi="ar"/>
              </w:rPr>
            </w:pPr>
            <w:r>
              <w:rPr>
                <w:rFonts w:hint="eastAsia" w:ascii="仿宋" w:hAnsi="仿宋" w:cs="仿宋"/>
                <w:color w:val="auto"/>
                <w:sz w:val="22"/>
                <w:szCs w:val="22"/>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8</w:t>
            </w:r>
          </w:p>
        </w:tc>
        <w:tc>
          <w:tcPr>
            <w:tcW w:w="1658"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bidi="ar"/>
              </w:rPr>
              <w:t>项目团队实力</w:t>
            </w:r>
          </w:p>
        </w:tc>
        <w:tc>
          <w:tcPr>
            <w:tcW w:w="6025"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val="en-US" w:eastAsia="zh-CN" w:bidi="ar"/>
              </w:rPr>
              <w:t>1、</w:t>
            </w:r>
            <w:r>
              <w:rPr>
                <w:rFonts w:hint="eastAsia" w:ascii="仿宋" w:hAnsi="仿宋" w:cs="仿宋"/>
                <w:color w:val="auto"/>
                <w:kern w:val="0"/>
                <w:sz w:val="22"/>
                <w:szCs w:val="22"/>
                <w:highlight w:val="none"/>
                <w:lang w:bidi="ar"/>
              </w:rPr>
              <w:t>本项目的项目经理具有通过计算机技术与软件专业技术资格（水平）考试的信息系统项目管理师证书或PMP证书的得1分；</w:t>
            </w:r>
          </w:p>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val="en-US" w:eastAsia="zh-CN" w:bidi="ar"/>
              </w:rPr>
              <w:t>2、</w:t>
            </w:r>
            <w:r>
              <w:rPr>
                <w:rFonts w:ascii="仿宋" w:hAnsi="仿宋" w:cs="仿宋"/>
                <w:color w:val="auto"/>
                <w:kern w:val="0"/>
                <w:sz w:val="22"/>
                <w:szCs w:val="22"/>
                <w:highlight w:val="none"/>
                <w:lang w:bidi="ar"/>
              </w:rPr>
              <w:t>项目经理在满足</w:t>
            </w:r>
            <w:r>
              <w:rPr>
                <w:rFonts w:hint="eastAsia" w:ascii="仿宋" w:hAnsi="仿宋" w:cs="仿宋"/>
                <w:color w:val="auto"/>
                <w:kern w:val="0"/>
                <w:sz w:val="22"/>
                <w:szCs w:val="22"/>
                <w:highlight w:val="none"/>
                <w:lang w:bidi="ar"/>
              </w:rPr>
              <w:t>第</w:t>
            </w:r>
            <w:r>
              <w:rPr>
                <w:rFonts w:ascii="仿宋" w:hAnsi="仿宋" w:cs="仿宋"/>
                <w:color w:val="auto"/>
                <w:kern w:val="0"/>
                <w:sz w:val="22"/>
                <w:szCs w:val="22"/>
                <w:highlight w:val="none"/>
                <w:lang w:bidi="ar"/>
              </w:rPr>
              <w:t>1</w:t>
            </w:r>
            <w:r>
              <w:rPr>
                <w:rFonts w:hint="eastAsia" w:ascii="仿宋" w:hAnsi="仿宋" w:cs="仿宋"/>
                <w:color w:val="auto"/>
                <w:kern w:val="0"/>
                <w:sz w:val="22"/>
                <w:szCs w:val="22"/>
                <w:highlight w:val="none"/>
                <w:lang w:bidi="ar"/>
              </w:rPr>
              <w:t>项</w:t>
            </w:r>
            <w:r>
              <w:rPr>
                <w:rFonts w:ascii="仿宋" w:hAnsi="仿宋" w:cs="仿宋"/>
                <w:color w:val="auto"/>
                <w:kern w:val="0"/>
                <w:sz w:val="22"/>
                <w:szCs w:val="22"/>
                <w:highlight w:val="none"/>
                <w:lang w:bidi="ar"/>
              </w:rPr>
              <w:t>基础上，同时具备类似</w:t>
            </w:r>
            <w:r>
              <w:rPr>
                <w:rFonts w:hint="eastAsia" w:ascii="仿宋" w:hAnsi="仿宋" w:cs="仿宋"/>
                <w:color w:val="auto"/>
                <w:kern w:val="0"/>
                <w:sz w:val="22"/>
                <w:szCs w:val="22"/>
                <w:highlight w:val="none"/>
                <w:lang w:bidi="ar"/>
              </w:rPr>
              <w:t>软件项目实施经验，每提供一个案例得</w:t>
            </w:r>
            <w:r>
              <w:rPr>
                <w:rFonts w:ascii="仿宋" w:hAnsi="仿宋" w:cs="仿宋"/>
                <w:color w:val="auto"/>
                <w:kern w:val="0"/>
                <w:sz w:val="22"/>
                <w:szCs w:val="22"/>
                <w:highlight w:val="none"/>
                <w:lang w:bidi="ar"/>
              </w:rPr>
              <w:t>0.5 分，</w:t>
            </w:r>
            <w:r>
              <w:rPr>
                <w:rFonts w:hint="eastAsia" w:ascii="仿宋" w:hAnsi="仿宋" w:cs="仿宋"/>
                <w:color w:val="auto"/>
                <w:kern w:val="0"/>
                <w:sz w:val="22"/>
                <w:szCs w:val="22"/>
                <w:highlight w:val="none"/>
                <w:lang w:bidi="ar"/>
              </w:rPr>
              <w:t>最高得</w:t>
            </w:r>
            <w:r>
              <w:rPr>
                <w:rFonts w:hint="eastAsia" w:ascii="仿宋" w:hAnsi="仿宋" w:cs="仿宋"/>
                <w:color w:val="auto"/>
                <w:kern w:val="0"/>
                <w:sz w:val="22"/>
                <w:szCs w:val="22"/>
                <w:highlight w:val="none"/>
                <w:lang w:val="en-US" w:eastAsia="zh-CN" w:bidi="ar"/>
              </w:rPr>
              <w:t>1.5</w:t>
            </w:r>
            <w:r>
              <w:rPr>
                <w:rFonts w:ascii="仿宋" w:hAnsi="仿宋" w:cs="仿宋"/>
                <w:color w:val="auto"/>
                <w:kern w:val="0"/>
                <w:sz w:val="22"/>
                <w:szCs w:val="22"/>
                <w:highlight w:val="none"/>
                <w:lang w:bidi="ar"/>
              </w:rPr>
              <w:t>分；提供合同扫描件，如合同没有</w:t>
            </w:r>
            <w:r>
              <w:rPr>
                <w:rFonts w:hint="eastAsia" w:ascii="仿宋" w:hAnsi="仿宋" w:cs="仿宋"/>
                <w:color w:val="auto"/>
                <w:kern w:val="0"/>
                <w:sz w:val="22"/>
                <w:szCs w:val="22"/>
                <w:highlight w:val="none"/>
                <w:lang w:bidi="ar"/>
              </w:rPr>
              <w:t>体现项目经理姓名还需提供用户盖章证明文件扫描件</w:t>
            </w:r>
            <w:r>
              <w:rPr>
                <w:rFonts w:hint="eastAsia" w:ascii="仿宋" w:hAnsi="仿宋" w:cs="仿宋"/>
                <w:color w:val="auto"/>
                <w:kern w:val="0"/>
                <w:sz w:val="22"/>
                <w:szCs w:val="22"/>
                <w:highlight w:val="none"/>
                <w:lang w:eastAsia="zh-CN" w:bidi="ar"/>
              </w:rPr>
              <w:t>（</w:t>
            </w:r>
            <w:r>
              <w:rPr>
                <w:rFonts w:hint="eastAsia" w:ascii="仿宋" w:hAnsi="仿宋" w:cs="仿宋"/>
                <w:color w:val="auto"/>
                <w:kern w:val="0"/>
                <w:sz w:val="22"/>
                <w:szCs w:val="22"/>
                <w:highlight w:val="none"/>
                <w:lang w:val="en-US" w:eastAsia="zh-CN" w:bidi="ar"/>
              </w:rPr>
              <w:t>本业绩可以和投标人业绩为同一业绩）</w:t>
            </w:r>
            <w:r>
              <w:rPr>
                <w:rFonts w:hint="eastAsia" w:ascii="仿宋" w:hAnsi="仿宋" w:cs="仿宋"/>
                <w:color w:val="auto"/>
                <w:kern w:val="0"/>
                <w:sz w:val="22"/>
                <w:szCs w:val="22"/>
                <w:highlight w:val="none"/>
                <w:lang w:bidi="ar"/>
              </w:rPr>
              <w:t>；</w:t>
            </w:r>
          </w:p>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val="en-US" w:eastAsia="zh-CN" w:bidi="ar"/>
              </w:rPr>
              <w:t>3、</w:t>
            </w:r>
            <w:r>
              <w:rPr>
                <w:rFonts w:hint="eastAsia" w:ascii="仿宋" w:hAnsi="仿宋" w:cs="仿宋"/>
                <w:color w:val="auto"/>
                <w:kern w:val="0"/>
                <w:sz w:val="22"/>
                <w:szCs w:val="22"/>
                <w:highlight w:val="none"/>
                <w:lang w:bidi="ar"/>
              </w:rPr>
              <w:t>项目技术负责人</w:t>
            </w:r>
            <w:r>
              <w:rPr>
                <w:rFonts w:hint="eastAsia" w:ascii="仿宋" w:hAnsi="仿宋" w:cs="仿宋"/>
                <w:color w:val="auto"/>
                <w:kern w:val="0"/>
                <w:sz w:val="22"/>
                <w:szCs w:val="22"/>
                <w:highlight w:val="none"/>
                <w:lang w:val="en-US" w:eastAsia="zh-CN" w:bidi="ar"/>
              </w:rPr>
              <w:t>同时具备</w:t>
            </w:r>
            <w:r>
              <w:rPr>
                <w:rFonts w:hint="eastAsia" w:ascii="仿宋" w:hAnsi="仿宋" w:cs="仿宋"/>
                <w:color w:val="auto"/>
                <w:kern w:val="0"/>
                <w:sz w:val="22"/>
                <w:szCs w:val="22"/>
                <w:highlight w:val="none"/>
                <w:lang w:bidi="ar"/>
              </w:rPr>
              <w:t>高级</w:t>
            </w:r>
            <w:r>
              <w:rPr>
                <w:rFonts w:hint="eastAsia" w:ascii="仿宋" w:hAnsi="仿宋" w:cs="仿宋"/>
                <w:color w:val="auto"/>
                <w:kern w:val="0"/>
                <w:sz w:val="22"/>
                <w:szCs w:val="22"/>
                <w:highlight w:val="none"/>
                <w:lang w:val="en-US" w:eastAsia="zh-CN" w:bidi="ar"/>
              </w:rPr>
              <w:t>信息安全管理工程师和系统分析师证书</w:t>
            </w:r>
            <w:r>
              <w:rPr>
                <w:rFonts w:hint="eastAsia" w:ascii="仿宋" w:hAnsi="仿宋" w:cs="仿宋"/>
                <w:color w:val="auto"/>
                <w:kern w:val="0"/>
                <w:sz w:val="22"/>
                <w:szCs w:val="22"/>
                <w:highlight w:val="none"/>
                <w:lang w:bidi="ar"/>
              </w:rPr>
              <w:t>，提供全部证书的，得</w:t>
            </w:r>
            <w:r>
              <w:rPr>
                <w:rFonts w:hint="eastAsia" w:ascii="仿宋" w:hAnsi="仿宋" w:cs="仿宋"/>
                <w:color w:val="auto"/>
                <w:kern w:val="0"/>
                <w:sz w:val="22"/>
                <w:szCs w:val="22"/>
                <w:highlight w:val="none"/>
                <w:lang w:val="en-US" w:eastAsia="zh-CN" w:bidi="ar"/>
              </w:rPr>
              <w:t>1</w:t>
            </w:r>
            <w:r>
              <w:rPr>
                <w:rFonts w:hint="eastAsia" w:ascii="仿宋" w:hAnsi="仿宋" w:cs="仿宋"/>
                <w:color w:val="auto"/>
                <w:kern w:val="0"/>
                <w:sz w:val="22"/>
                <w:szCs w:val="22"/>
                <w:highlight w:val="none"/>
                <w:lang w:bidi="ar"/>
              </w:rPr>
              <w:t>分，每少一个扣</w:t>
            </w:r>
            <w:r>
              <w:rPr>
                <w:rFonts w:hint="eastAsia" w:ascii="仿宋" w:hAnsi="仿宋" w:cs="仿宋"/>
                <w:color w:val="auto"/>
                <w:kern w:val="0"/>
                <w:sz w:val="22"/>
                <w:szCs w:val="22"/>
                <w:highlight w:val="none"/>
                <w:lang w:val="en-US" w:eastAsia="zh-CN" w:bidi="ar"/>
              </w:rPr>
              <w:t>0.5</w:t>
            </w:r>
            <w:r>
              <w:rPr>
                <w:rFonts w:hint="eastAsia" w:ascii="仿宋" w:hAnsi="仿宋" w:cs="仿宋"/>
                <w:color w:val="auto"/>
                <w:kern w:val="0"/>
                <w:sz w:val="22"/>
                <w:szCs w:val="22"/>
                <w:highlight w:val="none"/>
                <w:lang w:bidi="ar"/>
              </w:rPr>
              <w:t>分，扣完为止。</w:t>
            </w:r>
          </w:p>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val="en-US" w:eastAsia="zh-CN" w:bidi="ar"/>
              </w:rPr>
              <w:t>4、</w:t>
            </w:r>
            <w:r>
              <w:rPr>
                <w:rFonts w:ascii="仿宋" w:hAnsi="仿宋" w:cs="仿宋"/>
                <w:color w:val="auto"/>
                <w:kern w:val="0"/>
                <w:sz w:val="22"/>
                <w:szCs w:val="22"/>
                <w:highlight w:val="none"/>
                <w:lang w:bidi="ar"/>
              </w:rPr>
              <w:t>技术负责人在满足</w:t>
            </w:r>
            <w:r>
              <w:rPr>
                <w:rFonts w:hint="eastAsia" w:ascii="仿宋" w:hAnsi="仿宋" w:cs="仿宋"/>
                <w:color w:val="auto"/>
                <w:kern w:val="0"/>
                <w:sz w:val="22"/>
                <w:szCs w:val="22"/>
                <w:highlight w:val="none"/>
                <w:lang w:bidi="ar"/>
              </w:rPr>
              <w:t>第</w:t>
            </w:r>
            <w:r>
              <w:rPr>
                <w:rFonts w:ascii="仿宋" w:hAnsi="仿宋" w:cs="仿宋"/>
                <w:color w:val="auto"/>
                <w:kern w:val="0"/>
                <w:sz w:val="22"/>
                <w:szCs w:val="22"/>
                <w:highlight w:val="none"/>
                <w:lang w:bidi="ar"/>
              </w:rPr>
              <w:t>3</w:t>
            </w:r>
            <w:r>
              <w:rPr>
                <w:rFonts w:hint="eastAsia" w:ascii="仿宋" w:hAnsi="仿宋" w:cs="仿宋"/>
                <w:color w:val="auto"/>
                <w:kern w:val="0"/>
                <w:sz w:val="22"/>
                <w:szCs w:val="22"/>
                <w:highlight w:val="none"/>
                <w:lang w:bidi="ar"/>
              </w:rPr>
              <w:t>项</w:t>
            </w:r>
            <w:r>
              <w:rPr>
                <w:rFonts w:ascii="仿宋" w:hAnsi="仿宋" w:cs="仿宋"/>
                <w:color w:val="auto"/>
                <w:kern w:val="0"/>
                <w:sz w:val="22"/>
                <w:szCs w:val="22"/>
                <w:highlight w:val="none"/>
                <w:lang w:bidi="ar"/>
              </w:rPr>
              <w:t>基础上，同时具备类</w:t>
            </w:r>
            <w:r>
              <w:rPr>
                <w:rFonts w:hint="eastAsia" w:ascii="仿宋" w:hAnsi="仿宋" w:cs="仿宋"/>
                <w:color w:val="auto"/>
                <w:kern w:val="0"/>
                <w:sz w:val="22"/>
                <w:szCs w:val="22"/>
                <w:highlight w:val="none"/>
                <w:lang w:bidi="ar"/>
              </w:rPr>
              <w:t>似软件项目实施经验，每提供一个案例得</w:t>
            </w:r>
            <w:r>
              <w:rPr>
                <w:rFonts w:ascii="仿宋" w:hAnsi="仿宋" w:cs="仿宋"/>
                <w:color w:val="auto"/>
                <w:kern w:val="0"/>
                <w:sz w:val="22"/>
                <w:szCs w:val="22"/>
                <w:highlight w:val="none"/>
                <w:lang w:bidi="ar"/>
              </w:rPr>
              <w:t>0.5</w:t>
            </w:r>
            <w:r>
              <w:rPr>
                <w:rFonts w:hint="eastAsia" w:ascii="仿宋" w:hAnsi="仿宋" w:cs="仿宋"/>
                <w:color w:val="auto"/>
                <w:kern w:val="0"/>
                <w:sz w:val="22"/>
                <w:szCs w:val="22"/>
                <w:highlight w:val="none"/>
                <w:lang w:bidi="ar"/>
              </w:rPr>
              <w:t>分，最高得</w:t>
            </w:r>
            <w:r>
              <w:rPr>
                <w:rFonts w:hint="eastAsia" w:ascii="仿宋" w:hAnsi="仿宋" w:cs="仿宋"/>
                <w:color w:val="auto"/>
                <w:kern w:val="0"/>
                <w:sz w:val="22"/>
                <w:szCs w:val="22"/>
                <w:highlight w:val="none"/>
                <w:lang w:val="en-US" w:eastAsia="zh-CN" w:bidi="ar"/>
              </w:rPr>
              <w:t>1.5</w:t>
            </w:r>
            <w:r>
              <w:rPr>
                <w:rFonts w:ascii="仿宋" w:hAnsi="仿宋" w:cs="仿宋"/>
                <w:color w:val="auto"/>
                <w:kern w:val="0"/>
                <w:sz w:val="22"/>
                <w:szCs w:val="22"/>
                <w:highlight w:val="none"/>
                <w:lang w:bidi="ar"/>
              </w:rPr>
              <w:t>分；提供合同扫描件，如合同</w:t>
            </w:r>
            <w:r>
              <w:rPr>
                <w:rFonts w:hint="eastAsia" w:ascii="仿宋" w:hAnsi="仿宋" w:cs="仿宋"/>
                <w:color w:val="auto"/>
                <w:kern w:val="0"/>
                <w:sz w:val="22"/>
                <w:szCs w:val="22"/>
                <w:highlight w:val="none"/>
                <w:lang w:bidi="ar"/>
              </w:rPr>
              <w:t>没有体现技术负责人的姓名还需提供用户盖章证明文件扫描件</w:t>
            </w:r>
            <w:r>
              <w:rPr>
                <w:rFonts w:hint="eastAsia" w:ascii="仿宋" w:hAnsi="仿宋" w:cs="仿宋"/>
                <w:color w:val="auto"/>
                <w:kern w:val="0"/>
                <w:sz w:val="22"/>
                <w:szCs w:val="22"/>
                <w:highlight w:val="none"/>
                <w:lang w:eastAsia="zh-CN" w:bidi="ar"/>
              </w:rPr>
              <w:t>（</w:t>
            </w:r>
            <w:r>
              <w:rPr>
                <w:rFonts w:hint="eastAsia" w:ascii="仿宋" w:hAnsi="仿宋" w:cs="仿宋"/>
                <w:color w:val="auto"/>
                <w:kern w:val="0"/>
                <w:sz w:val="22"/>
                <w:szCs w:val="22"/>
                <w:highlight w:val="none"/>
                <w:lang w:val="en-US" w:eastAsia="zh-CN" w:bidi="ar"/>
              </w:rPr>
              <w:t>本业绩可以和投标人业绩为同一业绩）</w:t>
            </w:r>
            <w:r>
              <w:rPr>
                <w:rFonts w:hint="eastAsia" w:ascii="仿宋" w:hAnsi="仿宋" w:cs="仿宋"/>
                <w:color w:val="auto"/>
                <w:kern w:val="0"/>
                <w:sz w:val="22"/>
                <w:szCs w:val="22"/>
                <w:highlight w:val="none"/>
                <w:lang w:bidi="ar"/>
              </w:rPr>
              <w:t>。</w:t>
            </w:r>
          </w:p>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bidi="ar"/>
              </w:rPr>
              <w:t>（注：请提供以上人员近半年任意一个月在投标单位的个人社保缴纳证明）</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hint="eastAsia" w:ascii="仿宋" w:hAnsi="仿宋" w:eastAsia="宋体" w:cs="仿宋"/>
                <w:color w:val="auto"/>
                <w:kern w:val="0"/>
                <w:sz w:val="22"/>
                <w:szCs w:val="22"/>
                <w:highlight w:val="none"/>
                <w:lang w:eastAsia="zh-CN" w:bidi="ar"/>
              </w:rPr>
            </w:pPr>
            <w:r>
              <w:rPr>
                <w:rFonts w:hint="eastAsia" w:ascii="仿宋" w:hAnsi="仿宋" w:cs="仿宋"/>
                <w:color w:val="auto"/>
                <w:sz w:val="22"/>
                <w:szCs w:val="22"/>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9</w:t>
            </w:r>
          </w:p>
        </w:tc>
        <w:tc>
          <w:tcPr>
            <w:tcW w:w="165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left"/>
              <w:rPr>
                <w:rFonts w:hint="eastAsia" w:ascii="仿宋" w:hAnsi="仿宋" w:eastAsia="宋体" w:cs="仿宋"/>
                <w:color w:val="auto"/>
                <w:sz w:val="22"/>
                <w:szCs w:val="22"/>
                <w:highlight w:val="none"/>
                <w:lang w:val="en-US" w:eastAsia="zh-CN"/>
              </w:rPr>
            </w:pPr>
            <w:r>
              <w:rPr>
                <w:rFonts w:hint="eastAsia" w:ascii="仿宋" w:hAnsi="仿宋" w:cs="仿宋"/>
                <w:color w:val="auto"/>
                <w:sz w:val="22"/>
                <w:szCs w:val="22"/>
                <w:highlight w:val="none"/>
              </w:rPr>
              <w:t>投标人综合实</w:t>
            </w:r>
            <w:r>
              <w:rPr>
                <w:rFonts w:hint="eastAsia" w:ascii="仿宋" w:hAnsi="仿宋" w:cs="仿宋"/>
                <w:color w:val="auto"/>
                <w:sz w:val="22"/>
                <w:szCs w:val="22"/>
                <w:highlight w:val="none"/>
                <w:lang w:val="en-US" w:eastAsia="zh-CN"/>
              </w:rPr>
              <w:t>力</w:t>
            </w:r>
          </w:p>
        </w:tc>
        <w:tc>
          <w:tcPr>
            <w:tcW w:w="6025"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val="en-US" w:eastAsia="zh-CN" w:bidi="ar"/>
              </w:rPr>
              <w:t>1、</w:t>
            </w:r>
            <w:r>
              <w:rPr>
                <w:rFonts w:hint="eastAsia" w:ascii="仿宋" w:hAnsi="仿宋" w:cs="仿宋"/>
                <w:color w:val="auto"/>
                <w:kern w:val="0"/>
                <w:sz w:val="22"/>
                <w:szCs w:val="22"/>
                <w:highlight w:val="none"/>
                <w:lang w:bidi="ar"/>
              </w:rPr>
              <w:t>投标人提供CMMI证书，五级得</w:t>
            </w:r>
            <w:r>
              <w:rPr>
                <w:rFonts w:hint="eastAsia" w:ascii="仿宋" w:hAnsi="仿宋" w:cs="仿宋"/>
                <w:color w:val="auto"/>
                <w:kern w:val="0"/>
                <w:sz w:val="22"/>
                <w:szCs w:val="22"/>
                <w:highlight w:val="none"/>
                <w:lang w:val="en-US" w:eastAsia="zh-CN" w:bidi="ar"/>
              </w:rPr>
              <w:t>3</w:t>
            </w:r>
            <w:r>
              <w:rPr>
                <w:rFonts w:hint="eastAsia" w:ascii="仿宋" w:hAnsi="仿宋" w:cs="仿宋"/>
                <w:color w:val="auto"/>
                <w:kern w:val="0"/>
                <w:sz w:val="22"/>
                <w:szCs w:val="22"/>
                <w:highlight w:val="none"/>
                <w:lang w:bidi="ar"/>
              </w:rPr>
              <w:t>分，四级得</w:t>
            </w:r>
            <w:r>
              <w:rPr>
                <w:rFonts w:hint="eastAsia" w:ascii="仿宋" w:hAnsi="仿宋" w:cs="仿宋"/>
                <w:color w:val="auto"/>
                <w:kern w:val="0"/>
                <w:sz w:val="22"/>
                <w:szCs w:val="22"/>
                <w:highlight w:val="none"/>
                <w:lang w:val="en-US" w:eastAsia="zh-CN" w:bidi="ar"/>
              </w:rPr>
              <w:t>2</w:t>
            </w:r>
            <w:r>
              <w:rPr>
                <w:rFonts w:hint="eastAsia" w:ascii="仿宋" w:hAnsi="仿宋" w:cs="仿宋"/>
                <w:color w:val="auto"/>
                <w:kern w:val="0"/>
                <w:sz w:val="22"/>
                <w:szCs w:val="22"/>
                <w:highlight w:val="none"/>
                <w:lang w:bidi="ar"/>
              </w:rPr>
              <w:t>分，三级及以下得1分，提供证书复印件，不提供不得分；原件备查。</w:t>
            </w:r>
          </w:p>
          <w:p>
            <w:pPr>
              <w:widowControl/>
              <w:spacing w:line="300" w:lineRule="auto"/>
              <w:ind w:firstLine="0" w:firstLineChars="0"/>
              <w:textAlignment w:val="center"/>
              <w:rPr>
                <w:rFonts w:hint="eastAsia" w:ascii="仿宋" w:hAnsi="仿宋" w:eastAsia="宋体" w:cs="仿宋"/>
                <w:color w:val="auto"/>
                <w:kern w:val="0"/>
                <w:sz w:val="22"/>
                <w:szCs w:val="22"/>
                <w:highlight w:val="none"/>
                <w:lang w:eastAsia="zh-CN" w:bidi="ar"/>
              </w:rPr>
            </w:pPr>
            <w:r>
              <w:rPr>
                <w:rFonts w:hint="eastAsia" w:ascii="仿宋" w:hAnsi="仿宋" w:cs="仿宋"/>
                <w:color w:val="auto"/>
                <w:kern w:val="0"/>
                <w:sz w:val="22"/>
                <w:szCs w:val="22"/>
                <w:highlight w:val="none"/>
                <w:lang w:val="en-US" w:eastAsia="zh-CN" w:bidi="ar"/>
              </w:rPr>
              <w:t>2、</w:t>
            </w:r>
            <w:r>
              <w:rPr>
                <w:rFonts w:hint="eastAsia" w:ascii="仿宋" w:hAnsi="仿宋" w:cs="仿宋"/>
                <w:color w:val="auto"/>
                <w:kern w:val="0"/>
                <w:sz w:val="22"/>
                <w:szCs w:val="22"/>
                <w:highlight w:val="none"/>
                <w:lang w:bidi="ar"/>
              </w:rPr>
              <w:t>投标人提供ISO20000信息技术服务管理体系认证、ISO27001信息安全管理系统、ISO9001质量管理体系认证证书、ITSS信息技术服务运行维护标准符合性证书，提供全部以上证书的，得2分，每少一个扣</w:t>
            </w:r>
            <w:r>
              <w:rPr>
                <w:rFonts w:ascii="仿宋" w:hAnsi="仿宋" w:cs="仿宋"/>
                <w:color w:val="auto"/>
                <w:kern w:val="0"/>
                <w:sz w:val="22"/>
                <w:szCs w:val="22"/>
                <w:highlight w:val="none"/>
                <w:lang w:bidi="ar"/>
              </w:rPr>
              <w:t>0.5</w:t>
            </w:r>
            <w:r>
              <w:rPr>
                <w:rFonts w:hint="eastAsia" w:ascii="仿宋" w:hAnsi="仿宋" w:cs="仿宋"/>
                <w:color w:val="auto"/>
                <w:kern w:val="0"/>
                <w:sz w:val="22"/>
                <w:szCs w:val="22"/>
                <w:highlight w:val="none"/>
                <w:lang w:bidi="ar"/>
              </w:rPr>
              <w:t>分，扣完为止。提供证书复印件，不提供不得分。原件备查</w:t>
            </w:r>
            <w:r>
              <w:rPr>
                <w:rFonts w:hint="eastAsia" w:ascii="仿宋" w:hAnsi="仿宋" w:cs="仿宋"/>
                <w:color w:val="auto"/>
                <w:kern w:val="0"/>
                <w:sz w:val="22"/>
                <w:szCs w:val="22"/>
                <w:highlight w:val="none"/>
                <w:lang w:eastAsia="zh-CN" w:bidi="ar"/>
              </w:rPr>
              <w:t>。</w:t>
            </w:r>
          </w:p>
          <w:p>
            <w:pPr>
              <w:widowControl/>
              <w:spacing w:line="300" w:lineRule="auto"/>
              <w:ind w:firstLine="0" w:firstLineChars="0"/>
              <w:textAlignment w:val="center"/>
              <w:rPr>
                <w:rFonts w:hint="eastAsia" w:ascii="仿宋" w:hAnsi="仿宋" w:eastAsia="宋体" w:cs="仿宋"/>
                <w:color w:val="auto"/>
                <w:kern w:val="0"/>
                <w:sz w:val="22"/>
                <w:szCs w:val="22"/>
                <w:highlight w:val="none"/>
                <w:lang w:eastAsia="zh-CN" w:bidi="ar"/>
              </w:rPr>
            </w:pPr>
            <w:r>
              <w:rPr>
                <w:rFonts w:hint="eastAsia" w:ascii="仿宋" w:hAnsi="仿宋" w:cs="仿宋"/>
                <w:color w:val="auto"/>
                <w:kern w:val="0"/>
                <w:sz w:val="22"/>
                <w:szCs w:val="22"/>
                <w:highlight w:val="none"/>
                <w:lang w:val="en-US" w:eastAsia="zh-CN" w:bidi="ar"/>
              </w:rPr>
              <w:t>3、</w:t>
            </w:r>
            <w:r>
              <w:rPr>
                <w:rFonts w:hint="eastAsia" w:ascii="仿宋" w:hAnsi="仿宋" w:cs="仿宋"/>
                <w:color w:val="auto"/>
                <w:kern w:val="0"/>
                <w:sz w:val="22"/>
                <w:szCs w:val="22"/>
                <w:highlight w:val="none"/>
                <w:lang w:bidi="ar"/>
              </w:rPr>
              <w:t>投标人所投应用软件系统具有与国产化操作系统、国产化数据库、国产化芯片、国产化中间件至少2家主流厂商的适配互认证明盖章材料，提供全部以上证明材料的，得</w:t>
            </w:r>
            <w:r>
              <w:rPr>
                <w:rFonts w:ascii="仿宋" w:hAnsi="仿宋" w:cs="仿宋"/>
                <w:color w:val="auto"/>
                <w:kern w:val="0"/>
                <w:sz w:val="22"/>
                <w:szCs w:val="22"/>
                <w:highlight w:val="none"/>
                <w:lang w:bidi="ar"/>
              </w:rPr>
              <w:t>2</w:t>
            </w:r>
            <w:r>
              <w:rPr>
                <w:rFonts w:hint="eastAsia" w:ascii="仿宋" w:hAnsi="仿宋" w:cs="仿宋"/>
                <w:color w:val="auto"/>
                <w:kern w:val="0"/>
                <w:sz w:val="22"/>
                <w:szCs w:val="22"/>
                <w:highlight w:val="none"/>
                <w:lang w:bidi="ar"/>
              </w:rPr>
              <w:t>分，每少一个扣</w:t>
            </w:r>
            <w:r>
              <w:rPr>
                <w:rFonts w:ascii="仿宋" w:hAnsi="仿宋" w:cs="仿宋"/>
                <w:color w:val="auto"/>
                <w:kern w:val="0"/>
                <w:sz w:val="22"/>
                <w:szCs w:val="22"/>
                <w:highlight w:val="none"/>
                <w:lang w:bidi="ar"/>
              </w:rPr>
              <w:t>0.5</w:t>
            </w:r>
            <w:r>
              <w:rPr>
                <w:rFonts w:hint="eastAsia" w:ascii="仿宋" w:hAnsi="仿宋" w:cs="仿宋"/>
                <w:color w:val="auto"/>
                <w:kern w:val="0"/>
                <w:sz w:val="22"/>
                <w:szCs w:val="22"/>
                <w:highlight w:val="none"/>
                <w:lang w:bidi="ar"/>
              </w:rPr>
              <w:t>分，扣完为止。提供证书复印件，不提供不得分。原件备查</w:t>
            </w:r>
            <w:r>
              <w:rPr>
                <w:rFonts w:hint="eastAsia" w:ascii="仿宋" w:hAnsi="仿宋" w:cs="仿宋"/>
                <w:color w:val="auto"/>
                <w:kern w:val="0"/>
                <w:sz w:val="22"/>
                <w:szCs w:val="22"/>
                <w:highlight w:val="none"/>
                <w:lang w:eastAsia="zh-CN" w:bidi="ar"/>
              </w:rPr>
              <w:t>。</w:t>
            </w:r>
          </w:p>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val="en-US" w:eastAsia="zh-CN" w:bidi="ar"/>
              </w:rPr>
              <w:t>4、</w:t>
            </w:r>
            <w:r>
              <w:rPr>
                <w:rFonts w:hint="eastAsia" w:ascii="仿宋" w:hAnsi="仿宋" w:cs="仿宋"/>
                <w:color w:val="auto"/>
                <w:kern w:val="0"/>
                <w:sz w:val="22"/>
                <w:szCs w:val="22"/>
                <w:highlight w:val="none"/>
                <w:lang w:bidi="ar"/>
              </w:rPr>
              <w:t>本项目所涉及的业务系统较多，为体现各投标人具备软件自主研发能力，投标人提供党校工作量统一考核管理软件、干部教育培训管理软件应用软件、元数据管理平台软件、数据处理平台软件、数据采集平台软件、智慧排课系统、党校系统集成平台、信息保密安全管理软件、国产化数据决策支持服务管理软件、智慧党建系统、流程管理系统、国产化资产管理系统、国产化人事管理系统、国产化学员管理系统软件、国产化自助报到系统软件、国产化科研管理系统软件等软件著作权证书；提供以上全部证书的，得</w:t>
            </w:r>
            <w:r>
              <w:rPr>
                <w:rFonts w:hint="eastAsia" w:ascii="仿宋" w:hAnsi="仿宋" w:cs="仿宋"/>
                <w:color w:val="auto"/>
                <w:kern w:val="0"/>
                <w:sz w:val="22"/>
                <w:szCs w:val="22"/>
                <w:highlight w:val="none"/>
                <w:lang w:val="en-US" w:eastAsia="zh-CN" w:bidi="ar"/>
              </w:rPr>
              <w:t>3</w:t>
            </w:r>
            <w:r>
              <w:rPr>
                <w:rFonts w:hint="eastAsia" w:ascii="仿宋" w:hAnsi="仿宋" w:cs="仿宋"/>
                <w:color w:val="auto"/>
                <w:kern w:val="0"/>
                <w:sz w:val="22"/>
                <w:szCs w:val="22"/>
                <w:highlight w:val="none"/>
                <w:lang w:bidi="ar"/>
              </w:rPr>
              <w:t>分，每少一个扣0.</w:t>
            </w:r>
            <w:r>
              <w:rPr>
                <w:rFonts w:hint="eastAsia" w:ascii="仿宋" w:hAnsi="仿宋" w:cs="仿宋"/>
                <w:color w:val="auto"/>
                <w:kern w:val="0"/>
                <w:sz w:val="22"/>
                <w:szCs w:val="22"/>
                <w:highlight w:val="none"/>
                <w:lang w:val="en-US" w:eastAsia="zh-CN" w:bidi="ar"/>
              </w:rPr>
              <w:t>3</w:t>
            </w:r>
            <w:r>
              <w:rPr>
                <w:rFonts w:hint="eastAsia" w:ascii="仿宋" w:hAnsi="仿宋" w:cs="仿宋"/>
                <w:color w:val="auto"/>
                <w:kern w:val="0"/>
                <w:sz w:val="22"/>
                <w:szCs w:val="22"/>
                <w:highlight w:val="none"/>
                <w:lang w:bidi="ar"/>
              </w:rPr>
              <w:t>分，扣完为止，提供证书复印件，不提供不得分。原件备查。</w:t>
            </w:r>
          </w:p>
          <w:p>
            <w:pPr>
              <w:widowControl/>
              <w:spacing w:line="300" w:lineRule="auto"/>
              <w:ind w:firstLine="0" w:firstLineChars="0"/>
              <w:textAlignment w:val="center"/>
              <w:rPr>
                <w:rFonts w:hint="eastAsia" w:ascii="仿宋" w:hAnsi="仿宋" w:eastAsia="宋体" w:cs="仿宋"/>
                <w:color w:val="auto"/>
                <w:kern w:val="0"/>
                <w:sz w:val="22"/>
                <w:szCs w:val="22"/>
                <w:highlight w:val="none"/>
                <w:lang w:eastAsia="zh-CN" w:bidi="ar"/>
              </w:rPr>
            </w:pPr>
            <w:r>
              <w:rPr>
                <w:rFonts w:hint="eastAsia" w:ascii="仿宋" w:hAnsi="仿宋" w:cs="仿宋"/>
                <w:color w:val="auto"/>
                <w:kern w:val="0"/>
                <w:sz w:val="22"/>
                <w:szCs w:val="22"/>
                <w:highlight w:val="none"/>
                <w:lang w:val="en-US" w:eastAsia="zh-CN" w:bidi="ar"/>
              </w:rPr>
              <w:t>5、</w:t>
            </w:r>
            <w:r>
              <w:rPr>
                <w:rFonts w:hint="eastAsia" w:ascii="仿宋" w:hAnsi="仿宋" w:cs="仿宋"/>
                <w:color w:val="auto"/>
                <w:kern w:val="0"/>
                <w:sz w:val="22"/>
                <w:szCs w:val="22"/>
                <w:highlight w:val="none"/>
                <w:lang w:bidi="ar"/>
              </w:rPr>
              <w:t>投标人具备软件产品设计开发能力，提供类似大数据可视化分析展示软件、国产化协同办公软件的产品登记证书：以上证书都提供的得</w:t>
            </w:r>
            <w:r>
              <w:rPr>
                <w:rFonts w:hint="eastAsia" w:ascii="仿宋" w:hAnsi="仿宋" w:cs="仿宋"/>
                <w:color w:val="auto"/>
                <w:kern w:val="0"/>
                <w:sz w:val="22"/>
                <w:szCs w:val="22"/>
                <w:highlight w:val="none"/>
                <w:lang w:val="en-US" w:eastAsia="zh-CN" w:bidi="ar"/>
              </w:rPr>
              <w:t>1</w:t>
            </w:r>
            <w:r>
              <w:rPr>
                <w:rFonts w:hint="eastAsia" w:ascii="仿宋" w:hAnsi="仿宋" w:cs="仿宋"/>
                <w:color w:val="auto"/>
                <w:kern w:val="0"/>
                <w:sz w:val="22"/>
                <w:szCs w:val="22"/>
                <w:highlight w:val="none"/>
                <w:lang w:bidi="ar"/>
              </w:rPr>
              <w:t>分，每少一个扣</w:t>
            </w:r>
            <w:r>
              <w:rPr>
                <w:rFonts w:hint="eastAsia" w:ascii="仿宋" w:hAnsi="仿宋" w:cs="仿宋"/>
                <w:color w:val="auto"/>
                <w:kern w:val="0"/>
                <w:sz w:val="22"/>
                <w:szCs w:val="22"/>
                <w:highlight w:val="none"/>
                <w:lang w:val="en-US" w:eastAsia="zh-CN" w:bidi="ar"/>
              </w:rPr>
              <w:t>0.5</w:t>
            </w:r>
            <w:r>
              <w:rPr>
                <w:rFonts w:hint="eastAsia" w:ascii="仿宋" w:hAnsi="仿宋" w:cs="仿宋"/>
                <w:color w:val="auto"/>
                <w:kern w:val="0"/>
                <w:sz w:val="22"/>
                <w:szCs w:val="22"/>
                <w:highlight w:val="none"/>
                <w:lang w:bidi="ar"/>
              </w:rPr>
              <w:t>分，扣完为止。提供证书复印件，不提供不得分。原件备查</w:t>
            </w:r>
            <w:r>
              <w:rPr>
                <w:rFonts w:hint="eastAsia" w:ascii="仿宋" w:hAnsi="仿宋" w:cs="仿宋"/>
                <w:color w:val="auto"/>
                <w:kern w:val="0"/>
                <w:sz w:val="22"/>
                <w:szCs w:val="22"/>
                <w:highlight w:val="none"/>
                <w:lang w:eastAsia="zh-CN" w:bidi="ar"/>
              </w:rPr>
              <w:t>。</w:t>
            </w:r>
          </w:p>
          <w:p>
            <w:pPr>
              <w:widowControl/>
              <w:spacing w:line="300" w:lineRule="auto"/>
              <w:ind w:firstLine="0" w:firstLineChars="0"/>
              <w:textAlignment w:val="center"/>
              <w:rPr>
                <w:rFonts w:ascii="仿宋" w:hAnsi="仿宋" w:cs="仿宋"/>
                <w:color w:val="auto"/>
                <w:kern w:val="0"/>
                <w:sz w:val="22"/>
                <w:szCs w:val="22"/>
                <w:highlight w:val="none"/>
                <w:lang w:bidi="ar"/>
              </w:rPr>
            </w:pPr>
            <w:r>
              <w:rPr>
                <w:rFonts w:hint="eastAsia" w:ascii="仿宋" w:hAnsi="仿宋" w:cs="仿宋"/>
                <w:color w:val="auto"/>
                <w:kern w:val="0"/>
                <w:sz w:val="22"/>
                <w:szCs w:val="22"/>
                <w:highlight w:val="none"/>
                <w:lang w:val="en-US" w:eastAsia="zh-CN" w:bidi="ar"/>
              </w:rPr>
              <w:t>6、</w:t>
            </w:r>
            <w:r>
              <w:rPr>
                <w:rFonts w:hint="eastAsia" w:ascii="仿宋" w:hAnsi="仿宋" w:cs="仿宋"/>
                <w:color w:val="auto"/>
                <w:kern w:val="0"/>
                <w:sz w:val="22"/>
                <w:szCs w:val="22"/>
                <w:highlight w:val="none"/>
                <w:lang w:bidi="ar"/>
              </w:rPr>
              <w:t>投标人需提供国家认可的第三方软件测评</w:t>
            </w:r>
            <w:r>
              <w:rPr>
                <w:rFonts w:hint="eastAsia" w:ascii="仿宋" w:hAnsi="仿宋" w:cs="仿宋"/>
                <w:color w:val="auto"/>
                <w:kern w:val="0"/>
                <w:sz w:val="22"/>
                <w:szCs w:val="22"/>
                <w:highlight w:val="none"/>
                <w:lang w:val="en-US" w:eastAsia="zh-CN" w:bidi="ar"/>
              </w:rPr>
              <w:t>机构</w:t>
            </w:r>
            <w:r>
              <w:rPr>
                <w:rFonts w:hint="eastAsia" w:ascii="仿宋" w:hAnsi="仿宋" w:cs="仿宋"/>
                <w:color w:val="auto"/>
                <w:kern w:val="0"/>
                <w:sz w:val="22"/>
                <w:szCs w:val="22"/>
                <w:highlight w:val="none"/>
                <w:lang w:bidi="ar"/>
              </w:rPr>
              <w:t>出具的</w:t>
            </w:r>
            <w:r>
              <w:rPr>
                <w:rFonts w:hint="eastAsia" w:ascii="仿宋" w:hAnsi="仿宋" w:cs="仿宋"/>
                <w:color w:val="auto"/>
                <w:kern w:val="0"/>
                <w:sz w:val="22"/>
                <w:szCs w:val="22"/>
                <w:highlight w:val="none"/>
                <w:lang w:val="en-US" w:eastAsia="zh-CN" w:bidi="ar"/>
              </w:rPr>
              <w:t>2</w:t>
            </w:r>
            <w:r>
              <w:rPr>
                <w:rFonts w:hint="eastAsia" w:ascii="仿宋" w:hAnsi="仿宋" w:cs="仿宋"/>
                <w:color w:val="auto"/>
                <w:kern w:val="0"/>
                <w:sz w:val="22"/>
                <w:szCs w:val="22"/>
                <w:highlight w:val="none"/>
                <w:lang w:bidi="ar"/>
              </w:rPr>
              <w:t>份软件功能测评报告案例</w:t>
            </w:r>
            <w:r>
              <w:rPr>
                <w:rFonts w:hint="eastAsia" w:ascii="仿宋" w:hAnsi="仿宋" w:cs="仿宋"/>
                <w:color w:val="auto"/>
                <w:kern w:val="0"/>
                <w:sz w:val="22"/>
                <w:szCs w:val="22"/>
                <w:highlight w:val="none"/>
                <w:lang w:val="en-US" w:eastAsia="zh-CN" w:bidi="ar"/>
              </w:rPr>
              <w:t>或安全测试报告案列</w:t>
            </w:r>
            <w:r>
              <w:rPr>
                <w:rFonts w:hint="eastAsia" w:ascii="仿宋" w:hAnsi="仿宋" w:cs="仿宋"/>
                <w:color w:val="auto"/>
                <w:kern w:val="0"/>
                <w:sz w:val="22"/>
                <w:szCs w:val="22"/>
                <w:highlight w:val="none"/>
                <w:lang w:bidi="ar"/>
              </w:rPr>
              <w:t>，测评的内容与本项目业务需求相类似，全部提供的得</w:t>
            </w:r>
            <w:r>
              <w:rPr>
                <w:rFonts w:hint="eastAsia" w:ascii="仿宋" w:hAnsi="仿宋" w:cs="仿宋"/>
                <w:color w:val="auto"/>
                <w:kern w:val="0"/>
                <w:sz w:val="22"/>
                <w:szCs w:val="22"/>
                <w:highlight w:val="none"/>
                <w:lang w:val="en-US" w:eastAsia="zh-CN" w:bidi="ar"/>
              </w:rPr>
              <w:t>1</w:t>
            </w:r>
            <w:r>
              <w:rPr>
                <w:rFonts w:hint="eastAsia" w:ascii="仿宋" w:hAnsi="仿宋" w:cs="仿宋"/>
                <w:color w:val="auto"/>
                <w:kern w:val="0"/>
                <w:sz w:val="22"/>
                <w:szCs w:val="22"/>
                <w:highlight w:val="none"/>
                <w:lang w:bidi="ar"/>
              </w:rPr>
              <w:t>分，每少一份扣</w:t>
            </w:r>
            <w:r>
              <w:rPr>
                <w:rFonts w:hint="eastAsia" w:ascii="仿宋" w:hAnsi="仿宋" w:cs="仿宋"/>
                <w:color w:val="auto"/>
                <w:kern w:val="0"/>
                <w:sz w:val="22"/>
                <w:szCs w:val="22"/>
                <w:highlight w:val="none"/>
                <w:lang w:val="en-US" w:eastAsia="zh-CN" w:bidi="ar"/>
              </w:rPr>
              <w:t>0.5</w:t>
            </w:r>
            <w:r>
              <w:rPr>
                <w:rFonts w:hint="eastAsia" w:ascii="仿宋" w:hAnsi="仿宋" w:cs="仿宋"/>
                <w:color w:val="auto"/>
                <w:kern w:val="0"/>
                <w:sz w:val="22"/>
                <w:szCs w:val="22"/>
                <w:highlight w:val="none"/>
                <w:lang w:bidi="ar"/>
              </w:rPr>
              <w:t>分，扣完为止。提供测试报告复印件，原件备查。</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hint="default" w:ascii="仿宋" w:hAnsi="仿宋" w:eastAsia="宋体" w:cs="仿宋"/>
                <w:color w:val="auto"/>
                <w:sz w:val="22"/>
                <w:szCs w:val="22"/>
                <w:highlight w:val="none"/>
                <w:lang w:val="en-US" w:eastAsia="zh-CN"/>
              </w:rPr>
            </w:pPr>
            <w:r>
              <w:rPr>
                <w:rFonts w:hint="eastAsia" w:ascii="仿宋" w:hAnsi="仿宋" w:cs="仿宋"/>
                <w:color w:val="auto"/>
                <w:kern w:val="0"/>
                <w:sz w:val="22"/>
                <w:szCs w:val="22"/>
                <w:highlight w:val="none"/>
                <w:lang w:val="en-US" w:eastAsia="zh-CN" w:bidi="ar"/>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r>
              <w:rPr>
                <w:rFonts w:hint="eastAsia" w:ascii="仿宋" w:hAnsi="仿宋" w:cs="仿宋"/>
                <w:color w:val="auto"/>
                <w:sz w:val="22"/>
                <w:szCs w:val="22"/>
                <w:highlight w:val="none"/>
              </w:rPr>
              <w:t>10</w:t>
            </w:r>
          </w:p>
        </w:tc>
        <w:tc>
          <w:tcPr>
            <w:tcW w:w="1658"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ascii="仿宋" w:hAnsi="仿宋" w:cs="仿宋"/>
                <w:color w:val="auto"/>
                <w:sz w:val="22"/>
                <w:szCs w:val="22"/>
                <w:highlight w:val="none"/>
              </w:rPr>
            </w:pPr>
            <w:r>
              <w:rPr>
                <w:rFonts w:hint="eastAsia" w:ascii="仿宋" w:hAnsi="仿宋" w:cs="仿宋"/>
                <w:color w:val="auto"/>
                <w:sz w:val="22"/>
                <w:szCs w:val="22"/>
                <w:highlight w:val="none"/>
              </w:rPr>
              <w:t>售后服务</w:t>
            </w:r>
          </w:p>
        </w:tc>
        <w:tc>
          <w:tcPr>
            <w:tcW w:w="6025"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textAlignment w:val="center"/>
              <w:rPr>
                <w:rFonts w:hint="default" w:ascii="仿宋" w:hAnsi="仿宋" w:eastAsia="宋体" w:cs="仿宋"/>
                <w:color w:val="auto"/>
                <w:sz w:val="22"/>
                <w:szCs w:val="22"/>
                <w:highlight w:val="none"/>
                <w:lang w:val="en-US" w:eastAsia="zh-CN"/>
              </w:rPr>
            </w:pPr>
            <w:r>
              <w:rPr>
                <w:rFonts w:hint="eastAsia" w:ascii="仿宋" w:hAnsi="仿宋" w:cs="仿宋"/>
                <w:color w:val="auto"/>
                <w:sz w:val="22"/>
                <w:szCs w:val="22"/>
                <w:highlight w:val="none"/>
              </w:rPr>
              <w:t>服务体系和售后服务组织方案内容包含但不限于以下内容：突发情况预案、免费售后服务年限措施</w:t>
            </w:r>
            <w:r>
              <w:rPr>
                <w:rFonts w:hint="eastAsia" w:ascii="仿宋" w:hAnsi="仿宋" w:cs="仿宋"/>
                <w:color w:val="auto"/>
                <w:sz w:val="22"/>
                <w:szCs w:val="22"/>
                <w:highlight w:val="none"/>
                <w:lang w:eastAsia="zh-CN"/>
              </w:rPr>
              <w:t>、</w:t>
            </w:r>
            <w:r>
              <w:rPr>
                <w:rFonts w:hint="eastAsia" w:ascii="仿宋" w:hAnsi="仿宋" w:cs="仿宋"/>
                <w:color w:val="auto"/>
                <w:sz w:val="22"/>
                <w:szCs w:val="22"/>
                <w:highlight w:val="none"/>
                <w:lang w:val="en-US" w:eastAsia="zh-CN"/>
              </w:rPr>
              <w:t>驻场服务人数</w:t>
            </w:r>
            <w:r>
              <w:rPr>
                <w:rFonts w:hint="eastAsia" w:ascii="仿宋" w:hAnsi="仿宋" w:cs="仿宋"/>
                <w:color w:val="auto"/>
                <w:sz w:val="22"/>
                <w:szCs w:val="22"/>
                <w:highlight w:val="none"/>
              </w:rPr>
              <w:t>，评标委员会根据售后服务体系和售后服务组织的科学合理性，本地化服务的便捷完善性在</w:t>
            </w:r>
            <w:r>
              <w:rPr>
                <w:rFonts w:hint="eastAsia" w:ascii="仿宋" w:hAnsi="仿宋" w:cs="仿宋"/>
                <w:color w:val="auto"/>
                <w:sz w:val="22"/>
                <w:szCs w:val="22"/>
                <w:highlight w:val="none"/>
                <w:lang w:val="en-US" w:eastAsia="zh-CN"/>
              </w:rPr>
              <w:t>0</w:t>
            </w:r>
            <w:r>
              <w:rPr>
                <w:rFonts w:hint="eastAsia" w:ascii="仿宋" w:hAnsi="仿宋" w:cs="仿宋"/>
                <w:color w:val="auto"/>
                <w:sz w:val="22"/>
                <w:szCs w:val="22"/>
                <w:highlight w:val="none"/>
              </w:rPr>
              <w:t>-</w:t>
            </w:r>
            <w:r>
              <w:rPr>
                <w:rFonts w:hint="eastAsia" w:ascii="仿宋" w:hAnsi="仿宋" w:cs="仿宋"/>
                <w:color w:val="auto"/>
                <w:sz w:val="22"/>
                <w:szCs w:val="22"/>
                <w:highlight w:val="none"/>
                <w:lang w:val="en-US" w:eastAsia="zh-CN"/>
              </w:rPr>
              <w:t>3</w:t>
            </w:r>
            <w:r>
              <w:rPr>
                <w:rFonts w:hint="eastAsia" w:ascii="仿宋" w:hAnsi="仿宋" w:cs="仿宋"/>
                <w:color w:val="auto"/>
                <w:sz w:val="22"/>
                <w:szCs w:val="22"/>
                <w:highlight w:val="none"/>
              </w:rPr>
              <w:t>分范围内进行综合赋分。</w:t>
            </w:r>
            <w:r>
              <w:rPr>
                <w:rFonts w:hint="eastAsia" w:ascii="仿宋" w:hAnsi="仿宋" w:cs="仿宋"/>
                <w:color w:val="auto"/>
                <w:sz w:val="22"/>
                <w:szCs w:val="22"/>
                <w:highlight w:val="none"/>
                <w:lang w:val="en-US" w:eastAsia="zh-CN"/>
              </w:rPr>
              <w:t>驻场服务人数3人及以上的加1分。</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hint="eastAsia" w:ascii="仿宋" w:hAnsi="仿宋" w:eastAsia="宋体" w:cs="仿宋"/>
                <w:color w:val="auto"/>
                <w:sz w:val="22"/>
                <w:szCs w:val="22"/>
                <w:highlight w:val="none"/>
                <w:lang w:eastAsia="zh-CN"/>
              </w:rPr>
            </w:pPr>
            <w:r>
              <w:rPr>
                <w:rFonts w:hint="eastAsia" w:ascii="仿宋" w:hAnsi="仿宋" w:cs="仿宋"/>
                <w:color w:val="auto"/>
                <w:kern w:val="0"/>
                <w:sz w:val="22"/>
                <w:szCs w:val="22"/>
                <w:highlight w:val="none"/>
                <w:lang w:val="en-US" w:eastAsia="zh-CN" w:bidi="ar"/>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hint="eastAsia" w:ascii="仿宋" w:hAnsi="仿宋" w:eastAsia="宋体" w:cs="仿宋"/>
                <w:color w:val="auto"/>
                <w:kern w:val="2"/>
                <w:sz w:val="22"/>
                <w:szCs w:val="22"/>
                <w:highlight w:val="none"/>
                <w:lang w:val="en-US" w:eastAsia="zh-CN" w:bidi="ar-SA"/>
              </w:rPr>
            </w:pPr>
            <w:r>
              <w:rPr>
                <w:rFonts w:hint="eastAsia" w:ascii="仿宋" w:hAnsi="仿宋" w:cs="仿宋"/>
                <w:color w:val="auto"/>
                <w:sz w:val="22"/>
                <w:szCs w:val="22"/>
                <w:highlight w:val="none"/>
                <w:lang w:val="en-US" w:eastAsia="zh-CN"/>
              </w:rPr>
              <w:t>11</w:t>
            </w:r>
          </w:p>
        </w:tc>
        <w:tc>
          <w:tcPr>
            <w:tcW w:w="1658"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hint="eastAsia" w:ascii="仿宋" w:hAnsi="仿宋" w:eastAsia="宋体" w:cs="仿宋"/>
                <w:color w:val="auto"/>
                <w:kern w:val="2"/>
                <w:sz w:val="22"/>
                <w:szCs w:val="22"/>
                <w:highlight w:val="none"/>
                <w:lang w:val="en-US" w:eastAsia="zh-CN" w:bidi="ar-SA"/>
              </w:rPr>
            </w:pPr>
            <w:r>
              <w:rPr>
                <w:rFonts w:hint="eastAsia" w:ascii="仿宋" w:hAnsi="仿宋" w:cs="仿宋"/>
                <w:color w:val="auto"/>
                <w:sz w:val="22"/>
                <w:szCs w:val="22"/>
                <w:highlight w:val="none"/>
              </w:rPr>
              <w:t>培训</w:t>
            </w:r>
          </w:p>
        </w:tc>
        <w:tc>
          <w:tcPr>
            <w:tcW w:w="6025"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textAlignment w:val="center"/>
              <w:rPr>
                <w:rFonts w:hint="eastAsia" w:ascii="仿宋" w:hAnsi="仿宋" w:eastAsia="宋体" w:cs="仿宋"/>
                <w:color w:val="auto"/>
                <w:kern w:val="2"/>
                <w:sz w:val="22"/>
                <w:szCs w:val="22"/>
                <w:highlight w:val="none"/>
                <w:lang w:val="en-US" w:eastAsia="zh-CN" w:bidi="ar-SA"/>
              </w:rPr>
            </w:pPr>
            <w:bookmarkStart w:id="87" w:name="_GoBack"/>
            <w:r>
              <w:rPr>
                <w:rFonts w:hint="eastAsia" w:ascii="仿宋" w:hAnsi="仿宋" w:cs="仿宋"/>
                <w:color w:val="auto"/>
                <w:sz w:val="22"/>
                <w:szCs w:val="22"/>
                <w:highlight w:val="none"/>
              </w:rPr>
              <w:t>投标方需进行完整的培训方案编写，方案内容完整、与招标要求一致、方法科学有效、可操作性强的得1分，方案内容按照招标要求不完整或有缺陷的，每缺一项扣0.5分，方案有严重缺陷，无针对性响应的得0分。</w:t>
            </w:r>
            <w:bookmarkEnd w:id="87"/>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hint="default" w:ascii="仿宋" w:hAnsi="仿宋" w:cs="仿宋"/>
                <w:color w:val="auto"/>
                <w:kern w:val="0"/>
                <w:sz w:val="22"/>
                <w:szCs w:val="22"/>
                <w:highlight w:val="none"/>
                <w:lang w:val="en-US" w:eastAsia="zh-CN" w:bidi="ar"/>
              </w:rPr>
            </w:pPr>
            <w:r>
              <w:rPr>
                <w:rFonts w:hint="eastAsia" w:ascii="仿宋" w:hAnsi="仿宋" w:cs="仿宋"/>
                <w:color w:val="auto"/>
                <w:kern w:val="0"/>
                <w:sz w:val="22"/>
                <w:szCs w:val="22"/>
                <w:highlight w:val="none"/>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auto"/>
              <w:ind w:firstLine="0" w:firstLineChars="0"/>
              <w:jc w:val="center"/>
              <w:rPr>
                <w:rFonts w:ascii="仿宋" w:hAnsi="仿宋" w:cs="仿宋"/>
                <w:color w:val="auto"/>
                <w:sz w:val="22"/>
                <w:szCs w:val="22"/>
                <w:highlight w:val="none"/>
              </w:rPr>
            </w:pPr>
          </w:p>
        </w:tc>
        <w:tc>
          <w:tcPr>
            <w:tcW w:w="1658" w:type="dxa"/>
            <w:tcBorders>
              <w:top w:val="single" w:color="auto" w:sz="4" w:space="0"/>
              <w:left w:val="single" w:color="auto" w:sz="4" w:space="0"/>
              <w:bottom w:val="single" w:color="auto" w:sz="4" w:space="0"/>
              <w:right w:val="single" w:color="auto" w:sz="4" w:space="0"/>
            </w:tcBorders>
            <w:vAlign w:val="center"/>
          </w:tcPr>
          <w:p>
            <w:pPr>
              <w:widowControl/>
              <w:spacing w:line="300" w:lineRule="auto"/>
              <w:ind w:firstLine="0" w:firstLineChars="0"/>
              <w:jc w:val="center"/>
              <w:textAlignment w:val="center"/>
              <w:rPr>
                <w:rFonts w:ascii="仿宋" w:hAnsi="仿宋" w:cs="仿宋"/>
                <w:color w:val="auto"/>
                <w:kern w:val="0"/>
                <w:sz w:val="22"/>
                <w:szCs w:val="22"/>
                <w:highlight w:val="none"/>
                <w:lang w:bidi="ar"/>
              </w:rPr>
            </w:pPr>
          </w:p>
        </w:tc>
        <w:tc>
          <w:tcPr>
            <w:tcW w:w="602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auto"/>
              <w:ind w:firstLine="0" w:firstLineChars="0"/>
              <w:rPr>
                <w:rFonts w:ascii="仿宋" w:hAnsi="仿宋" w:cs="仿宋"/>
                <w:color w:val="auto"/>
                <w:sz w:val="22"/>
                <w:szCs w:val="22"/>
                <w:highlight w:val="none"/>
              </w:rPr>
            </w:pPr>
            <w:r>
              <w:rPr>
                <w:rFonts w:hint="eastAsia" w:ascii="仿宋" w:hAnsi="仿宋" w:cs="仿宋"/>
                <w:color w:val="auto"/>
                <w:sz w:val="22"/>
                <w:szCs w:val="22"/>
                <w:highlight w:val="none"/>
              </w:rPr>
              <w:t>总分</w:t>
            </w:r>
          </w:p>
        </w:tc>
        <w:tc>
          <w:tcPr>
            <w:tcW w:w="85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auto"/>
              <w:ind w:firstLine="0" w:firstLineChars="0"/>
              <w:jc w:val="center"/>
              <w:rPr>
                <w:rFonts w:hint="default" w:ascii="仿宋" w:hAnsi="仿宋" w:eastAsia="宋体" w:cs="仿宋"/>
                <w:color w:val="auto"/>
                <w:sz w:val="22"/>
                <w:szCs w:val="22"/>
                <w:highlight w:val="none"/>
                <w:lang w:val="en-US" w:eastAsia="zh-CN"/>
              </w:rPr>
            </w:pPr>
            <w:r>
              <w:rPr>
                <w:rFonts w:hint="eastAsia" w:ascii="仿宋" w:hAnsi="仿宋" w:cs="仿宋"/>
                <w:color w:val="auto"/>
                <w:sz w:val="22"/>
                <w:szCs w:val="22"/>
                <w:highlight w:val="none"/>
                <w:lang w:val="en-US" w:eastAsia="zh-CN"/>
              </w:rPr>
              <w:t>85</w:t>
            </w:r>
          </w:p>
        </w:tc>
      </w:tr>
    </w:tbl>
    <w:p>
      <w:pPr>
        <w:adjustRightInd w:val="0"/>
        <w:jc w:val="left"/>
        <w:rPr>
          <w:rFonts w:ascii="宋体" w:hAnsi="宋体" w:cs="宋体"/>
          <w:b/>
          <w:color w:val="auto"/>
          <w:kern w:val="0"/>
          <w:sz w:val="24"/>
          <w:highlight w:val="none"/>
        </w:rPr>
      </w:pPr>
      <w:r>
        <w:rPr>
          <w:rFonts w:hint="eastAsia" w:ascii="宋体" w:hAnsi="宋体" w:cs="宋体"/>
          <w:b/>
          <w:color w:val="auto"/>
          <w:kern w:val="0"/>
          <w:sz w:val="24"/>
          <w:highlight w:val="none"/>
        </w:rPr>
        <w:t>注：商务与技术文件内容缺项的，该项得0分。</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（3）报价文件评定分值为</w:t>
      </w:r>
      <w:r>
        <w:rPr>
          <w:rFonts w:hint="eastAsia" w:ascii="宋体" w:hAnsi="宋体" w:cs="宋体"/>
          <w:b/>
          <w:color w:val="auto"/>
          <w:sz w:val="24"/>
          <w:highlight w:val="none"/>
          <w:lang w:val="en-US" w:eastAsia="zh-CN"/>
        </w:rPr>
        <w:t>15</w:t>
      </w:r>
      <w:r>
        <w:rPr>
          <w:rFonts w:hint="eastAsia" w:ascii="宋体" w:hAnsi="宋体" w:cs="宋体"/>
          <w:b/>
          <w:color w:val="auto"/>
          <w:sz w:val="24"/>
          <w:highlight w:val="none"/>
        </w:rPr>
        <w:t>分。（以下除注明外，计算结果小数点后保留2位，第3位四舍五入）。</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本项目采购人设有报价上限，上限价为</w:t>
      </w:r>
      <w:r>
        <w:rPr>
          <w:rFonts w:hint="eastAsia" w:ascii="宋体" w:hAnsi="宋体" w:cs="宋体"/>
          <w:b/>
          <w:color w:val="auto"/>
          <w:sz w:val="24"/>
          <w:highlight w:val="none"/>
          <w:lang w:val="en-US" w:eastAsia="zh-CN"/>
        </w:rPr>
        <w:t>227</w:t>
      </w:r>
      <w:r>
        <w:rPr>
          <w:rFonts w:hint="eastAsia" w:ascii="宋体" w:hAnsi="宋体" w:cs="宋体"/>
          <w:b/>
          <w:color w:val="auto"/>
          <w:sz w:val="24"/>
          <w:highlight w:val="none"/>
        </w:rPr>
        <w:t>万元，投标报价高于上限价的，作无效标处理。当所有投标人的投标报价均高于上限价的，本项目重新招标。</w:t>
      </w:r>
    </w:p>
    <w:p>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szCs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495" w:lineRule="atLeast"/>
        <w:ind w:firstLine="600"/>
        <w:rPr>
          <w:rFonts w:ascii="宋体" w:hAnsi="宋体" w:cs="宋体"/>
          <w:color w:val="auto"/>
          <w:sz w:val="24"/>
          <w:highlight w:val="none"/>
        </w:rPr>
      </w:pPr>
      <w:r>
        <w:rPr>
          <w:rFonts w:hint="eastAsia" w:ascii="宋体" w:hAnsi="宋体" w:cs="宋体"/>
          <w:color w:val="auto"/>
          <w:sz w:val="24"/>
          <w:highlight w:val="none"/>
        </w:rPr>
        <w:t>价格分采用低价优先法计算，以最低有效投标报价作为评标基准价，其价格分为</w:t>
      </w:r>
      <w:r>
        <w:rPr>
          <w:rFonts w:hint="eastAsia" w:ascii="宋体" w:hAnsi="宋体" w:cs="宋体"/>
          <w:color w:val="auto"/>
          <w:sz w:val="24"/>
          <w:highlight w:val="none"/>
          <w:lang w:val="en-US" w:eastAsia="zh-CN"/>
        </w:rPr>
        <w:t>15</w:t>
      </w:r>
      <w:r>
        <w:rPr>
          <w:rFonts w:hint="eastAsia" w:ascii="宋体" w:hAnsi="宋体" w:cs="宋体"/>
          <w:color w:val="auto"/>
          <w:sz w:val="24"/>
          <w:highlight w:val="none"/>
        </w:rPr>
        <w:t>分。其他投标人的价格分统一按照下列公式计算：</w:t>
      </w:r>
    </w:p>
    <w:p>
      <w:pPr>
        <w:spacing w:line="360" w:lineRule="auto"/>
        <w:ind w:firstLine="470" w:firstLineChars="196"/>
        <w:rPr>
          <w:rFonts w:hint="default" w:ascii="宋体" w:hAnsi="宋体" w:eastAsia="宋体" w:cs="宋体"/>
          <w:b/>
          <w:bCs/>
          <w:color w:val="auto"/>
          <w:sz w:val="24"/>
          <w:highlight w:val="none"/>
          <w:lang w:val="en-US" w:eastAsia="zh-CN"/>
        </w:rPr>
      </w:pPr>
      <w:r>
        <w:rPr>
          <w:rFonts w:hint="eastAsia" w:ascii="宋体" w:hAnsi="宋体" w:cs="宋体"/>
          <w:color w:val="auto"/>
          <w:sz w:val="24"/>
          <w:highlight w:val="none"/>
        </w:rPr>
        <w:t>报价文件得分=(评标基准价／投标报价)×</w:t>
      </w:r>
      <w:r>
        <w:rPr>
          <w:rFonts w:hint="eastAsia" w:ascii="宋体" w:hAnsi="宋体" w:cs="宋体"/>
          <w:color w:val="auto"/>
          <w:sz w:val="24"/>
          <w:highlight w:val="none"/>
          <w:lang w:val="en-US" w:eastAsia="zh-CN"/>
        </w:rPr>
        <w:t>15</w:t>
      </w:r>
    </w:p>
    <w:p>
      <w:pPr>
        <w:spacing w:line="360" w:lineRule="auto"/>
        <w:ind w:left="420"/>
        <w:rPr>
          <w:rFonts w:ascii="宋体" w:hAnsi="宋体" w:cs="宋体"/>
          <w:b/>
          <w:bCs/>
          <w:color w:val="auto"/>
          <w:sz w:val="24"/>
          <w:highlight w:val="none"/>
        </w:rPr>
      </w:pPr>
      <w:r>
        <w:rPr>
          <w:rFonts w:hint="eastAsia" w:ascii="宋体" w:hAnsi="宋体" w:cs="宋体"/>
          <w:b/>
          <w:bCs/>
          <w:color w:val="auto"/>
          <w:sz w:val="24"/>
          <w:highlight w:val="none"/>
        </w:rPr>
        <w:t>（4）总得分的统计及中标候选人的确定。</w:t>
      </w:r>
    </w:p>
    <w:p>
      <w:pPr>
        <w:spacing w:line="360" w:lineRule="auto"/>
        <w:ind w:left="420"/>
        <w:rPr>
          <w:rFonts w:ascii="宋体" w:hAnsi="宋体" w:cs="宋体"/>
          <w:bCs/>
          <w:color w:val="auto"/>
          <w:sz w:val="24"/>
          <w:highlight w:val="none"/>
        </w:rPr>
      </w:pPr>
      <w:r>
        <w:rPr>
          <w:rFonts w:hint="eastAsia" w:ascii="宋体" w:hAnsi="宋体" w:cs="宋体"/>
          <w:b/>
          <w:color w:val="auto"/>
          <w:sz w:val="24"/>
          <w:highlight w:val="none"/>
        </w:rPr>
        <w:t>评标总得分的确定：</w:t>
      </w:r>
    </w:p>
    <w:p>
      <w:pPr>
        <w:spacing w:line="360" w:lineRule="auto"/>
        <w:ind w:left="420"/>
        <w:rPr>
          <w:rFonts w:ascii="宋体" w:hAnsi="宋体" w:cs="宋体"/>
          <w:bCs/>
          <w:color w:val="auto"/>
          <w:sz w:val="24"/>
          <w:highlight w:val="none"/>
        </w:rPr>
      </w:pPr>
      <w:r>
        <w:rPr>
          <w:rFonts w:hint="eastAsia" w:ascii="宋体" w:hAnsi="宋体" w:cs="宋体"/>
          <w:bCs/>
          <w:color w:val="auto"/>
          <w:sz w:val="24"/>
          <w:highlight w:val="none"/>
        </w:rPr>
        <w:t>投标人的总得分＝商务与技术文件得分+报价文件得分。</w:t>
      </w:r>
    </w:p>
    <w:p>
      <w:pPr>
        <w:spacing w:line="360" w:lineRule="auto"/>
        <w:ind w:left="420"/>
        <w:rPr>
          <w:rFonts w:ascii="宋体" w:hAnsi="宋体" w:cs="宋体"/>
          <w:b/>
          <w:color w:val="auto"/>
          <w:sz w:val="24"/>
          <w:highlight w:val="none"/>
        </w:rPr>
      </w:pPr>
      <w:r>
        <w:rPr>
          <w:rFonts w:hint="eastAsia" w:ascii="宋体" w:hAnsi="宋体" w:cs="宋体"/>
          <w:b/>
          <w:color w:val="auto"/>
          <w:sz w:val="24"/>
          <w:highlight w:val="none"/>
        </w:rPr>
        <w:t>中标候选人的确定：</w:t>
      </w:r>
    </w:p>
    <w:p>
      <w:pPr>
        <w:spacing w:line="360" w:lineRule="auto"/>
        <w:ind w:firstLine="600"/>
        <w:rPr>
          <w:rFonts w:ascii="宋体" w:hAnsi="宋体" w:cs="宋体"/>
          <w:color w:val="auto"/>
          <w:sz w:val="24"/>
          <w:highlight w:val="none"/>
        </w:rPr>
      </w:pPr>
      <w:r>
        <w:rPr>
          <w:rFonts w:hint="eastAsia" w:ascii="宋体" w:hAnsi="宋体" w:cs="宋体"/>
          <w:color w:val="auto"/>
          <w:sz w:val="24"/>
          <w:highlight w:val="none"/>
        </w:rPr>
        <w:t>本次招标设置一名中标候选人。中标候选人的排名次序按投标人总得分从高到低顺序排列，即总得分最高者为中标候选人。若出现总得分相同时，按投标报价得分由高到低顺序排列；若总得分且报价得分均相同的，按商务技术响应文件得分由高到低顺序排列；若以上两项均相同的，则抽签确定。</w:t>
      </w:r>
    </w:p>
    <w:p>
      <w:pPr>
        <w:pStyle w:val="3"/>
        <w:sectPr>
          <w:pgSz w:w="11906" w:h="16838"/>
          <w:pgMar w:top="1247" w:right="1361" w:bottom="1247" w:left="1361" w:header="851" w:footer="851" w:gutter="0"/>
          <w:cols w:space="720" w:num="1"/>
          <w:docGrid w:type="lines" w:linePitch="312" w:charSpace="0"/>
        </w:sectPr>
      </w:pPr>
    </w:p>
    <w:p>
      <w:pPr>
        <w:adjustRightInd w:val="0"/>
        <w:spacing w:line="360" w:lineRule="auto"/>
        <w:jc w:val="center"/>
        <w:rPr>
          <w:rFonts w:ascii="宋体" w:hAnsi="宋体" w:cs="宋体"/>
          <w:sz w:val="32"/>
        </w:rPr>
      </w:pPr>
      <w:r>
        <w:rPr>
          <w:rFonts w:hint="eastAsia" w:ascii="宋体" w:hAnsi="宋体" w:cs="宋体"/>
          <w:sz w:val="32"/>
        </w:rPr>
        <w:t>第五章 合同主要条款（供参考）</w:t>
      </w:r>
    </w:p>
    <w:p>
      <w:pPr>
        <w:spacing w:before="299" w:line="185" w:lineRule="auto"/>
        <w:ind w:firstLine="2166"/>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（以甲、乙双方签订的正式合同为准）</w:t>
      </w:r>
    </w:p>
    <w:p>
      <w:pPr>
        <w:spacing w:before="244" w:line="461" w:lineRule="exact"/>
        <w:ind w:firstLine="430"/>
        <w:rPr>
          <w:rFonts w:ascii="宋体" w:hAnsi="宋体" w:eastAsia="宋体" w:cs="宋体"/>
          <w:sz w:val="21"/>
          <w:szCs w:val="21"/>
        </w:rPr>
      </w:pPr>
      <w:r>
        <w:rPr>
          <w:rFonts w:ascii="宋体" w:hAnsi="宋体" w:eastAsia="宋体" w:cs="宋体"/>
          <w:spacing w:val="-3"/>
          <w:position w:val="18"/>
          <w:sz w:val="21"/>
          <w:szCs w:val="21"/>
        </w:rPr>
        <w:t>项目名称：</w:t>
      </w:r>
    </w:p>
    <w:p>
      <w:pPr>
        <w:spacing w:line="204" w:lineRule="auto"/>
        <w:ind w:firstLine="430"/>
        <w:rPr>
          <w:rFonts w:ascii="宋体" w:hAnsi="宋体" w:eastAsia="宋体" w:cs="宋体"/>
          <w:sz w:val="21"/>
          <w:szCs w:val="21"/>
        </w:rPr>
      </w:pPr>
      <w:r>
        <w:rPr>
          <w:rFonts w:ascii="宋体" w:hAnsi="宋体" w:eastAsia="宋体" w:cs="宋体"/>
          <w:spacing w:val="-3"/>
          <w:sz w:val="21"/>
          <w:szCs w:val="21"/>
        </w:rPr>
        <w:t>项目编号：</w:t>
      </w:r>
    </w:p>
    <w:p>
      <w:pPr>
        <w:spacing w:before="225" w:line="461" w:lineRule="exact"/>
        <w:ind w:firstLine="454"/>
        <w:rPr>
          <w:rFonts w:ascii="宋体" w:hAnsi="宋体" w:eastAsia="宋体" w:cs="宋体"/>
          <w:sz w:val="21"/>
          <w:szCs w:val="21"/>
        </w:rPr>
      </w:pPr>
      <w:r>
        <w:rPr>
          <w:rFonts w:ascii="宋体" w:hAnsi="宋体" w:eastAsia="宋体" w:cs="宋体"/>
          <w:spacing w:val="-1"/>
          <w:position w:val="18"/>
          <w:sz w:val="21"/>
          <w:szCs w:val="21"/>
        </w:rPr>
        <w:t>甲方（采购方</w:t>
      </w:r>
      <w:r>
        <w:rPr>
          <w:rFonts w:ascii="宋体" w:hAnsi="宋体" w:eastAsia="宋体" w:cs="宋体"/>
          <w:spacing w:val="-60"/>
          <w:position w:val="18"/>
          <w:sz w:val="21"/>
          <w:szCs w:val="21"/>
        </w:rPr>
        <w:t>）</w:t>
      </w:r>
      <w:r>
        <w:rPr>
          <w:rFonts w:ascii="宋体" w:hAnsi="宋体" w:eastAsia="宋体" w:cs="宋体"/>
          <w:spacing w:val="-16"/>
          <w:position w:val="18"/>
          <w:sz w:val="21"/>
          <w:szCs w:val="21"/>
        </w:rPr>
        <w:t xml:space="preserve"> </w:t>
      </w:r>
      <w:r>
        <w:rPr>
          <w:rFonts w:ascii="宋体" w:hAnsi="宋体" w:eastAsia="宋体" w:cs="宋体"/>
          <w:spacing w:val="-60"/>
          <w:position w:val="18"/>
          <w:sz w:val="21"/>
          <w:szCs w:val="21"/>
        </w:rPr>
        <w:t>：</w:t>
      </w:r>
    </w:p>
    <w:p>
      <w:pPr>
        <w:spacing w:before="1" w:line="204" w:lineRule="auto"/>
        <w:ind w:firstLine="447"/>
        <w:rPr>
          <w:rFonts w:ascii="宋体" w:hAnsi="宋体" w:eastAsia="宋体" w:cs="宋体"/>
          <w:sz w:val="21"/>
          <w:szCs w:val="21"/>
        </w:rPr>
      </w:pPr>
      <w:r>
        <w:rPr>
          <w:rFonts w:ascii="宋体" w:hAnsi="宋体" w:eastAsia="宋体" w:cs="宋体"/>
          <w:sz w:val="21"/>
          <w:szCs w:val="21"/>
        </w:rPr>
        <w:t>乙方（供应商</w:t>
      </w:r>
      <w:r>
        <w:rPr>
          <w:rFonts w:ascii="宋体" w:hAnsi="宋体" w:eastAsia="宋体" w:cs="宋体"/>
          <w:spacing w:val="-59"/>
          <w:sz w:val="21"/>
          <w:szCs w:val="21"/>
        </w:rPr>
        <w:t>）</w:t>
      </w:r>
      <w:r>
        <w:rPr>
          <w:rFonts w:ascii="宋体" w:hAnsi="宋体" w:eastAsia="宋体" w:cs="宋体"/>
          <w:spacing w:val="-17"/>
          <w:sz w:val="21"/>
          <w:szCs w:val="21"/>
        </w:rPr>
        <w:t xml:space="preserve"> </w:t>
      </w:r>
      <w:r>
        <w:rPr>
          <w:rFonts w:ascii="宋体" w:hAnsi="宋体" w:eastAsia="宋体" w:cs="宋体"/>
          <w:spacing w:val="-59"/>
          <w:sz w:val="21"/>
          <w:szCs w:val="21"/>
        </w:rPr>
        <w:t>：</w:t>
      </w:r>
    </w:p>
    <w:p>
      <w:pPr>
        <w:spacing w:before="228" w:line="184" w:lineRule="auto"/>
        <w:ind w:firstLine="874"/>
        <w:rPr>
          <w:rFonts w:ascii="宋体" w:hAnsi="宋体" w:eastAsia="宋体" w:cs="宋体"/>
          <w:sz w:val="21"/>
          <w:szCs w:val="21"/>
        </w:rPr>
      </w:pPr>
      <w:r>
        <w:rPr>
          <w:rFonts w:ascii="宋体" w:hAnsi="宋体" w:eastAsia="宋体" w:cs="宋体"/>
          <w:spacing w:val="-2"/>
          <w:sz w:val="21"/>
          <w:szCs w:val="21"/>
        </w:rPr>
        <w:t>甲、乙双方根据</w:t>
      </w:r>
      <w:r>
        <w:rPr>
          <w:rFonts w:ascii="宋体" w:hAnsi="宋体" w:eastAsia="宋体" w:cs="宋体"/>
          <w:sz w:val="21"/>
          <w:szCs w:val="21"/>
          <w:u w:val="single" w:color="auto"/>
        </w:rPr>
        <w:t xml:space="preserve">                          </w:t>
      </w:r>
      <w:r>
        <w:rPr>
          <w:rFonts w:ascii="宋体" w:hAnsi="宋体" w:eastAsia="宋体" w:cs="宋体"/>
          <w:spacing w:val="-2"/>
          <w:sz w:val="21"/>
          <w:szCs w:val="21"/>
        </w:rPr>
        <w:t>项目公开招标采购的结果，签署本合同。</w:t>
      </w:r>
    </w:p>
    <w:p>
      <w:pPr>
        <w:spacing w:before="249" w:line="461" w:lineRule="exact"/>
        <w:ind w:firstLine="430"/>
        <w:rPr>
          <w:rFonts w:ascii="宋体" w:hAnsi="宋体" w:eastAsia="宋体" w:cs="宋体"/>
          <w:sz w:val="21"/>
          <w:szCs w:val="21"/>
        </w:rPr>
      </w:pPr>
      <w:r>
        <w:rPr>
          <w:rFonts w:ascii="宋体" w:hAnsi="宋体" w:eastAsia="宋体" w:cs="宋体"/>
          <w:spacing w:val="-11"/>
          <w:position w:val="18"/>
          <w:sz w:val="21"/>
          <w:szCs w:val="21"/>
          <w14:textOutline w14:w="3795" w14:cap="sq" w14:cmpd="sng">
            <w14:solidFill>
              <w14:srgbClr w14:val="000000"/>
            </w14:solidFill>
            <w14:prstDash w14:val="solid"/>
            <w14:bevel/>
          </w14:textOutline>
        </w:rPr>
        <w:t>一、服务内容：</w:t>
      </w:r>
      <w:r>
        <w:rPr>
          <w:rFonts w:ascii="宋体" w:hAnsi="宋体" w:eastAsia="宋体" w:cs="宋体"/>
          <w:spacing w:val="77"/>
          <w:position w:val="18"/>
          <w:sz w:val="21"/>
          <w:szCs w:val="21"/>
        </w:rPr>
        <w:t xml:space="preserve"> </w:t>
      </w:r>
      <w:r>
        <w:rPr>
          <w:rFonts w:ascii="宋体" w:hAnsi="宋体" w:eastAsia="宋体" w:cs="宋体"/>
          <w:spacing w:val="-11"/>
          <w:position w:val="18"/>
          <w:sz w:val="21"/>
          <w:szCs w:val="21"/>
          <w:u w:val="single" w:color="auto"/>
        </w:rPr>
        <w:t>乙方为甲方提供</w:t>
      </w:r>
      <w:r>
        <w:rPr>
          <w:rFonts w:ascii="宋体" w:hAnsi="宋体" w:eastAsia="宋体" w:cs="宋体"/>
          <w:position w:val="18"/>
          <w:sz w:val="21"/>
          <w:szCs w:val="21"/>
          <w:u w:val="single" w:color="auto"/>
        </w:rPr>
        <w:t xml:space="preserve">                                     </w:t>
      </w:r>
      <w:r>
        <w:rPr>
          <w:rFonts w:ascii="宋体" w:hAnsi="宋体" w:eastAsia="宋体" w:cs="宋体"/>
          <w:spacing w:val="-11"/>
          <w:position w:val="18"/>
          <w:sz w:val="21"/>
          <w:szCs w:val="21"/>
        </w:rPr>
        <w:t>。服务范围详见本项</w:t>
      </w:r>
    </w:p>
    <w:p>
      <w:pPr>
        <w:spacing w:before="1" w:line="204" w:lineRule="auto"/>
        <w:ind w:firstLine="47"/>
        <w:rPr>
          <w:rFonts w:ascii="宋体" w:hAnsi="宋体" w:eastAsia="宋体" w:cs="宋体"/>
          <w:sz w:val="21"/>
          <w:szCs w:val="21"/>
        </w:rPr>
      </w:pPr>
      <w:r>
        <w:rPr>
          <w:rFonts w:ascii="宋体" w:hAnsi="宋体" w:eastAsia="宋体" w:cs="宋体"/>
          <w:spacing w:val="-8"/>
          <w:sz w:val="21"/>
          <w:szCs w:val="21"/>
        </w:rPr>
        <w:t>目</w:t>
      </w:r>
      <w:r>
        <w:rPr>
          <w:rFonts w:ascii="宋体" w:hAnsi="宋体" w:eastAsia="宋体" w:cs="宋体"/>
          <w:spacing w:val="-8"/>
          <w:sz w:val="21"/>
          <w:szCs w:val="21"/>
          <w14:textOutline w14:w="3795" w14:cap="sq" w14:cmpd="sng">
            <w14:solidFill>
              <w14:srgbClr w14:val="000000"/>
            </w14:solidFill>
            <w14:prstDash w14:val="solid"/>
            <w14:bevel/>
          </w14:textOutline>
        </w:rPr>
        <w:t>招标文件</w:t>
      </w:r>
      <w:r>
        <w:rPr>
          <w:rFonts w:ascii="宋体" w:hAnsi="宋体" w:eastAsia="宋体" w:cs="宋体"/>
          <w:spacing w:val="-8"/>
          <w:sz w:val="21"/>
          <w:szCs w:val="21"/>
        </w:rPr>
        <w:t>。</w:t>
      </w:r>
      <w:r>
        <w:rPr>
          <w:rFonts w:ascii="宋体" w:hAnsi="宋体" w:eastAsia="宋体" w:cs="宋体"/>
          <w:spacing w:val="2"/>
          <w:sz w:val="21"/>
          <w:szCs w:val="21"/>
        </w:rPr>
        <w:t xml:space="preserve">                                            </w:t>
      </w:r>
      <w:r>
        <w:rPr>
          <w:rFonts w:ascii="宋体" w:hAnsi="宋体" w:eastAsia="宋体" w:cs="宋体"/>
          <w:spacing w:val="-8"/>
          <w:sz w:val="21"/>
          <w:szCs w:val="21"/>
        </w:rPr>
        <w:t>。</w:t>
      </w:r>
    </w:p>
    <w:p>
      <w:pPr>
        <w:spacing w:before="227" w:line="184" w:lineRule="auto"/>
        <w:ind w:firstLine="430"/>
        <w:rPr>
          <w:rFonts w:ascii="宋体" w:hAnsi="宋体" w:eastAsia="宋体" w:cs="宋体"/>
          <w:sz w:val="21"/>
          <w:szCs w:val="21"/>
        </w:rPr>
      </w:pPr>
      <w:r>
        <w:rPr>
          <w:rFonts w:ascii="宋体" w:hAnsi="宋体" w:eastAsia="宋体" w:cs="宋体"/>
          <w:spacing w:val="-2"/>
          <w:sz w:val="21"/>
          <w:szCs w:val="21"/>
          <w14:textOutline w14:w="3795" w14:cap="sq" w14:cmpd="sng">
            <w14:solidFill>
              <w14:srgbClr w14:val="000000"/>
            </w14:solidFill>
            <w14:prstDash w14:val="solid"/>
            <w14:bevel/>
          </w14:textOutline>
        </w:rPr>
        <w:t>二、合同金额</w:t>
      </w:r>
    </w:p>
    <w:p>
      <w:pPr>
        <w:spacing w:before="249" w:line="184" w:lineRule="auto"/>
        <w:ind w:firstLine="427"/>
        <w:rPr>
          <w:rFonts w:ascii="宋体" w:hAnsi="宋体" w:eastAsia="宋体" w:cs="宋体"/>
          <w:sz w:val="21"/>
          <w:szCs w:val="21"/>
        </w:rPr>
      </w:pPr>
      <w:r>
        <w:rPr>
          <w:rFonts w:ascii="宋体" w:hAnsi="宋体" w:eastAsia="宋体" w:cs="宋体"/>
          <w:sz w:val="21"/>
          <w:szCs w:val="21"/>
        </w:rPr>
        <w:t>本合同总金额为（大写</w:t>
      </w:r>
      <w:r>
        <w:rPr>
          <w:rFonts w:ascii="宋体" w:hAnsi="宋体" w:eastAsia="宋体" w:cs="宋体"/>
          <w:spacing w:val="-39"/>
          <w:sz w:val="21"/>
          <w:szCs w:val="21"/>
        </w:rPr>
        <w:t>）</w:t>
      </w:r>
      <w:r>
        <w:rPr>
          <w:rFonts w:ascii="宋体" w:hAnsi="宋体" w:eastAsia="宋体" w:cs="宋体"/>
          <w:spacing w:val="18"/>
          <w:sz w:val="21"/>
          <w:szCs w:val="21"/>
        </w:rPr>
        <w:t xml:space="preserve"> </w:t>
      </w:r>
      <w:r>
        <w:rPr>
          <w:rFonts w:ascii="宋体" w:hAnsi="宋体" w:eastAsia="宋体" w:cs="宋体"/>
          <w:spacing w:val="-39"/>
          <w:sz w:val="21"/>
          <w:szCs w:val="21"/>
        </w:rPr>
        <w:t>：</w:t>
      </w:r>
      <w:r>
        <w:rPr>
          <w:rFonts w:ascii="宋体" w:hAnsi="宋体" w:eastAsia="宋体" w:cs="宋体"/>
          <w:sz w:val="21"/>
          <w:szCs w:val="21"/>
        </w:rPr>
        <w:t>____________________________________元（</w:t>
      </w:r>
      <w:r>
        <w:rPr>
          <w:rFonts w:ascii="宋体" w:hAnsi="宋体" w:eastAsia="宋体" w:cs="宋体"/>
          <w:spacing w:val="-42"/>
          <w:sz w:val="21"/>
          <w:szCs w:val="21"/>
        </w:rPr>
        <w:t xml:space="preserve"> </w:t>
      </w:r>
      <w:r>
        <w:rPr>
          <w:rFonts w:ascii="宋体" w:hAnsi="宋体" w:eastAsia="宋体" w:cs="宋体"/>
          <w:sz w:val="21"/>
          <w:szCs w:val="21"/>
        </w:rPr>
        <w:t>￥</w:t>
      </w:r>
      <w:r>
        <w:rPr>
          <w:rFonts w:ascii="宋体" w:hAnsi="宋体" w:eastAsia="宋体" w:cs="宋体"/>
          <w:spacing w:val="-74"/>
          <w:sz w:val="21"/>
          <w:szCs w:val="21"/>
        </w:rPr>
        <w:t xml:space="preserve"> </w:t>
      </w:r>
      <w:r>
        <w:rPr>
          <w:rFonts w:ascii="宋体" w:hAnsi="宋体" w:eastAsia="宋体" w:cs="宋体"/>
          <w:sz w:val="21"/>
          <w:szCs w:val="21"/>
        </w:rPr>
        <w:t>_______________</w:t>
      </w:r>
    </w:p>
    <w:p>
      <w:pPr>
        <w:spacing w:before="252" w:line="184" w:lineRule="auto"/>
        <w:ind w:firstLine="8"/>
        <w:rPr>
          <w:rFonts w:ascii="宋体" w:hAnsi="宋体" w:eastAsia="宋体" w:cs="宋体"/>
          <w:sz w:val="21"/>
          <w:szCs w:val="21"/>
        </w:rPr>
      </w:pPr>
      <w:r>
        <w:rPr>
          <w:rFonts w:ascii="宋体" w:hAnsi="宋体" w:eastAsia="宋体" w:cs="宋体"/>
          <w:spacing w:val="-20"/>
          <w:w w:val="99"/>
          <w:sz w:val="21"/>
          <w:szCs w:val="21"/>
        </w:rPr>
        <w:t>元）</w:t>
      </w:r>
      <w:r>
        <w:rPr>
          <w:rFonts w:ascii="宋体" w:hAnsi="宋体" w:eastAsia="宋体" w:cs="宋体"/>
          <w:spacing w:val="16"/>
          <w:sz w:val="21"/>
          <w:szCs w:val="21"/>
        </w:rPr>
        <w:t xml:space="preserve"> </w:t>
      </w:r>
      <w:r>
        <w:rPr>
          <w:rFonts w:ascii="宋体" w:hAnsi="宋体" w:eastAsia="宋体" w:cs="宋体"/>
          <w:spacing w:val="-20"/>
          <w:w w:val="99"/>
          <w:sz w:val="21"/>
          <w:szCs w:val="21"/>
        </w:rPr>
        <w:t>人民币。</w:t>
      </w:r>
    </w:p>
    <w:p>
      <w:pPr>
        <w:spacing w:before="252" w:line="458" w:lineRule="exact"/>
        <w:ind w:firstLine="427"/>
        <w:rPr>
          <w:rFonts w:ascii="宋体" w:hAnsi="宋体" w:eastAsia="宋体" w:cs="宋体"/>
          <w:sz w:val="21"/>
          <w:szCs w:val="21"/>
        </w:rPr>
      </w:pPr>
      <w:r>
        <w:rPr>
          <w:rFonts w:ascii="宋体" w:hAnsi="宋体" w:eastAsia="宋体" w:cs="宋体"/>
          <w:spacing w:val="-9"/>
          <w:position w:val="18"/>
          <w:sz w:val="21"/>
          <w:szCs w:val="21"/>
          <w14:textOutline w14:w="3795" w14:cap="sq" w14:cmpd="sng">
            <w14:solidFill>
              <w14:srgbClr w14:val="000000"/>
            </w14:solidFill>
            <w14:prstDash w14:val="solid"/>
            <w14:bevel/>
          </w14:textOutline>
        </w:rPr>
        <w:t>三、服务要求：</w:t>
      </w:r>
      <w:r>
        <w:rPr>
          <w:rFonts w:ascii="宋体" w:hAnsi="宋体" w:eastAsia="宋体" w:cs="宋体"/>
          <w:spacing w:val="51"/>
          <w:position w:val="18"/>
          <w:sz w:val="21"/>
          <w:szCs w:val="21"/>
        </w:rPr>
        <w:t xml:space="preserve"> </w:t>
      </w:r>
      <w:r>
        <w:rPr>
          <w:rFonts w:ascii="宋体" w:hAnsi="宋体" w:eastAsia="宋体" w:cs="宋体"/>
          <w:spacing w:val="-9"/>
          <w:position w:val="18"/>
          <w:sz w:val="21"/>
          <w:szCs w:val="21"/>
          <w14:textOutline w14:w="3795" w14:cap="sq" w14:cmpd="sng">
            <w14:solidFill>
              <w14:srgbClr w14:val="000000"/>
            </w14:solidFill>
            <w14:prstDash w14:val="solid"/>
            <w14:bevel/>
          </w14:textOutline>
        </w:rPr>
        <w:t>满足招标文件的要求。</w:t>
      </w:r>
    </w:p>
    <w:p>
      <w:pPr>
        <w:spacing w:before="1" w:line="204" w:lineRule="auto"/>
        <w:ind w:firstLine="446"/>
        <w:rPr>
          <w:rFonts w:ascii="宋体" w:hAnsi="宋体" w:eastAsia="宋体" w:cs="宋体"/>
          <w:sz w:val="21"/>
          <w:szCs w:val="21"/>
        </w:rPr>
      </w:pPr>
      <w:r>
        <w:rPr>
          <w:rFonts w:ascii="宋体" w:hAnsi="宋体" w:eastAsia="宋体" w:cs="宋体"/>
          <w:spacing w:val="-10"/>
          <w:sz w:val="21"/>
          <w:szCs w:val="21"/>
          <w14:textOutline w14:w="3795" w14:cap="sq" w14:cmpd="sng">
            <w14:solidFill>
              <w14:srgbClr w14:val="000000"/>
            </w14:solidFill>
            <w14:prstDash w14:val="solid"/>
            <w14:bevel/>
          </w14:textOutline>
        </w:rPr>
        <w:t>四、成果要求：</w:t>
      </w:r>
      <w:r>
        <w:rPr>
          <w:rFonts w:ascii="宋体" w:hAnsi="宋体" w:eastAsia="宋体" w:cs="宋体"/>
          <w:spacing w:val="49"/>
          <w:sz w:val="21"/>
          <w:szCs w:val="21"/>
        </w:rPr>
        <w:t xml:space="preserve"> </w:t>
      </w:r>
      <w:r>
        <w:rPr>
          <w:rFonts w:ascii="宋体" w:hAnsi="宋体" w:eastAsia="宋体" w:cs="宋体"/>
          <w:spacing w:val="-10"/>
          <w:sz w:val="21"/>
          <w:szCs w:val="21"/>
          <w14:textOutline w14:w="3795" w14:cap="sq" w14:cmpd="sng">
            <w14:solidFill>
              <w14:srgbClr w14:val="000000"/>
            </w14:solidFill>
            <w14:prstDash w14:val="solid"/>
            <w14:bevel/>
          </w14:textOutline>
        </w:rPr>
        <w:t>满足招标文件的要求。</w:t>
      </w:r>
    </w:p>
    <w:p>
      <w:pPr>
        <w:spacing w:before="227" w:line="184" w:lineRule="auto"/>
        <w:ind w:firstLine="430"/>
        <w:rPr>
          <w:rFonts w:ascii="宋体" w:hAnsi="宋体" w:eastAsia="宋体" w:cs="宋体"/>
          <w:sz w:val="21"/>
          <w:szCs w:val="21"/>
        </w:rPr>
      </w:pPr>
      <w:r>
        <w:rPr>
          <w:rFonts w:ascii="宋体" w:hAnsi="宋体" w:eastAsia="宋体" w:cs="宋体"/>
          <w:spacing w:val="-8"/>
          <w:sz w:val="21"/>
          <w:szCs w:val="21"/>
          <w14:textOutline w14:w="3795" w14:cap="sq" w14:cmpd="sng">
            <w14:solidFill>
              <w14:srgbClr w14:val="000000"/>
            </w14:solidFill>
            <w14:prstDash w14:val="solid"/>
            <w14:bevel/>
          </w14:textOutline>
        </w:rPr>
        <w:t>五、时间进度要求：</w:t>
      </w:r>
      <w:r>
        <w:rPr>
          <w:rFonts w:ascii="宋体" w:hAnsi="宋体" w:eastAsia="宋体" w:cs="宋体"/>
          <w:spacing w:val="49"/>
          <w:sz w:val="21"/>
          <w:szCs w:val="21"/>
        </w:rPr>
        <w:t xml:space="preserve"> </w:t>
      </w:r>
      <w:r>
        <w:rPr>
          <w:rFonts w:ascii="宋体" w:hAnsi="宋体" w:eastAsia="宋体" w:cs="宋体"/>
          <w:spacing w:val="-8"/>
          <w:sz w:val="21"/>
          <w:szCs w:val="21"/>
          <w14:textOutline w14:w="3795" w14:cap="sq" w14:cmpd="sng">
            <w14:solidFill>
              <w14:srgbClr w14:val="000000"/>
            </w14:solidFill>
            <w14:prstDash w14:val="solid"/>
            <w14:bevel/>
          </w14:textOutline>
        </w:rPr>
        <w:t>满足招标文件的要求。</w:t>
      </w:r>
    </w:p>
    <w:p>
      <w:pPr>
        <w:spacing w:before="252" w:line="184" w:lineRule="auto"/>
        <w:ind w:firstLine="428"/>
        <w:rPr>
          <w:rFonts w:ascii="宋体" w:hAnsi="宋体" w:eastAsia="宋体" w:cs="宋体"/>
          <w:sz w:val="21"/>
          <w:szCs w:val="21"/>
        </w:rPr>
      </w:pPr>
      <w:r>
        <w:rPr>
          <w:rFonts w:ascii="宋体" w:hAnsi="宋体" w:eastAsia="宋体" w:cs="宋体"/>
          <w:spacing w:val="-2"/>
          <w:sz w:val="21"/>
          <w:szCs w:val="21"/>
          <w14:textOutline w14:w="3795" w14:cap="sq" w14:cmpd="sng">
            <w14:solidFill>
              <w14:srgbClr w14:val="000000"/>
            </w14:solidFill>
            <w14:prstDash w14:val="solid"/>
            <w14:bevel/>
          </w14:textOutline>
        </w:rPr>
        <w:t>六、知识产权</w:t>
      </w:r>
    </w:p>
    <w:p>
      <w:pPr>
        <w:spacing w:before="249" w:line="184" w:lineRule="auto"/>
        <w:ind w:firstLine="442"/>
        <w:rPr>
          <w:rFonts w:ascii="宋体" w:hAnsi="宋体" w:eastAsia="宋体" w:cs="宋体"/>
          <w:sz w:val="21"/>
          <w:szCs w:val="21"/>
        </w:rPr>
      </w:pPr>
      <w:r>
        <w:rPr>
          <w:rFonts w:ascii="宋体" w:hAnsi="宋体" w:eastAsia="宋体" w:cs="宋体"/>
          <w:spacing w:val="-1"/>
          <w:sz w:val="21"/>
          <w:szCs w:val="21"/>
        </w:rPr>
        <w:t>1.乙方应保证提供服务过程中不会侵犯任何第三方的知识产权。</w:t>
      </w:r>
    </w:p>
    <w:p>
      <w:pPr>
        <w:spacing w:before="252" w:line="461" w:lineRule="exact"/>
        <w:ind w:firstLine="429"/>
        <w:rPr>
          <w:rFonts w:ascii="宋体" w:hAnsi="宋体" w:eastAsia="宋体" w:cs="宋体"/>
          <w:sz w:val="21"/>
          <w:szCs w:val="21"/>
        </w:rPr>
      </w:pPr>
      <w:r>
        <w:rPr>
          <w:rFonts w:ascii="宋体" w:hAnsi="宋体" w:eastAsia="宋体" w:cs="宋体"/>
          <w:position w:val="18"/>
          <w:sz w:val="21"/>
          <w:szCs w:val="21"/>
        </w:rPr>
        <w:t>2.本次项目成果所有权和使用权均属于甲方。未经甲方书面同意，乙方不得向任何单位和个人</w:t>
      </w:r>
    </w:p>
    <w:p>
      <w:pPr>
        <w:spacing w:line="204" w:lineRule="auto"/>
        <w:ind w:firstLine="7"/>
        <w:rPr>
          <w:rFonts w:ascii="宋体" w:hAnsi="宋体" w:eastAsia="宋体" w:cs="宋体"/>
          <w:sz w:val="21"/>
          <w:szCs w:val="21"/>
        </w:rPr>
      </w:pPr>
      <w:r>
        <w:rPr>
          <w:rFonts w:ascii="宋体" w:hAnsi="宋体" w:eastAsia="宋体" w:cs="宋体"/>
          <w:spacing w:val="-1"/>
          <w:sz w:val="21"/>
          <w:szCs w:val="21"/>
        </w:rPr>
        <w:t>转让和使用本项目成果，否则承担由此产生的一切法律和经济责任。</w:t>
      </w:r>
    </w:p>
    <w:p>
      <w:pPr>
        <w:spacing w:before="226" w:line="184" w:lineRule="auto"/>
        <w:ind w:firstLine="426"/>
        <w:rPr>
          <w:rFonts w:ascii="宋体" w:hAnsi="宋体" w:eastAsia="宋体" w:cs="宋体"/>
          <w:sz w:val="21"/>
          <w:szCs w:val="21"/>
        </w:rPr>
      </w:pPr>
      <w:r>
        <w:rPr>
          <w:rFonts w:ascii="宋体" w:hAnsi="宋体" w:eastAsia="宋体" w:cs="宋体"/>
          <w:spacing w:val="-1"/>
          <w:sz w:val="21"/>
          <w:szCs w:val="21"/>
          <w14:textOutline w14:w="3795" w14:cap="sq" w14:cmpd="sng">
            <w14:solidFill>
              <w14:srgbClr w14:val="000000"/>
            </w14:solidFill>
            <w14:prstDash w14:val="solid"/>
            <w14:bevel/>
          </w14:textOutline>
        </w:rPr>
        <w:t>七、转包或分包</w:t>
      </w:r>
    </w:p>
    <w:p>
      <w:pPr>
        <w:spacing w:before="251" w:line="184" w:lineRule="auto"/>
        <w:ind w:firstLine="447"/>
        <w:rPr>
          <w:rFonts w:ascii="宋体" w:hAnsi="宋体" w:eastAsia="宋体" w:cs="宋体"/>
          <w:sz w:val="21"/>
          <w:szCs w:val="21"/>
        </w:rPr>
      </w:pPr>
      <w:r>
        <w:rPr>
          <w:rFonts w:ascii="宋体" w:hAnsi="宋体" w:eastAsia="宋体" w:cs="宋体"/>
          <w:sz w:val="21"/>
          <w:szCs w:val="21"/>
        </w:rPr>
        <w:t>乙方不得向他人转让成交项目，也不得将成交项目肢解后分别向他人转让，也不得将成交项目</w:t>
      </w:r>
    </w:p>
    <w:p>
      <w:pPr>
        <w:spacing w:before="252" w:line="184" w:lineRule="auto"/>
        <w:ind w:firstLine="24"/>
        <w:rPr>
          <w:rFonts w:ascii="宋体" w:hAnsi="宋体" w:eastAsia="宋体" w:cs="宋体"/>
          <w:sz w:val="21"/>
          <w:szCs w:val="21"/>
        </w:rPr>
      </w:pPr>
      <w:r>
        <w:rPr>
          <w:rFonts w:ascii="宋体" w:hAnsi="宋体" w:eastAsia="宋体" w:cs="宋体"/>
          <w:spacing w:val="-2"/>
          <w:sz w:val="21"/>
          <w:szCs w:val="21"/>
        </w:rPr>
        <w:t>的部分非主体、非关键性工作分包给他人完成。</w:t>
      </w:r>
    </w:p>
    <w:p>
      <w:pPr>
        <w:spacing w:before="249" w:line="184" w:lineRule="auto"/>
        <w:ind w:firstLine="430"/>
        <w:rPr>
          <w:rFonts w:ascii="宋体" w:hAnsi="宋体" w:eastAsia="宋体" w:cs="宋体"/>
          <w:sz w:val="21"/>
          <w:szCs w:val="21"/>
        </w:rPr>
      </w:pPr>
      <w:r>
        <w:rPr>
          <w:rFonts w:ascii="宋体" w:hAnsi="宋体" w:eastAsia="宋体" w:cs="宋体"/>
          <w:sz w:val="21"/>
          <w:szCs w:val="21"/>
          <w14:textOutline w14:w="3795" w14:cap="sq" w14:cmpd="sng">
            <w14:solidFill>
              <w14:srgbClr w14:val="000000"/>
            </w14:solidFill>
            <w14:prstDash w14:val="solid"/>
            <w14:bevel/>
          </w14:textOutline>
        </w:rPr>
        <w:t>八、合同履行时间、履行方式及履行地点</w:t>
      </w:r>
    </w:p>
    <w:p>
      <w:pPr>
        <w:spacing w:before="252" w:line="461" w:lineRule="exact"/>
        <w:ind w:firstLine="442"/>
        <w:rPr>
          <w:rFonts w:ascii="宋体" w:hAnsi="宋体" w:eastAsia="宋体" w:cs="宋体"/>
          <w:sz w:val="21"/>
          <w:szCs w:val="21"/>
        </w:rPr>
      </w:pPr>
      <w:r>
        <w:rPr>
          <w:rFonts w:ascii="宋体" w:hAnsi="宋体" w:eastAsia="宋体" w:cs="宋体"/>
          <w:spacing w:val="-9"/>
          <w:w w:val="93"/>
          <w:position w:val="18"/>
          <w:sz w:val="21"/>
          <w:szCs w:val="21"/>
        </w:rPr>
        <w:t>1.履行时间：</w:t>
      </w:r>
      <w:r>
        <w:rPr>
          <w:rFonts w:ascii="宋体" w:hAnsi="宋体" w:eastAsia="宋体" w:cs="宋体"/>
          <w:spacing w:val="1"/>
          <w:position w:val="18"/>
          <w:sz w:val="21"/>
          <w:szCs w:val="21"/>
          <w:u w:val="single" w:color="auto"/>
        </w:rPr>
        <w:t xml:space="preserve">                                     </w:t>
      </w:r>
      <w:r>
        <w:rPr>
          <w:rFonts w:ascii="宋体" w:hAnsi="宋体" w:eastAsia="宋体" w:cs="宋体"/>
          <w:spacing w:val="-9"/>
          <w:w w:val="93"/>
          <w:position w:val="18"/>
          <w:sz w:val="21"/>
          <w:szCs w:val="21"/>
        </w:rPr>
        <w:t>。</w:t>
      </w:r>
    </w:p>
    <w:p>
      <w:pPr>
        <w:spacing w:line="204" w:lineRule="auto"/>
        <w:ind w:firstLine="429"/>
        <w:rPr>
          <w:rFonts w:ascii="宋体" w:hAnsi="宋体" w:eastAsia="宋体" w:cs="宋体"/>
          <w:sz w:val="21"/>
          <w:szCs w:val="21"/>
        </w:rPr>
      </w:pPr>
      <w:r>
        <w:rPr>
          <w:rFonts w:ascii="宋体" w:hAnsi="宋体" w:eastAsia="宋体" w:cs="宋体"/>
          <w:spacing w:val="-10"/>
          <w:w w:val="94"/>
          <w:sz w:val="21"/>
          <w:szCs w:val="21"/>
        </w:rPr>
        <w:t>2.履行方式：</w:t>
      </w:r>
      <w:r>
        <w:rPr>
          <w:rFonts w:ascii="宋体" w:hAnsi="宋体" w:eastAsia="宋体" w:cs="宋体"/>
          <w:spacing w:val="1"/>
          <w:sz w:val="21"/>
          <w:szCs w:val="21"/>
          <w:u w:val="single" w:color="auto"/>
        </w:rPr>
        <w:t xml:space="preserve">                                     </w:t>
      </w:r>
      <w:r>
        <w:rPr>
          <w:rFonts w:ascii="宋体" w:hAnsi="宋体" w:eastAsia="宋体" w:cs="宋体"/>
          <w:spacing w:val="-10"/>
          <w:w w:val="94"/>
          <w:sz w:val="21"/>
          <w:szCs w:val="21"/>
        </w:rPr>
        <w:t>。</w:t>
      </w:r>
    </w:p>
    <w:p>
      <w:pPr>
        <w:spacing w:before="225" w:line="184" w:lineRule="auto"/>
        <w:ind w:firstLine="431"/>
        <w:rPr>
          <w:rFonts w:ascii="宋体" w:hAnsi="宋体" w:eastAsia="宋体" w:cs="宋体"/>
          <w:sz w:val="21"/>
          <w:szCs w:val="21"/>
        </w:rPr>
      </w:pPr>
      <w:r>
        <w:rPr>
          <w:rFonts w:ascii="宋体" w:hAnsi="宋体" w:eastAsia="宋体" w:cs="宋体"/>
          <w:spacing w:val="-10"/>
          <w:w w:val="94"/>
          <w:sz w:val="21"/>
          <w:szCs w:val="21"/>
        </w:rPr>
        <w:t>3.履行地点：</w:t>
      </w:r>
      <w:r>
        <w:rPr>
          <w:rFonts w:ascii="宋体" w:hAnsi="宋体" w:eastAsia="宋体" w:cs="宋体"/>
          <w:spacing w:val="1"/>
          <w:sz w:val="21"/>
          <w:szCs w:val="21"/>
          <w:u w:val="single" w:color="auto"/>
        </w:rPr>
        <w:t xml:space="preserve">                                     </w:t>
      </w:r>
      <w:r>
        <w:rPr>
          <w:rFonts w:ascii="宋体" w:hAnsi="宋体" w:eastAsia="宋体" w:cs="宋体"/>
          <w:spacing w:val="-10"/>
          <w:w w:val="94"/>
          <w:sz w:val="21"/>
          <w:szCs w:val="21"/>
        </w:rPr>
        <w:t>。</w:t>
      </w:r>
    </w:p>
    <w:p>
      <w:pPr>
        <w:spacing w:before="252" w:line="184" w:lineRule="auto"/>
        <w:ind w:firstLine="426"/>
        <w:rPr>
          <w:rFonts w:ascii="宋体" w:hAnsi="宋体" w:eastAsia="宋体" w:cs="宋体"/>
          <w:sz w:val="21"/>
          <w:szCs w:val="21"/>
        </w:rPr>
      </w:pPr>
      <w:r>
        <w:rPr>
          <w:rFonts w:ascii="宋体" w:hAnsi="宋体" w:eastAsia="宋体" w:cs="宋体"/>
          <w:spacing w:val="-1"/>
          <w:sz w:val="21"/>
          <w:szCs w:val="21"/>
        </w:rPr>
        <w:t>4.履约保证金</w:t>
      </w:r>
      <w:r>
        <w:rPr>
          <w:rFonts w:ascii="宋体" w:hAnsi="宋体" w:eastAsia="宋体" w:cs="宋体"/>
          <w:spacing w:val="-1"/>
          <w:sz w:val="21"/>
          <w:szCs w:val="21"/>
          <w:u w:val="single" w:color="auto"/>
        </w:rPr>
        <w:t>：</w:t>
      </w:r>
      <w:r>
        <w:rPr>
          <w:rFonts w:ascii="宋体" w:hAnsi="宋体" w:eastAsia="宋体" w:cs="宋体"/>
          <w:sz w:val="21"/>
          <w:szCs w:val="21"/>
          <w:u w:val="single" w:color="auto"/>
        </w:rPr>
        <w:t xml:space="preserve">                                  </w:t>
      </w:r>
      <w:r>
        <w:rPr>
          <w:rFonts w:ascii="宋体" w:hAnsi="宋体" w:eastAsia="宋体" w:cs="宋体"/>
          <w:spacing w:val="-1"/>
          <w:sz w:val="21"/>
          <w:szCs w:val="21"/>
        </w:rPr>
        <w:t>。</w:t>
      </w:r>
    </w:p>
    <w:p>
      <w:pPr>
        <w:spacing w:before="251" w:line="184" w:lineRule="auto"/>
        <w:ind w:firstLine="432"/>
        <w:rPr>
          <w:rFonts w:ascii="宋体" w:hAnsi="宋体" w:eastAsia="宋体" w:cs="宋体"/>
          <w:sz w:val="21"/>
          <w:szCs w:val="21"/>
        </w:rPr>
      </w:pPr>
      <w:r>
        <w:rPr>
          <w:rFonts w:ascii="宋体" w:hAnsi="宋体" w:eastAsia="宋体" w:cs="宋体"/>
          <w:spacing w:val="-10"/>
          <w:sz w:val="21"/>
          <w:szCs w:val="21"/>
          <w14:textOutline w14:w="3795" w14:cap="sq" w14:cmpd="sng">
            <w14:solidFill>
              <w14:srgbClr w14:val="000000"/>
            </w14:solidFill>
            <w14:prstDash w14:val="solid"/>
            <w14:bevel/>
          </w14:textOutline>
        </w:rPr>
        <w:t>九、付款方式：</w:t>
      </w:r>
      <w:r>
        <w:rPr>
          <w:rFonts w:ascii="宋体" w:hAnsi="宋体" w:eastAsia="宋体" w:cs="宋体"/>
          <w:spacing w:val="63"/>
          <w:sz w:val="21"/>
          <w:szCs w:val="21"/>
        </w:rPr>
        <w:t xml:space="preserve"> </w:t>
      </w:r>
      <w:r>
        <w:rPr>
          <w:rFonts w:ascii="宋体" w:hAnsi="宋体" w:eastAsia="宋体" w:cs="宋体"/>
          <w:spacing w:val="-10"/>
          <w:sz w:val="21"/>
          <w:szCs w:val="21"/>
          <w14:textOutline w14:w="3795" w14:cap="sq" w14:cmpd="sng">
            <w14:solidFill>
              <w14:srgbClr w14:val="000000"/>
            </w14:solidFill>
            <w14:prstDash w14:val="solid"/>
            <w14:bevel/>
          </w14:textOutline>
        </w:rPr>
        <w:t>满足招标文件的要求。</w:t>
      </w:r>
    </w:p>
    <w:p>
      <w:pPr>
        <w:spacing w:before="249" w:line="184" w:lineRule="auto"/>
        <w:ind w:firstLine="427"/>
        <w:rPr>
          <w:rFonts w:ascii="宋体" w:hAnsi="宋体" w:eastAsia="宋体" w:cs="宋体"/>
          <w:sz w:val="21"/>
          <w:szCs w:val="21"/>
        </w:rPr>
      </w:pPr>
      <w:r>
        <w:rPr>
          <w:rFonts w:ascii="宋体" w:hAnsi="宋体" w:eastAsia="宋体" w:cs="宋体"/>
          <w:spacing w:val="-2"/>
          <w:sz w:val="21"/>
          <w:szCs w:val="21"/>
          <w14:textOutline w14:w="3795" w14:cap="sq" w14:cmpd="sng">
            <w14:solidFill>
              <w14:srgbClr w14:val="000000"/>
            </w14:solidFill>
            <w14:prstDash w14:val="solid"/>
            <w14:bevel/>
          </w14:textOutline>
        </w:rPr>
        <w:t>十、税费</w:t>
      </w:r>
    </w:p>
    <w:p>
      <w:pPr>
        <w:sectPr>
          <w:headerReference r:id="rId5" w:type="default"/>
          <w:footerReference r:id="rId6" w:type="default"/>
          <w:pgSz w:w="11906" w:h="16839"/>
          <w:pgMar w:top="1220" w:right="1360" w:bottom="897" w:left="1417" w:header="746" w:footer="771" w:gutter="0"/>
          <w:cols w:space="720" w:num="1"/>
        </w:sectPr>
      </w:pPr>
    </w:p>
    <w:p>
      <w:pPr>
        <w:spacing w:before="189" w:line="184" w:lineRule="auto"/>
        <w:ind w:firstLine="427"/>
        <w:rPr>
          <w:rFonts w:ascii="宋体" w:hAnsi="宋体" w:eastAsia="宋体" w:cs="宋体"/>
          <w:sz w:val="21"/>
          <w:szCs w:val="21"/>
        </w:rPr>
      </w:pPr>
      <w:r>
        <w:rPr>
          <w:rFonts w:ascii="宋体" w:hAnsi="宋体" w:eastAsia="宋体" w:cs="宋体"/>
          <w:spacing w:val="-1"/>
          <w:sz w:val="21"/>
          <w:szCs w:val="21"/>
        </w:rPr>
        <w:t>本合同执行中相关的一切税费均由乙方负担。</w:t>
      </w:r>
    </w:p>
    <w:p>
      <w:pPr>
        <w:spacing w:before="252" w:line="458" w:lineRule="exact"/>
        <w:ind w:firstLine="427"/>
        <w:rPr>
          <w:rFonts w:ascii="宋体" w:hAnsi="宋体" w:eastAsia="宋体" w:cs="宋体"/>
          <w:sz w:val="21"/>
          <w:szCs w:val="21"/>
        </w:rPr>
      </w:pPr>
      <w:r>
        <w:rPr>
          <w:rFonts w:ascii="宋体" w:hAnsi="宋体" w:eastAsia="宋体" w:cs="宋体"/>
          <w:position w:val="18"/>
          <w:sz w:val="21"/>
          <w:szCs w:val="21"/>
          <w14:textOutline w14:w="3795" w14:cap="sq" w14:cmpd="sng">
            <w14:solidFill>
              <w14:srgbClr w14:val="000000"/>
            </w14:solidFill>
            <w14:prstDash w14:val="solid"/>
            <w14:bevel/>
          </w14:textOutline>
        </w:rPr>
        <w:t>十一、质量保证及后续服务</w:t>
      </w:r>
    </w:p>
    <w:p>
      <w:pPr>
        <w:spacing w:line="204" w:lineRule="auto"/>
        <w:ind w:firstLine="442"/>
        <w:rPr>
          <w:rFonts w:ascii="宋体" w:hAnsi="宋体" w:eastAsia="宋体" w:cs="宋体"/>
          <w:sz w:val="21"/>
          <w:szCs w:val="21"/>
        </w:rPr>
      </w:pPr>
      <w:r>
        <w:rPr>
          <w:rFonts w:ascii="宋体" w:hAnsi="宋体" w:eastAsia="宋体" w:cs="宋体"/>
          <w:spacing w:val="-2"/>
          <w:sz w:val="21"/>
          <w:szCs w:val="21"/>
        </w:rPr>
        <w:t>1.乙方应按</w:t>
      </w:r>
      <w:r>
        <w:rPr>
          <w:rFonts w:ascii="宋体" w:hAnsi="宋体" w:eastAsia="宋体" w:cs="宋体"/>
          <w:spacing w:val="-2"/>
          <w:sz w:val="21"/>
          <w:szCs w:val="21"/>
          <w14:textOutline w14:w="3795" w14:cap="sq" w14:cmpd="sng">
            <w14:solidFill>
              <w14:srgbClr w14:val="000000"/>
            </w14:solidFill>
            <w14:prstDash w14:val="solid"/>
            <w14:bevel/>
          </w14:textOutline>
        </w:rPr>
        <w:t>招标文件</w:t>
      </w:r>
      <w:r>
        <w:rPr>
          <w:rFonts w:ascii="宋体" w:hAnsi="宋体" w:eastAsia="宋体" w:cs="宋体"/>
          <w:spacing w:val="-2"/>
          <w:sz w:val="21"/>
          <w:szCs w:val="21"/>
        </w:rPr>
        <w:t>规定向甲方提供服务。</w:t>
      </w:r>
    </w:p>
    <w:p>
      <w:pPr>
        <w:spacing w:before="228" w:line="460" w:lineRule="exact"/>
        <w:ind w:firstLine="429"/>
        <w:rPr>
          <w:rFonts w:ascii="宋体" w:hAnsi="宋体" w:eastAsia="宋体" w:cs="宋体"/>
          <w:sz w:val="21"/>
          <w:szCs w:val="21"/>
        </w:rPr>
      </w:pPr>
      <w:r>
        <w:rPr>
          <w:rFonts w:ascii="宋体" w:hAnsi="宋体" w:eastAsia="宋体" w:cs="宋体"/>
          <w:position w:val="18"/>
          <w:sz w:val="21"/>
          <w:szCs w:val="21"/>
        </w:rPr>
        <w:t>2.乙方提供的服务成果得不到评审专家认可的，乙方应负责免费提供后续服务，直到得到评审</w:t>
      </w:r>
    </w:p>
    <w:p>
      <w:pPr>
        <w:spacing w:line="204" w:lineRule="auto"/>
        <w:ind w:firstLine="7"/>
        <w:rPr>
          <w:rFonts w:ascii="宋体" w:hAnsi="宋体" w:eastAsia="宋体" w:cs="宋体"/>
          <w:sz w:val="21"/>
          <w:szCs w:val="21"/>
        </w:rPr>
      </w:pPr>
      <w:r>
        <w:rPr>
          <w:rFonts w:ascii="宋体" w:hAnsi="宋体" w:eastAsia="宋体" w:cs="宋体"/>
          <w:spacing w:val="-1"/>
          <w:sz w:val="21"/>
          <w:szCs w:val="21"/>
        </w:rPr>
        <w:t>专家评审认可为止。对达不到要求者，根据实际情况，经双方协商，可按以下办法处理：</w:t>
      </w:r>
    </w:p>
    <w:p>
      <w:pPr>
        <w:spacing w:before="226" w:line="461" w:lineRule="exact"/>
        <w:ind w:firstLine="323"/>
        <w:rPr>
          <w:rFonts w:ascii="宋体" w:hAnsi="宋体" w:eastAsia="宋体" w:cs="宋体"/>
          <w:sz w:val="21"/>
          <w:szCs w:val="21"/>
        </w:rPr>
      </w:pPr>
      <w:r>
        <w:rPr>
          <w:rFonts w:ascii="宋体" w:hAnsi="宋体" w:eastAsia="宋体" w:cs="宋体"/>
          <w:spacing w:val="-11"/>
          <w:position w:val="18"/>
          <w:sz w:val="21"/>
          <w:szCs w:val="21"/>
        </w:rPr>
        <w:t>①重做：</w:t>
      </w:r>
      <w:r>
        <w:rPr>
          <w:rFonts w:ascii="宋体" w:hAnsi="宋体" w:eastAsia="宋体" w:cs="宋体"/>
          <w:spacing w:val="84"/>
          <w:position w:val="18"/>
          <w:sz w:val="21"/>
          <w:szCs w:val="21"/>
        </w:rPr>
        <w:t xml:space="preserve"> </w:t>
      </w:r>
      <w:r>
        <w:rPr>
          <w:rFonts w:ascii="宋体" w:hAnsi="宋体" w:eastAsia="宋体" w:cs="宋体"/>
          <w:spacing w:val="-11"/>
          <w:position w:val="18"/>
          <w:sz w:val="21"/>
          <w:szCs w:val="21"/>
        </w:rPr>
        <w:t>由乙方承担所发生的全部费用。</w:t>
      </w:r>
    </w:p>
    <w:p>
      <w:pPr>
        <w:spacing w:before="1" w:line="204" w:lineRule="auto"/>
        <w:ind w:firstLine="322"/>
        <w:rPr>
          <w:rFonts w:ascii="宋体" w:hAnsi="宋体" w:eastAsia="宋体" w:cs="宋体"/>
          <w:sz w:val="21"/>
          <w:szCs w:val="21"/>
        </w:rPr>
      </w:pPr>
      <w:r>
        <w:rPr>
          <w:rFonts w:ascii="宋体" w:hAnsi="宋体" w:eastAsia="宋体" w:cs="宋体"/>
          <w:spacing w:val="-12"/>
          <w:sz w:val="21"/>
          <w:szCs w:val="21"/>
        </w:rPr>
        <w:t>②贬值处理：</w:t>
      </w:r>
      <w:r>
        <w:rPr>
          <w:rFonts w:ascii="宋体" w:hAnsi="宋体" w:eastAsia="宋体" w:cs="宋体"/>
          <w:spacing w:val="79"/>
          <w:sz w:val="21"/>
          <w:szCs w:val="21"/>
        </w:rPr>
        <w:t xml:space="preserve"> </w:t>
      </w:r>
      <w:r>
        <w:rPr>
          <w:rFonts w:ascii="宋体" w:hAnsi="宋体" w:eastAsia="宋体" w:cs="宋体"/>
          <w:spacing w:val="-12"/>
          <w:sz w:val="21"/>
          <w:szCs w:val="21"/>
        </w:rPr>
        <w:t>由甲乙双方合议定价。</w:t>
      </w:r>
    </w:p>
    <w:p>
      <w:pPr>
        <w:spacing w:before="227" w:line="184" w:lineRule="auto"/>
        <w:ind w:firstLine="322"/>
        <w:rPr>
          <w:rFonts w:ascii="宋体" w:hAnsi="宋体" w:eastAsia="宋体" w:cs="宋体"/>
          <w:sz w:val="21"/>
          <w:szCs w:val="21"/>
        </w:rPr>
      </w:pPr>
      <w:r>
        <w:rPr>
          <w:rFonts w:ascii="宋体" w:hAnsi="宋体" w:eastAsia="宋体" w:cs="宋体"/>
          <w:spacing w:val="-2"/>
          <w:sz w:val="21"/>
          <w:szCs w:val="21"/>
        </w:rPr>
        <w:t>③解除合同。</w:t>
      </w:r>
    </w:p>
    <w:p>
      <w:pPr>
        <w:spacing w:before="249" w:line="184" w:lineRule="auto"/>
        <w:ind w:firstLine="431"/>
        <w:rPr>
          <w:rFonts w:ascii="宋体" w:hAnsi="宋体" w:eastAsia="宋体" w:cs="宋体"/>
          <w:sz w:val="21"/>
          <w:szCs w:val="21"/>
        </w:rPr>
      </w:pPr>
      <w:r>
        <w:rPr>
          <w:rFonts w:ascii="宋体" w:hAnsi="宋体" w:eastAsia="宋体" w:cs="宋体"/>
          <w:spacing w:val="-1"/>
          <w:sz w:val="21"/>
          <w:szCs w:val="21"/>
        </w:rPr>
        <w:t>3.在履约保证期内，乙方应对出现的质量及安全问题负责处理解决并承担一切费用。</w:t>
      </w:r>
    </w:p>
    <w:p>
      <w:pPr>
        <w:spacing w:before="252" w:line="461" w:lineRule="exact"/>
        <w:ind w:firstLine="426"/>
        <w:rPr>
          <w:rFonts w:ascii="宋体" w:hAnsi="宋体" w:eastAsia="宋体" w:cs="宋体"/>
          <w:sz w:val="21"/>
          <w:szCs w:val="21"/>
        </w:rPr>
      </w:pPr>
      <w:r>
        <w:rPr>
          <w:rFonts w:ascii="宋体" w:hAnsi="宋体" w:eastAsia="宋体" w:cs="宋体"/>
          <w:position w:val="18"/>
          <w:sz w:val="21"/>
          <w:szCs w:val="21"/>
        </w:rPr>
        <w:t>4.合同履行完毕后，如发现存在缺失、错误或其他原因需对项目成果进行调整或修改的，乙方</w:t>
      </w:r>
    </w:p>
    <w:p>
      <w:pPr>
        <w:spacing w:before="1" w:line="204" w:lineRule="auto"/>
        <w:ind w:firstLine="18"/>
        <w:rPr>
          <w:rFonts w:ascii="宋体" w:hAnsi="宋体" w:eastAsia="宋体" w:cs="宋体"/>
          <w:sz w:val="21"/>
          <w:szCs w:val="21"/>
        </w:rPr>
      </w:pPr>
      <w:r>
        <w:rPr>
          <w:rFonts w:ascii="宋体" w:hAnsi="宋体" w:eastAsia="宋体" w:cs="宋体"/>
          <w:spacing w:val="-2"/>
          <w:sz w:val="21"/>
          <w:szCs w:val="21"/>
        </w:rPr>
        <w:t>需负责免费对项目成果进行调整或修改。</w:t>
      </w:r>
    </w:p>
    <w:p>
      <w:pPr>
        <w:spacing w:before="225" w:line="184" w:lineRule="auto"/>
        <w:ind w:firstLine="427"/>
        <w:rPr>
          <w:rFonts w:ascii="宋体" w:hAnsi="宋体" w:eastAsia="宋体" w:cs="宋体"/>
          <w:sz w:val="21"/>
          <w:szCs w:val="21"/>
        </w:rPr>
      </w:pPr>
      <w:r>
        <w:rPr>
          <w:rFonts w:ascii="宋体" w:hAnsi="宋体" w:eastAsia="宋体" w:cs="宋体"/>
          <w:spacing w:val="-1"/>
          <w:sz w:val="21"/>
          <w:szCs w:val="21"/>
          <w14:textOutline w14:w="3795" w14:cap="sq" w14:cmpd="sng">
            <w14:solidFill>
              <w14:srgbClr w14:val="000000"/>
            </w14:solidFill>
            <w14:prstDash w14:val="solid"/>
            <w14:bevel/>
          </w14:textOutline>
        </w:rPr>
        <w:t>十二、违约责任</w:t>
      </w:r>
    </w:p>
    <w:p>
      <w:pPr>
        <w:spacing w:before="251" w:line="184" w:lineRule="auto"/>
        <w:ind w:firstLine="442"/>
        <w:rPr>
          <w:rFonts w:ascii="宋体" w:hAnsi="宋体" w:eastAsia="宋体" w:cs="宋体"/>
          <w:sz w:val="21"/>
          <w:szCs w:val="21"/>
        </w:rPr>
      </w:pPr>
      <w:r>
        <w:rPr>
          <w:rFonts w:ascii="宋体" w:hAnsi="宋体" w:eastAsia="宋体" w:cs="宋体"/>
          <w:spacing w:val="-1"/>
          <w:sz w:val="21"/>
          <w:szCs w:val="21"/>
        </w:rPr>
        <w:t>1.甲方无正当理由拒收接受服务的，甲方向乙方偿付合同款项百分之五作为违约金。</w:t>
      </w:r>
    </w:p>
    <w:p>
      <w:pPr>
        <w:spacing w:before="252" w:line="403" w:lineRule="auto"/>
        <w:ind w:left="7" w:right="57" w:firstLine="422"/>
        <w:rPr>
          <w:rFonts w:ascii="宋体" w:hAnsi="宋体" w:eastAsia="宋体" w:cs="宋体"/>
          <w:sz w:val="21"/>
          <w:szCs w:val="21"/>
        </w:rPr>
      </w:pPr>
      <w:r>
        <w:rPr>
          <w:rFonts w:ascii="宋体" w:hAnsi="宋体" w:eastAsia="宋体" w:cs="宋体"/>
          <w:spacing w:val="3"/>
          <w:sz w:val="21"/>
          <w:szCs w:val="21"/>
        </w:rPr>
        <w:t>2.甲方无故逾期验收和办理款项支付手续的,甲方应按逾期付款总额每日万分之五向乙方支付</w:t>
      </w:r>
      <w:r>
        <w:rPr>
          <w:rFonts w:ascii="宋体" w:hAnsi="宋体" w:eastAsia="宋体" w:cs="宋体"/>
          <w:spacing w:val="10"/>
          <w:sz w:val="21"/>
          <w:szCs w:val="21"/>
        </w:rPr>
        <w:t xml:space="preserve"> </w:t>
      </w:r>
      <w:r>
        <w:rPr>
          <w:rFonts w:ascii="宋体" w:hAnsi="宋体" w:eastAsia="宋体" w:cs="宋体"/>
          <w:spacing w:val="-3"/>
          <w:sz w:val="21"/>
          <w:szCs w:val="21"/>
        </w:rPr>
        <w:t>违约金。</w:t>
      </w:r>
    </w:p>
    <w:p>
      <w:pPr>
        <w:spacing w:before="3" w:line="201" w:lineRule="auto"/>
        <w:ind w:firstLine="431"/>
        <w:rPr>
          <w:rFonts w:ascii="宋体" w:hAnsi="宋体" w:eastAsia="宋体" w:cs="宋体"/>
          <w:sz w:val="21"/>
          <w:szCs w:val="21"/>
        </w:rPr>
      </w:pPr>
      <w:r>
        <w:rPr>
          <w:rFonts w:ascii="宋体" w:hAnsi="宋体" w:eastAsia="宋体" w:cs="宋体"/>
          <w:spacing w:val="-1"/>
          <w:sz w:val="21"/>
          <w:szCs w:val="21"/>
        </w:rPr>
        <w:t>3.乙方逾期提供服务的，每日向甲方支付千分之六违约金。</w:t>
      </w:r>
    </w:p>
    <w:p>
      <w:pPr>
        <w:spacing w:before="231" w:line="184" w:lineRule="auto"/>
        <w:ind w:firstLine="427"/>
        <w:rPr>
          <w:rFonts w:ascii="宋体" w:hAnsi="宋体" w:eastAsia="宋体" w:cs="宋体"/>
          <w:sz w:val="21"/>
          <w:szCs w:val="21"/>
        </w:rPr>
      </w:pPr>
      <w:r>
        <w:rPr>
          <w:rFonts w:ascii="宋体" w:hAnsi="宋体" w:eastAsia="宋体" w:cs="宋体"/>
          <w:spacing w:val="-1"/>
          <w:sz w:val="21"/>
          <w:szCs w:val="21"/>
          <w14:textOutline w14:w="3795" w14:cap="sq" w14:cmpd="sng">
            <w14:solidFill>
              <w14:srgbClr w14:val="000000"/>
            </w14:solidFill>
            <w14:prstDash w14:val="solid"/>
            <w14:bevel/>
          </w14:textOutline>
        </w:rPr>
        <w:t>十三、不可抗力事件处理</w:t>
      </w:r>
    </w:p>
    <w:p>
      <w:pPr>
        <w:spacing w:before="250" w:line="405" w:lineRule="auto"/>
        <w:ind w:left="7" w:right="57" w:firstLine="434"/>
        <w:rPr>
          <w:rFonts w:ascii="宋体" w:hAnsi="宋体" w:eastAsia="宋体" w:cs="宋体"/>
          <w:sz w:val="21"/>
          <w:szCs w:val="21"/>
        </w:rPr>
      </w:pPr>
      <w:r>
        <w:rPr>
          <w:rFonts w:ascii="宋体" w:hAnsi="宋体" w:eastAsia="宋体" w:cs="宋体"/>
          <w:sz w:val="21"/>
          <w:szCs w:val="21"/>
        </w:rPr>
        <w:t>1.在合同有效期内，任何一方因不可抗力事件导致不能履行合同，则合同履行期可延长，其延</w:t>
      </w:r>
      <w:r>
        <w:rPr>
          <w:rFonts w:ascii="宋体" w:hAnsi="宋体" w:eastAsia="宋体" w:cs="宋体"/>
          <w:spacing w:val="18"/>
          <w:sz w:val="21"/>
          <w:szCs w:val="21"/>
        </w:rPr>
        <w:t xml:space="preserve"> </w:t>
      </w:r>
      <w:r>
        <w:rPr>
          <w:rFonts w:ascii="宋体" w:hAnsi="宋体" w:eastAsia="宋体" w:cs="宋体"/>
          <w:spacing w:val="-1"/>
          <w:sz w:val="21"/>
          <w:szCs w:val="21"/>
        </w:rPr>
        <w:t>长期与不可抗力影响期相同。</w:t>
      </w:r>
    </w:p>
    <w:p>
      <w:pPr>
        <w:spacing w:before="3" w:line="402" w:lineRule="auto"/>
        <w:ind w:left="430" w:right="1284" w:hanging="1"/>
        <w:rPr>
          <w:rFonts w:ascii="宋体" w:hAnsi="宋体" w:eastAsia="宋体" w:cs="宋体"/>
          <w:spacing w:val="6"/>
          <w:sz w:val="21"/>
          <w:szCs w:val="21"/>
        </w:rPr>
      </w:pPr>
      <w:r>
        <w:rPr>
          <w:rFonts w:ascii="宋体" w:hAnsi="宋体" w:eastAsia="宋体" w:cs="宋体"/>
          <w:sz w:val="21"/>
          <w:szCs w:val="21"/>
        </w:rPr>
        <w:t>2.不可抗力事件发生后，应立即通知对方，并寄送有关权威机构出具的证明。</w:t>
      </w:r>
      <w:r>
        <w:rPr>
          <w:rFonts w:ascii="宋体" w:hAnsi="宋体" w:eastAsia="宋体" w:cs="宋体"/>
          <w:spacing w:val="6"/>
          <w:sz w:val="21"/>
          <w:szCs w:val="21"/>
        </w:rPr>
        <w:t xml:space="preserve">   </w:t>
      </w:r>
    </w:p>
    <w:p>
      <w:pPr>
        <w:spacing w:before="3" w:line="402" w:lineRule="auto"/>
        <w:ind w:left="430" w:right="1284" w:hanging="1"/>
        <w:rPr>
          <w:rFonts w:ascii="宋体" w:hAnsi="宋体" w:eastAsia="宋体" w:cs="宋体"/>
          <w:sz w:val="21"/>
          <w:szCs w:val="21"/>
        </w:rPr>
      </w:pPr>
      <w:r>
        <w:rPr>
          <w:rFonts w:ascii="宋体" w:hAnsi="宋体" w:eastAsia="宋体" w:cs="宋体"/>
          <w:spacing w:val="-2"/>
          <w:sz w:val="21"/>
          <w:szCs w:val="21"/>
        </w:rPr>
        <w:t>3.不可抗力事件延续120天以上，双方应通过友好协商，确定是否继续履行合同。</w:t>
      </w:r>
    </w:p>
    <w:p>
      <w:pPr>
        <w:spacing w:before="2" w:line="201" w:lineRule="auto"/>
        <w:ind w:firstLine="427"/>
        <w:rPr>
          <w:rFonts w:ascii="宋体" w:hAnsi="宋体" w:eastAsia="宋体" w:cs="宋体"/>
          <w:sz w:val="21"/>
          <w:szCs w:val="21"/>
        </w:rPr>
      </w:pPr>
      <w:r>
        <w:rPr>
          <w:rFonts w:ascii="宋体" w:hAnsi="宋体" w:eastAsia="宋体" w:cs="宋体"/>
          <w:spacing w:val="-2"/>
          <w:sz w:val="21"/>
          <w:szCs w:val="21"/>
          <w14:textOutline w14:w="3795" w14:cap="sq" w14:cmpd="sng">
            <w14:solidFill>
              <w14:srgbClr w14:val="000000"/>
            </w14:solidFill>
            <w14:prstDash w14:val="solid"/>
            <w14:bevel/>
          </w14:textOutline>
        </w:rPr>
        <w:t>十四、诉讼</w:t>
      </w:r>
    </w:p>
    <w:p>
      <w:pPr>
        <w:spacing w:before="232" w:line="184" w:lineRule="auto"/>
        <w:ind w:firstLine="427"/>
        <w:rPr>
          <w:rFonts w:ascii="宋体" w:hAnsi="宋体" w:eastAsia="宋体" w:cs="宋体"/>
          <w:sz w:val="21"/>
          <w:szCs w:val="21"/>
        </w:rPr>
      </w:pPr>
      <w:r>
        <w:rPr>
          <w:rFonts w:ascii="宋体" w:hAnsi="宋体" w:eastAsia="宋体" w:cs="宋体"/>
          <w:sz w:val="21"/>
          <w:szCs w:val="21"/>
        </w:rPr>
        <w:t>双方在执行合同中所发生的一切争议，应通过协商解决。如协商不成，可向合同签订地法院起</w:t>
      </w:r>
    </w:p>
    <w:p>
      <w:pPr>
        <w:spacing w:line="277" w:lineRule="auto"/>
        <w:rPr>
          <w:rFonts w:ascii="宋体"/>
          <w:sz w:val="21"/>
        </w:rPr>
      </w:pPr>
    </w:p>
    <w:p>
      <w:pPr>
        <w:spacing w:before="69" w:line="125" w:lineRule="exact"/>
        <w:ind w:firstLine="236"/>
        <w:rPr>
          <w:rFonts w:ascii="宋体" w:hAnsi="宋体" w:eastAsia="宋体" w:cs="宋体"/>
          <w:sz w:val="21"/>
          <w:szCs w:val="21"/>
        </w:rPr>
      </w:pPr>
      <w:r>
        <mc:AlternateContent>
          <mc:Choice Requires="wps">
            <w:drawing>
              <wp:anchor distT="0" distB="0" distL="114300" distR="114300" simplePos="0" relativeHeight="251662336" behindDoc="0" locked="0" layoutInCell="1" allowOverlap="1">
                <wp:simplePos x="0" y="0"/>
                <wp:positionH relativeFrom="column">
                  <wp:posOffset>-8255</wp:posOffset>
                </wp:positionH>
                <wp:positionV relativeFrom="paragraph">
                  <wp:posOffset>-53975</wp:posOffset>
                </wp:positionV>
                <wp:extent cx="153670" cy="15875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53670" cy="158750"/>
                        </a:xfrm>
                        <a:prstGeom prst="rect">
                          <a:avLst/>
                        </a:prstGeom>
                        <a:noFill/>
                        <a:ln>
                          <a:noFill/>
                        </a:ln>
                      </wps:spPr>
                      <wps:txbx>
                        <w:txbxContent>
                          <w:p>
                            <w:pPr>
                              <w:spacing w:before="20" w:line="184" w:lineRule="auto"/>
                              <w:ind w:firstLine="20"/>
                              <w:rPr>
                                <w:rFonts w:ascii="宋体" w:hAnsi="宋体" w:eastAsia="宋体" w:cs="宋体"/>
                                <w:sz w:val="21"/>
                                <w:szCs w:val="21"/>
                              </w:rPr>
                            </w:pPr>
                            <w:r>
                              <w:rPr>
                                <w:rFonts w:ascii="宋体" w:hAnsi="宋体" w:eastAsia="宋体" w:cs="宋体"/>
                                <w:sz w:val="21"/>
                                <w:szCs w:val="21"/>
                              </w:rPr>
                              <w:t>诉</w:t>
                            </w:r>
                          </w:p>
                        </w:txbxContent>
                      </wps:txbx>
                      <wps:bodyPr lIns="0" tIns="0" rIns="0" bIns="0" upright="1"/>
                    </wps:wsp>
                  </a:graphicData>
                </a:graphic>
              </wp:anchor>
            </w:drawing>
          </mc:Choice>
          <mc:Fallback>
            <w:pict>
              <v:shape id="_x0000_s1026" o:spid="_x0000_s1026" o:spt="202" type="#_x0000_t202" style="position:absolute;left:0pt;margin-left:-0.65pt;margin-top:-4.25pt;height:12.5pt;width:12.1pt;z-index:251662336;mso-width-relative:page;mso-height-relative:page;" filled="f" stroked="f" coordsize="21600,21600" o:gfxdata="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Yqbo0tYAAAAHAQAADwAAAAAAAAABACAAAAAiAAAAZHJzL2Rvd25yZXYueG1sUEsBAhQA&#10;FAAAAAgAh07iQLcCS6q7AQAAcwMAAA4AAAAAAAAAAQAgAAAAJQEAAGRycy9lMm9Eb2MueG1sUEsF&#10;BgAAAAAGAAYAWQEAAFIFAAAAAA==&#10;">
                <v:fill on="f" focussize="0,0"/>
                <v:stroke on="f"/>
                <v:imagedata o:title=""/>
                <o:lock v:ext="edit" aspectratio="f"/>
                <v:textbox inset="0mm,0mm,0mm,0mm">
                  <w:txbxContent>
                    <w:p>
                      <w:pPr>
                        <w:spacing w:before="20" w:line="184" w:lineRule="auto"/>
                        <w:ind w:firstLine="20"/>
                        <w:rPr>
                          <w:rFonts w:ascii="宋体" w:hAnsi="宋体" w:eastAsia="宋体" w:cs="宋体"/>
                          <w:sz w:val="21"/>
                          <w:szCs w:val="21"/>
                        </w:rPr>
                      </w:pPr>
                      <w:r>
                        <w:rPr>
                          <w:rFonts w:ascii="宋体" w:hAnsi="宋体" w:eastAsia="宋体" w:cs="宋体"/>
                          <w:sz w:val="21"/>
                          <w:szCs w:val="21"/>
                        </w:rPr>
                        <w:t>诉</w:t>
                      </w:r>
                    </w:p>
                  </w:txbxContent>
                </v:textbox>
              </v:shape>
            </w:pict>
          </mc:Fallback>
        </mc:AlternateContent>
      </w:r>
      <w:r>
        <w:rPr>
          <w:rFonts w:ascii="宋体" w:hAnsi="宋体" w:eastAsia="宋体" w:cs="宋体"/>
          <w:sz w:val="21"/>
          <w:szCs w:val="21"/>
        </w:rPr>
        <w:t>。</w:t>
      </w:r>
    </w:p>
    <w:p>
      <w:pPr>
        <w:spacing w:before="200" w:line="184" w:lineRule="auto"/>
        <w:ind w:firstLine="427"/>
        <w:rPr>
          <w:rFonts w:ascii="宋体" w:hAnsi="宋体" w:eastAsia="宋体" w:cs="宋体"/>
          <w:sz w:val="21"/>
          <w:szCs w:val="21"/>
        </w:rPr>
      </w:pPr>
      <w:r>
        <w:rPr>
          <w:rFonts w:ascii="宋体" w:hAnsi="宋体" w:eastAsia="宋体" w:cs="宋体"/>
          <w:spacing w:val="-1"/>
          <w:sz w:val="21"/>
          <w:szCs w:val="21"/>
          <w14:textOutline w14:w="3795" w14:cap="sq" w14:cmpd="sng">
            <w14:solidFill>
              <w14:srgbClr w14:val="000000"/>
            </w14:solidFill>
            <w14:prstDash w14:val="solid"/>
            <w14:bevel/>
          </w14:textOutline>
        </w:rPr>
        <w:t>十五、合同生效及其它</w:t>
      </w:r>
    </w:p>
    <w:p>
      <w:pPr>
        <w:spacing w:before="251" w:line="184" w:lineRule="auto"/>
        <w:ind w:firstLine="442"/>
        <w:rPr>
          <w:rFonts w:ascii="宋体" w:hAnsi="宋体" w:eastAsia="宋体" w:cs="宋体"/>
          <w:spacing w:val="-1"/>
          <w:sz w:val="21"/>
          <w:szCs w:val="21"/>
        </w:rPr>
      </w:pPr>
      <w:r>
        <w:rPr>
          <w:rFonts w:ascii="宋体" w:hAnsi="宋体" w:eastAsia="宋体" w:cs="宋体"/>
          <w:spacing w:val="-1"/>
          <w:sz w:val="21"/>
          <w:szCs w:val="21"/>
        </w:rPr>
        <w:t xml:space="preserve">1.合同经双方法定代表人或授权委托代理人签字并加盖单位公章后生效。            </w:t>
      </w:r>
    </w:p>
    <w:p>
      <w:pPr>
        <w:spacing w:before="251" w:line="184" w:lineRule="auto"/>
        <w:ind w:firstLine="442"/>
        <w:rPr>
          <w:rFonts w:ascii="宋体" w:hAnsi="宋体" w:eastAsia="宋体" w:cs="宋体"/>
          <w:spacing w:val="-1"/>
          <w:sz w:val="21"/>
          <w:szCs w:val="21"/>
        </w:rPr>
      </w:pPr>
      <w:r>
        <w:rPr>
          <w:rFonts w:ascii="宋体" w:hAnsi="宋体" w:eastAsia="宋体" w:cs="宋体"/>
          <w:spacing w:val="-1"/>
          <w:sz w:val="21"/>
          <w:szCs w:val="21"/>
        </w:rPr>
        <w:t xml:space="preserve">2.本合同未尽事宜，遵照《中华人民共和国民法典》 有关条文执行。                </w:t>
      </w:r>
    </w:p>
    <w:p>
      <w:pPr>
        <w:spacing w:before="251" w:line="184" w:lineRule="auto"/>
        <w:ind w:firstLine="442"/>
        <w:rPr>
          <w:rFonts w:ascii="宋体" w:hAnsi="宋体" w:eastAsia="宋体" w:cs="宋体"/>
          <w:spacing w:val="-1"/>
          <w:sz w:val="21"/>
          <w:szCs w:val="21"/>
        </w:rPr>
      </w:pPr>
      <w:r>
        <w:rPr>
          <w:rFonts w:ascii="宋体" w:hAnsi="宋体" w:eastAsia="宋体" w:cs="宋体"/>
          <w:spacing w:val="-1"/>
          <w:sz w:val="21"/>
          <w:szCs w:val="21"/>
        </w:rPr>
        <w:t>3.本合同正本一式六份，具有同等法律效力，甲乙双方各执二份； 采购代理机构二份。</w:t>
      </w:r>
    </w:p>
    <w:p>
      <w:pPr>
        <w:sectPr>
          <w:headerReference r:id="rId7" w:type="default"/>
          <w:footerReference r:id="rId8" w:type="default"/>
          <w:pgSz w:w="11906" w:h="16839"/>
          <w:pgMar w:top="1220" w:right="1360" w:bottom="898" w:left="1417" w:header="746" w:footer="771" w:gutter="0"/>
          <w:cols w:space="720" w:num="1"/>
        </w:sectPr>
      </w:pPr>
    </w:p>
    <w:tbl>
      <w:tblPr>
        <w:tblStyle w:val="111"/>
        <w:tblW w:w="975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43"/>
        <w:gridCol w:w="501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1" w:hRule="atLeast"/>
        </w:trPr>
        <w:tc>
          <w:tcPr>
            <w:tcW w:w="4743" w:type="dxa"/>
            <w:vMerge w:val="restart"/>
            <w:tcBorders>
              <w:bottom w:val="nil"/>
            </w:tcBorders>
            <w:vAlign w:val="top"/>
          </w:tcPr>
          <w:p>
            <w:pPr>
              <w:spacing w:line="345" w:lineRule="auto"/>
              <w:rPr>
                <w:rFonts w:ascii="宋体"/>
                <w:sz w:val="21"/>
              </w:rPr>
            </w:pPr>
          </w:p>
          <w:p>
            <w:pPr>
              <w:spacing w:before="68" w:line="408" w:lineRule="exact"/>
              <w:ind w:firstLine="141"/>
              <w:rPr>
                <w:rFonts w:ascii="宋体" w:hAnsi="宋体" w:eastAsia="宋体" w:cs="宋体"/>
                <w:sz w:val="21"/>
                <w:szCs w:val="21"/>
              </w:rPr>
            </w:pPr>
            <w:r>
              <w:rPr>
                <w:rFonts w:ascii="宋体" w:hAnsi="宋体" w:eastAsia="宋体" w:cs="宋体"/>
                <w:spacing w:val="-1"/>
                <w:position w:val="14"/>
                <w:sz w:val="21"/>
                <w:szCs w:val="21"/>
              </w:rPr>
              <w:t>甲方单位名称（章</w:t>
            </w:r>
            <w:r>
              <w:rPr>
                <w:rFonts w:ascii="宋体" w:hAnsi="宋体" w:eastAsia="宋体" w:cs="宋体"/>
                <w:spacing w:val="-59"/>
                <w:position w:val="14"/>
                <w:sz w:val="21"/>
                <w:szCs w:val="21"/>
              </w:rPr>
              <w:t>）</w:t>
            </w:r>
            <w:r>
              <w:rPr>
                <w:rFonts w:ascii="宋体" w:hAnsi="宋体" w:eastAsia="宋体" w:cs="宋体"/>
                <w:spacing w:val="-16"/>
                <w:position w:val="14"/>
                <w:sz w:val="21"/>
                <w:szCs w:val="21"/>
              </w:rPr>
              <w:t xml:space="preserve"> </w:t>
            </w:r>
            <w:r>
              <w:rPr>
                <w:rFonts w:ascii="宋体" w:hAnsi="宋体" w:eastAsia="宋体" w:cs="宋体"/>
                <w:spacing w:val="-59"/>
                <w:position w:val="14"/>
                <w:sz w:val="21"/>
                <w:szCs w:val="21"/>
              </w:rPr>
              <w:t>：</w:t>
            </w:r>
          </w:p>
          <w:p>
            <w:pPr>
              <w:spacing w:line="204" w:lineRule="auto"/>
              <w:ind w:firstLine="116"/>
              <w:rPr>
                <w:rFonts w:ascii="宋体" w:hAnsi="宋体" w:eastAsia="宋体" w:cs="宋体"/>
                <w:sz w:val="21"/>
                <w:szCs w:val="21"/>
              </w:rPr>
            </w:pPr>
            <w:r>
              <w:rPr>
                <w:rFonts w:ascii="宋体" w:hAnsi="宋体" w:eastAsia="宋体" w:cs="宋体"/>
                <w:spacing w:val="-3"/>
                <w:sz w:val="21"/>
                <w:szCs w:val="21"/>
              </w:rPr>
              <w:t>单位地址：</w:t>
            </w:r>
          </w:p>
          <w:p>
            <w:pPr>
              <w:spacing w:before="175" w:line="410" w:lineRule="exact"/>
              <w:ind w:firstLine="115"/>
              <w:rPr>
                <w:rFonts w:ascii="宋体" w:hAnsi="宋体" w:eastAsia="宋体" w:cs="宋体"/>
                <w:sz w:val="21"/>
                <w:szCs w:val="21"/>
              </w:rPr>
            </w:pPr>
            <w:r>
              <w:rPr>
                <w:rFonts w:ascii="宋体" w:hAnsi="宋体" w:eastAsia="宋体" w:cs="宋体"/>
                <w:spacing w:val="-2"/>
                <w:position w:val="14"/>
                <w:sz w:val="21"/>
                <w:szCs w:val="21"/>
              </w:rPr>
              <w:t>法定代表人：</w:t>
            </w:r>
          </w:p>
          <w:p>
            <w:pPr>
              <w:spacing w:line="204" w:lineRule="auto"/>
              <w:ind w:firstLine="114"/>
              <w:rPr>
                <w:rFonts w:ascii="宋体" w:hAnsi="宋体" w:eastAsia="宋体" w:cs="宋体"/>
                <w:sz w:val="21"/>
                <w:szCs w:val="21"/>
              </w:rPr>
            </w:pPr>
            <w:r>
              <w:rPr>
                <w:rFonts w:ascii="宋体" w:hAnsi="宋体" w:eastAsia="宋体" w:cs="宋体"/>
                <w:spacing w:val="-2"/>
                <w:sz w:val="21"/>
                <w:szCs w:val="21"/>
              </w:rPr>
              <w:t>委托代理人：</w:t>
            </w:r>
          </w:p>
          <w:p>
            <w:pPr>
              <w:spacing w:before="175" w:line="408" w:lineRule="exact"/>
              <w:ind w:firstLine="139"/>
              <w:rPr>
                <w:rFonts w:ascii="宋体" w:hAnsi="宋体" w:eastAsia="宋体" w:cs="宋体"/>
                <w:sz w:val="21"/>
                <w:szCs w:val="21"/>
              </w:rPr>
            </w:pPr>
            <w:r>
              <w:rPr>
                <w:rFonts w:ascii="宋体" w:hAnsi="宋体" w:eastAsia="宋体" w:cs="宋体"/>
                <w:spacing w:val="-15"/>
                <w:position w:val="14"/>
                <w:sz w:val="21"/>
                <w:szCs w:val="21"/>
              </w:rPr>
              <w:t>电</w:t>
            </w:r>
            <w:r>
              <w:rPr>
                <w:rFonts w:ascii="宋体" w:hAnsi="宋体" w:eastAsia="宋体" w:cs="宋体"/>
                <w:spacing w:val="13"/>
                <w:position w:val="14"/>
                <w:sz w:val="21"/>
                <w:szCs w:val="21"/>
              </w:rPr>
              <w:t xml:space="preserve"> </w:t>
            </w:r>
            <w:r>
              <w:rPr>
                <w:rFonts w:ascii="宋体" w:hAnsi="宋体" w:eastAsia="宋体" w:cs="宋体"/>
                <w:spacing w:val="-15"/>
                <w:position w:val="14"/>
                <w:sz w:val="21"/>
                <w:szCs w:val="21"/>
              </w:rPr>
              <w:t>话：</w:t>
            </w:r>
          </w:p>
          <w:p>
            <w:pPr>
              <w:spacing w:before="1" w:line="204" w:lineRule="auto"/>
              <w:ind w:firstLine="115"/>
              <w:rPr>
                <w:rFonts w:ascii="宋体" w:hAnsi="宋体" w:eastAsia="宋体" w:cs="宋体"/>
                <w:sz w:val="21"/>
                <w:szCs w:val="21"/>
              </w:rPr>
            </w:pPr>
            <w:r>
              <w:rPr>
                <w:rFonts w:ascii="宋体" w:hAnsi="宋体" w:eastAsia="宋体" w:cs="宋体"/>
                <w:spacing w:val="-3"/>
                <w:sz w:val="21"/>
                <w:szCs w:val="21"/>
              </w:rPr>
              <w:t>开户银行：</w:t>
            </w:r>
          </w:p>
          <w:p>
            <w:pPr>
              <w:spacing w:before="175" w:line="184" w:lineRule="auto"/>
              <w:ind w:firstLine="123"/>
              <w:rPr>
                <w:rFonts w:ascii="宋体" w:hAnsi="宋体" w:eastAsia="宋体" w:cs="宋体"/>
                <w:sz w:val="21"/>
                <w:szCs w:val="21"/>
              </w:rPr>
            </w:pPr>
            <w:r>
              <w:rPr>
                <w:rFonts w:ascii="宋体" w:hAnsi="宋体" w:eastAsia="宋体" w:cs="宋体"/>
                <w:spacing w:val="-11"/>
                <w:sz w:val="21"/>
                <w:szCs w:val="21"/>
              </w:rPr>
              <w:t>帐</w:t>
            </w:r>
            <w:r>
              <w:rPr>
                <w:rFonts w:ascii="宋体" w:hAnsi="宋体" w:eastAsia="宋体" w:cs="宋体"/>
                <w:spacing w:val="17"/>
                <w:sz w:val="21"/>
                <w:szCs w:val="21"/>
              </w:rPr>
              <w:t xml:space="preserve"> </w:t>
            </w:r>
            <w:r>
              <w:rPr>
                <w:rFonts w:ascii="宋体" w:hAnsi="宋体" w:eastAsia="宋体" w:cs="宋体"/>
                <w:spacing w:val="-11"/>
                <w:sz w:val="21"/>
                <w:szCs w:val="21"/>
              </w:rPr>
              <w:t>号：</w:t>
            </w:r>
          </w:p>
          <w:p>
            <w:pPr>
              <w:spacing w:before="198" w:line="184" w:lineRule="auto"/>
              <w:ind w:firstLine="130"/>
              <w:rPr>
                <w:rFonts w:ascii="宋体" w:hAnsi="宋体" w:eastAsia="宋体" w:cs="宋体"/>
                <w:sz w:val="21"/>
                <w:szCs w:val="21"/>
              </w:rPr>
            </w:pPr>
            <w:r>
              <w:rPr>
                <w:rFonts w:ascii="宋体" w:hAnsi="宋体" w:eastAsia="宋体" w:cs="宋体"/>
                <w:spacing w:val="-6"/>
                <w:sz w:val="21"/>
                <w:szCs w:val="21"/>
              </w:rPr>
              <w:t>邮政编码：</w:t>
            </w:r>
          </w:p>
        </w:tc>
        <w:tc>
          <w:tcPr>
            <w:tcW w:w="5010" w:type="dxa"/>
            <w:vMerge w:val="restart"/>
            <w:tcBorders>
              <w:bottom w:val="nil"/>
            </w:tcBorders>
            <w:vAlign w:val="top"/>
          </w:tcPr>
          <w:p>
            <w:pPr>
              <w:spacing w:line="345" w:lineRule="auto"/>
              <w:rPr>
                <w:rFonts w:ascii="宋体"/>
                <w:sz w:val="21"/>
              </w:rPr>
            </w:pPr>
          </w:p>
          <w:p>
            <w:pPr>
              <w:spacing w:before="68" w:line="408" w:lineRule="exact"/>
              <w:ind w:firstLine="132"/>
              <w:rPr>
                <w:rFonts w:ascii="宋体" w:hAnsi="宋体" w:eastAsia="宋体" w:cs="宋体"/>
                <w:sz w:val="21"/>
                <w:szCs w:val="21"/>
              </w:rPr>
            </w:pPr>
            <w:r>
              <w:rPr>
                <w:rFonts w:ascii="宋体" w:hAnsi="宋体" w:eastAsia="宋体" w:cs="宋体"/>
                <w:spacing w:val="-1"/>
                <w:position w:val="14"/>
                <w:sz w:val="21"/>
                <w:szCs w:val="21"/>
              </w:rPr>
              <w:t>乙方单位名称（章</w:t>
            </w:r>
            <w:r>
              <w:rPr>
                <w:rFonts w:ascii="宋体" w:hAnsi="宋体" w:eastAsia="宋体" w:cs="宋体"/>
                <w:spacing w:val="-55"/>
                <w:position w:val="14"/>
                <w:sz w:val="21"/>
                <w:szCs w:val="21"/>
              </w:rPr>
              <w:t>）</w:t>
            </w:r>
            <w:r>
              <w:rPr>
                <w:rFonts w:ascii="宋体" w:hAnsi="宋体" w:eastAsia="宋体" w:cs="宋体"/>
                <w:spacing w:val="-18"/>
                <w:position w:val="14"/>
                <w:sz w:val="21"/>
                <w:szCs w:val="21"/>
              </w:rPr>
              <w:t xml:space="preserve"> </w:t>
            </w:r>
            <w:r>
              <w:rPr>
                <w:rFonts w:ascii="宋体" w:hAnsi="宋体" w:eastAsia="宋体" w:cs="宋体"/>
                <w:spacing w:val="-55"/>
                <w:position w:val="14"/>
                <w:sz w:val="21"/>
                <w:szCs w:val="21"/>
              </w:rPr>
              <w:t>：</w:t>
            </w:r>
          </w:p>
          <w:p>
            <w:pPr>
              <w:spacing w:line="204" w:lineRule="auto"/>
              <w:ind w:firstLine="113"/>
              <w:rPr>
                <w:rFonts w:ascii="宋体" w:hAnsi="宋体" w:eastAsia="宋体" w:cs="宋体"/>
                <w:sz w:val="21"/>
                <w:szCs w:val="21"/>
              </w:rPr>
            </w:pPr>
            <w:r>
              <w:rPr>
                <w:rFonts w:ascii="宋体" w:hAnsi="宋体" w:eastAsia="宋体" w:cs="宋体"/>
                <w:spacing w:val="-3"/>
                <w:sz w:val="21"/>
                <w:szCs w:val="21"/>
              </w:rPr>
              <w:t>单位地址：</w:t>
            </w:r>
          </w:p>
          <w:p>
            <w:pPr>
              <w:spacing w:before="175" w:line="410" w:lineRule="exact"/>
              <w:ind w:firstLine="112"/>
              <w:rPr>
                <w:rFonts w:ascii="宋体" w:hAnsi="宋体" w:eastAsia="宋体" w:cs="宋体"/>
                <w:sz w:val="21"/>
                <w:szCs w:val="21"/>
              </w:rPr>
            </w:pPr>
            <w:r>
              <w:rPr>
                <w:rFonts w:ascii="宋体" w:hAnsi="宋体" w:eastAsia="宋体" w:cs="宋体"/>
                <w:spacing w:val="-2"/>
                <w:position w:val="14"/>
                <w:sz w:val="21"/>
                <w:szCs w:val="21"/>
              </w:rPr>
              <w:t>法定代表人：</w:t>
            </w:r>
          </w:p>
          <w:p>
            <w:pPr>
              <w:spacing w:line="204" w:lineRule="auto"/>
              <w:ind w:firstLine="111"/>
              <w:rPr>
                <w:rFonts w:ascii="宋体" w:hAnsi="宋体" w:eastAsia="宋体" w:cs="宋体"/>
                <w:sz w:val="21"/>
                <w:szCs w:val="21"/>
              </w:rPr>
            </w:pPr>
            <w:r>
              <w:rPr>
                <w:rFonts w:ascii="宋体" w:hAnsi="宋体" w:eastAsia="宋体" w:cs="宋体"/>
                <w:spacing w:val="-2"/>
                <w:sz w:val="21"/>
                <w:szCs w:val="21"/>
              </w:rPr>
              <w:t>委托代理人：</w:t>
            </w:r>
          </w:p>
          <w:p>
            <w:pPr>
              <w:spacing w:before="175" w:line="408" w:lineRule="exact"/>
              <w:ind w:firstLine="136"/>
              <w:rPr>
                <w:rFonts w:ascii="宋体" w:hAnsi="宋体" w:eastAsia="宋体" w:cs="宋体"/>
                <w:sz w:val="21"/>
                <w:szCs w:val="21"/>
              </w:rPr>
            </w:pPr>
            <w:r>
              <w:rPr>
                <w:rFonts w:ascii="宋体" w:hAnsi="宋体" w:eastAsia="宋体" w:cs="宋体"/>
                <w:spacing w:val="-15"/>
                <w:position w:val="14"/>
                <w:sz w:val="21"/>
                <w:szCs w:val="21"/>
              </w:rPr>
              <w:t>电</w:t>
            </w:r>
            <w:r>
              <w:rPr>
                <w:rFonts w:ascii="宋体" w:hAnsi="宋体" w:eastAsia="宋体" w:cs="宋体"/>
                <w:spacing w:val="13"/>
                <w:position w:val="14"/>
                <w:sz w:val="21"/>
                <w:szCs w:val="21"/>
              </w:rPr>
              <w:t xml:space="preserve"> </w:t>
            </w:r>
            <w:r>
              <w:rPr>
                <w:rFonts w:ascii="宋体" w:hAnsi="宋体" w:eastAsia="宋体" w:cs="宋体"/>
                <w:spacing w:val="-15"/>
                <w:position w:val="14"/>
                <w:sz w:val="21"/>
                <w:szCs w:val="21"/>
              </w:rPr>
              <w:t>话：</w:t>
            </w:r>
          </w:p>
          <w:p>
            <w:pPr>
              <w:spacing w:before="1" w:line="204" w:lineRule="auto"/>
              <w:ind w:firstLine="112"/>
              <w:rPr>
                <w:rFonts w:ascii="宋体" w:hAnsi="宋体" w:eastAsia="宋体" w:cs="宋体"/>
                <w:sz w:val="21"/>
                <w:szCs w:val="21"/>
              </w:rPr>
            </w:pPr>
            <w:r>
              <w:rPr>
                <w:rFonts w:ascii="宋体" w:hAnsi="宋体" w:eastAsia="宋体" w:cs="宋体"/>
                <w:spacing w:val="-3"/>
                <w:sz w:val="21"/>
                <w:szCs w:val="21"/>
              </w:rPr>
              <w:t>开户银行：</w:t>
            </w:r>
          </w:p>
          <w:p>
            <w:pPr>
              <w:spacing w:before="175" w:line="184" w:lineRule="auto"/>
              <w:ind w:firstLine="120"/>
              <w:rPr>
                <w:rFonts w:ascii="宋体" w:hAnsi="宋体" w:eastAsia="宋体" w:cs="宋体"/>
                <w:sz w:val="21"/>
                <w:szCs w:val="21"/>
              </w:rPr>
            </w:pPr>
            <w:r>
              <w:rPr>
                <w:rFonts w:ascii="宋体" w:hAnsi="宋体" w:eastAsia="宋体" w:cs="宋体"/>
                <w:spacing w:val="-11"/>
                <w:sz w:val="21"/>
                <w:szCs w:val="21"/>
              </w:rPr>
              <w:t>帐</w:t>
            </w:r>
            <w:r>
              <w:rPr>
                <w:rFonts w:ascii="宋体" w:hAnsi="宋体" w:eastAsia="宋体" w:cs="宋体"/>
                <w:spacing w:val="17"/>
                <w:sz w:val="21"/>
                <w:szCs w:val="21"/>
              </w:rPr>
              <w:t xml:space="preserve"> </w:t>
            </w:r>
            <w:r>
              <w:rPr>
                <w:rFonts w:ascii="宋体" w:hAnsi="宋体" w:eastAsia="宋体" w:cs="宋体"/>
                <w:spacing w:val="-11"/>
                <w:sz w:val="21"/>
                <w:szCs w:val="21"/>
              </w:rPr>
              <w:t>号：</w:t>
            </w:r>
          </w:p>
          <w:p>
            <w:pPr>
              <w:spacing w:before="198" w:line="184" w:lineRule="auto"/>
              <w:ind w:firstLine="127"/>
              <w:rPr>
                <w:rFonts w:ascii="宋体" w:hAnsi="宋体" w:eastAsia="宋体" w:cs="宋体"/>
                <w:sz w:val="21"/>
                <w:szCs w:val="21"/>
              </w:rPr>
            </w:pPr>
            <w:r>
              <w:rPr>
                <w:rFonts w:ascii="宋体" w:hAnsi="宋体" w:eastAsia="宋体" w:cs="宋体"/>
                <w:spacing w:val="-6"/>
                <w:sz w:val="21"/>
                <w:szCs w:val="21"/>
              </w:rPr>
              <w:t>邮政编码：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1" w:hRule="atLeast"/>
        </w:trPr>
        <w:tc>
          <w:tcPr>
            <w:tcW w:w="4743" w:type="dxa"/>
            <w:vMerge w:val="continue"/>
            <w:tcBorders>
              <w:top w:val="nil"/>
            </w:tcBorders>
            <w:vAlign w:val="top"/>
          </w:tcPr>
          <w:p>
            <w:pPr>
              <w:rPr>
                <w:rFonts w:ascii="宋体"/>
                <w:sz w:val="21"/>
              </w:rPr>
            </w:pPr>
          </w:p>
        </w:tc>
        <w:tc>
          <w:tcPr>
            <w:tcW w:w="5010" w:type="dxa"/>
            <w:vMerge w:val="continue"/>
            <w:tcBorders>
              <w:top w:val="nil"/>
            </w:tcBorders>
            <w:vAlign w:val="top"/>
          </w:tcPr>
          <w:p>
            <w:pPr>
              <w:rPr>
                <w:rFonts w:ascii="宋体"/>
                <w:sz w:val="21"/>
              </w:rPr>
            </w:pPr>
          </w:p>
        </w:tc>
      </w:tr>
    </w:tbl>
    <w:p>
      <w:pPr>
        <w:spacing w:line="266" w:lineRule="auto"/>
        <w:rPr>
          <w:rFonts w:ascii="宋体"/>
          <w:sz w:val="21"/>
        </w:rPr>
      </w:pPr>
    </w:p>
    <w:p>
      <w:pPr>
        <w:spacing w:line="266" w:lineRule="auto"/>
        <w:rPr>
          <w:rFonts w:ascii="宋体"/>
          <w:sz w:val="21"/>
        </w:rPr>
      </w:pPr>
    </w:p>
    <w:p>
      <w:pPr>
        <w:spacing w:before="69" w:line="184" w:lineRule="auto"/>
        <w:ind w:firstLine="191"/>
        <w:rPr>
          <w:rFonts w:ascii="宋体" w:hAnsi="宋体" w:eastAsia="宋体" w:cs="宋体"/>
          <w:sz w:val="21"/>
          <w:szCs w:val="21"/>
        </w:rPr>
      </w:pPr>
      <w:r>
        <w:rPr>
          <w:rFonts w:ascii="宋体" w:hAnsi="宋体" w:eastAsia="宋体" w:cs="宋体"/>
          <w:spacing w:val="-4"/>
          <w:sz w:val="21"/>
          <w:szCs w:val="21"/>
          <w14:textOutline w14:w="3795" w14:cap="sq" w14:cmpd="sng">
            <w14:solidFill>
              <w14:srgbClr w14:val="000000"/>
            </w14:solidFill>
            <w14:prstDash w14:val="solid"/>
            <w14:bevel/>
          </w14:textOutline>
        </w:rPr>
        <w:t>注：</w:t>
      </w:r>
      <w:r>
        <w:rPr>
          <w:rFonts w:ascii="宋体" w:hAnsi="宋体" w:eastAsia="宋体" w:cs="宋体"/>
          <w:spacing w:val="58"/>
          <w:sz w:val="21"/>
          <w:szCs w:val="21"/>
        </w:rPr>
        <w:t xml:space="preserve"> </w:t>
      </w:r>
      <w:r>
        <w:rPr>
          <w:rFonts w:ascii="宋体" w:hAnsi="宋体" w:eastAsia="宋体" w:cs="宋体"/>
          <w:spacing w:val="-4"/>
          <w:sz w:val="21"/>
          <w:szCs w:val="21"/>
          <w14:textOutline w14:w="3795" w14:cap="sq" w14:cmpd="sng">
            <w14:solidFill>
              <w14:srgbClr w14:val="000000"/>
            </w14:solidFill>
            <w14:prstDash w14:val="solid"/>
            <w14:bevel/>
          </w14:textOutline>
        </w:rPr>
        <w:t>此合同样本仅作参考，采购人、供应商可根据采购项目的实际情况进行修改。</w:t>
      </w:r>
    </w:p>
    <w:p/>
    <w:p>
      <w:pPr>
        <w:bidi w:val="0"/>
        <w:rPr>
          <w:rFonts w:ascii="Times New Roman" w:hAnsi="Times New Roman" w:eastAsia="宋体" w:cs="Times New Roman"/>
          <w:kern w:val="2"/>
          <w:sz w:val="28"/>
          <w:szCs w:val="24"/>
          <w:lang w:val="en-US" w:eastAsia="zh-CN" w:bidi="ar-SA"/>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tabs>
          <w:tab w:val="center" w:pos="4895"/>
        </w:tabs>
        <w:bidi w:val="0"/>
        <w:jc w:val="left"/>
        <w:rPr>
          <w:lang w:val="en-US" w:eastAsia="zh-CN"/>
        </w:rPr>
        <w:sectPr>
          <w:headerReference r:id="rId9" w:type="default"/>
          <w:footerReference r:id="rId10" w:type="default"/>
          <w:pgSz w:w="11906" w:h="16839"/>
          <w:pgMar w:top="400" w:right="884" w:bottom="897" w:left="1232" w:header="0" w:footer="771" w:gutter="0"/>
          <w:cols w:space="720" w:num="1"/>
        </w:sectPr>
      </w:pPr>
    </w:p>
    <w:p/>
    <w:p>
      <w:pPr>
        <w:autoSpaceDE w:val="0"/>
        <w:autoSpaceDN w:val="0"/>
        <w:spacing w:line="360" w:lineRule="exact"/>
        <w:jc w:val="center"/>
        <w:rPr>
          <w:rFonts w:ascii="宋体" w:hAnsi="宋体" w:cs="宋体"/>
          <w:sz w:val="24"/>
        </w:rPr>
      </w:pPr>
      <w:r>
        <w:rPr>
          <w:rFonts w:hint="eastAsia" w:ascii="宋体" w:hAnsi="宋体" w:cs="宋体"/>
          <w:b/>
          <w:sz w:val="32"/>
          <w:szCs w:val="32"/>
        </w:rPr>
        <w:t>第六章　投标文件格式</w:t>
      </w:r>
    </w:p>
    <w:p>
      <w:pPr>
        <w:snapToGrid w:val="0"/>
        <w:spacing w:before="50" w:after="156" w:afterLines="50"/>
        <w:jc w:val="left"/>
        <w:rPr>
          <w:rFonts w:ascii="宋体" w:hAnsi="宋体" w:cs="宋体"/>
          <w:sz w:val="24"/>
          <w:szCs w:val="20"/>
        </w:rPr>
      </w:pPr>
      <w:r>
        <w:rPr>
          <w:rFonts w:hint="eastAsia" w:ascii="宋体" w:hAnsi="宋体" w:cs="宋体"/>
          <w:sz w:val="24"/>
        </w:rPr>
        <w:t>附件1    投标文件封面：</w:t>
      </w:r>
    </w:p>
    <w:p>
      <w:pPr>
        <w:spacing w:line="360" w:lineRule="auto"/>
        <w:rPr>
          <w:rFonts w:ascii="宋体" w:hAnsi="宋体" w:cs="宋体"/>
          <w:b/>
          <w:sz w:val="30"/>
          <w:szCs w:val="30"/>
        </w:rPr>
      </w:pPr>
    </w:p>
    <w:p>
      <w:pPr>
        <w:spacing w:line="360" w:lineRule="auto"/>
        <w:jc w:val="center"/>
        <w:rPr>
          <w:rFonts w:hint="eastAsia" w:ascii="宋体" w:hAnsi="宋体" w:eastAsia="宋体" w:cs="宋体"/>
          <w:spacing w:val="40"/>
          <w:sz w:val="36"/>
          <w:szCs w:val="36"/>
          <w:lang w:eastAsia="zh-CN"/>
        </w:rPr>
      </w:pPr>
      <w:r>
        <w:rPr>
          <w:rFonts w:hint="eastAsia" w:ascii="宋体" w:hAnsi="宋体" w:cs="宋体"/>
          <w:spacing w:val="40"/>
          <w:sz w:val="36"/>
          <w:szCs w:val="36"/>
          <w:lang w:eastAsia="zh-CN"/>
        </w:rPr>
        <w:t>数字校园管理系统项目</w:t>
      </w:r>
    </w:p>
    <w:p>
      <w:pPr>
        <w:spacing w:line="360" w:lineRule="auto"/>
        <w:rPr>
          <w:rFonts w:ascii="宋体" w:hAnsi="宋体" w:cs="宋体"/>
          <w:sz w:val="36"/>
          <w:szCs w:val="36"/>
        </w:rPr>
      </w:pPr>
    </w:p>
    <w:p>
      <w:pPr>
        <w:spacing w:line="360" w:lineRule="auto"/>
        <w:jc w:val="center"/>
        <w:rPr>
          <w:rFonts w:hint="eastAsia" w:ascii="宋体" w:hAnsi="宋体" w:eastAsia="宋体" w:cs="宋体"/>
          <w:sz w:val="36"/>
          <w:szCs w:val="36"/>
          <w:lang w:eastAsia="zh-CN"/>
        </w:rPr>
      </w:pPr>
      <w:r>
        <w:rPr>
          <w:rFonts w:hint="eastAsia" w:ascii="宋体" w:hAnsi="宋体" w:cs="宋体"/>
          <w:sz w:val="36"/>
          <w:szCs w:val="36"/>
        </w:rPr>
        <w:t xml:space="preserve">项目编号： </w:t>
      </w:r>
      <w:r>
        <w:rPr>
          <w:rFonts w:hint="eastAsia" w:ascii="宋体" w:hAnsi="宋体" w:cs="宋体"/>
          <w:sz w:val="36"/>
          <w:szCs w:val="36"/>
          <w:lang w:eastAsia="zh-CN"/>
        </w:rPr>
        <w:t>台财采确临【2021】10225号</w:t>
      </w:r>
    </w:p>
    <w:p>
      <w:pPr>
        <w:autoSpaceDE w:val="0"/>
        <w:autoSpaceDN w:val="0"/>
        <w:adjustRightInd w:val="0"/>
        <w:spacing w:line="360" w:lineRule="auto"/>
        <w:jc w:val="center"/>
        <w:rPr>
          <w:rFonts w:ascii="宋体" w:hAnsi="宋体" w:cs="宋体"/>
          <w:sz w:val="84"/>
          <w:szCs w:val="84"/>
          <w:lang w:val="zh-CN"/>
        </w:rPr>
      </w:pPr>
      <w:r>
        <w:rPr>
          <w:rFonts w:hint="eastAsia" w:ascii="宋体" w:hAnsi="宋体" w:cs="宋体"/>
          <w:sz w:val="84"/>
          <w:szCs w:val="84"/>
          <w:lang w:val="zh-CN"/>
        </w:rPr>
        <w:t>投</w:t>
      </w:r>
    </w:p>
    <w:p>
      <w:pPr>
        <w:autoSpaceDE w:val="0"/>
        <w:autoSpaceDN w:val="0"/>
        <w:adjustRightInd w:val="0"/>
        <w:spacing w:line="360" w:lineRule="auto"/>
        <w:jc w:val="center"/>
        <w:rPr>
          <w:rFonts w:ascii="宋体" w:hAnsi="宋体" w:cs="宋体"/>
          <w:sz w:val="84"/>
          <w:szCs w:val="84"/>
          <w:lang w:val="zh-CN"/>
        </w:rPr>
      </w:pPr>
      <w:r>
        <w:rPr>
          <w:rFonts w:hint="eastAsia" w:ascii="宋体" w:hAnsi="宋体" w:cs="宋体"/>
          <w:sz w:val="84"/>
          <w:szCs w:val="84"/>
          <w:lang w:val="zh-CN"/>
        </w:rPr>
        <w:t>标</w:t>
      </w:r>
    </w:p>
    <w:p>
      <w:pPr>
        <w:autoSpaceDE w:val="0"/>
        <w:autoSpaceDN w:val="0"/>
        <w:adjustRightInd w:val="0"/>
        <w:spacing w:line="360" w:lineRule="auto"/>
        <w:jc w:val="center"/>
        <w:rPr>
          <w:rFonts w:ascii="宋体" w:hAnsi="宋体" w:cs="宋体"/>
          <w:sz w:val="84"/>
          <w:szCs w:val="84"/>
        </w:rPr>
      </w:pPr>
      <w:r>
        <w:rPr>
          <w:rFonts w:hint="eastAsia" w:ascii="宋体" w:hAnsi="宋体" w:cs="宋体"/>
          <w:sz w:val="84"/>
          <w:szCs w:val="84"/>
          <w:lang w:val="zh-CN"/>
        </w:rPr>
        <w:t>文</w:t>
      </w:r>
    </w:p>
    <w:p>
      <w:pPr>
        <w:autoSpaceDE w:val="0"/>
        <w:autoSpaceDN w:val="0"/>
        <w:adjustRightInd w:val="0"/>
        <w:spacing w:line="360" w:lineRule="auto"/>
        <w:jc w:val="center"/>
        <w:rPr>
          <w:rFonts w:ascii="宋体" w:hAnsi="宋体" w:cs="宋体"/>
          <w:sz w:val="84"/>
          <w:szCs w:val="84"/>
          <w:lang w:val="zh-CN"/>
        </w:rPr>
      </w:pPr>
      <w:r>
        <w:rPr>
          <w:rFonts w:hint="eastAsia" w:ascii="宋体" w:hAnsi="宋体" w:cs="宋体"/>
          <w:sz w:val="84"/>
          <w:szCs w:val="84"/>
          <w:lang w:val="zh-CN"/>
        </w:rPr>
        <w:t>件</w:t>
      </w:r>
    </w:p>
    <w:p>
      <w:pPr>
        <w:autoSpaceDE w:val="0"/>
        <w:autoSpaceDN w:val="0"/>
        <w:adjustRightInd w:val="0"/>
        <w:spacing w:line="360" w:lineRule="auto"/>
        <w:jc w:val="center"/>
        <w:rPr>
          <w:rFonts w:ascii="宋体" w:hAnsi="宋体" w:cs="宋体"/>
          <w:b/>
          <w:bCs/>
          <w:spacing w:val="40"/>
          <w:szCs w:val="28"/>
        </w:rPr>
      </w:pPr>
      <w:r>
        <w:rPr>
          <w:rFonts w:hint="eastAsia" w:ascii="宋体" w:hAnsi="宋体" w:cs="宋体"/>
          <w:b/>
          <w:bCs/>
          <w:szCs w:val="28"/>
          <w:lang w:val="zh-CN"/>
        </w:rPr>
        <w:t>（资格证明文件</w:t>
      </w:r>
      <w:r>
        <w:rPr>
          <w:rFonts w:hint="eastAsia" w:ascii="宋体" w:hAnsi="宋体" w:cs="宋体"/>
          <w:b/>
          <w:bCs/>
          <w:szCs w:val="28"/>
        </w:rPr>
        <w:t>/</w:t>
      </w:r>
      <w:r>
        <w:rPr>
          <w:rFonts w:hint="eastAsia" w:ascii="宋体" w:hAnsi="宋体" w:cs="宋体"/>
          <w:b/>
          <w:bCs/>
          <w:szCs w:val="28"/>
          <w:lang w:val="zh-CN"/>
        </w:rPr>
        <w:t>商务与技术文件</w:t>
      </w:r>
      <w:r>
        <w:rPr>
          <w:rFonts w:hint="eastAsia" w:ascii="宋体" w:hAnsi="宋体" w:cs="宋体"/>
          <w:b/>
          <w:bCs/>
          <w:szCs w:val="28"/>
        </w:rPr>
        <w:t>/</w:t>
      </w:r>
      <w:r>
        <w:rPr>
          <w:rFonts w:hint="eastAsia" w:ascii="宋体" w:hAnsi="宋体" w:cs="宋体"/>
          <w:b/>
          <w:bCs/>
          <w:szCs w:val="28"/>
          <w:lang w:val="zh-CN"/>
        </w:rPr>
        <w:t>报价文件</w:t>
      </w:r>
      <w:r>
        <w:rPr>
          <w:rFonts w:hint="eastAsia" w:ascii="宋体" w:hAnsi="宋体" w:cs="宋体"/>
          <w:b/>
          <w:bCs/>
          <w:spacing w:val="40"/>
          <w:szCs w:val="28"/>
        </w:rPr>
        <w:t>）</w:t>
      </w:r>
    </w:p>
    <w:p>
      <w:pPr>
        <w:autoSpaceDE w:val="0"/>
        <w:autoSpaceDN w:val="0"/>
        <w:adjustRightInd w:val="0"/>
        <w:spacing w:line="360" w:lineRule="auto"/>
        <w:rPr>
          <w:rFonts w:ascii="宋体" w:hAnsi="宋体" w:cs="宋体"/>
          <w:sz w:val="36"/>
          <w:szCs w:val="36"/>
        </w:rPr>
      </w:pPr>
    </w:p>
    <w:p>
      <w:pPr>
        <w:autoSpaceDE w:val="0"/>
        <w:autoSpaceDN w:val="0"/>
        <w:adjustRightInd w:val="0"/>
        <w:spacing w:line="360" w:lineRule="auto"/>
        <w:rPr>
          <w:rFonts w:ascii="宋体" w:hAnsi="宋体" w:cs="宋体"/>
          <w:sz w:val="36"/>
          <w:szCs w:val="36"/>
        </w:rPr>
      </w:pPr>
      <w:r>
        <w:rPr>
          <w:rFonts w:hint="eastAsia" w:ascii="宋体" w:hAnsi="宋体" w:cs="宋体"/>
          <w:sz w:val="36"/>
          <w:szCs w:val="36"/>
        </w:rPr>
        <w:t>投标人全称（公章或CA签章）：</w:t>
      </w:r>
    </w:p>
    <w:p>
      <w:pPr>
        <w:autoSpaceDE w:val="0"/>
        <w:autoSpaceDN w:val="0"/>
        <w:adjustRightInd w:val="0"/>
        <w:spacing w:line="360" w:lineRule="auto"/>
        <w:rPr>
          <w:rFonts w:ascii="宋体" w:hAnsi="宋体" w:cs="宋体"/>
          <w:sz w:val="36"/>
          <w:szCs w:val="36"/>
        </w:rPr>
      </w:pPr>
      <w:r>
        <w:rPr>
          <w:rFonts w:hint="eastAsia" w:ascii="宋体" w:hAnsi="宋体" w:cs="宋体"/>
          <w:sz w:val="36"/>
          <w:szCs w:val="36"/>
        </w:rPr>
        <w:t>法定代表人（签字或盖章）：</w:t>
      </w:r>
    </w:p>
    <w:p>
      <w:pPr>
        <w:autoSpaceDE w:val="0"/>
        <w:autoSpaceDN w:val="0"/>
        <w:adjustRightInd w:val="0"/>
        <w:spacing w:line="360" w:lineRule="auto"/>
        <w:rPr>
          <w:rFonts w:ascii="宋体" w:hAnsi="宋体" w:cs="宋体"/>
          <w:sz w:val="36"/>
          <w:szCs w:val="36"/>
        </w:rPr>
      </w:pPr>
      <w:r>
        <w:rPr>
          <w:rFonts w:hint="eastAsia" w:ascii="宋体" w:hAnsi="宋体" w:cs="宋体"/>
          <w:sz w:val="36"/>
          <w:szCs w:val="36"/>
        </w:rPr>
        <w:t>时间：</w:t>
      </w:r>
    </w:p>
    <w:p>
      <w:pPr>
        <w:snapToGrid w:val="0"/>
        <w:spacing w:before="50" w:after="156" w:afterLines="50"/>
        <w:jc w:val="left"/>
        <w:rPr>
          <w:rFonts w:ascii="宋体" w:hAnsi="宋体" w:cs="宋体"/>
          <w:sz w:val="24"/>
        </w:rPr>
      </w:pPr>
    </w:p>
    <w:p>
      <w:pPr>
        <w:snapToGrid w:val="0"/>
        <w:spacing w:before="50" w:after="156" w:afterLines="50"/>
        <w:jc w:val="left"/>
        <w:rPr>
          <w:rFonts w:ascii="宋体" w:hAnsi="宋体" w:cs="宋体"/>
          <w:sz w:val="24"/>
        </w:rPr>
      </w:pPr>
    </w:p>
    <w:p>
      <w:pPr>
        <w:snapToGrid w:val="0"/>
        <w:spacing w:before="50" w:after="156" w:afterLines="50"/>
        <w:jc w:val="left"/>
        <w:rPr>
          <w:rFonts w:ascii="宋体" w:hAnsi="宋体" w:cs="宋体"/>
          <w:sz w:val="24"/>
        </w:rPr>
      </w:pPr>
    </w:p>
    <w:p>
      <w:pPr>
        <w:pStyle w:val="102"/>
      </w:pPr>
    </w:p>
    <w:p>
      <w:pPr>
        <w:snapToGrid w:val="0"/>
        <w:spacing w:before="50" w:after="156" w:afterLines="50"/>
        <w:jc w:val="left"/>
        <w:rPr>
          <w:rFonts w:ascii="宋体" w:hAnsi="宋体" w:cs="宋体"/>
          <w:sz w:val="24"/>
        </w:rPr>
      </w:pPr>
    </w:p>
    <w:p>
      <w:pPr>
        <w:snapToGrid w:val="0"/>
        <w:spacing w:before="50" w:after="156" w:afterLines="50"/>
        <w:jc w:val="left"/>
        <w:rPr>
          <w:rFonts w:ascii="宋体" w:hAnsi="宋体" w:cs="宋体"/>
          <w:sz w:val="24"/>
          <w:szCs w:val="20"/>
        </w:rPr>
      </w:pPr>
      <w:r>
        <w:rPr>
          <w:rFonts w:hint="eastAsia" w:ascii="宋体" w:hAnsi="宋体" w:cs="宋体"/>
          <w:sz w:val="24"/>
        </w:rPr>
        <w:t>附件2    法定代表人授权委托书格式：</w:t>
      </w:r>
    </w:p>
    <w:p>
      <w:pPr>
        <w:spacing w:line="360" w:lineRule="auto"/>
        <w:jc w:val="center"/>
        <w:rPr>
          <w:rFonts w:ascii="宋体" w:hAnsi="宋体" w:cs="宋体"/>
          <w:b/>
        </w:rPr>
      </w:pPr>
      <w:r>
        <w:rPr>
          <w:rFonts w:hint="eastAsia" w:ascii="宋体" w:hAnsi="宋体" w:cs="宋体"/>
          <w:b/>
        </w:rPr>
        <w:t>法定代表人授权委托书</w:t>
      </w:r>
    </w:p>
    <w:p>
      <w:pPr>
        <w:spacing w:line="360" w:lineRule="auto"/>
        <w:jc w:val="left"/>
        <w:rPr>
          <w:rFonts w:ascii="宋体" w:hAnsi="宋体" w:cs="宋体"/>
          <w:sz w:val="24"/>
          <w:szCs w:val="32"/>
        </w:rPr>
      </w:pPr>
      <w:r>
        <w:rPr>
          <w:rFonts w:hint="eastAsia" w:ascii="宋体" w:hAnsi="宋体" w:cs="宋体"/>
          <w:sz w:val="24"/>
          <w:szCs w:val="32"/>
          <w:u w:val="single"/>
        </w:rPr>
        <w:t xml:space="preserve">                          </w:t>
      </w:r>
      <w:r>
        <w:rPr>
          <w:rFonts w:hint="eastAsia" w:ascii="宋体" w:hAnsi="宋体" w:cs="宋体"/>
          <w:sz w:val="24"/>
          <w:szCs w:val="32"/>
        </w:rPr>
        <w:t>：</w:t>
      </w:r>
    </w:p>
    <w:p>
      <w:pPr>
        <w:spacing w:line="360" w:lineRule="auto"/>
        <w:ind w:firstLine="480" w:firstLineChars="200"/>
        <w:rPr>
          <w:rFonts w:ascii="宋体" w:hAnsi="宋体" w:cs="宋体"/>
          <w:sz w:val="24"/>
          <w:szCs w:val="32"/>
        </w:rPr>
      </w:pPr>
      <w:r>
        <w:rPr>
          <w:rFonts w:hint="eastAsia" w:ascii="宋体" w:hAnsi="宋体" w:cs="宋体"/>
          <w:sz w:val="24"/>
          <w:szCs w:val="32"/>
          <w:u w:val="single"/>
        </w:rPr>
        <w:t xml:space="preserve">       （投标人全称）       </w:t>
      </w:r>
      <w:r>
        <w:rPr>
          <w:rFonts w:hint="eastAsia" w:ascii="宋体" w:hAnsi="宋体" w:cs="宋体"/>
          <w:sz w:val="24"/>
          <w:szCs w:val="32"/>
        </w:rPr>
        <w:t>法定代表人（或营业执照中单位负责人）</w:t>
      </w:r>
      <w:r>
        <w:rPr>
          <w:rFonts w:hint="eastAsia" w:ascii="宋体" w:hAnsi="宋体" w:cs="宋体"/>
          <w:sz w:val="24"/>
          <w:szCs w:val="32"/>
          <w:u w:val="single"/>
        </w:rPr>
        <w:tab/>
      </w:r>
      <w:r>
        <w:rPr>
          <w:rFonts w:hint="eastAsia" w:ascii="宋体" w:hAnsi="宋体" w:cs="宋体"/>
          <w:sz w:val="24"/>
          <w:szCs w:val="32"/>
          <w:u w:val="single"/>
        </w:rPr>
        <w:t xml:space="preserve">（法定代表人或营业执照中单位负责人姓名） </w:t>
      </w:r>
      <w:r>
        <w:rPr>
          <w:rFonts w:hint="eastAsia" w:ascii="宋体" w:hAnsi="宋体" w:cs="宋体"/>
          <w:sz w:val="24"/>
          <w:szCs w:val="32"/>
        </w:rPr>
        <w:t>授权</w:t>
      </w:r>
      <w:r>
        <w:rPr>
          <w:rFonts w:hint="eastAsia" w:ascii="宋体" w:hAnsi="宋体" w:cs="宋体"/>
          <w:sz w:val="24"/>
          <w:szCs w:val="32"/>
          <w:u w:val="single"/>
        </w:rPr>
        <w:t xml:space="preserve"> （授权委托代理人姓名） </w:t>
      </w:r>
      <w:r>
        <w:rPr>
          <w:rFonts w:hint="eastAsia" w:ascii="宋体" w:hAnsi="宋体" w:cs="宋体"/>
          <w:sz w:val="24"/>
          <w:szCs w:val="32"/>
        </w:rPr>
        <w:t>为授权委托代理人，参加贵单位组织的</w:t>
      </w:r>
      <w:r>
        <w:rPr>
          <w:rFonts w:hint="eastAsia" w:ascii="宋体" w:hAnsi="宋体" w:cs="宋体"/>
          <w:sz w:val="24"/>
          <w:szCs w:val="32"/>
          <w:u w:val="single"/>
        </w:rPr>
        <w:t xml:space="preserve"> </w:t>
      </w:r>
      <w:r>
        <w:rPr>
          <w:rFonts w:hint="eastAsia" w:ascii="宋体" w:hAnsi="宋体" w:cs="宋体"/>
          <w:sz w:val="24"/>
          <w:szCs w:val="32"/>
          <w:u w:val="single"/>
          <w:lang w:eastAsia="zh-CN"/>
        </w:rPr>
        <w:t>数字校园管理系统项目</w:t>
      </w:r>
      <w:r>
        <w:rPr>
          <w:rFonts w:hint="eastAsia" w:ascii="宋体" w:hAnsi="宋体" w:cs="宋体"/>
          <w:sz w:val="24"/>
          <w:szCs w:val="32"/>
          <w:u w:val="single"/>
        </w:rPr>
        <w:t xml:space="preserve"> </w:t>
      </w:r>
      <w:r>
        <w:rPr>
          <w:rFonts w:hint="eastAsia" w:ascii="宋体" w:hAnsi="宋体" w:cs="宋体"/>
          <w:sz w:val="24"/>
          <w:szCs w:val="32"/>
        </w:rPr>
        <w:t>的采购活动，并代表我方全权办理针对上述项目的投标、开标、评标、签约等具体事务和签署相关文件。我方对授权委托代理人的签字事项负全部责任。</w:t>
      </w:r>
    </w:p>
    <w:p>
      <w:pPr>
        <w:spacing w:line="360" w:lineRule="auto"/>
        <w:ind w:firstLine="480" w:firstLineChars="200"/>
        <w:rPr>
          <w:rFonts w:ascii="宋体" w:hAnsi="宋体" w:cs="宋体"/>
          <w:sz w:val="24"/>
          <w:szCs w:val="32"/>
        </w:rPr>
      </w:pPr>
      <w:r>
        <w:rPr>
          <w:rFonts w:hint="eastAsia" w:ascii="宋体" w:hAnsi="宋体" w:cs="宋体"/>
          <w:sz w:val="24"/>
          <w:szCs w:val="32"/>
        </w:rPr>
        <w:t>在撤销授权的书面通知以前，本授权书一直有效。授权委托代理人在授权委托书有效期内签署的所有文件不因授权的撤销而失效。</w:t>
      </w:r>
    </w:p>
    <w:p>
      <w:pPr>
        <w:spacing w:line="360" w:lineRule="auto"/>
        <w:ind w:firstLine="480" w:firstLineChars="200"/>
        <w:rPr>
          <w:rFonts w:ascii="宋体" w:hAnsi="宋体" w:cs="宋体"/>
          <w:sz w:val="24"/>
          <w:szCs w:val="32"/>
        </w:rPr>
      </w:pPr>
      <w:r>
        <w:rPr>
          <w:rFonts w:hint="eastAsia" w:ascii="宋体" w:hAnsi="宋体" w:cs="宋体"/>
          <w:sz w:val="24"/>
          <w:szCs w:val="32"/>
        </w:rPr>
        <w:t>授权委托代理人无转委托权，特此委托。</w:t>
      </w:r>
    </w:p>
    <w:p>
      <w:pPr>
        <w:spacing w:line="360" w:lineRule="auto"/>
        <w:ind w:firstLine="480" w:firstLineChars="200"/>
        <w:rPr>
          <w:rFonts w:ascii="宋体" w:hAnsi="宋体" w:cs="宋体"/>
          <w:sz w:val="24"/>
          <w:szCs w:val="32"/>
        </w:rPr>
      </w:pPr>
    </w:p>
    <w:p>
      <w:pPr>
        <w:spacing w:line="360" w:lineRule="auto"/>
        <w:ind w:firstLine="480" w:firstLineChars="200"/>
        <w:rPr>
          <w:rFonts w:ascii="宋体" w:hAnsi="宋体" w:cs="宋体"/>
          <w:sz w:val="24"/>
          <w:szCs w:val="32"/>
        </w:rPr>
      </w:pPr>
      <w:r>
        <w:rPr>
          <w:rFonts w:hint="eastAsia" w:ascii="宋体" w:hAnsi="宋体" w:cs="宋体"/>
          <w:sz w:val="24"/>
          <w:szCs w:val="32"/>
        </w:rPr>
        <w:t>法定代表人签字或盖章：</w:t>
      </w:r>
    </w:p>
    <w:p>
      <w:pPr>
        <w:spacing w:line="360" w:lineRule="auto"/>
        <w:ind w:firstLine="480" w:firstLineChars="200"/>
        <w:rPr>
          <w:rFonts w:ascii="宋体" w:hAnsi="宋体" w:cs="宋体"/>
          <w:sz w:val="24"/>
          <w:szCs w:val="32"/>
        </w:rPr>
      </w:pPr>
    </w:p>
    <w:p>
      <w:pPr>
        <w:spacing w:line="360" w:lineRule="auto"/>
        <w:ind w:firstLine="480" w:firstLineChars="200"/>
        <w:rPr>
          <w:rFonts w:ascii="宋体" w:hAnsi="宋体" w:cs="宋体"/>
          <w:sz w:val="24"/>
          <w:szCs w:val="32"/>
        </w:rPr>
      </w:pPr>
      <w:r>
        <w:rPr>
          <w:rFonts w:hint="eastAsia" w:ascii="宋体" w:hAnsi="宋体" w:cs="宋体"/>
          <w:sz w:val="24"/>
          <w:szCs w:val="32"/>
        </w:rPr>
        <w:t xml:space="preserve">投标人全称（公章或CA签章）：                      </w:t>
      </w:r>
      <w:r>
        <w:rPr>
          <w:rFonts w:hint="eastAsia" w:ascii="宋体" w:hAnsi="宋体" w:cs="宋体"/>
          <w:sz w:val="24"/>
          <w:szCs w:val="32"/>
          <w:lang w:val="zh-CN"/>
        </w:rPr>
        <w:t>日期：年月日</w:t>
      </w:r>
    </w:p>
    <w:p>
      <w:pPr>
        <w:spacing w:line="360" w:lineRule="auto"/>
        <w:ind w:firstLine="480" w:firstLineChars="200"/>
        <w:rPr>
          <w:rFonts w:ascii="宋体" w:hAnsi="宋体" w:cs="宋体"/>
          <w:sz w:val="24"/>
          <w:szCs w:val="32"/>
        </w:rPr>
      </w:pPr>
    </w:p>
    <w:p>
      <w:pPr>
        <w:spacing w:line="360" w:lineRule="auto"/>
        <w:rPr>
          <w:rFonts w:ascii="宋体" w:hAnsi="宋体" w:cs="宋体"/>
          <w:b/>
          <w:bCs/>
          <w:sz w:val="24"/>
          <w:szCs w:val="32"/>
        </w:rPr>
      </w:pPr>
      <w:r>
        <w:rPr>
          <w:rFonts w:hint="eastAsia" w:ascii="宋体" w:hAnsi="宋体" w:cs="宋体"/>
          <w:b/>
          <w:bCs/>
          <w:sz w:val="24"/>
          <w:szCs w:val="32"/>
        </w:rPr>
        <w:t>附：</w:t>
      </w:r>
    </w:p>
    <w:tbl>
      <w:tblPr>
        <w:tblStyle w:val="37"/>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pPr>
              <w:spacing w:line="360" w:lineRule="auto"/>
              <w:jc w:val="center"/>
              <w:rPr>
                <w:rFonts w:ascii="宋体" w:hAnsi="宋体" w:cs="宋体"/>
                <w:b/>
                <w:sz w:val="24"/>
              </w:rPr>
            </w:pPr>
            <w:r>
              <w:rPr>
                <w:rFonts w:hint="eastAsia" w:ascii="宋体" w:hAnsi="宋体" w:cs="宋体"/>
                <w:b/>
                <w:sz w:val="24"/>
              </w:rPr>
              <w:t>法定代表身份证复印件粘帖处</w:t>
            </w:r>
          </w:p>
        </w:tc>
      </w:tr>
    </w:tbl>
    <w:p>
      <w:pPr>
        <w:spacing w:line="360" w:lineRule="auto"/>
        <w:rPr>
          <w:rFonts w:ascii="宋体" w:hAnsi="宋体" w:cs="宋体"/>
          <w:sz w:val="24"/>
          <w:szCs w:val="32"/>
        </w:rPr>
      </w:pPr>
      <w:r>
        <w:rPr>
          <w:rFonts w:hint="eastAsia" w:ascii="宋体" w:hAnsi="宋体" w:cs="宋体"/>
          <w:sz w:val="24"/>
          <w:szCs w:val="32"/>
        </w:rPr>
        <w:t>法定代表人姓名：</w:t>
      </w:r>
    </w:p>
    <w:p>
      <w:pPr>
        <w:spacing w:line="360" w:lineRule="auto"/>
        <w:rPr>
          <w:rFonts w:ascii="宋体" w:hAnsi="宋体" w:cs="宋体"/>
          <w:sz w:val="24"/>
          <w:szCs w:val="32"/>
        </w:rPr>
      </w:pPr>
      <w:r>
        <w:rPr>
          <w:rFonts w:hint="eastAsia" w:ascii="宋体" w:hAnsi="宋体" w:cs="宋体"/>
          <w:sz w:val="24"/>
          <w:szCs w:val="32"/>
        </w:rPr>
        <w:t>传真：</w:t>
      </w:r>
    </w:p>
    <w:p>
      <w:pPr>
        <w:spacing w:line="360" w:lineRule="auto"/>
        <w:rPr>
          <w:rFonts w:ascii="宋体" w:hAnsi="宋体" w:cs="宋体"/>
          <w:sz w:val="24"/>
          <w:szCs w:val="32"/>
        </w:rPr>
      </w:pPr>
      <w:r>
        <w:rPr>
          <w:rFonts w:hint="eastAsia" w:ascii="宋体" w:hAnsi="宋体" w:cs="宋体"/>
          <w:sz w:val="24"/>
          <w:szCs w:val="32"/>
        </w:rPr>
        <w:t>手机：</w:t>
      </w:r>
    </w:p>
    <w:p>
      <w:pPr>
        <w:spacing w:line="360" w:lineRule="auto"/>
        <w:rPr>
          <w:rFonts w:ascii="宋体" w:hAnsi="宋体" w:cs="宋体"/>
          <w:sz w:val="24"/>
          <w:szCs w:val="32"/>
        </w:rPr>
      </w:pPr>
      <w:r>
        <w:rPr>
          <w:rFonts w:hint="eastAsia" w:ascii="宋体" w:hAnsi="宋体" w:cs="宋体"/>
          <w:sz w:val="24"/>
          <w:szCs w:val="32"/>
        </w:rPr>
        <w:t>详细通讯地址：</w:t>
      </w:r>
    </w:p>
    <w:p>
      <w:pPr>
        <w:spacing w:line="360" w:lineRule="auto"/>
        <w:rPr>
          <w:rFonts w:ascii="宋体" w:hAnsi="宋体" w:cs="宋体"/>
          <w:sz w:val="24"/>
          <w:szCs w:val="32"/>
        </w:rPr>
      </w:pPr>
      <w:r>
        <w:rPr>
          <w:rFonts w:hint="eastAsia" w:ascii="宋体" w:hAnsi="宋体" w:cs="宋体"/>
          <w:sz w:val="24"/>
          <w:szCs w:val="32"/>
        </w:rPr>
        <w:t>邮政编码：</w:t>
      </w:r>
    </w:p>
    <w:p>
      <w:pPr>
        <w:spacing w:line="360" w:lineRule="auto"/>
        <w:rPr>
          <w:rFonts w:ascii="宋体" w:hAnsi="宋体" w:cs="宋体"/>
          <w:b/>
          <w:sz w:val="24"/>
        </w:rPr>
      </w:pPr>
    </w:p>
    <w:tbl>
      <w:tblPr>
        <w:tblStyle w:val="37"/>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pPr>
              <w:spacing w:line="360" w:lineRule="auto"/>
              <w:jc w:val="center"/>
              <w:rPr>
                <w:rFonts w:ascii="宋体" w:hAnsi="宋体" w:cs="宋体"/>
                <w:b/>
                <w:sz w:val="24"/>
              </w:rPr>
            </w:pPr>
            <w:r>
              <w:rPr>
                <w:rFonts w:hint="eastAsia" w:ascii="宋体" w:hAnsi="宋体" w:cs="宋体"/>
                <w:b/>
                <w:sz w:val="24"/>
              </w:rPr>
              <w:t>授权委托代理人身份证复印件粘帖处</w:t>
            </w:r>
          </w:p>
        </w:tc>
      </w:tr>
    </w:tbl>
    <w:p>
      <w:pPr>
        <w:spacing w:line="360" w:lineRule="auto"/>
        <w:rPr>
          <w:rFonts w:ascii="宋体" w:hAnsi="宋体" w:cs="宋体"/>
          <w:sz w:val="24"/>
          <w:szCs w:val="32"/>
        </w:rPr>
      </w:pPr>
      <w:r>
        <w:rPr>
          <w:rFonts w:hint="eastAsia" w:ascii="宋体" w:hAnsi="宋体" w:cs="宋体"/>
          <w:sz w:val="24"/>
          <w:szCs w:val="32"/>
        </w:rPr>
        <w:t>授权委托代理人姓名：</w:t>
      </w:r>
    </w:p>
    <w:p>
      <w:pPr>
        <w:spacing w:line="360" w:lineRule="auto"/>
        <w:rPr>
          <w:rFonts w:ascii="宋体" w:hAnsi="宋体" w:cs="宋体"/>
          <w:sz w:val="24"/>
          <w:szCs w:val="32"/>
        </w:rPr>
      </w:pPr>
      <w:r>
        <w:rPr>
          <w:rFonts w:hint="eastAsia" w:ascii="宋体" w:hAnsi="宋体" w:cs="宋体"/>
          <w:sz w:val="24"/>
          <w:szCs w:val="32"/>
        </w:rPr>
        <w:t>职务：</w:t>
      </w:r>
    </w:p>
    <w:p>
      <w:pPr>
        <w:spacing w:line="360" w:lineRule="auto"/>
        <w:rPr>
          <w:rFonts w:ascii="宋体" w:hAnsi="宋体" w:cs="宋体"/>
          <w:sz w:val="24"/>
          <w:szCs w:val="32"/>
        </w:rPr>
      </w:pPr>
      <w:r>
        <w:rPr>
          <w:rFonts w:hint="eastAsia" w:ascii="宋体" w:hAnsi="宋体" w:cs="宋体"/>
          <w:sz w:val="24"/>
          <w:szCs w:val="32"/>
        </w:rPr>
        <w:t>传真：</w:t>
      </w:r>
    </w:p>
    <w:p>
      <w:pPr>
        <w:spacing w:line="360" w:lineRule="auto"/>
        <w:rPr>
          <w:rFonts w:ascii="宋体" w:hAnsi="宋体" w:cs="宋体"/>
          <w:sz w:val="24"/>
          <w:szCs w:val="32"/>
        </w:rPr>
      </w:pPr>
      <w:r>
        <w:rPr>
          <w:rFonts w:hint="eastAsia" w:ascii="宋体" w:hAnsi="宋体" w:cs="宋体"/>
          <w:sz w:val="24"/>
          <w:szCs w:val="32"/>
        </w:rPr>
        <w:t>手机：</w:t>
      </w:r>
    </w:p>
    <w:p>
      <w:pPr>
        <w:spacing w:line="360" w:lineRule="auto"/>
        <w:rPr>
          <w:rFonts w:ascii="宋体" w:hAnsi="宋体" w:cs="宋体"/>
          <w:sz w:val="24"/>
          <w:szCs w:val="32"/>
        </w:rPr>
      </w:pPr>
      <w:r>
        <w:rPr>
          <w:rFonts w:hint="eastAsia" w:ascii="宋体" w:hAnsi="宋体" w:cs="宋体"/>
          <w:sz w:val="24"/>
          <w:szCs w:val="32"/>
        </w:rPr>
        <w:t>详细通讯地址：</w:t>
      </w:r>
    </w:p>
    <w:p>
      <w:pPr>
        <w:spacing w:line="360" w:lineRule="auto"/>
        <w:rPr>
          <w:rFonts w:ascii="宋体" w:hAnsi="宋体" w:cs="宋体"/>
          <w:sz w:val="24"/>
          <w:szCs w:val="32"/>
        </w:rPr>
      </w:pPr>
      <w:r>
        <w:rPr>
          <w:rFonts w:hint="eastAsia" w:ascii="宋体" w:hAnsi="宋体" w:cs="宋体"/>
          <w:sz w:val="24"/>
          <w:szCs w:val="32"/>
        </w:rPr>
        <w:t>邮政编码：</w:t>
      </w:r>
    </w:p>
    <w:p>
      <w:pPr>
        <w:pStyle w:val="21"/>
        <w:snapToGrid w:val="0"/>
        <w:spacing w:beforeLines="0" w:afterLines="0" w:line="240" w:lineRule="auto"/>
        <w:rPr>
          <w:rFonts w:hAnsi="宋体" w:cs="宋体"/>
        </w:rPr>
        <w:sectPr>
          <w:pgSz w:w="11906" w:h="16838"/>
          <w:pgMar w:top="1247" w:right="1361" w:bottom="1247" w:left="1361" w:header="851" w:footer="851" w:gutter="0"/>
          <w:cols w:space="720" w:num="1"/>
          <w:docGrid w:type="lines" w:linePitch="312" w:charSpace="0"/>
        </w:sectPr>
      </w:pPr>
    </w:p>
    <w:p>
      <w:pPr>
        <w:snapToGrid w:val="0"/>
        <w:spacing w:before="50" w:after="50"/>
        <w:rPr>
          <w:rFonts w:ascii="宋体" w:hAnsi="宋体" w:cs="宋体"/>
          <w:sz w:val="24"/>
        </w:rPr>
      </w:pPr>
      <w:r>
        <w:rPr>
          <w:rFonts w:hint="eastAsia" w:ascii="宋体" w:hAnsi="宋体" w:cs="宋体"/>
          <w:sz w:val="24"/>
        </w:rPr>
        <w:t>附件3    诚信投标承诺书</w:t>
      </w:r>
    </w:p>
    <w:p>
      <w:pPr>
        <w:tabs>
          <w:tab w:val="left" w:pos="570"/>
        </w:tabs>
        <w:spacing w:line="360" w:lineRule="auto"/>
        <w:ind w:firstLine="562" w:firstLineChars="200"/>
        <w:jc w:val="center"/>
        <w:rPr>
          <w:rFonts w:ascii="宋体" w:hAnsi="宋体" w:cs="宋体"/>
          <w:b/>
        </w:rPr>
      </w:pPr>
    </w:p>
    <w:p>
      <w:pPr>
        <w:tabs>
          <w:tab w:val="left" w:pos="570"/>
        </w:tabs>
        <w:spacing w:line="360" w:lineRule="auto"/>
        <w:ind w:firstLine="562" w:firstLineChars="200"/>
        <w:jc w:val="center"/>
        <w:rPr>
          <w:rFonts w:ascii="宋体" w:hAnsi="宋体" w:cs="宋体"/>
        </w:rPr>
      </w:pPr>
      <w:r>
        <w:rPr>
          <w:rFonts w:hint="eastAsia" w:ascii="宋体" w:hAnsi="宋体" w:cs="宋体"/>
          <w:b/>
        </w:rPr>
        <w:t>诚信投标承诺书</w:t>
      </w:r>
    </w:p>
    <w:p>
      <w:pPr>
        <w:tabs>
          <w:tab w:val="left" w:pos="570"/>
        </w:tabs>
        <w:spacing w:line="360" w:lineRule="auto"/>
        <w:ind w:firstLine="560" w:firstLineChars="200"/>
        <w:jc w:val="left"/>
        <w:rPr>
          <w:rFonts w:ascii="宋体" w:hAnsi="宋体" w:cs="宋体"/>
        </w:rPr>
      </w:pPr>
      <w:r>
        <w:rPr>
          <w:rFonts w:hint="eastAsia" w:ascii="宋体" w:hAnsi="宋体" w:cs="宋体"/>
        </w:rPr>
        <w:t>针对本次招标项目，我公司郑重承诺：本单位自愿参加</w:t>
      </w:r>
      <w:r>
        <w:rPr>
          <w:rFonts w:hint="eastAsia" w:ascii="宋体" w:hAnsi="宋体" w:cs="宋体"/>
          <w:u w:val="single"/>
        </w:rPr>
        <w:t xml:space="preserve"> </w:t>
      </w:r>
      <w:r>
        <w:rPr>
          <w:rFonts w:hint="eastAsia" w:ascii="宋体" w:hAnsi="宋体" w:cs="宋体"/>
          <w:u w:val="single"/>
          <w:lang w:eastAsia="zh-CN"/>
        </w:rPr>
        <w:t>数字校园管理系统项目</w:t>
      </w:r>
      <w:r>
        <w:rPr>
          <w:rFonts w:hint="eastAsia" w:ascii="宋体" w:hAnsi="宋体" w:cs="宋体"/>
          <w:u w:val="single"/>
        </w:rPr>
        <w:t xml:space="preserve"> </w:t>
      </w:r>
      <w:r>
        <w:rPr>
          <w:rFonts w:hint="eastAsia" w:ascii="宋体" w:hAnsi="宋体" w:cs="宋体"/>
        </w:rPr>
        <w:t xml:space="preserve"> 的招标项目。</w:t>
      </w:r>
    </w:p>
    <w:p>
      <w:pPr>
        <w:tabs>
          <w:tab w:val="left" w:pos="570"/>
        </w:tabs>
        <w:spacing w:line="360" w:lineRule="auto"/>
        <w:ind w:firstLine="560" w:firstLineChars="200"/>
        <w:jc w:val="left"/>
        <w:rPr>
          <w:rFonts w:ascii="宋体" w:hAnsi="宋体" w:cs="宋体"/>
        </w:rPr>
      </w:pPr>
      <w:r>
        <w:rPr>
          <w:rFonts w:hint="eastAsia" w:ascii="宋体" w:hAnsi="宋体" w:cs="宋体"/>
        </w:rPr>
        <w:t>1、本公司所填列的技术要求、服务、数量等相关内容都是真实、准确的；</w:t>
      </w:r>
    </w:p>
    <w:p>
      <w:pPr>
        <w:tabs>
          <w:tab w:val="left" w:pos="570"/>
        </w:tabs>
        <w:spacing w:line="360" w:lineRule="auto"/>
        <w:ind w:firstLine="560" w:firstLineChars="200"/>
        <w:jc w:val="left"/>
        <w:rPr>
          <w:rFonts w:ascii="宋体" w:hAnsi="宋体" w:cs="宋体"/>
        </w:rPr>
      </w:pPr>
      <w:r>
        <w:rPr>
          <w:rFonts w:hint="eastAsia" w:ascii="宋体" w:hAnsi="宋体" w:cs="宋体"/>
        </w:rPr>
        <w:t>2、本公司保证在本次招标项目中所提供的资料全部真实和合法；</w:t>
      </w:r>
    </w:p>
    <w:p>
      <w:pPr>
        <w:tabs>
          <w:tab w:val="left" w:pos="570"/>
        </w:tabs>
        <w:spacing w:line="360" w:lineRule="auto"/>
        <w:ind w:firstLine="560" w:firstLineChars="200"/>
        <w:jc w:val="left"/>
        <w:rPr>
          <w:rFonts w:ascii="宋体" w:hAnsi="宋体" w:cs="宋体"/>
        </w:rPr>
      </w:pPr>
      <w:r>
        <w:rPr>
          <w:rFonts w:hint="eastAsia" w:ascii="宋体" w:hAnsi="宋体" w:cs="宋体"/>
        </w:rPr>
        <w:t>3、本公司保证绝不采取不正当手段诋毁排挤其他投标人；</w:t>
      </w:r>
    </w:p>
    <w:p>
      <w:pPr>
        <w:tabs>
          <w:tab w:val="left" w:pos="570"/>
        </w:tabs>
        <w:spacing w:line="360" w:lineRule="auto"/>
        <w:ind w:firstLine="560" w:firstLineChars="200"/>
        <w:jc w:val="left"/>
        <w:rPr>
          <w:rFonts w:ascii="宋体" w:hAnsi="宋体" w:cs="宋体"/>
        </w:rPr>
      </w:pPr>
      <w:r>
        <w:rPr>
          <w:rFonts w:hint="eastAsia" w:ascii="宋体" w:hAnsi="宋体" w:cs="宋体"/>
        </w:rPr>
        <w:t>4、本公司保证绝不向采购人、采购单位有关工作人员提供不正当利益，以影响采购结果的公正性。</w:t>
      </w:r>
    </w:p>
    <w:p>
      <w:pPr>
        <w:tabs>
          <w:tab w:val="left" w:pos="570"/>
        </w:tabs>
        <w:spacing w:line="360" w:lineRule="auto"/>
        <w:ind w:firstLine="560" w:firstLineChars="200"/>
        <w:jc w:val="left"/>
        <w:rPr>
          <w:rFonts w:ascii="宋体" w:hAnsi="宋体" w:cs="宋体"/>
        </w:rPr>
      </w:pPr>
      <w:r>
        <w:rPr>
          <w:rFonts w:hint="eastAsia" w:ascii="宋体" w:hAnsi="宋体" w:cs="宋体"/>
        </w:rPr>
        <w:t>5、同意此次招标文件中的各项内容。</w:t>
      </w:r>
    </w:p>
    <w:p>
      <w:pPr>
        <w:tabs>
          <w:tab w:val="left" w:pos="570"/>
        </w:tabs>
        <w:spacing w:line="360" w:lineRule="auto"/>
        <w:ind w:firstLine="560" w:firstLineChars="200"/>
        <w:jc w:val="left"/>
        <w:rPr>
          <w:rFonts w:ascii="宋体" w:hAnsi="宋体" w:cs="宋体"/>
        </w:rPr>
      </w:pPr>
      <w:r>
        <w:rPr>
          <w:rFonts w:hint="eastAsia" w:ascii="宋体" w:hAnsi="宋体" w:cs="宋体"/>
        </w:rPr>
        <w:t>6、同意提供按照贵方可能要求的与招标有关的一切数据或资料等。</w:t>
      </w:r>
    </w:p>
    <w:p>
      <w:pPr>
        <w:tabs>
          <w:tab w:val="left" w:pos="570"/>
        </w:tabs>
        <w:spacing w:line="360" w:lineRule="auto"/>
        <w:ind w:firstLine="560" w:firstLineChars="200"/>
        <w:jc w:val="left"/>
        <w:rPr>
          <w:rFonts w:ascii="宋体" w:hAnsi="宋体" w:cs="宋体"/>
        </w:rPr>
      </w:pPr>
      <w:r>
        <w:rPr>
          <w:rFonts w:hint="eastAsia" w:ascii="宋体" w:hAnsi="宋体" w:cs="宋体"/>
        </w:rPr>
        <w:t>7、本单位如中标，保证按照投标文件的承诺与贵方签订合同，保证履行合同条款</w:t>
      </w:r>
    </w:p>
    <w:p>
      <w:pPr>
        <w:tabs>
          <w:tab w:val="left" w:pos="570"/>
        </w:tabs>
        <w:spacing w:line="360" w:lineRule="auto"/>
        <w:ind w:firstLine="560" w:firstLineChars="200"/>
        <w:jc w:val="left"/>
        <w:rPr>
          <w:rFonts w:ascii="宋体" w:hAnsi="宋体" w:cs="宋体"/>
          <w:u w:val="single"/>
        </w:rPr>
      </w:pPr>
      <w:r>
        <w:rPr>
          <w:rFonts w:hint="eastAsia" w:ascii="宋体" w:hAnsi="宋体" w:cs="宋体"/>
        </w:rPr>
        <w:t>本公司若有违反本承诺内容的行为，愿意承担法律责任，并愿意接受投标保证金不予退还的处理及政府采购监管部门的任何处理。如已中标的，自动放弃中标资格；给采购人造成损失的，依法承担赔偿责任。</w:t>
      </w:r>
    </w:p>
    <w:p>
      <w:pPr>
        <w:tabs>
          <w:tab w:val="left" w:pos="570"/>
        </w:tabs>
        <w:spacing w:line="360" w:lineRule="auto"/>
        <w:ind w:firstLine="560" w:firstLineChars="200"/>
        <w:jc w:val="left"/>
        <w:rPr>
          <w:rFonts w:ascii="宋体" w:hAnsi="宋体" w:cs="宋体"/>
        </w:rPr>
      </w:pPr>
    </w:p>
    <w:p>
      <w:pPr>
        <w:tabs>
          <w:tab w:val="left" w:pos="570"/>
        </w:tabs>
        <w:spacing w:line="440" w:lineRule="exact"/>
        <w:ind w:firstLine="560" w:firstLineChars="200"/>
        <w:jc w:val="left"/>
        <w:rPr>
          <w:rFonts w:ascii="宋体" w:hAnsi="宋体" w:cs="宋体"/>
          <w:u w:val="single"/>
        </w:rPr>
      </w:pPr>
    </w:p>
    <w:p>
      <w:pPr>
        <w:spacing w:line="320" w:lineRule="exact"/>
        <w:ind w:left="420"/>
        <w:rPr>
          <w:rFonts w:ascii="宋体" w:hAnsi="宋体" w:cs="宋体"/>
          <w:sz w:val="24"/>
        </w:rPr>
      </w:pPr>
      <w:r>
        <w:rPr>
          <w:rFonts w:hint="eastAsia" w:ascii="宋体" w:hAnsi="宋体" w:cs="宋体"/>
          <w:sz w:val="24"/>
        </w:rPr>
        <w:t xml:space="preserve">投标人（公章或CA签章）：     </w:t>
      </w:r>
    </w:p>
    <w:p>
      <w:pPr>
        <w:spacing w:line="320" w:lineRule="exact"/>
        <w:ind w:left="420"/>
        <w:rPr>
          <w:rFonts w:ascii="宋体" w:hAnsi="宋体" w:cs="宋体"/>
          <w:sz w:val="24"/>
        </w:rPr>
      </w:pPr>
    </w:p>
    <w:p>
      <w:pPr>
        <w:pStyle w:val="33"/>
        <w:spacing w:line="375" w:lineRule="atLeast"/>
        <w:jc w:val="both"/>
        <w:rPr>
          <w:rFonts w:cs="宋体"/>
          <w:b/>
          <w:color w:val="auto"/>
        </w:rPr>
        <w:sectPr>
          <w:pgSz w:w="11907" w:h="16840"/>
          <w:pgMar w:top="1361" w:right="1247" w:bottom="1247" w:left="1304" w:header="851" w:footer="992" w:gutter="0"/>
          <w:cols w:space="720" w:num="1"/>
          <w:docGrid w:linePitch="312" w:charSpace="0"/>
        </w:sectPr>
      </w:pPr>
      <w:r>
        <w:rPr>
          <w:rFonts w:hint="eastAsia" w:cs="宋体"/>
          <w:color w:val="auto"/>
        </w:rPr>
        <w:t xml:space="preserve"> 法定代表人（签字或盖章）：                          日期：</w:t>
      </w:r>
    </w:p>
    <w:p>
      <w:pPr>
        <w:snapToGrid w:val="0"/>
        <w:spacing w:before="50"/>
        <w:jc w:val="left"/>
        <w:rPr>
          <w:rFonts w:hAnsi="宋体"/>
          <w:b/>
        </w:rPr>
      </w:pPr>
      <w:r>
        <w:rPr>
          <w:rFonts w:hint="eastAsia" w:ascii="宋体" w:hAnsi="宋体"/>
          <w:sz w:val="24"/>
        </w:rPr>
        <w:t xml:space="preserve">附件4    投标函 </w:t>
      </w:r>
    </w:p>
    <w:p>
      <w:pPr>
        <w:pStyle w:val="21"/>
        <w:spacing w:before="120" w:after="120" w:line="360" w:lineRule="auto"/>
        <w:ind w:firstLine="562"/>
        <w:jc w:val="center"/>
        <w:rPr>
          <w:rFonts w:hAnsi="宋体" w:cs="宋体"/>
          <w:b/>
          <w:sz w:val="28"/>
          <w:szCs w:val="28"/>
        </w:rPr>
      </w:pPr>
      <w:r>
        <w:rPr>
          <w:rFonts w:hint="eastAsia" w:hAnsi="宋体" w:cs="宋体"/>
          <w:b/>
          <w:sz w:val="28"/>
          <w:szCs w:val="28"/>
        </w:rPr>
        <w:t>投标函</w:t>
      </w:r>
    </w:p>
    <w:p>
      <w:pPr>
        <w:pStyle w:val="21"/>
        <w:spacing w:before="120" w:after="120" w:line="360" w:lineRule="auto"/>
        <w:ind w:firstLine="2640" w:firstLineChars="1100"/>
        <w:rPr>
          <w:rFonts w:hAnsi="宋体" w:cs="宋体"/>
          <w:u w:val="single"/>
        </w:rPr>
      </w:pPr>
      <w:r>
        <w:rPr>
          <w:rFonts w:hint="eastAsia" w:hAnsi="宋体" w:cs="宋体"/>
        </w:rPr>
        <w:t>：</w:t>
      </w:r>
    </w:p>
    <w:p>
      <w:pPr>
        <w:pStyle w:val="21"/>
        <w:spacing w:before="120" w:after="120" w:line="420" w:lineRule="exact"/>
        <w:ind w:firstLine="480" w:firstLineChars="200"/>
        <w:rPr>
          <w:rFonts w:hAnsi="宋体" w:cs="宋体"/>
        </w:rPr>
      </w:pPr>
      <w:r>
        <w:rPr>
          <w:rFonts w:hint="eastAsia" w:hAnsi="宋体" w:cs="宋体"/>
        </w:rPr>
        <w:t xml:space="preserve"> (投标人名称)授权</w:t>
      </w:r>
      <w:r>
        <w:rPr>
          <w:rFonts w:hint="eastAsia" w:hAnsi="宋体" w:cs="宋体"/>
          <w:u w:val="single"/>
        </w:rPr>
        <w:t xml:space="preserve"> (全权代表姓名)  </w:t>
      </w:r>
      <w:r>
        <w:rPr>
          <w:rFonts w:hint="eastAsia" w:hAnsi="宋体" w:cs="宋体"/>
        </w:rPr>
        <w:t>(职务、职称)为全权代表，参加贵方组织的</w:t>
      </w:r>
      <w:r>
        <w:rPr>
          <w:rFonts w:hint="eastAsia" w:hAnsi="宋体" w:cs="宋体"/>
          <w:u w:val="single"/>
        </w:rPr>
        <w:t xml:space="preserve">  </w:t>
      </w:r>
      <w:r>
        <w:rPr>
          <w:rFonts w:hint="eastAsia" w:hAnsi="宋体" w:cs="宋体"/>
          <w:u w:val="single"/>
          <w:lang w:eastAsia="zh-CN"/>
        </w:rPr>
        <w:t>数字校园管理系统项目</w:t>
      </w:r>
      <w:r>
        <w:rPr>
          <w:rFonts w:hint="eastAsia" w:hAnsi="宋体" w:cs="宋体"/>
        </w:rPr>
        <w:t xml:space="preserve"> (采购编号：</w:t>
      </w:r>
      <w:r>
        <w:rPr>
          <w:rFonts w:hint="eastAsia" w:hAnsi="宋体" w:cs="宋体"/>
          <w:lang w:eastAsia="zh-CN"/>
        </w:rPr>
        <w:t>台财采确临【2021】10225号</w:t>
      </w:r>
      <w:r>
        <w:rPr>
          <w:rFonts w:hint="eastAsia" w:hAnsi="宋体" w:cs="宋体"/>
        </w:rPr>
        <w:t>)的有关活动，并对此项目进行投标。为此：</w:t>
      </w:r>
    </w:p>
    <w:p>
      <w:pPr>
        <w:pStyle w:val="21"/>
        <w:spacing w:before="120" w:after="120" w:line="420" w:lineRule="exact"/>
        <w:ind w:firstLine="480" w:firstLineChars="200"/>
        <w:rPr>
          <w:rFonts w:hAnsi="宋体" w:cs="宋体"/>
        </w:rPr>
      </w:pPr>
      <w:r>
        <w:rPr>
          <w:rFonts w:hint="eastAsia" w:hAnsi="宋体" w:cs="宋体"/>
        </w:rPr>
        <w:t>1、我方同意在投标人编制和提交投标文件须知规定的开标日期起遵守本投标书中的承诺且在投标有效期满之前均具有约束力。</w:t>
      </w:r>
    </w:p>
    <w:p>
      <w:pPr>
        <w:pStyle w:val="21"/>
        <w:spacing w:before="120" w:after="120" w:line="420" w:lineRule="exact"/>
        <w:ind w:firstLine="480" w:firstLineChars="200"/>
        <w:rPr>
          <w:rFonts w:hAnsi="宋体" w:cs="宋体"/>
        </w:rPr>
      </w:pPr>
      <w:r>
        <w:rPr>
          <w:rFonts w:hint="eastAsia" w:hAnsi="宋体" w:cs="宋体"/>
        </w:rPr>
        <w:t>2、我方承诺已经具备《中华人民共和国政府采购法》中规定的参加政府采购活动的投标人应当具备的条件：</w:t>
      </w:r>
    </w:p>
    <w:p>
      <w:pPr>
        <w:pStyle w:val="21"/>
        <w:spacing w:before="120" w:after="120" w:line="420" w:lineRule="exact"/>
        <w:ind w:firstLine="480" w:firstLineChars="200"/>
        <w:rPr>
          <w:rFonts w:hAnsi="宋体" w:cs="宋体"/>
        </w:rPr>
      </w:pPr>
      <w:r>
        <w:rPr>
          <w:rFonts w:hint="eastAsia" w:hAnsi="宋体" w:cs="宋体"/>
        </w:rPr>
        <w:t>(1)具有独立承担民事责任的能力；</w:t>
      </w:r>
    </w:p>
    <w:p>
      <w:pPr>
        <w:pStyle w:val="21"/>
        <w:spacing w:before="120" w:after="120" w:line="420" w:lineRule="exact"/>
        <w:ind w:firstLine="480" w:firstLineChars="200"/>
        <w:rPr>
          <w:rFonts w:hAnsi="宋体" w:cs="宋体"/>
        </w:rPr>
      </w:pPr>
      <w:r>
        <w:rPr>
          <w:rFonts w:hint="eastAsia" w:hAnsi="宋体" w:cs="宋体"/>
        </w:rPr>
        <w:t>(2)遵守国家法律、行政法规，具有良好的信誉和商业道德；</w:t>
      </w:r>
    </w:p>
    <w:p>
      <w:pPr>
        <w:pStyle w:val="21"/>
        <w:spacing w:before="120" w:after="120" w:line="420" w:lineRule="exact"/>
        <w:ind w:firstLine="480" w:firstLineChars="200"/>
        <w:rPr>
          <w:rFonts w:hAnsi="宋体" w:cs="宋体"/>
        </w:rPr>
      </w:pPr>
      <w:r>
        <w:rPr>
          <w:rFonts w:hint="eastAsia" w:hAnsi="宋体" w:cs="宋体"/>
        </w:rPr>
        <w:t>(3)具有履行合同的能力和良好的履行合同记录；</w:t>
      </w:r>
    </w:p>
    <w:p>
      <w:pPr>
        <w:pStyle w:val="21"/>
        <w:spacing w:before="120" w:after="120" w:line="420" w:lineRule="exact"/>
        <w:ind w:firstLine="480" w:firstLineChars="200"/>
        <w:rPr>
          <w:rFonts w:hAnsi="宋体" w:cs="宋体"/>
        </w:rPr>
      </w:pPr>
      <w:r>
        <w:rPr>
          <w:rFonts w:hint="eastAsia" w:hAnsi="宋体" w:cs="宋体"/>
        </w:rPr>
        <w:t>(4)良好的资金、财务状况；</w:t>
      </w:r>
    </w:p>
    <w:p>
      <w:pPr>
        <w:pStyle w:val="21"/>
        <w:spacing w:before="120" w:after="120" w:line="420" w:lineRule="exact"/>
        <w:ind w:firstLine="480" w:firstLineChars="200"/>
        <w:rPr>
          <w:rFonts w:hAnsi="宋体" w:cs="宋体"/>
        </w:rPr>
      </w:pPr>
      <w:r>
        <w:rPr>
          <w:rFonts w:hint="eastAsia" w:hAnsi="宋体" w:cs="宋体"/>
        </w:rPr>
        <w:t>(5)没有违反政府采购法规、政策的记录；</w:t>
      </w:r>
    </w:p>
    <w:p>
      <w:pPr>
        <w:pStyle w:val="21"/>
        <w:spacing w:before="120" w:after="120" w:line="420" w:lineRule="exact"/>
        <w:ind w:firstLine="480" w:firstLineChars="200"/>
        <w:rPr>
          <w:rFonts w:hAnsi="宋体" w:cs="宋体"/>
        </w:rPr>
      </w:pPr>
      <w:r>
        <w:rPr>
          <w:rFonts w:hint="eastAsia" w:hAnsi="宋体" w:cs="宋体"/>
        </w:rPr>
        <w:t>(6)没有发生重大经济纠纷和走私犯罪记录。</w:t>
      </w:r>
    </w:p>
    <w:p>
      <w:pPr>
        <w:pStyle w:val="21"/>
        <w:spacing w:before="120" w:after="120" w:line="420" w:lineRule="exact"/>
        <w:ind w:firstLine="480" w:firstLineChars="200"/>
        <w:rPr>
          <w:rFonts w:hAnsi="宋体" w:cs="宋体"/>
        </w:rPr>
      </w:pPr>
      <w:r>
        <w:rPr>
          <w:rFonts w:hint="eastAsia" w:hAnsi="宋体" w:cs="宋体"/>
        </w:rPr>
        <w:t>3、提供编制和提交投标文件须知规定的全部投标文件，包括一份电子加密标书（后缀格式为.jmbs），一份备份标书文件（后缀格式为.bfbs）。具体内容为：</w:t>
      </w:r>
    </w:p>
    <w:p>
      <w:pPr>
        <w:pStyle w:val="21"/>
        <w:spacing w:before="120" w:after="120" w:line="420" w:lineRule="exact"/>
        <w:ind w:firstLine="480" w:firstLineChars="200"/>
        <w:rPr>
          <w:rFonts w:hAnsi="宋体" w:cs="宋体"/>
        </w:rPr>
      </w:pPr>
      <w:r>
        <w:rPr>
          <w:rFonts w:hint="eastAsia" w:hAnsi="宋体" w:cs="宋体"/>
        </w:rPr>
        <w:t>(1)资格响应文件、商务技术响应文件、报价响应文件(2)报价文件；</w:t>
      </w:r>
    </w:p>
    <w:p>
      <w:pPr>
        <w:pStyle w:val="21"/>
        <w:spacing w:before="120" w:after="120" w:line="420" w:lineRule="exact"/>
        <w:ind w:firstLine="480" w:firstLineChars="200"/>
        <w:rPr>
          <w:rFonts w:hAnsi="宋体" w:cs="宋体"/>
        </w:rPr>
      </w:pPr>
      <w:r>
        <w:rPr>
          <w:rFonts w:hint="eastAsia" w:hAnsi="宋体" w:cs="宋体"/>
        </w:rPr>
        <w:t>(2)编制和提交投标文件须知要求投标人提交的全部文件；</w:t>
      </w:r>
    </w:p>
    <w:p>
      <w:pPr>
        <w:pStyle w:val="21"/>
        <w:spacing w:before="120" w:after="120" w:line="420" w:lineRule="exact"/>
        <w:ind w:firstLine="480" w:firstLineChars="200"/>
        <w:rPr>
          <w:rFonts w:hAnsi="宋体" w:cs="宋体"/>
        </w:rPr>
      </w:pPr>
      <w:r>
        <w:rPr>
          <w:rFonts w:hint="eastAsia" w:hAnsi="宋体" w:cs="宋体"/>
        </w:rPr>
        <w:t>(3)按采购文件要求提供和交付的货物和服务的投标报价详见开标一览表；</w:t>
      </w:r>
    </w:p>
    <w:p>
      <w:pPr>
        <w:pStyle w:val="21"/>
        <w:spacing w:before="120" w:after="120" w:line="420" w:lineRule="exact"/>
        <w:ind w:firstLine="480" w:firstLineChars="200"/>
        <w:rPr>
          <w:rFonts w:hAnsi="宋体" w:cs="宋体"/>
        </w:rPr>
      </w:pPr>
      <w:r>
        <w:rPr>
          <w:rFonts w:hint="eastAsia" w:hAnsi="宋体" w:cs="宋体"/>
        </w:rPr>
        <w:t>(4)保证忠实地执行双方所签订的合同，并承担合同规定的责任和义务；</w:t>
      </w:r>
    </w:p>
    <w:p>
      <w:pPr>
        <w:pStyle w:val="21"/>
        <w:spacing w:before="120" w:after="120" w:line="420" w:lineRule="exact"/>
        <w:ind w:firstLine="480" w:firstLineChars="200"/>
        <w:rPr>
          <w:rFonts w:hAnsi="宋体" w:cs="宋体"/>
        </w:rPr>
      </w:pPr>
      <w:r>
        <w:rPr>
          <w:rFonts w:hint="eastAsia" w:hAnsi="宋体" w:cs="宋体"/>
        </w:rPr>
        <w:t>(5)保证遵守采购文件中的其他有关规定。</w:t>
      </w:r>
    </w:p>
    <w:p>
      <w:pPr>
        <w:pStyle w:val="21"/>
        <w:spacing w:before="120" w:after="120" w:line="420" w:lineRule="exact"/>
        <w:ind w:firstLine="480" w:firstLineChars="200"/>
        <w:rPr>
          <w:rFonts w:hAnsi="宋体" w:cs="宋体"/>
        </w:rPr>
      </w:pPr>
      <w:r>
        <w:rPr>
          <w:rFonts w:hint="eastAsia" w:hAnsi="宋体" w:cs="宋体"/>
        </w:rPr>
        <w:t>4、我方完全理解贵方不一定要接受最低价的投标。</w:t>
      </w:r>
    </w:p>
    <w:p>
      <w:pPr>
        <w:pStyle w:val="21"/>
        <w:spacing w:before="120" w:after="120" w:line="420" w:lineRule="exact"/>
        <w:ind w:firstLine="480" w:firstLineChars="200"/>
        <w:rPr>
          <w:rFonts w:hAnsi="宋体" w:cs="宋体"/>
        </w:rPr>
      </w:pPr>
      <w:r>
        <w:rPr>
          <w:rFonts w:hint="eastAsia" w:hAnsi="宋体" w:cs="宋体"/>
        </w:rPr>
        <w:t>5、我方愿意向贵方提供任何与该项投标有关的数据、情况和技术资料。若贵方需要，我方愿意提供我方作出的一切承诺的证明材料。</w:t>
      </w:r>
    </w:p>
    <w:p>
      <w:pPr>
        <w:pStyle w:val="21"/>
        <w:spacing w:before="120" w:after="120" w:line="420" w:lineRule="exact"/>
        <w:ind w:firstLine="480" w:firstLineChars="200"/>
        <w:rPr>
          <w:rFonts w:hAnsi="宋体" w:cs="宋体"/>
        </w:rPr>
      </w:pPr>
      <w:r>
        <w:rPr>
          <w:rFonts w:hint="eastAsia" w:hAnsi="宋体" w:cs="宋体"/>
        </w:rPr>
        <w:t>6、我方已详细审核全部采购文件，包括采购文件修改书(如果有)、参考资料及有关附件，确认无误。</w:t>
      </w:r>
    </w:p>
    <w:p>
      <w:pPr>
        <w:pStyle w:val="21"/>
        <w:spacing w:before="120" w:after="120" w:line="420" w:lineRule="exact"/>
        <w:ind w:firstLine="480" w:firstLineChars="200"/>
        <w:rPr>
          <w:rFonts w:hAnsi="宋体" w:cs="宋体"/>
        </w:rPr>
      </w:pPr>
      <w:r>
        <w:rPr>
          <w:rFonts w:hint="eastAsia" w:hAnsi="宋体" w:cs="宋体"/>
        </w:rPr>
        <w:t>7、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pStyle w:val="21"/>
        <w:spacing w:before="120" w:after="120" w:line="420" w:lineRule="exact"/>
        <w:ind w:firstLine="480" w:firstLineChars="200"/>
        <w:rPr>
          <w:rFonts w:hAnsi="宋体" w:cs="宋体"/>
        </w:rPr>
      </w:pPr>
      <w:r>
        <w:rPr>
          <w:rFonts w:hint="eastAsia" w:hAnsi="宋体" w:cs="宋体"/>
        </w:rPr>
        <w:t>a)提供虚假材料谋取中标、成交的；</w:t>
      </w:r>
    </w:p>
    <w:p>
      <w:pPr>
        <w:pStyle w:val="21"/>
        <w:spacing w:before="120" w:after="120" w:line="420" w:lineRule="exact"/>
        <w:ind w:firstLine="480" w:firstLineChars="200"/>
        <w:rPr>
          <w:rFonts w:hAnsi="宋体" w:cs="宋体"/>
        </w:rPr>
      </w:pPr>
      <w:r>
        <w:rPr>
          <w:rFonts w:hint="eastAsia" w:hAnsi="宋体" w:cs="宋体"/>
        </w:rPr>
        <w:t>b)采取不正当手段诋毁、排挤其他投标人的；</w:t>
      </w:r>
    </w:p>
    <w:p>
      <w:pPr>
        <w:pStyle w:val="21"/>
        <w:spacing w:before="120" w:after="120" w:line="420" w:lineRule="exact"/>
        <w:ind w:firstLine="480" w:firstLineChars="200"/>
        <w:rPr>
          <w:rFonts w:hAnsi="宋体" w:cs="宋体"/>
        </w:rPr>
      </w:pPr>
      <w:r>
        <w:rPr>
          <w:rFonts w:hint="eastAsia" w:hAnsi="宋体" w:cs="宋体"/>
        </w:rPr>
        <w:t>c)与采购人、其它投标人或者采购代理机构恶意串通的；</w:t>
      </w:r>
    </w:p>
    <w:p>
      <w:pPr>
        <w:pStyle w:val="21"/>
        <w:spacing w:before="120" w:after="120" w:line="420" w:lineRule="exact"/>
        <w:ind w:firstLine="480" w:firstLineChars="200"/>
        <w:rPr>
          <w:rFonts w:hAnsi="宋体" w:cs="宋体"/>
        </w:rPr>
      </w:pPr>
      <w:r>
        <w:rPr>
          <w:rFonts w:hint="eastAsia" w:hAnsi="宋体" w:cs="宋体"/>
        </w:rPr>
        <w:t>d)向采购人、采购代理机构行贿或者提供其他不正当利益的；</w:t>
      </w:r>
    </w:p>
    <w:p>
      <w:pPr>
        <w:pStyle w:val="21"/>
        <w:spacing w:before="120" w:after="120" w:line="420" w:lineRule="exact"/>
        <w:ind w:firstLine="480" w:firstLineChars="200"/>
        <w:rPr>
          <w:rFonts w:hAnsi="宋体" w:cs="宋体"/>
        </w:rPr>
      </w:pPr>
      <w:r>
        <w:rPr>
          <w:rFonts w:hint="eastAsia" w:hAnsi="宋体" w:cs="宋体"/>
        </w:rPr>
        <w:t>e)在招标采购过程中与采购人进行协商谈判的；</w:t>
      </w:r>
    </w:p>
    <w:p>
      <w:pPr>
        <w:pStyle w:val="21"/>
        <w:spacing w:before="120" w:after="120" w:line="420" w:lineRule="exact"/>
        <w:ind w:firstLine="480" w:firstLineChars="200"/>
        <w:rPr>
          <w:rFonts w:hAnsi="宋体" w:cs="宋体"/>
        </w:rPr>
      </w:pPr>
      <w:r>
        <w:rPr>
          <w:rFonts w:hint="eastAsia" w:hAnsi="宋体" w:cs="宋体"/>
        </w:rPr>
        <w:t>f)拒绝有关部门监督检查或提供虚假情况的。</w:t>
      </w:r>
    </w:p>
    <w:p>
      <w:pPr>
        <w:pStyle w:val="21"/>
        <w:spacing w:before="120" w:after="120" w:line="420" w:lineRule="exact"/>
        <w:ind w:firstLine="480" w:firstLineChars="200"/>
        <w:rPr>
          <w:rFonts w:hAnsi="宋体" w:cs="宋体"/>
        </w:rPr>
      </w:pPr>
      <w:r>
        <w:rPr>
          <w:rFonts w:hint="eastAsia" w:hAnsi="宋体" w:cs="宋体"/>
        </w:rPr>
        <w:t>投标人有前款第a)至e)项情形之一的，中标、成交无效。</w:t>
      </w:r>
    </w:p>
    <w:p>
      <w:pPr>
        <w:pStyle w:val="21"/>
        <w:spacing w:before="120" w:after="120" w:line="420" w:lineRule="exact"/>
        <w:ind w:firstLine="480" w:firstLineChars="200"/>
        <w:rPr>
          <w:rFonts w:hAnsi="宋体" w:cs="宋体"/>
        </w:rPr>
      </w:pPr>
    </w:p>
    <w:p>
      <w:pPr>
        <w:pStyle w:val="21"/>
        <w:spacing w:before="120" w:after="120" w:line="420" w:lineRule="exact"/>
        <w:ind w:firstLine="480" w:firstLineChars="200"/>
        <w:rPr>
          <w:rFonts w:hAnsi="宋体" w:cs="宋体"/>
        </w:rPr>
      </w:pPr>
    </w:p>
    <w:p>
      <w:pPr>
        <w:pStyle w:val="21"/>
        <w:spacing w:before="120" w:after="120" w:line="420" w:lineRule="exact"/>
        <w:ind w:firstLine="480" w:firstLineChars="200"/>
        <w:rPr>
          <w:rFonts w:hAnsi="宋体" w:cs="宋体"/>
        </w:rPr>
      </w:pPr>
      <w:r>
        <w:rPr>
          <w:rFonts w:hint="eastAsia" w:hAnsi="宋体" w:cs="宋体"/>
        </w:rPr>
        <w:t>投标人（公章或CA签章）：</w:t>
      </w:r>
    </w:p>
    <w:p>
      <w:pPr>
        <w:pStyle w:val="21"/>
        <w:spacing w:before="120" w:after="120" w:line="420" w:lineRule="exact"/>
        <w:ind w:firstLine="480" w:firstLineChars="200"/>
        <w:rPr>
          <w:rFonts w:hAnsi="宋体" w:cs="宋体"/>
        </w:rPr>
      </w:pPr>
      <w:r>
        <w:rPr>
          <w:rFonts w:hint="eastAsia" w:hAnsi="宋体" w:cs="宋体"/>
        </w:rPr>
        <w:t>联系人：    联系电话</w:t>
      </w:r>
      <w:r>
        <w:rPr>
          <w:rFonts w:hint="eastAsia" w:hAnsi="宋体" w:cs="宋体"/>
          <w:u w:val="single"/>
        </w:rPr>
        <w:t xml:space="preserve">：                 </w:t>
      </w:r>
    </w:p>
    <w:p>
      <w:pPr>
        <w:pStyle w:val="21"/>
        <w:spacing w:before="120" w:after="120" w:line="420" w:lineRule="exact"/>
        <w:ind w:firstLine="480" w:firstLineChars="200"/>
        <w:rPr>
          <w:rFonts w:hAnsi="宋体" w:cs="宋体"/>
        </w:rPr>
      </w:pPr>
      <w:r>
        <w:rPr>
          <w:rFonts w:hint="eastAsia" w:hAnsi="宋体" w:cs="宋体"/>
        </w:rPr>
        <w:t>联系地址：</w:t>
      </w:r>
    </w:p>
    <w:p>
      <w:pPr>
        <w:pStyle w:val="21"/>
        <w:spacing w:before="120" w:after="120" w:line="420" w:lineRule="exact"/>
        <w:ind w:firstLine="480" w:firstLineChars="200"/>
        <w:rPr>
          <w:rFonts w:hAnsi="宋体" w:cs="宋体"/>
        </w:rPr>
      </w:pPr>
      <w:r>
        <w:rPr>
          <w:rFonts w:hint="eastAsia" w:hAnsi="宋体" w:cs="宋体"/>
        </w:rPr>
        <w:t>邮政编码：传真号码</w:t>
      </w:r>
      <w:r>
        <w:rPr>
          <w:rFonts w:hint="eastAsia" w:hAnsi="宋体" w:cs="宋体"/>
          <w:u w:val="single"/>
        </w:rPr>
        <w:t xml:space="preserve">：                     </w:t>
      </w:r>
    </w:p>
    <w:p>
      <w:pPr>
        <w:snapToGrid w:val="0"/>
        <w:spacing w:before="50" w:after="50"/>
        <w:rPr>
          <w:rFonts w:ascii="宋体" w:hAnsi="宋体" w:cs="宋体"/>
          <w:sz w:val="24"/>
        </w:rPr>
        <w:sectPr>
          <w:headerReference r:id="rId11" w:type="default"/>
          <w:footerReference r:id="rId12" w:type="default"/>
          <w:footerReference r:id="rId13" w:type="even"/>
          <w:pgSz w:w="11907" w:h="16840"/>
          <w:pgMar w:top="1361" w:right="1247" w:bottom="1247" w:left="1304" w:header="851" w:footer="992" w:gutter="0"/>
          <w:cols w:space="720" w:num="1"/>
          <w:docGrid w:linePitch="312" w:charSpace="0"/>
        </w:sectPr>
      </w:pPr>
      <w:r>
        <w:rPr>
          <w:rFonts w:hint="eastAsia"/>
        </w:rPr>
        <w:t>日期：   年  月  日</w:t>
      </w:r>
    </w:p>
    <w:p>
      <w:pPr>
        <w:snapToGrid w:val="0"/>
        <w:spacing w:line="520" w:lineRule="exact"/>
        <w:jc w:val="left"/>
        <w:rPr>
          <w:rFonts w:ascii="宋体" w:hAnsi="宋体" w:cs="宋体"/>
          <w:sz w:val="24"/>
        </w:rPr>
      </w:pPr>
      <w:r>
        <w:rPr>
          <w:rFonts w:hint="eastAsia" w:ascii="宋体" w:hAnsi="宋体" w:cs="宋体"/>
          <w:sz w:val="24"/>
        </w:rPr>
        <w:t>附件5    拟参与本项目的主要人员资格及简历</w:t>
      </w:r>
    </w:p>
    <w:p>
      <w:pPr>
        <w:spacing w:line="500" w:lineRule="exact"/>
        <w:jc w:val="center"/>
        <w:outlineLvl w:val="2"/>
        <w:rPr>
          <w:rFonts w:hint="eastAsia" w:ascii="宋体" w:hAnsi="宋体" w:eastAsia="宋体" w:cs="宋体"/>
          <w:b/>
          <w:bCs/>
          <w:sz w:val="32"/>
          <w:szCs w:val="32"/>
          <w:lang w:eastAsia="zh-CN"/>
        </w:rPr>
      </w:pPr>
      <w:r>
        <w:rPr>
          <w:rFonts w:hint="eastAsia" w:ascii="宋体" w:hAnsi="宋体" w:cs="宋体"/>
          <w:b/>
          <w:bCs/>
          <w:sz w:val="32"/>
          <w:szCs w:val="32"/>
          <w:lang w:eastAsia="zh-CN"/>
        </w:rPr>
        <w:t>数字校园管理系统项目</w:t>
      </w:r>
    </w:p>
    <w:p>
      <w:pPr>
        <w:spacing w:line="500" w:lineRule="exact"/>
        <w:jc w:val="center"/>
        <w:outlineLvl w:val="2"/>
        <w:rPr>
          <w:rFonts w:ascii="宋体" w:hAnsi="宋体" w:cs="宋体"/>
          <w:b/>
          <w:bCs/>
          <w:sz w:val="44"/>
          <w:szCs w:val="44"/>
        </w:rPr>
      </w:pPr>
      <w:r>
        <w:rPr>
          <w:rFonts w:hint="eastAsia" w:ascii="宋体" w:hAnsi="宋体" w:cs="宋体"/>
          <w:b/>
          <w:bCs/>
          <w:sz w:val="32"/>
          <w:szCs w:val="32"/>
        </w:rPr>
        <w:t>拟参与本项目的主要人员资格及简历</w:t>
      </w:r>
    </w:p>
    <w:tbl>
      <w:tblPr>
        <w:tblStyle w:val="37"/>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64"/>
        <w:gridCol w:w="1285"/>
        <w:gridCol w:w="1926"/>
        <w:gridCol w:w="1161"/>
        <w:gridCol w:w="1161"/>
        <w:gridCol w:w="2222"/>
        <w:gridCol w:w="85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4"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jc w:val="center"/>
              <w:rPr>
                <w:rFonts w:ascii="宋体" w:hAnsi="宋体" w:cs="宋体"/>
                <w:sz w:val="24"/>
              </w:rPr>
            </w:pPr>
            <w:r>
              <w:rPr>
                <w:rFonts w:hint="eastAsia" w:ascii="宋体" w:hAnsi="宋体" w:cs="宋体"/>
                <w:sz w:val="24"/>
              </w:rPr>
              <w:t>姓名</w:t>
            </w:r>
          </w:p>
        </w:tc>
        <w:tc>
          <w:tcPr>
            <w:tcW w:w="1285"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jc w:val="center"/>
              <w:rPr>
                <w:rFonts w:ascii="宋体" w:hAnsi="宋体" w:cs="宋体"/>
                <w:sz w:val="24"/>
              </w:rPr>
            </w:pPr>
            <w:r>
              <w:rPr>
                <w:rFonts w:hint="eastAsia" w:ascii="宋体" w:hAnsi="宋体" w:cs="宋体"/>
                <w:sz w:val="24"/>
              </w:rPr>
              <w:t>职务</w:t>
            </w:r>
          </w:p>
        </w:tc>
        <w:tc>
          <w:tcPr>
            <w:tcW w:w="1926"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jc w:val="center"/>
              <w:rPr>
                <w:rFonts w:ascii="宋体" w:hAnsi="宋体" w:cs="宋体"/>
                <w:sz w:val="24"/>
              </w:rPr>
            </w:pPr>
            <w:r>
              <w:rPr>
                <w:rFonts w:hint="eastAsia" w:ascii="宋体" w:hAnsi="宋体" w:cs="宋体"/>
                <w:sz w:val="24"/>
              </w:rPr>
              <w:t>身份证号</w:t>
            </w:r>
          </w:p>
        </w:tc>
        <w:tc>
          <w:tcPr>
            <w:tcW w:w="1161"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jc w:val="center"/>
              <w:rPr>
                <w:rFonts w:ascii="宋体" w:hAnsi="宋体" w:cs="宋体"/>
                <w:sz w:val="24"/>
              </w:rPr>
            </w:pPr>
            <w:r>
              <w:rPr>
                <w:rFonts w:hint="eastAsia" w:ascii="宋体" w:hAnsi="宋体" w:cs="宋体"/>
                <w:sz w:val="24"/>
              </w:rPr>
              <w:t>岗位</w:t>
            </w:r>
          </w:p>
        </w:tc>
        <w:tc>
          <w:tcPr>
            <w:tcW w:w="1161"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jc w:val="center"/>
              <w:rPr>
                <w:rFonts w:ascii="宋体" w:hAnsi="宋体" w:cs="宋体"/>
                <w:sz w:val="24"/>
              </w:rPr>
            </w:pPr>
            <w:r>
              <w:rPr>
                <w:rFonts w:hint="eastAsia" w:ascii="宋体" w:hAnsi="宋体" w:cs="宋体"/>
                <w:sz w:val="24"/>
              </w:rPr>
              <w:t>专业技术资格</w:t>
            </w:r>
          </w:p>
        </w:tc>
        <w:tc>
          <w:tcPr>
            <w:tcW w:w="2222"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jc w:val="center"/>
              <w:rPr>
                <w:rFonts w:ascii="宋体" w:hAnsi="宋体" w:cs="宋体"/>
                <w:bCs/>
                <w:sz w:val="24"/>
              </w:rPr>
            </w:pPr>
            <w:r>
              <w:rPr>
                <w:rFonts w:hint="eastAsia" w:ascii="宋体" w:hAnsi="宋体" w:cs="宋体"/>
                <w:bCs/>
                <w:sz w:val="24"/>
              </w:rPr>
              <w:t>联系方式</w:t>
            </w:r>
          </w:p>
        </w:tc>
        <w:tc>
          <w:tcPr>
            <w:tcW w:w="854"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jc w:val="center"/>
              <w:rPr>
                <w:rFonts w:ascii="宋体" w:hAnsi="宋体" w:cs="宋体"/>
                <w:bCs/>
                <w:sz w:val="24"/>
              </w:rPr>
            </w:pPr>
            <w:r>
              <w:rPr>
                <w:rFonts w:hint="eastAsia" w:ascii="宋体" w:hAnsi="宋体" w:cs="宋体"/>
                <w:bCs/>
                <w:sz w:val="24"/>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285"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92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2222"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85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285"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92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2222"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85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285"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92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pStyle w:val="22"/>
              <w:snapToGrid w:val="0"/>
              <w:spacing w:before="120" w:beforeLines="50" w:after="50"/>
              <w:ind w:leftChars="0"/>
              <w:rPr>
                <w:rFonts w:ascii="宋体" w:hAnsi="宋体" w:eastAsia="宋体" w:cs="宋体"/>
                <w:sz w:val="24"/>
                <w:szCs w:val="24"/>
              </w:rPr>
            </w:pPr>
          </w:p>
        </w:tc>
        <w:tc>
          <w:tcPr>
            <w:tcW w:w="2222" w:type="dxa"/>
            <w:tcBorders>
              <w:top w:val="single" w:color="auto" w:sz="4" w:space="0"/>
              <w:left w:val="single" w:color="auto" w:sz="4" w:space="0"/>
              <w:bottom w:val="single" w:color="auto" w:sz="4" w:space="0"/>
              <w:right w:val="single" w:color="auto" w:sz="4" w:space="0"/>
            </w:tcBorders>
          </w:tcPr>
          <w:p>
            <w:pPr>
              <w:pStyle w:val="22"/>
              <w:ind w:leftChars="0"/>
              <w:rPr>
                <w:rFonts w:ascii="宋体" w:hAnsi="宋体" w:eastAsia="宋体" w:cs="宋体"/>
                <w:sz w:val="24"/>
                <w:szCs w:val="24"/>
              </w:rPr>
            </w:pPr>
          </w:p>
        </w:tc>
        <w:tc>
          <w:tcPr>
            <w:tcW w:w="854" w:type="dxa"/>
            <w:tcBorders>
              <w:top w:val="single" w:color="auto" w:sz="4" w:space="0"/>
              <w:left w:val="single" w:color="auto" w:sz="4" w:space="0"/>
              <w:bottom w:val="single" w:color="auto" w:sz="4" w:space="0"/>
              <w:right w:val="single" w:color="auto" w:sz="4" w:space="0"/>
            </w:tcBorders>
          </w:tcPr>
          <w:p>
            <w:pPr>
              <w:pStyle w:val="22"/>
              <w:ind w:leftChars="0"/>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285"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92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2222"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85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285"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92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2222"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85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285"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92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2222"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85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285"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92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2222"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85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285"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92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2222"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85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285"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92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2222"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85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285"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92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2222"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85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285"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92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2222"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85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285"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92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11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2222"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c>
          <w:tcPr>
            <w:tcW w:w="85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ascii="宋体" w:hAnsi="宋体" w:cs="宋体"/>
                <w:sz w:val="24"/>
              </w:rPr>
            </w:pPr>
          </w:p>
        </w:tc>
      </w:tr>
    </w:tbl>
    <w:p>
      <w:pPr>
        <w:snapToGrid w:val="0"/>
        <w:spacing w:before="50" w:after="120" w:afterLines="50"/>
        <w:rPr>
          <w:rFonts w:ascii="宋体" w:hAnsi="宋体" w:cs="宋体"/>
          <w:sz w:val="24"/>
        </w:rPr>
      </w:pPr>
      <w:r>
        <w:rPr>
          <w:rFonts w:hint="eastAsia" w:ascii="宋体" w:hAnsi="宋体" w:cs="宋体"/>
          <w:sz w:val="24"/>
        </w:rPr>
        <w:t>注：在填写时，如本表格不适合投标人的实际情况，可根据本表格式自行划表填写。</w:t>
      </w:r>
    </w:p>
    <w:p>
      <w:pPr>
        <w:pStyle w:val="33"/>
        <w:spacing w:line="375" w:lineRule="atLeast"/>
        <w:jc w:val="both"/>
        <w:rPr>
          <w:rFonts w:cs="宋体"/>
          <w:b/>
          <w:color w:val="auto"/>
        </w:rPr>
      </w:pPr>
    </w:p>
    <w:p>
      <w:pPr>
        <w:spacing w:line="360" w:lineRule="auto"/>
        <w:ind w:firstLine="410" w:firstLineChars="171"/>
        <w:rPr>
          <w:rFonts w:ascii="宋体" w:hAnsi="宋体" w:cs="宋体"/>
          <w:sz w:val="24"/>
        </w:rPr>
      </w:pPr>
      <w:r>
        <w:rPr>
          <w:rFonts w:hint="eastAsia" w:ascii="宋体" w:hAnsi="宋体" w:cs="宋体"/>
          <w:sz w:val="24"/>
        </w:rPr>
        <w:t>投标人名称（公章或CA签章）：</w:t>
      </w:r>
    </w:p>
    <w:p>
      <w:pPr>
        <w:spacing w:line="360" w:lineRule="auto"/>
        <w:ind w:firstLine="410" w:firstLineChars="171"/>
        <w:rPr>
          <w:rFonts w:ascii="宋体" w:hAnsi="宋体" w:cs="宋体"/>
          <w:sz w:val="24"/>
        </w:rPr>
      </w:pPr>
      <w:r>
        <w:rPr>
          <w:rFonts w:hint="eastAsia" w:ascii="宋体" w:hAnsi="宋体" w:cs="宋体"/>
          <w:sz w:val="24"/>
        </w:rPr>
        <w:t>法定代表人（签字或盖章）：</w:t>
      </w:r>
    </w:p>
    <w:p>
      <w:pPr>
        <w:pStyle w:val="9"/>
        <w:spacing w:line="360" w:lineRule="auto"/>
        <w:rPr>
          <w:rFonts w:ascii="宋体" w:hAnsi="宋体" w:cs="宋体"/>
          <w:sz w:val="24"/>
          <w:szCs w:val="24"/>
        </w:rPr>
      </w:pPr>
      <w:r>
        <w:rPr>
          <w:rFonts w:hint="eastAsia" w:ascii="宋体" w:hAnsi="宋体" w:cs="宋体"/>
          <w:sz w:val="24"/>
          <w:szCs w:val="24"/>
        </w:rPr>
        <w:t>日期：</w:t>
      </w:r>
    </w:p>
    <w:p>
      <w:pPr>
        <w:pStyle w:val="33"/>
        <w:spacing w:line="375" w:lineRule="atLeast"/>
        <w:jc w:val="both"/>
        <w:rPr>
          <w:rFonts w:cs="宋体"/>
          <w:b/>
          <w:color w:val="auto"/>
        </w:rPr>
      </w:pPr>
    </w:p>
    <w:p>
      <w:pPr>
        <w:pStyle w:val="33"/>
        <w:spacing w:line="375" w:lineRule="atLeast"/>
        <w:jc w:val="both"/>
        <w:rPr>
          <w:rFonts w:cs="宋体"/>
          <w:b/>
          <w:color w:val="auto"/>
        </w:rPr>
      </w:pPr>
    </w:p>
    <w:p>
      <w:pPr>
        <w:pStyle w:val="33"/>
        <w:spacing w:line="375" w:lineRule="atLeast"/>
        <w:jc w:val="both"/>
        <w:rPr>
          <w:rFonts w:cs="宋体"/>
          <w:b/>
          <w:color w:val="auto"/>
        </w:rPr>
      </w:pPr>
    </w:p>
    <w:p>
      <w:pPr>
        <w:pStyle w:val="33"/>
        <w:spacing w:line="375" w:lineRule="atLeast"/>
        <w:jc w:val="both"/>
        <w:rPr>
          <w:rFonts w:cs="宋体"/>
          <w:b/>
          <w:color w:val="auto"/>
        </w:rPr>
      </w:pPr>
    </w:p>
    <w:p>
      <w:pPr>
        <w:snapToGrid w:val="0"/>
        <w:spacing w:before="50" w:after="50"/>
        <w:rPr>
          <w:rFonts w:ascii="宋体" w:hAnsi="宋体" w:cs="宋体"/>
          <w:sz w:val="24"/>
        </w:rPr>
      </w:pPr>
    </w:p>
    <w:p>
      <w:pPr>
        <w:snapToGrid w:val="0"/>
        <w:spacing w:before="50" w:after="50"/>
        <w:rPr>
          <w:rFonts w:ascii="宋体" w:hAnsi="宋体" w:cs="宋体"/>
          <w:b/>
          <w:sz w:val="24"/>
          <w:szCs w:val="20"/>
        </w:rPr>
      </w:pPr>
      <w:r>
        <w:rPr>
          <w:rFonts w:hint="eastAsia" w:ascii="宋体" w:hAnsi="宋体" w:cs="宋体"/>
          <w:sz w:val="24"/>
        </w:rPr>
        <w:t xml:space="preserve">附件6     </w:t>
      </w:r>
      <w:r>
        <w:rPr>
          <w:rFonts w:hint="eastAsia" w:ascii="宋体" w:hAnsi="宋体" w:cs="宋体"/>
          <w:b/>
          <w:sz w:val="24"/>
        </w:rPr>
        <w:t>开标一览表</w:t>
      </w:r>
    </w:p>
    <w:p>
      <w:pPr>
        <w:spacing w:line="360" w:lineRule="atLeast"/>
        <w:jc w:val="center"/>
        <w:rPr>
          <w:rFonts w:hint="eastAsia" w:ascii="宋体" w:eastAsia="宋体"/>
          <w:b/>
          <w:bCs/>
          <w:szCs w:val="28"/>
          <w:lang w:eastAsia="zh-CN"/>
        </w:rPr>
      </w:pPr>
      <w:r>
        <w:rPr>
          <w:rFonts w:hint="eastAsia" w:ascii="宋体" w:hAnsi="宋体" w:cs="宋体"/>
          <w:b/>
          <w:bCs/>
          <w:szCs w:val="28"/>
          <w:lang w:eastAsia="zh-CN"/>
        </w:rPr>
        <w:t>数字校园管理系统项目</w:t>
      </w:r>
    </w:p>
    <w:p>
      <w:pPr>
        <w:spacing w:line="360" w:lineRule="atLeast"/>
        <w:jc w:val="center"/>
        <w:rPr>
          <w:rFonts w:ascii="宋体"/>
          <w:b/>
          <w:bCs/>
          <w:sz w:val="24"/>
        </w:rPr>
      </w:pPr>
      <w:r>
        <w:rPr>
          <w:rFonts w:hint="eastAsia" w:ascii="宋体" w:hAnsi="宋体" w:cs="宋体"/>
          <w:b/>
          <w:bCs/>
          <w:sz w:val="30"/>
          <w:szCs w:val="30"/>
        </w:rPr>
        <w:t>开标一览表</w:t>
      </w:r>
    </w:p>
    <w:p>
      <w:pPr>
        <w:snapToGrid w:val="0"/>
        <w:spacing w:before="50" w:after="50"/>
        <w:jc w:val="left"/>
        <w:rPr>
          <w:rFonts w:hint="eastAsia" w:ascii="Arial" w:hAnsi="Arial" w:eastAsia="宋体" w:cs="Arial"/>
          <w:sz w:val="22"/>
          <w:szCs w:val="22"/>
          <w:lang w:eastAsia="zh-CN"/>
        </w:rPr>
      </w:pPr>
      <w:r>
        <w:rPr>
          <w:rFonts w:hint="eastAsia" w:ascii="Arial" w:hAnsi="Arial" w:cs="宋体"/>
          <w:sz w:val="22"/>
          <w:szCs w:val="22"/>
        </w:rPr>
        <w:t>致：</w:t>
      </w:r>
      <w:r>
        <w:rPr>
          <w:rFonts w:hint="eastAsia" w:ascii="Arial" w:hAnsi="Arial" w:cs="宋体"/>
          <w:sz w:val="22"/>
          <w:szCs w:val="22"/>
          <w:lang w:eastAsia="zh-CN"/>
        </w:rPr>
        <w:t>中共台州市委党校</w:t>
      </w:r>
    </w:p>
    <w:p>
      <w:pPr>
        <w:snapToGrid w:val="0"/>
        <w:ind w:firstLine="440" w:firstLineChars="200"/>
        <w:jc w:val="left"/>
        <w:rPr>
          <w:rFonts w:ascii="新宋体" w:hAnsi="新宋体" w:eastAsia="新宋体"/>
          <w:sz w:val="21"/>
          <w:szCs w:val="21"/>
        </w:rPr>
      </w:pPr>
      <w:r>
        <w:rPr>
          <w:rFonts w:ascii="Arial" w:hAnsi="Arial" w:cs="Arial"/>
          <w:sz w:val="22"/>
          <w:szCs w:val="22"/>
        </w:rPr>
        <w:t>经研究，我们决定参加</w:t>
      </w:r>
      <w:r>
        <w:rPr>
          <w:rFonts w:hint="eastAsia" w:ascii="Arial" w:hAnsi="Arial" w:cs="Arial"/>
          <w:sz w:val="22"/>
          <w:szCs w:val="22"/>
        </w:rPr>
        <w:t>你单位的</w:t>
      </w:r>
      <w:r>
        <w:rPr>
          <w:rFonts w:hint="eastAsia" w:ascii="宋体" w:hAnsi="宋体"/>
          <w:sz w:val="22"/>
          <w:szCs w:val="22"/>
          <w:u w:val="single"/>
          <w:lang w:eastAsia="zh-CN"/>
        </w:rPr>
        <w:t>数字校园管理系统项目</w:t>
      </w:r>
      <w:r>
        <w:rPr>
          <w:rFonts w:ascii="Arial" w:hAnsi="Arial" w:cs="Arial"/>
          <w:sz w:val="22"/>
          <w:szCs w:val="22"/>
        </w:rPr>
        <w:t>的</w:t>
      </w:r>
      <w:r>
        <w:rPr>
          <w:rFonts w:hint="eastAsia" w:ascii="Arial" w:hAnsi="Arial" w:cs="Arial"/>
          <w:sz w:val="22"/>
        </w:rPr>
        <w:t>招标</w:t>
      </w:r>
      <w:r>
        <w:rPr>
          <w:rFonts w:ascii="Arial" w:hAnsi="Arial" w:cs="Arial"/>
          <w:sz w:val="22"/>
        </w:rPr>
        <w:t>采购活动并提交</w:t>
      </w:r>
      <w:r>
        <w:rPr>
          <w:rFonts w:hint="eastAsia" w:ascii="Arial" w:hAnsi="Arial" w:cs="Arial"/>
          <w:sz w:val="22"/>
        </w:rPr>
        <w:t>投标</w:t>
      </w:r>
      <w:r>
        <w:rPr>
          <w:rFonts w:ascii="Arial" w:hAnsi="Arial" w:cs="Arial"/>
          <w:sz w:val="22"/>
        </w:rPr>
        <w:t>文件。为此，我方郑重声明以下诸点，并负法律责任。</w:t>
      </w:r>
    </w:p>
    <w:p>
      <w:pPr>
        <w:pStyle w:val="17"/>
        <w:adjustRightInd w:val="0"/>
        <w:snapToGrid w:val="0"/>
        <w:spacing w:line="240" w:lineRule="auto"/>
        <w:rPr>
          <w:rFonts w:ascii="Arial" w:hAnsi="Arial" w:cs="Arial"/>
          <w:spacing w:val="0"/>
          <w:sz w:val="22"/>
          <w:szCs w:val="22"/>
        </w:rPr>
      </w:pPr>
      <w:r>
        <w:rPr>
          <w:rFonts w:ascii="Arial" w:hAnsi="Arial" w:cs="Arial"/>
          <w:spacing w:val="0"/>
          <w:sz w:val="22"/>
          <w:szCs w:val="22"/>
        </w:rPr>
        <w:t>1、如果我们的招标文件被接受，我们将履行招标文件中规定的每一项要求，并按我们投标文件中的承诺按期、按质、按量提供服务。</w:t>
      </w:r>
    </w:p>
    <w:p>
      <w:pPr>
        <w:pStyle w:val="17"/>
        <w:adjustRightInd w:val="0"/>
        <w:snapToGrid w:val="0"/>
        <w:spacing w:line="240" w:lineRule="auto"/>
        <w:ind w:firstLine="283" w:firstLineChars="129"/>
        <w:rPr>
          <w:rFonts w:ascii="Arial" w:hAnsi="Arial" w:cs="Arial"/>
          <w:spacing w:val="0"/>
          <w:sz w:val="22"/>
          <w:szCs w:val="22"/>
        </w:rPr>
      </w:pPr>
      <w:r>
        <w:rPr>
          <w:rFonts w:ascii="Arial" w:hAnsi="Arial" w:cs="Arial"/>
          <w:spacing w:val="0"/>
          <w:sz w:val="22"/>
          <w:szCs w:val="22"/>
        </w:rPr>
        <w:t>2、我们同意按采购文件规定遵守采购人有关采购的各项规定。</w:t>
      </w:r>
    </w:p>
    <w:p>
      <w:pPr>
        <w:pStyle w:val="17"/>
        <w:adjustRightInd w:val="0"/>
        <w:snapToGrid w:val="0"/>
        <w:spacing w:line="240" w:lineRule="auto"/>
        <w:ind w:firstLine="275" w:firstLineChars="125"/>
        <w:rPr>
          <w:rFonts w:ascii="Arial" w:hAnsi="Arial" w:cs="Arial"/>
          <w:sz w:val="22"/>
          <w:szCs w:val="22"/>
        </w:rPr>
      </w:pPr>
      <w:r>
        <w:rPr>
          <w:rFonts w:ascii="Arial" w:hAnsi="Arial" w:cs="Arial"/>
          <w:spacing w:val="0"/>
          <w:sz w:val="22"/>
          <w:szCs w:val="22"/>
        </w:rPr>
        <w:t>3、</w:t>
      </w:r>
      <w:r>
        <w:rPr>
          <w:rFonts w:ascii="Arial" w:hAnsi="Arial" w:cs="Arial"/>
          <w:sz w:val="22"/>
          <w:szCs w:val="22"/>
        </w:rPr>
        <w:t>我方同意提供按照贵方可能要求的与投标有关的一切数据或资料，</w:t>
      </w:r>
      <w:r>
        <w:rPr>
          <w:rFonts w:ascii="Arial" w:hAnsi="Arial" w:cs="Arial"/>
          <w:spacing w:val="0"/>
          <w:sz w:val="22"/>
          <w:szCs w:val="22"/>
        </w:rPr>
        <w:t>我方若未成为成交投标人，采购人有权不做任何解释。</w:t>
      </w:r>
    </w:p>
    <w:p>
      <w:pPr>
        <w:ind w:firstLine="330" w:firstLineChars="150"/>
        <w:rPr>
          <w:rFonts w:ascii="宋体" w:hAnsi="宋体"/>
          <w:sz w:val="22"/>
          <w:szCs w:val="22"/>
        </w:rPr>
      </w:pPr>
      <w:r>
        <w:rPr>
          <w:rFonts w:hint="eastAsia" w:ascii="Arial" w:hAnsi="Arial" w:cs="Arial"/>
          <w:sz w:val="22"/>
          <w:szCs w:val="22"/>
        </w:rPr>
        <w:t>4、我方如果中标，将保证履行招标文件以及招标文件修改书（如有）中的全部责任和义务，按质、按量、按期完成《合同》中的全部任务。</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75"/>
        <w:gridCol w:w="63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3275" w:type="dxa"/>
            <w:vAlign w:val="center"/>
          </w:tcPr>
          <w:p>
            <w:pPr>
              <w:spacing w:line="360" w:lineRule="auto"/>
              <w:outlineLvl w:val="0"/>
              <w:rPr>
                <w:rFonts w:ascii="宋体" w:hAnsi="宋体"/>
                <w:sz w:val="24"/>
                <w:szCs w:val="21"/>
              </w:rPr>
            </w:pPr>
            <w:r>
              <w:rPr>
                <w:rFonts w:hint="eastAsia" w:ascii="宋体" w:hAnsi="宋体"/>
                <w:sz w:val="24"/>
                <w:szCs w:val="21"/>
              </w:rPr>
              <w:t>1、投标总报价</w:t>
            </w:r>
          </w:p>
        </w:tc>
        <w:tc>
          <w:tcPr>
            <w:tcW w:w="6338" w:type="dxa"/>
            <w:vAlign w:val="center"/>
          </w:tcPr>
          <w:p>
            <w:pPr>
              <w:wordWrap w:val="0"/>
              <w:spacing w:line="360" w:lineRule="auto"/>
              <w:ind w:right="420" w:firstLine="420" w:firstLineChars="200"/>
              <w:outlineLvl w:val="0"/>
              <w:rPr>
                <w:rFonts w:ascii="宋体" w:hAnsi="宋体"/>
                <w:bCs/>
                <w:sz w:val="21"/>
                <w:szCs w:val="21"/>
              </w:rPr>
            </w:pPr>
            <w:r>
              <w:rPr>
                <w:rFonts w:hint="eastAsia" w:ascii="宋体" w:hAnsi="宋体"/>
                <w:bCs/>
                <w:sz w:val="21"/>
                <w:szCs w:val="21"/>
              </w:rPr>
              <w:t>大写：</w:t>
            </w:r>
            <w:r>
              <w:rPr>
                <w:rFonts w:hint="eastAsia" w:ascii="宋体" w:hAnsi="宋体"/>
                <w:bCs/>
                <w:sz w:val="21"/>
                <w:szCs w:val="21"/>
                <w:u w:val="single"/>
              </w:rPr>
              <w:t xml:space="preserve">               </w:t>
            </w:r>
            <w:r>
              <w:rPr>
                <w:rFonts w:hint="eastAsia" w:ascii="宋体" w:hAnsi="宋体"/>
                <w:bCs/>
                <w:sz w:val="21"/>
                <w:szCs w:val="21"/>
              </w:rPr>
              <w:t>元；小写：</w:t>
            </w:r>
            <w:r>
              <w:rPr>
                <w:rFonts w:hint="eastAsia" w:ascii="宋体" w:hAnsi="宋体"/>
                <w:bCs/>
                <w:sz w:val="21"/>
                <w:szCs w:val="21"/>
                <w:u w:val="single"/>
              </w:rPr>
              <w:t xml:space="preserve">              </w:t>
            </w:r>
            <w:r>
              <w:rPr>
                <w:rFonts w:hint="eastAsia" w:ascii="宋体" w:hAnsi="宋体"/>
                <w:bCs/>
                <w:sz w:val="21"/>
                <w:szCs w:val="21"/>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3275" w:type="dxa"/>
            <w:vAlign w:val="center"/>
          </w:tcPr>
          <w:p>
            <w:pPr>
              <w:snapToGrid w:val="0"/>
              <w:spacing w:before="50" w:after="50"/>
              <w:rPr>
                <w:rFonts w:ascii="宋体" w:hAnsi="宋体"/>
                <w:sz w:val="24"/>
                <w:szCs w:val="21"/>
              </w:rPr>
            </w:pPr>
            <w:r>
              <w:rPr>
                <w:rFonts w:hint="eastAsia" w:ascii="宋体" w:hAnsi="宋体"/>
                <w:sz w:val="24"/>
                <w:szCs w:val="21"/>
              </w:rPr>
              <w:t>2、时间要求</w:t>
            </w:r>
          </w:p>
        </w:tc>
        <w:tc>
          <w:tcPr>
            <w:tcW w:w="6338" w:type="dxa"/>
            <w:vAlign w:val="center"/>
          </w:tcPr>
          <w:p>
            <w:pPr>
              <w:snapToGrid w:val="0"/>
              <w:spacing w:line="360" w:lineRule="auto"/>
              <w:jc w:val="center"/>
              <w:rPr>
                <w:rFonts w:ascii="宋体" w:hAnsi="宋体"/>
                <w:sz w:val="24"/>
                <w:szCs w:val="21"/>
              </w:rPr>
            </w:pPr>
            <w:r>
              <w:rPr>
                <w:rFonts w:hint="eastAsia" w:ascii="宋体" w:hAnsi="宋体"/>
                <w:sz w:val="24"/>
                <w:szCs w:val="21"/>
              </w:rPr>
              <w:t>符合要求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3275" w:type="dxa"/>
            <w:vAlign w:val="center"/>
          </w:tcPr>
          <w:p>
            <w:pPr>
              <w:snapToGrid w:val="0"/>
              <w:spacing w:before="50" w:after="50"/>
              <w:rPr>
                <w:rFonts w:hint="eastAsia" w:ascii="宋体" w:hAnsi="宋体" w:eastAsia="宋体"/>
                <w:sz w:val="24"/>
                <w:szCs w:val="21"/>
                <w:lang w:eastAsia="zh-CN"/>
              </w:rPr>
            </w:pPr>
            <w:r>
              <w:rPr>
                <w:rFonts w:hint="eastAsia" w:ascii="宋体" w:hAnsi="宋体"/>
                <w:sz w:val="24"/>
                <w:szCs w:val="21"/>
              </w:rPr>
              <w:t>3、质量</w:t>
            </w:r>
            <w:r>
              <w:rPr>
                <w:rFonts w:hint="eastAsia" w:ascii="宋体" w:hAnsi="宋体"/>
                <w:sz w:val="24"/>
                <w:szCs w:val="21"/>
                <w:lang w:val="en-US" w:eastAsia="zh-CN"/>
              </w:rPr>
              <w:t>要求</w:t>
            </w:r>
          </w:p>
        </w:tc>
        <w:tc>
          <w:tcPr>
            <w:tcW w:w="6338" w:type="dxa"/>
            <w:vAlign w:val="center"/>
          </w:tcPr>
          <w:p>
            <w:pPr>
              <w:snapToGrid w:val="0"/>
              <w:spacing w:before="50" w:after="50"/>
              <w:jc w:val="center"/>
              <w:rPr>
                <w:rFonts w:ascii="宋体" w:hAnsi="宋体"/>
                <w:sz w:val="24"/>
                <w:szCs w:val="21"/>
              </w:rPr>
            </w:pPr>
            <w:r>
              <w:rPr>
                <w:rFonts w:hint="eastAsia" w:ascii="宋体" w:hAnsi="宋体"/>
                <w:sz w:val="24"/>
                <w:szCs w:val="21"/>
              </w:rPr>
              <w:t>符合要求</w:t>
            </w:r>
          </w:p>
        </w:tc>
      </w:tr>
    </w:tbl>
    <w:p>
      <w:pPr>
        <w:snapToGrid w:val="0"/>
        <w:spacing w:before="50" w:after="50"/>
        <w:jc w:val="left"/>
        <w:rPr>
          <w:rFonts w:ascii="宋体" w:hAnsi="宋体"/>
          <w:sz w:val="22"/>
          <w:szCs w:val="22"/>
        </w:rPr>
      </w:pPr>
    </w:p>
    <w:p>
      <w:pPr>
        <w:snapToGrid w:val="0"/>
        <w:spacing w:before="50" w:after="50"/>
        <w:jc w:val="left"/>
        <w:rPr>
          <w:rFonts w:ascii="宋体" w:hAnsi="宋体"/>
          <w:sz w:val="22"/>
          <w:szCs w:val="22"/>
        </w:rPr>
      </w:pPr>
      <w:r>
        <w:rPr>
          <w:rFonts w:hint="eastAsia" w:ascii="宋体" w:hAnsi="宋体"/>
          <w:sz w:val="22"/>
          <w:szCs w:val="22"/>
        </w:rPr>
        <w:t>注</w:t>
      </w:r>
      <w:r>
        <w:rPr>
          <w:rFonts w:ascii="宋体" w:hAnsi="宋体"/>
          <w:sz w:val="22"/>
          <w:szCs w:val="22"/>
        </w:rPr>
        <w:t>: 1</w:t>
      </w:r>
      <w:r>
        <w:rPr>
          <w:rFonts w:hint="eastAsia" w:ascii="宋体" w:hAnsi="宋体"/>
          <w:sz w:val="22"/>
          <w:szCs w:val="22"/>
        </w:rPr>
        <w:t>、报价一经涂改，应在涂改处加盖单位公章或者由法定代表人或授权委托人签字或盖章，否则其投标作无效标处理。</w:t>
      </w:r>
    </w:p>
    <w:p>
      <w:pPr>
        <w:snapToGrid w:val="0"/>
        <w:spacing w:before="50" w:after="50"/>
        <w:jc w:val="left"/>
        <w:rPr>
          <w:rFonts w:ascii="宋体" w:hAnsi="宋体"/>
          <w:sz w:val="22"/>
          <w:szCs w:val="22"/>
        </w:rPr>
      </w:pPr>
      <w:r>
        <w:rPr>
          <w:rFonts w:ascii="宋体" w:hAnsi="宋体"/>
          <w:sz w:val="22"/>
          <w:szCs w:val="22"/>
        </w:rPr>
        <w:t>2</w:t>
      </w:r>
      <w:r>
        <w:rPr>
          <w:rFonts w:hint="eastAsia" w:ascii="宋体" w:hAnsi="宋体"/>
          <w:sz w:val="22"/>
          <w:szCs w:val="22"/>
        </w:rPr>
        <w:t>、本次报价为招标文件所确定的招标需求范围内和合同中要求完成的全部工作内容以及中标的服务承诺，包括</w:t>
      </w:r>
      <w:r>
        <w:rPr>
          <w:rFonts w:ascii="宋体" w:hAnsi="宋体" w:eastAsia="宋体" w:cs="宋体"/>
          <w:sz w:val="21"/>
          <w:szCs w:val="21"/>
          <w14:textOutline w14:w="3795" w14:cap="sq" w14:cmpd="sng">
            <w14:solidFill>
              <w14:srgbClr w14:val="000000"/>
            </w14:solidFill>
            <w14:prstDash w14:val="solid"/>
            <w14:bevel/>
          </w14:textOutline>
        </w:rPr>
        <w:t>项目实施人员费用、软件开发、安装、调试、测试、技术交底、技术培训、售后服务、验收、培训、采购代理服务费、保修及其他配套服务等一切税金和费用。供应商须充分考虑实际服务内容和需求，针对自身实际情况，核算所需的成本及合理的利润，自行报价，结算时由供应商开具正式发票</w:t>
      </w:r>
      <w:r>
        <w:rPr>
          <w:rFonts w:hint="eastAsia" w:ascii="宋体" w:hAnsi="宋体"/>
          <w:sz w:val="22"/>
          <w:szCs w:val="22"/>
        </w:rPr>
        <w:t>。</w:t>
      </w:r>
    </w:p>
    <w:p>
      <w:pPr>
        <w:spacing w:line="320" w:lineRule="exact"/>
        <w:ind w:left="420"/>
        <w:rPr>
          <w:rFonts w:ascii="宋体" w:hAnsi="宋体"/>
          <w:sz w:val="22"/>
          <w:szCs w:val="22"/>
        </w:rPr>
      </w:pPr>
    </w:p>
    <w:p>
      <w:pPr>
        <w:spacing w:line="320" w:lineRule="exact"/>
        <w:ind w:left="420"/>
        <w:rPr>
          <w:rFonts w:ascii="宋体" w:hAnsi="宋体"/>
          <w:sz w:val="22"/>
          <w:szCs w:val="22"/>
        </w:rPr>
      </w:pPr>
      <w:r>
        <w:rPr>
          <w:rFonts w:hint="eastAsia" w:ascii="宋体" w:hAnsi="宋体"/>
          <w:sz w:val="22"/>
          <w:szCs w:val="22"/>
        </w:rPr>
        <w:t xml:space="preserve">投标人（公章或CA签章）：     </w:t>
      </w:r>
    </w:p>
    <w:p>
      <w:pPr>
        <w:spacing w:line="320" w:lineRule="exact"/>
        <w:ind w:left="420"/>
        <w:rPr>
          <w:rFonts w:ascii="宋体" w:hAnsi="宋体"/>
          <w:sz w:val="22"/>
          <w:szCs w:val="22"/>
        </w:rPr>
      </w:pPr>
    </w:p>
    <w:p>
      <w:pPr>
        <w:spacing w:line="320" w:lineRule="exact"/>
        <w:ind w:left="420"/>
        <w:rPr>
          <w:rFonts w:ascii="宋体"/>
          <w:sz w:val="22"/>
          <w:szCs w:val="22"/>
        </w:rPr>
      </w:pPr>
      <w:r>
        <w:rPr>
          <w:rFonts w:hint="eastAsia" w:ascii="宋体" w:hAnsi="宋体"/>
          <w:sz w:val="22"/>
          <w:szCs w:val="22"/>
        </w:rPr>
        <w:t>法定代表人（签字或盖章）：                          日期：</w:t>
      </w:r>
    </w:p>
    <w:p>
      <w:pPr>
        <w:snapToGrid w:val="0"/>
        <w:spacing w:before="50" w:after="50"/>
        <w:rPr>
          <w:rFonts w:ascii="宋体" w:hAnsi="宋体" w:cs="宋体"/>
          <w:sz w:val="24"/>
        </w:rPr>
      </w:pPr>
    </w:p>
    <w:p>
      <w:pPr>
        <w:snapToGrid w:val="0"/>
        <w:spacing w:before="50" w:after="50"/>
        <w:rPr>
          <w:rFonts w:ascii="宋体" w:hAnsi="宋体" w:cs="宋体"/>
          <w:sz w:val="24"/>
        </w:rPr>
      </w:pPr>
    </w:p>
    <w:p>
      <w:pPr>
        <w:snapToGrid w:val="0"/>
        <w:spacing w:before="50" w:after="50"/>
        <w:rPr>
          <w:rFonts w:ascii="宋体" w:hAnsi="宋体" w:cs="宋体"/>
          <w:sz w:val="24"/>
        </w:rPr>
      </w:pPr>
    </w:p>
    <w:p>
      <w:pPr>
        <w:snapToGrid w:val="0"/>
        <w:spacing w:before="50" w:after="50"/>
        <w:rPr>
          <w:rFonts w:ascii="宋体" w:hAnsi="宋体" w:cs="宋体"/>
          <w:sz w:val="24"/>
        </w:rPr>
      </w:pPr>
    </w:p>
    <w:p>
      <w:pPr>
        <w:snapToGrid w:val="0"/>
        <w:spacing w:before="50" w:after="50"/>
        <w:rPr>
          <w:rFonts w:ascii="宋体" w:hAnsi="宋体" w:cs="宋体"/>
          <w:sz w:val="24"/>
        </w:rPr>
      </w:pPr>
    </w:p>
    <w:p>
      <w:pPr>
        <w:pStyle w:val="102"/>
      </w:pPr>
    </w:p>
    <w:p>
      <w:pPr>
        <w:snapToGrid w:val="0"/>
        <w:spacing w:before="50" w:after="50"/>
        <w:rPr>
          <w:rFonts w:ascii="宋体" w:hAnsi="宋体" w:cs="宋体"/>
          <w:sz w:val="24"/>
        </w:rPr>
      </w:pPr>
    </w:p>
    <w:p>
      <w:pPr>
        <w:pStyle w:val="102"/>
        <w:sectPr>
          <w:pgSz w:w="11907" w:h="16840"/>
          <w:pgMar w:top="1361" w:right="1247" w:bottom="1247" w:left="1304" w:header="851" w:footer="992" w:gutter="0"/>
          <w:cols w:space="720" w:num="1"/>
          <w:docGrid w:linePitch="312" w:charSpace="0"/>
        </w:sectPr>
      </w:pPr>
    </w:p>
    <w:p>
      <w:pPr>
        <w:pStyle w:val="102"/>
      </w:pPr>
    </w:p>
    <w:p>
      <w:pPr>
        <w:autoSpaceDE w:val="0"/>
        <w:autoSpaceDN w:val="0"/>
        <w:spacing w:line="360" w:lineRule="auto"/>
        <w:rPr>
          <w:rFonts w:ascii="宋体" w:hAnsi="宋体" w:cs="宋体"/>
          <w:b/>
          <w:sz w:val="24"/>
          <w:lang w:val="zh-CN"/>
        </w:rPr>
      </w:pPr>
      <w:r>
        <w:rPr>
          <w:rFonts w:hint="eastAsia" w:ascii="宋体" w:hAnsi="宋体" w:cs="宋体"/>
          <w:b/>
          <w:sz w:val="24"/>
        </w:rPr>
        <w:t>附件8.中小企业声明函</w:t>
      </w:r>
      <w:r>
        <w:rPr>
          <w:rFonts w:hint="eastAsia" w:ascii="宋体" w:hAnsi="宋体" w:cs="宋体"/>
          <w:b/>
          <w:sz w:val="24"/>
          <w:lang w:val="zh-CN"/>
        </w:rPr>
        <w:t>格式：</w:t>
      </w:r>
    </w:p>
    <w:p>
      <w:pPr>
        <w:spacing w:line="360" w:lineRule="auto"/>
        <w:ind w:right="-110"/>
        <w:jc w:val="center"/>
        <w:rPr>
          <w:rFonts w:ascii="宋体" w:hAnsi="宋体" w:cs="宋体"/>
          <w:b/>
          <w:bCs/>
          <w:spacing w:val="21"/>
          <w:kern w:val="0"/>
          <w:sz w:val="32"/>
          <w:szCs w:val="32"/>
        </w:rPr>
      </w:pPr>
      <w:r>
        <w:rPr>
          <w:rFonts w:hint="eastAsia" w:ascii="宋体" w:hAnsi="宋体" w:cs="宋体"/>
          <w:b/>
          <w:bCs/>
          <w:spacing w:val="21"/>
          <w:kern w:val="0"/>
          <w:sz w:val="32"/>
          <w:szCs w:val="32"/>
        </w:rPr>
        <w:t>中小企业声明函（工程、服务）</w:t>
      </w:r>
    </w:p>
    <w:p>
      <w:pPr>
        <w:spacing w:line="360" w:lineRule="auto"/>
        <w:ind w:right="-110"/>
        <w:jc w:val="center"/>
        <w:rPr>
          <w:rFonts w:ascii="宋体"/>
          <w:b/>
          <w:bCs/>
          <w:spacing w:val="21"/>
          <w:kern w:val="0"/>
          <w:sz w:val="32"/>
          <w:szCs w:val="32"/>
        </w:rPr>
      </w:pPr>
    </w:p>
    <w:p>
      <w:pPr>
        <w:pStyle w:val="93"/>
        <w:spacing w:line="360" w:lineRule="auto"/>
        <w:ind w:firstLine="504" w:firstLineChars="200"/>
        <w:rPr>
          <w:rFonts w:ascii="宋体" w:hAnsi="宋体"/>
          <w:spacing w:val="6"/>
          <w:sz w:val="24"/>
        </w:rPr>
      </w:pPr>
      <w:r>
        <w:rPr>
          <w:rFonts w:hint="eastAsia" w:ascii="宋体" w:hAnsi="宋体"/>
          <w:spacing w:val="6"/>
          <w:sz w:val="24"/>
        </w:rPr>
        <w:t>本公司郑重声明，根据《政府采购促进中小企业发展管理办法》（财库﹝2020﹞46 号）的规定，本公司参加</w:t>
      </w:r>
      <w:r>
        <w:rPr>
          <w:rFonts w:hint="eastAsia" w:ascii="宋体" w:hAnsi="宋体"/>
          <w:spacing w:val="6"/>
          <w:sz w:val="24"/>
          <w:u w:val="single"/>
        </w:rPr>
        <w:t>（单位名称）的（项目名称）</w:t>
      </w:r>
      <w:r>
        <w:rPr>
          <w:rFonts w:hint="eastAsia" w:ascii="宋体" w:hAnsi="宋体"/>
          <w:spacing w:val="6"/>
          <w:sz w:val="24"/>
        </w:rPr>
        <w:t>采购活动，工程、服务全部由符合政策要求的中小企业承接。相关企业（中小企业、签订分包意向协议的中小企业）的具体情况如下：</w:t>
      </w:r>
    </w:p>
    <w:p>
      <w:pPr>
        <w:pStyle w:val="93"/>
        <w:spacing w:line="360" w:lineRule="auto"/>
        <w:ind w:firstLine="504" w:firstLineChars="200"/>
        <w:rPr>
          <w:rFonts w:ascii="宋体" w:hAnsi="宋体"/>
          <w:spacing w:val="6"/>
          <w:sz w:val="24"/>
        </w:rPr>
      </w:pPr>
      <w:r>
        <w:rPr>
          <w:rFonts w:hint="eastAsia" w:ascii="宋体" w:hAnsi="宋体"/>
          <w:spacing w:val="6"/>
          <w:sz w:val="24"/>
        </w:rPr>
        <w:t xml:space="preserve">1. </w:t>
      </w:r>
      <w:r>
        <w:rPr>
          <w:rFonts w:hint="eastAsia" w:ascii="宋体" w:hAnsi="宋体"/>
          <w:spacing w:val="6"/>
          <w:sz w:val="24"/>
          <w:u w:val="single"/>
        </w:rPr>
        <w:t>（标的名称）</w:t>
      </w:r>
      <w:r>
        <w:rPr>
          <w:rFonts w:hint="eastAsia" w:ascii="宋体" w:hAnsi="宋体"/>
          <w:spacing w:val="6"/>
          <w:sz w:val="24"/>
        </w:rPr>
        <w:t xml:space="preserve"> ，属于</w:t>
      </w:r>
      <w:r>
        <w:rPr>
          <w:rFonts w:hint="eastAsia" w:ascii="宋体" w:hAnsi="宋体"/>
          <w:spacing w:val="6"/>
          <w:sz w:val="24"/>
          <w:u w:val="single"/>
        </w:rPr>
        <w:t>（采购文件中的“其他未列明行业”）</w:t>
      </w:r>
      <w:r>
        <w:rPr>
          <w:rFonts w:hint="eastAsia" w:ascii="宋体" w:hAnsi="宋体"/>
          <w:spacing w:val="6"/>
          <w:sz w:val="24"/>
        </w:rPr>
        <w:t>行业；承接企业为</w:t>
      </w:r>
      <w:r>
        <w:rPr>
          <w:rFonts w:hint="eastAsia" w:ascii="宋体" w:hAnsi="宋体"/>
          <w:spacing w:val="6"/>
          <w:sz w:val="24"/>
          <w:u w:val="single"/>
        </w:rPr>
        <w:t>（企业名称）</w:t>
      </w:r>
      <w:r>
        <w:rPr>
          <w:rFonts w:hint="eastAsia" w:ascii="宋体" w:hAnsi="宋体"/>
          <w:spacing w:val="6"/>
          <w:sz w:val="24"/>
        </w:rPr>
        <w:t>，从业人员人，营业收入为万元，资产总额为万元（注），属于</w:t>
      </w:r>
      <w:r>
        <w:rPr>
          <w:rFonts w:hint="eastAsia" w:ascii="宋体" w:hAnsi="宋体"/>
          <w:spacing w:val="6"/>
          <w:sz w:val="24"/>
          <w:u w:val="single"/>
        </w:rPr>
        <w:t>（中型企业、小型企业、微型企业）</w:t>
      </w:r>
      <w:r>
        <w:rPr>
          <w:rFonts w:hint="eastAsia" w:ascii="宋体" w:hAnsi="宋体"/>
          <w:spacing w:val="6"/>
          <w:sz w:val="24"/>
        </w:rPr>
        <w:t>；</w:t>
      </w:r>
    </w:p>
    <w:p>
      <w:pPr>
        <w:pStyle w:val="93"/>
        <w:spacing w:line="360" w:lineRule="auto"/>
        <w:ind w:firstLine="504" w:firstLineChars="200"/>
        <w:rPr>
          <w:rFonts w:ascii="宋体" w:hAnsi="宋体"/>
          <w:spacing w:val="6"/>
          <w:sz w:val="24"/>
        </w:rPr>
      </w:pPr>
      <w:r>
        <w:rPr>
          <w:rFonts w:hint="eastAsia" w:ascii="宋体" w:hAnsi="宋体"/>
          <w:spacing w:val="6"/>
          <w:sz w:val="24"/>
        </w:rPr>
        <w:t>……</w:t>
      </w:r>
    </w:p>
    <w:p>
      <w:pPr>
        <w:pStyle w:val="93"/>
        <w:spacing w:line="360" w:lineRule="auto"/>
        <w:ind w:firstLine="504" w:firstLineChars="200"/>
        <w:rPr>
          <w:rFonts w:ascii="宋体" w:hAnsi="宋体"/>
          <w:spacing w:val="6"/>
          <w:sz w:val="24"/>
        </w:rPr>
      </w:pPr>
      <w:r>
        <w:rPr>
          <w:rFonts w:hint="eastAsia" w:ascii="宋体" w:hAnsi="宋体"/>
          <w:spacing w:val="6"/>
          <w:sz w:val="24"/>
        </w:rPr>
        <w:t>以上企业，不属于大企业的分支机构，不存在控股股东为大企业的情形，也不存在与大企业的负责人为同一人的情形。</w:t>
      </w:r>
    </w:p>
    <w:p>
      <w:pPr>
        <w:pStyle w:val="93"/>
        <w:spacing w:line="360" w:lineRule="auto"/>
        <w:ind w:firstLine="504" w:firstLineChars="200"/>
        <w:rPr>
          <w:rFonts w:ascii="宋体" w:hAnsi="宋体"/>
          <w:spacing w:val="6"/>
          <w:sz w:val="24"/>
        </w:rPr>
      </w:pPr>
      <w:r>
        <w:rPr>
          <w:rFonts w:hint="eastAsia" w:ascii="宋体" w:hAnsi="宋体"/>
          <w:spacing w:val="6"/>
          <w:sz w:val="24"/>
        </w:rPr>
        <w:t>本企业对上述声明内容的真实性负责。如有虚假，将依法承担相应责任。</w:t>
      </w:r>
    </w:p>
    <w:p>
      <w:pPr>
        <w:pStyle w:val="93"/>
        <w:spacing w:line="360" w:lineRule="auto"/>
        <w:ind w:left="5670" w:leftChars="2025"/>
        <w:rPr>
          <w:rFonts w:ascii="宋体" w:hAnsi="宋体" w:cs="宋体"/>
          <w:sz w:val="24"/>
        </w:rPr>
      </w:pPr>
    </w:p>
    <w:p>
      <w:pPr>
        <w:pStyle w:val="93"/>
        <w:spacing w:line="360" w:lineRule="auto"/>
        <w:ind w:left="5670" w:leftChars="2025"/>
        <w:rPr>
          <w:rFonts w:ascii="宋体"/>
          <w:sz w:val="24"/>
        </w:rPr>
      </w:pPr>
      <w:r>
        <w:rPr>
          <w:rFonts w:hint="eastAsia" w:ascii="宋体" w:hAnsi="宋体" w:cs="宋体"/>
          <w:sz w:val="24"/>
        </w:rPr>
        <w:t>企业名称（公章或CA签章）：</w:t>
      </w:r>
    </w:p>
    <w:p>
      <w:pPr>
        <w:spacing w:line="360" w:lineRule="auto"/>
        <w:ind w:firstLine="600" w:firstLineChars="250"/>
        <w:jc w:val="right"/>
        <w:sectPr>
          <w:pgSz w:w="11907" w:h="16840"/>
          <w:pgMar w:top="1361" w:right="1247" w:bottom="1247" w:left="1304" w:header="851" w:footer="992" w:gutter="0"/>
          <w:cols w:space="720" w:num="1"/>
          <w:docGrid w:linePitch="312" w:charSpace="0"/>
        </w:sectPr>
      </w:pPr>
      <w:r>
        <w:rPr>
          <w:rFonts w:hint="eastAsia" w:ascii="宋体" w:hAnsi="宋体" w:cs="宋体"/>
          <w:sz w:val="24"/>
        </w:rPr>
        <w:t>日期：   年  月  日</w:t>
      </w:r>
    </w:p>
    <w:p>
      <w:pPr>
        <w:snapToGrid w:val="0"/>
        <w:spacing w:before="50" w:after="50"/>
        <w:rPr>
          <w:rFonts w:ascii="宋体" w:hAnsi="宋体" w:cs="宋体"/>
          <w:b/>
          <w:bCs/>
          <w:sz w:val="24"/>
        </w:rPr>
      </w:pPr>
      <w:r>
        <w:rPr>
          <w:rFonts w:hint="eastAsia" w:ascii="宋体" w:hAnsi="宋体" w:cs="宋体"/>
          <w:b/>
          <w:bCs/>
          <w:sz w:val="24"/>
        </w:rPr>
        <w:t>附件9：投标人业绩一览表</w:t>
      </w:r>
    </w:p>
    <w:p>
      <w:pPr>
        <w:rPr>
          <w:rFonts w:ascii="宋体" w:hAnsi="宋体" w:cs="宋体"/>
          <w:b/>
          <w:bCs/>
        </w:rPr>
      </w:pPr>
    </w:p>
    <w:p>
      <w:pPr>
        <w:spacing w:line="360" w:lineRule="auto"/>
        <w:jc w:val="center"/>
        <w:rPr>
          <w:rFonts w:hint="eastAsia" w:ascii="宋体" w:hAnsi="宋体" w:eastAsia="宋体" w:cs="宋体"/>
          <w:b/>
          <w:bCs/>
          <w:sz w:val="24"/>
          <w:szCs w:val="22"/>
          <w:lang w:eastAsia="zh-CN"/>
        </w:rPr>
      </w:pPr>
      <w:r>
        <w:rPr>
          <w:rFonts w:hint="eastAsia" w:ascii="宋体" w:hAnsi="宋体" w:cs="宋体"/>
          <w:b/>
          <w:bCs/>
          <w:sz w:val="24"/>
          <w:szCs w:val="22"/>
          <w:lang w:eastAsia="zh-CN"/>
        </w:rPr>
        <w:t>数字校园管理系统项目</w:t>
      </w:r>
    </w:p>
    <w:p>
      <w:pPr>
        <w:spacing w:line="360" w:lineRule="auto"/>
        <w:jc w:val="center"/>
        <w:rPr>
          <w:rFonts w:ascii="宋体" w:hAnsi="宋体" w:cs="宋体"/>
          <w:b/>
        </w:rPr>
      </w:pPr>
      <w:r>
        <w:rPr>
          <w:rFonts w:hint="eastAsia" w:ascii="宋体" w:hAnsi="宋体" w:cs="宋体"/>
          <w:b/>
        </w:rPr>
        <w:t>投标人业绩一览表</w:t>
      </w:r>
    </w:p>
    <w:tbl>
      <w:tblPr>
        <w:tblStyle w:val="37"/>
        <w:tblW w:w="0" w:type="auto"/>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3"/>
        <w:gridCol w:w="3177"/>
        <w:gridCol w:w="2306"/>
        <w:gridCol w:w="2037"/>
        <w:gridCol w:w="2980"/>
        <w:gridCol w:w="1489"/>
        <w:gridCol w:w="16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483" w:type="dxa"/>
            <w:vAlign w:val="center"/>
          </w:tcPr>
          <w:p>
            <w:pPr>
              <w:spacing w:line="360" w:lineRule="auto"/>
              <w:jc w:val="center"/>
              <w:rPr>
                <w:rFonts w:ascii="宋体" w:hAnsi="宋体" w:cs="宋体"/>
                <w:sz w:val="24"/>
              </w:rPr>
            </w:pPr>
            <w:r>
              <w:rPr>
                <w:rFonts w:hint="eastAsia" w:ascii="宋体" w:hAnsi="宋体" w:cs="宋体"/>
                <w:sz w:val="24"/>
              </w:rPr>
              <w:t>序号</w:t>
            </w:r>
          </w:p>
        </w:tc>
        <w:tc>
          <w:tcPr>
            <w:tcW w:w="3177" w:type="dxa"/>
            <w:vAlign w:val="center"/>
          </w:tcPr>
          <w:p>
            <w:pPr>
              <w:spacing w:line="360" w:lineRule="auto"/>
              <w:jc w:val="center"/>
              <w:rPr>
                <w:rFonts w:ascii="宋体" w:hAnsi="宋体" w:cs="宋体"/>
                <w:sz w:val="24"/>
              </w:rPr>
            </w:pPr>
            <w:r>
              <w:rPr>
                <w:rFonts w:hint="eastAsia" w:ascii="宋体" w:hAnsi="宋体" w:cs="宋体"/>
                <w:sz w:val="24"/>
              </w:rPr>
              <w:t>工程名称</w:t>
            </w:r>
          </w:p>
        </w:tc>
        <w:tc>
          <w:tcPr>
            <w:tcW w:w="2306" w:type="dxa"/>
            <w:vAlign w:val="center"/>
          </w:tcPr>
          <w:p>
            <w:pPr>
              <w:spacing w:line="360" w:lineRule="auto"/>
              <w:jc w:val="center"/>
              <w:rPr>
                <w:rFonts w:ascii="宋体" w:hAnsi="宋体" w:cs="宋体"/>
                <w:sz w:val="24"/>
              </w:rPr>
            </w:pPr>
            <w:r>
              <w:rPr>
                <w:rFonts w:hint="eastAsia" w:ascii="宋体" w:hAnsi="宋体" w:cs="宋体"/>
                <w:sz w:val="24"/>
              </w:rPr>
              <w:t>项目规模</w:t>
            </w:r>
          </w:p>
        </w:tc>
        <w:tc>
          <w:tcPr>
            <w:tcW w:w="2037" w:type="dxa"/>
            <w:vAlign w:val="center"/>
          </w:tcPr>
          <w:p>
            <w:pPr>
              <w:spacing w:line="360" w:lineRule="auto"/>
              <w:jc w:val="center"/>
              <w:rPr>
                <w:rFonts w:ascii="宋体" w:hAnsi="宋体" w:cs="宋体"/>
                <w:sz w:val="24"/>
              </w:rPr>
            </w:pPr>
            <w:r>
              <w:rPr>
                <w:rFonts w:hint="eastAsia" w:ascii="宋体" w:hAnsi="宋体" w:cs="宋体"/>
                <w:sz w:val="24"/>
              </w:rPr>
              <w:t>合同金额</w:t>
            </w:r>
          </w:p>
        </w:tc>
        <w:tc>
          <w:tcPr>
            <w:tcW w:w="2980" w:type="dxa"/>
            <w:vAlign w:val="center"/>
          </w:tcPr>
          <w:p>
            <w:pPr>
              <w:spacing w:line="360" w:lineRule="auto"/>
              <w:jc w:val="center"/>
              <w:rPr>
                <w:rFonts w:ascii="宋体" w:hAnsi="宋体" w:cs="宋体"/>
                <w:sz w:val="24"/>
              </w:rPr>
            </w:pPr>
            <w:r>
              <w:rPr>
                <w:rFonts w:hint="eastAsia" w:ascii="宋体" w:hAnsi="宋体" w:cs="宋体"/>
                <w:sz w:val="24"/>
              </w:rPr>
              <w:t>业主单位名称</w:t>
            </w:r>
          </w:p>
          <w:p>
            <w:pPr>
              <w:spacing w:line="360" w:lineRule="auto"/>
              <w:jc w:val="center"/>
              <w:rPr>
                <w:rFonts w:ascii="宋体" w:hAnsi="宋体" w:cs="宋体"/>
                <w:sz w:val="24"/>
              </w:rPr>
            </w:pPr>
            <w:r>
              <w:rPr>
                <w:rFonts w:hint="eastAsia" w:ascii="宋体" w:hAnsi="宋体" w:cs="宋体"/>
                <w:sz w:val="24"/>
              </w:rPr>
              <w:t>（联系人、联系电话）</w:t>
            </w:r>
          </w:p>
        </w:tc>
        <w:tc>
          <w:tcPr>
            <w:tcW w:w="1489" w:type="dxa"/>
            <w:vAlign w:val="center"/>
          </w:tcPr>
          <w:p>
            <w:pPr>
              <w:spacing w:line="360" w:lineRule="auto"/>
              <w:jc w:val="center"/>
              <w:rPr>
                <w:rFonts w:ascii="宋体" w:hAnsi="宋体" w:cs="宋体"/>
                <w:sz w:val="24"/>
              </w:rPr>
            </w:pPr>
            <w:r>
              <w:rPr>
                <w:rFonts w:hint="eastAsia" w:ascii="宋体" w:hAnsi="宋体" w:cs="宋体"/>
                <w:sz w:val="24"/>
              </w:rPr>
              <w:t>项目类型</w:t>
            </w:r>
          </w:p>
        </w:tc>
        <w:tc>
          <w:tcPr>
            <w:tcW w:w="1608" w:type="dxa"/>
            <w:vAlign w:val="center"/>
          </w:tcPr>
          <w:p>
            <w:pPr>
              <w:spacing w:line="360" w:lineRule="auto"/>
              <w:jc w:val="center"/>
              <w:rPr>
                <w:rFonts w:ascii="宋体" w:hAnsi="宋体" w:cs="宋体"/>
                <w:sz w:val="24"/>
              </w:rPr>
            </w:pPr>
            <w:r>
              <w:rPr>
                <w:rFonts w:hint="eastAsia" w:ascii="宋体" w:hAnsi="宋体" w:cs="宋体"/>
                <w:sz w:val="24"/>
              </w:rPr>
              <w:t>提供的资料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483" w:type="dxa"/>
            <w:vAlign w:val="center"/>
          </w:tcPr>
          <w:p>
            <w:pPr>
              <w:tabs>
                <w:tab w:val="left" w:pos="322"/>
              </w:tabs>
              <w:spacing w:line="360" w:lineRule="auto"/>
              <w:jc w:val="center"/>
              <w:rPr>
                <w:rFonts w:ascii="宋体" w:hAnsi="宋体" w:cs="宋体"/>
                <w:sz w:val="24"/>
              </w:rPr>
            </w:pPr>
            <w:r>
              <w:rPr>
                <w:rFonts w:hint="eastAsia" w:ascii="宋体" w:hAnsi="宋体" w:cs="宋体"/>
                <w:sz w:val="24"/>
              </w:rPr>
              <w:t>1</w:t>
            </w:r>
          </w:p>
        </w:tc>
        <w:tc>
          <w:tcPr>
            <w:tcW w:w="3177" w:type="dxa"/>
            <w:vAlign w:val="center"/>
          </w:tcPr>
          <w:p>
            <w:pPr>
              <w:spacing w:line="360" w:lineRule="auto"/>
              <w:jc w:val="center"/>
              <w:rPr>
                <w:rFonts w:ascii="宋体" w:hAnsi="宋体" w:cs="宋体"/>
                <w:sz w:val="24"/>
              </w:rPr>
            </w:pPr>
          </w:p>
        </w:tc>
        <w:tc>
          <w:tcPr>
            <w:tcW w:w="2306" w:type="dxa"/>
            <w:vAlign w:val="center"/>
          </w:tcPr>
          <w:p>
            <w:pPr>
              <w:spacing w:line="360" w:lineRule="auto"/>
              <w:jc w:val="center"/>
              <w:rPr>
                <w:rFonts w:ascii="宋体" w:hAnsi="宋体" w:cs="宋体"/>
                <w:sz w:val="24"/>
              </w:rPr>
            </w:pPr>
          </w:p>
        </w:tc>
        <w:tc>
          <w:tcPr>
            <w:tcW w:w="2037" w:type="dxa"/>
            <w:vAlign w:val="center"/>
          </w:tcPr>
          <w:p>
            <w:pPr>
              <w:spacing w:line="360" w:lineRule="auto"/>
              <w:jc w:val="center"/>
              <w:rPr>
                <w:rFonts w:ascii="宋体" w:hAnsi="宋体" w:cs="宋体"/>
                <w:sz w:val="24"/>
              </w:rPr>
            </w:pPr>
          </w:p>
        </w:tc>
        <w:tc>
          <w:tcPr>
            <w:tcW w:w="2980" w:type="dxa"/>
            <w:vAlign w:val="center"/>
          </w:tcPr>
          <w:p>
            <w:pPr>
              <w:spacing w:line="360" w:lineRule="auto"/>
              <w:jc w:val="center"/>
              <w:rPr>
                <w:rFonts w:ascii="宋体" w:hAnsi="宋体" w:cs="宋体"/>
                <w:sz w:val="24"/>
              </w:rPr>
            </w:pPr>
          </w:p>
        </w:tc>
        <w:tc>
          <w:tcPr>
            <w:tcW w:w="1489" w:type="dxa"/>
            <w:vAlign w:val="center"/>
          </w:tcPr>
          <w:p>
            <w:pPr>
              <w:spacing w:line="360" w:lineRule="auto"/>
              <w:jc w:val="center"/>
              <w:rPr>
                <w:rFonts w:ascii="宋体" w:hAnsi="宋体" w:cs="宋体"/>
                <w:sz w:val="24"/>
              </w:rPr>
            </w:pPr>
          </w:p>
        </w:tc>
        <w:tc>
          <w:tcPr>
            <w:tcW w:w="1608"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483" w:type="dxa"/>
            <w:vAlign w:val="center"/>
          </w:tcPr>
          <w:p>
            <w:pPr>
              <w:tabs>
                <w:tab w:val="left" w:pos="322"/>
              </w:tabs>
              <w:spacing w:line="360" w:lineRule="auto"/>
              <w:jc w:val="center"/>
              <w:rPr>
                <w:rFonts w:ascii="宋体" w:hAnsi="宋体" w:cs="宋体"/>
                <w:sz w:val="24"/>
              </w:rPr>
            </w:pPr>
            <w:r>
              <w:rPr>
                <w:rFonts w:hint="eastAsia" w:ascii="宋体" w:hAnsi="宋体" w:cs="宋体"/>
                <w:sz w:val="24"/>
              </w:rPr>
              <w:t>2</w:t>
            </w:r>
          </w:p>
        </w:tc>
        <w:tc>
          <w:tcPr>
            <w:tcW w:w="3177" w:type="dxa"/>
            <w:vAlign w:val="center"/>
          </w:tcPr>
          <w:p>
            <w:pPr>
              <w:spacing w:line="360" w:lineRule="auto"/>
              <w:jc w:val="center"/>
              <w:rPr>
                <w:rFonts w:ascii="宋体" w:hAnsi="宋体" w:cs="宋体"/>
                <w:sz w:val="24"/>
              </w:rPr>
            </w:pPr>
          </w:p>
        </w:tc>
        <w:tc>
          <w:tcPr>
            <w:tcW w:w="2306" w:type="dxa"/>
            <w:vAlign w:val="center"/>
          </w:tcPr>
          <w:p>
            <w:pPr>
              <w:spacing w:line="360" w:lineRule="auto"/>
              <w:jc w:val="center"/>
              <w:rPr>
                <w:rFonts w:ascii="宋体" w:hAnsi="宋体" w:cs="宋体"/>
                <w:sz w:val="24"/>
              </w:rPr>
            </w:pPr>
          </w:p>
        </w:tc>
        <w:tc>
          <w:tcPr>
            <w:tcW w:w="2037" w:type="dxa"/>
            <w:vAlign w:val="center"/>
          </w:tcPr>
          <w:p>
            <w:pPr>
              <w:spacing w:line="360" w:lineRule="auto"/>
              <w:jc w:val="center"/>
              <w:rPr>
                <w:rFonts w:ascii="宋体" w:hAnsi="宋体" w:cs="宋体"/>
                <w:sz w:val="24"/>
              </w:rPr>
            </w:pPr>
          </w:p>
        </w:tc>
        <w:tc>
          <w:tcPr>
            <w:tcW w:w="2980" w:type="dxa"/>
            <w:vAlign w:val="center"/>
          </w:tcPr>
          <w:p>
            <w:pPr>
              <w:spacing w:line="360" w:lineRule="auto"/>
              <w:jc w:val="center"/>
              <w:rPr>
                <w:rFonts w:ascii="宋体" w:hAnsi="宋体" w:cs="宋体"/>
                <w:sz w:val="24"/>
              </w:rPr>
            </w:pPr>
          </w:p>
        </w:tc>
        <w:tc>
          <w:tcPr>
            <w:tcW w:w="1489" w:type="dxa"/>
            <w:vAlign w:val="center"/>
          </w:tcPr>
          <w:p>
            <w:pPr>
              <w:spacing w:line="360" w:lineRule="auto"/>
              <w:jc w:val="center"/>
              <w:rPr>
                <w:rFonts w:ascii="宋体" w:hAnsi="宋体" w:cs="宋体"/>
                <w:sz w:val="24"/>
              </w:rPr>
            </w:pPr>
          </w:p>
        </w:tc>
        <w:tc>
          <w:tcPr>
            <w:tcW w:w="1608"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483" w:type="dxa"/>
            <w:vAlign w:val="center"/>
          </w:tcPr>
          <w:p>
            <w:pPr>
              <w:tabs>
                <w:tab w:val="left" w:pos="322"/>
              </w:tabs>
              <w:spacing w:line="360" w:lineRule="auto"/>
              <w:jc w:val="center"/>
              <w:rPr>
                <w:rFonts w:ascii="宋体" w:hAnsi="宋体" w:cs="宋体"/>
                <w:sz w:val="24"/>
              </w:rPr>
            </w:pPr>
            <w:r>
              <w:rPr>
                <w:rFonts w:hint="eastAsia" w:ascii="宋体" w:hAnsi="宋体" w:cs="宋体"/>
                <w:sz w:val="24"/>
              </w:rPr>
              <w:t>3</w:t>
            </w:r>
          </w:p>
        </w:tc>
        <w:tc>
          <w:tcPr>
            <w:tcW w:w="3177" w:type="dxa"/>
            <w:vAlign w:val="center"/>
          </w:tcPr>
          <w:p>
            <w:pPr>
              <w:spacing w:line="360" w:lineRule="auto"/>
              <w:jc w:val="center"/>
              <w:rPr>
                <w:rFonts w:ascii="宋体" w:hAnsi="宋体" w:cs="宋体"/>
                <w:sz w:val="24"/>
              </w:rPr>
            </w:pPr>
          </w:p>
        </w:tc>
        <w:tc>
          <w:tcPr>
            <w:tcW w:w="2306" w:type="dxa"/>
            <w:vAlign w:val="center"/>
          </w:tcPr>
          <w:p>
            <w:pPr>
              <w:spacing w:line="360" w:lineRule="auto"/>
              <w:jc w:val="center"/>
              <w:rPr>
                <w:rFonts w:ascii="宋体" w:hAnsi="宋体" w:cs="宋体"/>
                <w:sz w:val="24"/>
              </w:rPr>
            </w:pPr>
          </w:p>
        </w:tc>
        <w:tc>
          <w:tcPr>
            <w:tcW w:w="2037" w:type="dxa"/>
            <w:vAlign w:val="center"/>
          </w:tcPr>
          <w:p>
            <w:pPr>
              <w:spacing w:line="360" w:lineRule="auto"/>
              <w:jc w:val="center"/>
              <w:rPr>
                <w:rFonts w:ascii="宋体" w:hAnsi="宋体" w:cs="宋体"/>
                <w:sz w:val="24"/>
              </w:rPr>
            </w:pPr>
          </w:p>
        </w:tc>
        <w:tc>
          <w:tcPr>
            <w:tcW w:w="2980" w:type="dxa"/>
            <w:vAlign w:val="center"/>
          </w:tcPr>
          <w:p>
            <w:pPr>
              <w:spacing w:line="360" w:lineRule="auto"/>
              <w:jc w:val="center"/>
              <w:rPr>
                <w:rFonts w:ascii="宋体" w:hAnsi="宋体" w:cs="宋体"/>
                <w:sz w:val="24"/>
              </w:rPr>
            </w:pPr>
          </w:p>
        </w:tc>
        <w:tc>
          <w:tcPr>
            <w:tcW w:w="1489" w:type="dxa"/>
            <w:vAlign w:val="center"/>
          </w:tcPr>
          <w:p>
            <w:pPr>
              <w:spacing w:line="360" w:lineRule="auto"/>
              <w:jc w:val="center"/>
              <w:rPr>
                <w:rFonts w:ascii="宋体" w:hAnsi="宋体" w:cs="宋体"/>
                <w:sz w:val="24"/>
              </w:rPr>
            </w:pPr>
          </w:p>
        </w:tc>
        <w:tc>
          <w:tcPr>
            <w:tcW w:w="1608"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483" w:type="dxa"/>
            <w:vAlign w:val="center"/>
          </w:tcPr>
          <w:p>
            <w:pPr>
              <w:tabs>
                <w:tab w:val="left" w:pos="322"/>
              </w:tabs>
              <w:spacing w:line="360" w:lineRule="auto"/>
              <w:jc w:val="center"/>
              <w:rPr>
                <w:rFonts w:ascii="宋体" w:hAnsi="宋体" w:cs="宋体"/>
                <w:sz w:val="24"/>
              </w:rPr>
            </w:pPr>
            <w:r>
              <w:rPr>
                <w:rFonts w:hint="eastAsia" w:ascii="宋体" w:hAnsi="宋体" w:cs="宋体"/>
                <w:sz w:val="24"/>
              </w:rPr>
              <w:t>4</w:t>
            </w:r>
          </w:p>
        </w:tc>
        <w:tc>
          <w:tcPr>
            <w:tcW w:w="3177" w:type="dxa"/>
            <w:vAlign w:val="center"/>
          </w:tcPr>
          <w:p>
            <w:pPr>
              <w:spacing w:line="360" w:lineRule="auto"/>
              <w:jc w:val="center"/>
              <w:rPr>
                <w:rFonts w:ascii="宋体" w:hAnsi="宋体" w:cs="宋体"/>
                <w:sz w:val="24"/>
              </w:rPr>
            </w:pPr>
          </w:p>
        </w:tc>
        <w:tc>
          <w:tcPr>
            <w:tcW w:w="2306" w:type="dxa"/>
            <w:vAlign w:val="center"/>
          </w:tcPr>
          <w:p>
            <w:pPr>
              <w:spacing w:line="360" w:lineRule="auto"/>
              <w:jc w:val="center"/>
              <w:rPr>
                <w:rFonts w:ascii="宋体" w:hAnsi="宋体" w:cs="宋体"/>
                <w:sz w:val="24"/>
              </w:rPr>
            </w:pPr>
          </w:p>
        </w:tc>
        <w:tc>
          <w:tcPr>
            <w:tcW w:w="2037" w:type="dxa"/>
            <w:vAlign w:val="center"/>
          </w:tcPr>
          <w:p>
            <w:pPr>
              <w:spacing w:line="360" w:lineRule="auto"/>
              <w:jc w:val="center"/>
              <w:rPr>
                <w:rFonts w:ascii="宋体" w:hAnsi="宋体" w:cs="宋体"/>
                <w:sz w:val="24"/>
              </w:rPr>
            </w:pPr>
          </w:p>
        </w:tc>
        <w:tc>
          <w:tcPr>
            <w:tcW w:w="2980" w:type="dxa"/>
            <w:vAlign w:val="center"/>
          </w:tcPr>
          <w:p>
            <w:pPr>
              <w:spacing w:line="360" w:lineRule="auto"/>
              <w:jc w:val="center"/>
              <w:rPr>
                <w:rFonts w:ascii="宋体" w:hAnsi="宋体" w:cs="宋体"/>
                <w:sz w:val="24"/>
              </w:rPr>
            </w:pPr>
          </w:p>
        </w:tc>
        <w:tc>
          <w:tcPr>
            <w:tcW w:w="1489" w:type="dxa"/>
            <w:vAlign w:val="center"/>
          </w:tcPr>
          <w:p>
            <w:pPr>
              <w:spacing w:line="360" w:lineRule="auto"/>
              <w:jc w:val="center"/>
              <w:rPr>
                <w:rFonts w:ascii="宋体" w:hAnsi="宋体" w:cs="宋体"/>
                <w:sz w:val="24"/>
              </w:rPr>
            </w:pPr>
          </w:p>
        </w:tc>
        <w:tc>
          <w:tcPr>
            <w:tcW w:w="1608"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483" w:type="dxa"/>
            <w:vAlign w:val="center"/>
          </w:tcPr>
          <w:p>
            <w:pPr>
              <w:tabs>
                <w:tab w:val="left" w:pos="322"/>
              </w:tabs>
              <w:spacing w:line="360" w:lineRule="auto"/>
              <w:jc w:val="center"/>
              <w:rPr>
                <w:rFonts w:ascii="宋体" w:hAnsi="宋体" w:cs="宋体"/>
                <w:sz w:val="24"/>
              </w:rPr>
            </w:pPr>
            <w:r>
              <w:rPr>
                <w:rFonts w:hint="eastAsia" w:ascii="宋体" w:hAnsi="宋体" w:cs="宋体"/>
                <w:sz w:val="24"/>
              </w:rPr>
              <w:t>5</w:t>
            </w:r>
          </w:p>
        </w:tc>
        <w:tc>
          <w:tcPr>
            <w:tcW w:w="3177" w:type="dxa"/>
            <w:vAlign w:val="center"/>
          </w:tcPr>
          <w:p>
            <w:pPr>
              <w:spacing w:line="360" w:lineRule="auto"/>
              <w:jc w:val="center"/>
              <w:rPr>
                <w:rFonts w:ascii="宋体" w:hAnsi="宋体" w:cs="宋体"/>
                <w:sz w:val="24"/>
              </w:rPr>
            </w:pPr>
          </w:p>
        </w:tc>
        <w:tc>
          <w:tcPr>
            <w:tcW w:w="2306" w:type="dxa"/>
            <w:vAlign w:val="center"/>
          </w:tcPr>
          <w:p>
            <w:pPr>
              <w:spacing w:line="360" w:lineRule="auto"/>
              <w:jc w:val="center"/>
              <w:rPr>
                <w:rFonts w:ascii="宋体" w:hAnsi="宋体" w:cs="宋体"/>
                <w:sz w:val="24"/>
              </w:rPr>
            </w:pPr>
          </w:p>
        </w:tc>
        <w:tc>
          <w:tcPr>
            <w:tcW w:w="2037" w:type="dxa"/>
            <w:vAlign w:val="center"/>
          </w:tcPr>
          <w:p>
            <w:pPr>
              <w:spacing w:line="360" w:lineRule="auto"/>
              <w:jc w:val="center"/>
              <w:rPr>
                <w:rFonts w:ascii="宋体" w:hAnsi="宋体" w:cs="宋体"/>
                <w:sz w:val="24"/>
              </w:rPr>
            </w:pPr>
          </w:p>
        </w:tc>
        <w:tc>
          <w:tcPr>
            <w:tcW w:w="2980" w:type="dxa"/>
            <w:vAlign w:val="center"/>
          </w:tcPr>
          <w:p>
            <w:pPr>
              <w:spacing w:line="360" w:lineRule="auto"/>
              <w:jc w:val="center"/>
              <w:rPr>
                <w:rFonts w:ascii="宋体" w:hAnsi="宋体" w:cs="宋体"/>
                <w:sz w:val="24"/>
              </w:rPr>
            </w:pPr>
          </w:p>
        </w:tc>
        <w:tc>
          <w:tcPr>
            <w:tcW w:w="1489" w:type="dxa"/>
            <w:vAlign w:val="center"/>
          </w:tcPr>
          <w:p>
            <w:pPr>
              <w:spacing w:line="360" w:lineRule="auto"/>
              <w:jc w:val="center"/>
              <w:rPr>
                <w:rFonts w:ascii="宋体" w:hAnsi="宋体" w:cs="宋体"/>
                <w:sz w:val="24"/>
              </w:rPr>
            </w:pPr>
          </w:p>
        </w:tc>
        <w:tc>
          <w:tcPr>
            <w:tcW w:w="1608" w:type="dxa"/>
            <w:vAlign w:val="center"/>
          </w:tcPr>
          <w:p>
            <w:pPr>
              <w:spacing w:line="360" w:lineRule="auto"/>
              <w:jc w:val="center"/>
              <w:rPr>
                <w:rFonts w:ascii="宋体" w:hAnsi="宋体" w:cs="宋体"/>
                <w:sz w:val="24"/>
              </w:rPr>
            </w:pPr>
          </w:p>
        </w:tc>
      </w:tr>
    </w:tbl>
    <w:p>
      <w:pPr>
        <w:spacing w:line="360" w:lineRule="auto"/>
        <w:ind w:firstLine="211" w:firstLineChars="100"/>
        <w:rPr>
          <w:rFonts w:ascii="宋体" w:hAnsi="宋体" w:cs="宋体"/>
          <w:b/>
          <w:sz w:val="21"/>
        </w:rPr>
      </w:pPr>
      <w:r>
        <w:rPr>
          <w:rFonts w:hint="eastAsia" w:ascii="宋体" w:hAnsi="宋体" w:cs="宋体"/>
          <w:b/>
          <w:sz w:val="21"/>
        </w:rPr>
        <w:t>注：投标人可根据需要扩展表格。</w:t>
      </w:r>
    </w:p>
    <w:p>
      <w:pPr>
        <w:spacing w:line="360" w:lineRule="auto"/>
        <w:ind w:left="185" w:leftChars="66" w:firstLine="422" w:firstLineChars="200"/>
        <w:rPr>
          <w:rFonts w:ascii="宋体" w:hAnsi="宋体" w:cs="宋体"/>
          <w:b/>
          <w:sz w:val="21"/>
        </w:rPr>
      </w:pPr>
      <w:r>
        <w:rPr>
          <w:rFonts w:hint="eastAsia" w:ascii="宋体" w:hAnsi="宋体" w:cs="宋体"/>
          <w:b/>
          <w:sz w:val="21"/>
        </w:rPr>
        <w:t>我方保证以上提供的资料是真实、准确的，如有虚假，愿接受被没收投标担保的处罚，并愿意承担法律责任。</w:t>
      </w:r>
    </w:p>
    <w:p>
      <w:pPr>
        <w:rPr>
          <w:rFonts w:ascii="宋体" w:hAnsi="宋体" w:cs="宋体"/>
          <w:sz w:val="24"/>
          <w:szCs w:val="22"/>
        </w:rPr>
      </w:pPr>
      <w:r>
        <w:rPr>
          <w:rFonts w:hint="eastAsia" w:ascii="宋体" w:hAnsi="宋体" w:cs="宋体"/>
          <w:sz w:val="24"/>
          <w:szCs w:val="22"/>
        </w:rPr>
        <w:t xml:space="preserve">法定代表人（签字或盖章）：     </w:t>
      </w:r>
    </w:p>
    <w:p>
      <w:pPr>
        <w:rPr>
          <w:rFonts w:ascii="宋体" w:hAnsi="宋体" w:cs="宋体"/>
          <w:sz w:val="24"/>
          <w:szCs w:val="22"/>
        </w:rPr>
      </w:pPr>
      <w:r>
        <w:rPr>
          <w:rFonts w:hint="eastAsia" w:ascii="宋体" w:hAnsi="宋体" w:cs="宋体"/>
          <w:sz w:val="24"/>
          <w:szCs w:val="22"/>
        </w:rPr>
        <w:t xml:space="preserve">投标人（盖章）：                   </w:t>
      </w:r>
    </w:p>
    <w:p>
      <w:pPr>
        <w:rPr>
          <w:rFonts w:ascii="宋体" w:hAnsi="宋体" w:cs="宋体"/>
          <w:sz w:val="24"/>
          <w:szCs w:val="22"/>
        </w:rPr>
        <w:sectPr>
          <w:footerReference r:id="rId14" w:type="default"/>
          <w:pgSz w:w="16840" w:h="11907" w:orient="landscape"/>
          <w:pgMar w:top="1247" w:right="1247" w:bottom="1304" w:left="1361" w:header="851" w:footer="992" w:gutter="0"/>
          <w:cols w:space="720" w:num="1"/>
          <w:docGrid w:linePitch="312" w:charSpace="0"/>
        </w:sectPr>
      </w:pPr>
      <w:r>
        <w:rPr>
          <w:rFonts w:hint="eastAsia" w:ascii="宋体" w:hAnsi="宋体" w:cs="宋体"/>
          <w:sz w:val="24"/>
          <w:szCs w:val="22"/>
        </w:rPr>
        <w:t xml:space="preserve">                                              日期：   年   月   日</w:t>
      </w:r>
    </w:p>
    <w:p>
      <w:pPr>
        <w:pStyle w:val="14"/>
      </w:pPr>
    </w:p>
    <w:sectPr>
      <w:pgSz w:w="11907" w:h="16840"/>
      <w:pgMar w:top="1247" w:right="1304" w:bottom="1361" w:left="124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83" w:usb1="288F0000" w:usb2="0000000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Arial Unicode MS">
    <w:panose1 w:val="020B0604020202020204"/>
    <w:charset w:val="86"/>
    <w:family w:val="swiss"/>
    <w:pitch w:val="default"/>
    <w:sig w:usb0="FFFFFFFF" w:usb1="E9FFFFFF" w:usb2="0000003F" w:usb3="00000000" w:csb0="603F01FF" w:csb1="FFFF0000"/>
  </w:font>
  <w:font w:name="Helvetica">
    <w:panose1 w:val="020B0604020202020204"/>
    <w:charset w:val="00"/>
    <w:family w:val="swiss"/>
    <w:pitch w:val="default"/>
    <w:sig w:usb0="00000000" w:usb1="00000000" w:usb2="00000000" w:usb3="00000000" w:csb0="00000000" w:csb1="00000000"/>
  </w:font>
  <w:font w:name="方正书宋简体">
    <w:altName w:val="宋体"/>
    <w:panose1 w:val="00000000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31445"/>
              <wp:effectExtent l="0" t="0" r="0" b="0"/>
              <wp:wrapNone/>
              <wp:docPr id="3" name="文本框 4"/>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ffectLst/>
                    </wps:spPr>
                    <wps:txbx>
                      <w:txbxContent>
                        <w:p>
                          <w:pPr>
                            <w:pStyle w:val="25"/>
                          </w:pPr>
                          <w:r>
                            <w:fldChar w:fldCharType="begin"/>
                          </w:r>
                          <w:r>
                            <w:instrText xml:space="preserve"> PAGE  \* MERGEFORMAT </w:instrText>
                          </w:r>
                          <w:r>
                            <w:fldChar w:fldCharType="separate"/>
                          </w:r>
                          <w:r>
                            <w:t>15</w:t>
                          </w:r>
                          <w:r>
                            <w:fldChar w:fldCharType="end"/>
                          </w:r>
                        </w:p>
                      </w:txbxContent>
                    </wps:txbx>
                    <wps:bodyPr rot="0" vert="horz" wrap="none" lIns="0" tIns="0" rIns="0" bIns="0" anchor="t" anchorCtr="0" upright="1">
                      <a:spAutoFit/>
                    </wps:bodyPr>
                  </wps:wsp>
                </a:graphicData>
              </a:graphic>
            </wp:anchor>
          </w:drawing>
        </mc:Choice>
        <mc:Fallback>
          <w:pict>
            <v:shape id="文本框 4" o:spid="_x0000_s1026" o:spt="202" type="#_x0000_t202" style="position:absolute;left:0pt;margin-top:0pt;height:10.35pt;width:4.55pt;mso-position-horizontal:center;mso-position-horizontal-relative:margin;mso-wrap-style:none;z-index:251659264;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z4vdRNAAAAACAQAADwAAAAAAAAABACAAAAAiAAAA&#10;ZHJzL2Rvd25yZXYueG1sUEsBAhQAFAAAAAgAh07iQNQHt0IPAgAADwQAAA4AAAAAAAAAAQAgAAAA&#10;HwEAAGRycy9lMm9Eb2MueG1sUEsFBgAAAAAGAAYAWQEAAKAFAAAAAA==&#10;">
              <v:fill on="f" focussize="0,0"/>
              <v:stroke on="f"/>
              <v:imagedata o:title=""/>
              <o:lock v:ext="edit" aspectratio="f"/>
              <v:textbox inset="0mm,0mm,0mm,0mm" style="mso-fit-shape-to-text:t;">
                <w:txbxContent>
                  <w:p>
                    <w:pPr>
                      <w:pStyle w:val="25"/>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6" w:lineRule="exact"/>
      <w:ind w:firstLine="4456"/>
      <w:rPr>
        <w:rFonts w:ascii="宋体" w:hAnsi="宋体" w:eastAsia="宋体" w:cs="宋体"/>
        <w:sz w:val="18"/>
        <w:szCs w:val="18"/>
      </w:rPr>
    </w:pPr>
    <w:r>
      <w:rPr>
        <w:rFonts w:ascii="宋体" w:hAnsi="宋体" w:eastAsia="宋体" w:cs="宋体"/>
        <w:spacing w:val="-5"/>
        <w:position w:val="-2"/>
        <w:sz w:val="18"/>
        <w:szCs w:val="18"/>
      </w:rPr>
      <w:t>30</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6" w:lineRule="exact"/>
      <w:ind w:firstLine="4456"/>
      <w:rPr>
        <w:rFonts w:ascii="宋体" w:hAnsi="宋体" w:eastAsia="宋体" w:cs="宋体"/>
        <w:sz w:val="18"/>
        <w:szCs w:val="18"/>
      </w:rPr>
    </w:pPr>
    <w:r>
      <w:rPr>
        <w:rFonts w:ascii="宋体" w:hAnsi="宋体" w:eastAsia="宋体" w:cs="宋体"/>
        <w:spacing w:val="-5"/>
        <w:position w:val="-2"/>
        <w:sz w:val="18"/>
        <w:szCs w:val="18"/>
      </w:rPr>
      <w:t>31</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6" w:lineRule="exact"/>
      <w:ind w:firstLine="4641"/>
      <w:rPr>
        <w:rFonts w:ascii="宋体" w:hAnsi="宋体" w:eastAsia="宋体" w:cs="宋体"/>
        <w:sz w:val="18"/>
        <w:szCs w:val="18"/>
      </w:rPr>
    </w:pPr>
    <w:r>
      <w:rPr>
        <w:rFonts w:ascii="宋体" w:hAnsi="宋体" w:eastAsia="宋体" w:cs="宋体"/>
        <w:spacing w:val="-5"/>
        <w:position w:val="-2"/>
        <w:sz w:val="18"/>
        <w:szCs w:val="18"/>
      </w:rPr>
      <w:t>32</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0" b="0"/>
              <wp:wrapNone/>
              <wp:docPr id="2" name="文本框 5"/>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pPr>
                            <w:pStyle w:val="25"/>
                          </w:pPr>
                          <w:r>
                            <w:fldChar w:fldCharType="begin"/>
                          </w:r>
                          <w:r>
                            <w:instrText xml:space="preserve"> PAGE  \* MERGEFORMAT </w:instrText>
                          </w:r>
                          <w:r>
                            <w:fldChar w:fldCharType="separate"/>
                          </w:r>
                          <w:r>
                            <w:t>41</w:t>
                          </w:r>
                          <w:r>
                            <w:fldChar w:fldCharType="end"/>
                          </w:r>
                        </w:p>
                      </w:txbxContent>
                    </wps:txbx>
                    <wps:bodyPr rot="0" vert="horz" wrap="none" lIns="0" tIns="0" rIns="0" bIns="0" anchor="t" anchorCtr="0" upright="1">
                      <a:spAutoFit/>
                    </wps:bodyPr>
                  </wps:wsp>
                </a:graphicData>
              </a:graphic>
            </wp:anchor>
          </w:drawing>
        </mc:Choice>
        <mc:Fallback>
          <w:pict>
            <v:shape id="文本框 5"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Q+V+SdAAAAADAQAADwAAAAAAAAABACAAAAAiAAAA&#10;ZHJzL2Rvd25yZXYueG1sUEsBAhQAFAAAAAgAh07iQBYsQBUPAgAAEAQAAA4AAAAAAAAAAQAgAAAA&#10;HwEAAGRycy9lMm9Eb2MueG1sUEsFBgAAAAAGAAYAWQEAAKAFAAAAAA==&#10;">
              <v:fill on="f" focussize="0,0"/>
              <v:stroke on="f"/>
              <v:imagedata o:title=""/>
              <o:lock v:ext="edit" aspectratio="f"/>
              <v:textbox inset="0mm,0mm,0mm,0mm" style="mso-fit-shape-to-text:t;">
                <w:txbxContent>
                  <w:p>
                    <w:pPr>
                      <w:pStyle w:val="25"/>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framePr w:wrap="around" w:vAnchor="text" w:hAnchor="margin" w:xAlign="center" w:y="1"/>
      <w:rPr>
        <w:rStyle w:val="41"/>
      </w:rPr>
    </w:pPr>
    <w:r>
      <w:fldChar w:fldCharType="begin"/>
    </w:r>
    <w:r>
      <w:rPr>
        <w:rStyle w:val="41"/>
      </w:rPr>
      <w:instrText xml:space="preserve">PAGE  </w:instrText>
    </w:r>
    <w:r>
      <w:fldChar w:fldCharType="separate"/>
    </w:r>
    <w:r>
      <w:rPr>
        <w:rStyle w:val="41"/>
      </w:rPr>
      <w:t>1</w:t>
    </w:r>
    <w:r>
      <w:fldChar w:fldCharType="end"/>
    </w:r>
  </w:p>
  <w:p>
    <w:pPr>
      <w:pStyle w:val="25"/>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tabs>
        <w:tab w:val="center" w:pos="7116"/>
        <w:tab w:val="clear" w:pos="4153"/>
      </w:tabs>
      <w:rPr>
        <w:kern w:val="0"/>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31445"/>
              <wp:effectExtent l="0" t="0" r="0" b="0"/>
              <wp:wrapNone/>
              <wp:docPr id="1" name="文本框 6"/>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pPr>
                            <w:pStyle w:val="25"/>
                          </w:pPr>
                          <w:r>
                            <w:fldChar w:fldCharType="begin"/>
                          </w:r>
                          <w:r>
                            <w:instrText xml:space="preserve"> PAGE  \* MERGEFORMAT </w:instrText>
                          </w:r>
                          <w:r>
                            <w:fldChar w:fldCharType="separate"/>
                          </w:r>
                          <w:r>
                            <w:t>47</w:t>
                          </w:r>
                          <w:r>
                            <w:fldChar w:fldCharType="end"/>
                          </w:r>
                        </w:p>
                      </w:txbxContent>
                    </wps:txbx>
                    <wps:bodyPr rot="0" vert="horz" wrap="none" lIns="0" tIns="0" rIns="0" bIns="0" anchor="t" anchorCtr="0" upright="1">
                      <a:spAutoFit/>
                    </wps:bodyPr>
                  </wps:wsp>
                </a:graphicData>
              </a:graphic>
            </wp:anchor>
          </w:drawing>
        </mc:Choice>
        <mc:Fallback>
          <w:pict>
            <v:shape id="文本框 6" o:spid="_x0000_s1026" o:spt="202" type="#_x0000_t202" style="position:absolute;left:0pt;margin-top:0pt;height:10.35pt;width:9.05pt;mso-position-horizontal:center;mso-position-horizontal-relative:margin;mso-wrap-style:none;z-index:251661312;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D5X5J0AAAAAMBAAAPAAAAAAAAAAEAIAAAACIAAABk&#10;cnMvZG93bnJldi54bWxQSwECFAAUAAAACACHTuJA8S3S/A4CAAAQBAAADgAAAAAAAAABACAAAAAf&#10;AQAAZHJzL2Uyb0RvYy54bWxQSwUGAAAAAAYABgBZAQAAnwUAAAAA&#10;">
              <v:fill on="f" focussize="0,0"/>
              <v:stroke on="f"/>
              <v:imagedata o:title=""/>
              <o:lock v:ext="edit" aspectratio="f"/>
              <v:textbox inset="0mm,0mm,0mm,0mm" style="mso-fit-shape-to-text:t;">
                <w:txbxContent>
                  <w:p>
                    <w:pPr>
                      <w:pStyle w:val="25"/>
                    </w:pPr>
                    <w:r>
                      <w:fldChar w:fldCharType="begin"/>
                    </w:r>
                    <w:r>
                      <w:instrText xml:space="preserve"> PAGE  \* MERGEFORMAT </w:instrText>
                    </w:r>
                    <w:r>
                      <w:fldChar w:fldCharType="separate"/>
                    </w:r>
                    <w:r>
                      <w:t>47</w:t>
                    </w:r>
                    <w:r>
                      <w:fldChar w:fldCharType="end"/>
                    </w:r>
                  </w:p>
                </w:txbxContent>
              </v:textbox>
            </v:shape>
          </w:pict>
        </mc:Fallback>
      </mc:AlternateContent>
    </w:r>
    <w:r>
      <w:rPr>
        <w:rFonts w:hint="eastAsia"/>
        <w:kern w:val="0"/>
      </w:rPr>
      <w:tab/>
    </w:r>
  </w:p>
  <w:p>
    <w:pPr>
      <w:pStyle w:val="25"/>
      <w:rPr>
        <w:kern w:val="0"/>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right"/>
    </w:pPr>
    <w:r>
      <w:rPr>
        <w:rFonts w:hint="eastAsia"/>
        <w:lang w:eastAsia="zh-CN"/>
      </w:rPr>
      <w:t>数字校园管理系统项目</w:t>
    </w:r>
    <w:r>
      <w:rPr>
        <w:rFonts w:hint="eastAsia"/>
      </w:rPr>
      <w:t>公开招标采购文件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4" w:lineRule="auto"/>
      <w:ind w:firstLine="3685"/>
      <w:rPr>
        <w:rFonts w:ascii="宋体" w:hAnsi="宋体" w:eastAsia="宋体" w:cs="宋体"/>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4" w:lineRule="auto"/>
      <w:ind w:firstLine="3685"/>
      <w:rPr>
        <w:rFonts w:ascii="宋体" w:hAnsi="宋体" w:eastAsia="宋体" w:cs="宋体"/>
        <w:sz w:val="18"/>
        <w:szCs w:val="18"/>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宋体"/>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jc w:val="right"/>
      <w:rPr>
        <w:b/>
        <w:color w:val="808080"/>
        <w:w w:val="66"/>
        <w:sz w:val="18"/>
        <w:szCs w:val="18"/>
        <w:u w:val="single"/>
      </w:rPr>
    </w:pPr>
    <w:r>
      <w:rPr>
        <w:rFonts w:hint="eastAsia"/>
        <w:sz w:val="18"/>
        <w:szCs w:val="18"/>
        <w:lang w:eastAsia="zh-CN"/>
      </w:rPr>
      <w:t>数字校园管理系统项目</w:t>
    </w:r>
    <w:r>
      <w:rPr>
        <w:rFonts w:hint="eastAsia"/>
        <w:sz w:val="18"/>
        <w:szCs w:val="18"/>
      </w:rPr>
      <w:t>公开招标采购文件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DD77966"/>
    <w:multiLevelType w:val="singleLevel"/>
    <w:tmpl w:val="EDD77966"/>
    <w:lvl w:ilvl="0" w:tentative="0">
      <w:start w:val="1"/>
      <w:numFmt w:val="chineseCounting"/>
      <w:suff w:val="nothing"/>
      <w:lvlText w:val="%1、"/>
      <w:lvlJc w:val="left"/>
      <w:pPr>
        <w:ind w:left="0" w:firstLine="420"/>
      </w:pPr>
      <w:rPr>
        <w:rFonts w:hint="eastAsia"/>
      </w:rPr>
    </w:lvl>
  </w:abstractNum>
  <w:abstractNum w:abstractNumId="1">
    <w:nsid w:val="00000002"/>
    <w:multiLevelType w:val="singleLevel"/>
    <w:tmpl w:val="00000002"/>
    <w:lvl w:ilvl="0" w:tentative="0">
      <w:start w:val="1"/>
      <w:numFmt w:val="decimal"/>
      <w:suff w:val="nothing"/>
      <w:lvlText w:val="%1、"/>
      <w:lvlJc w:val="left"/>
      <w:pPr>
        <w:ind w:left="0"/>
      </w:pPr>
    </w:lvl>
  </w:abstractNum>
  <w:abstractNum w:abstractNumId="2">
    <w:nsid w:val="0A760F1C"/>
    <w:multiLevelType w:val="multilevel"/>
    <w:tmpl w:val="0A760F1C"/>
    <w:lvl w:ilvl="0" w:tentative="0">
      <w:start w:val="1"/>
      <w:numFmt w:val="decimal"/>
      <w:pStyle w:val="113"/>
      <w:suff w:val="space"/>
      <w:lvlText w:val="第%1章"/>
      <w:lvlJc w:val="center"/>
      <w:pPr>
        <w:ind w:left="0" w:firstLine="288"/>
      </w:pPr>
      <w:rPr>
        <w:rFonts w:hint="eastAsia" w:ascii="黑体" w:hAnsi="黑体" w:eastAsia="黑体"/>
        <w:sz w:val="36"/>
      </w:rPr>
    </w:lvl>
    <w:lvl w:ilvl="1" w:tentative="0">
      <w:start w:val="1"/>
      <w:numFmt w:val="decimal"/>
      <w:pStyle w:val="112"/>
      <w:suff w:val="space"/>
      <w:lvlText w:val="%1.%2"/>
      <w:lvlJc w:val="left"/>
      <w:pPr>
        <w:ind w:left="0" w:firstLine="0"/>
      </w:pPr>
      <w:rPr>
        <w:rFonts w:hint="eastAsia" w:ascii="黑体" w:hAnsi="黑体" w:eastAsia="黑体"/>
        <w:sz w:val="30"/>
      </w:rPr>
    </w:lvl>
    <w:lvl w:ilvl="2" w:tentative="0">
      <w:start w:val="1"/>
      <w:numFmt w:val="decimal"/>
      <w:pStyle w:val="115"/>
      <w:suff w:val="space"/>
      <w:lvlText w:val="%1.%2.%3"/>
      <w:lvlJc w:val="left"/>
      <w:pPr>
        <w:ind w:left="0" w:firstLine="0"/>
      </w:pPr>
      <w:rPr>
        <w:rFonts w:hint="eastAsia" w:ascii="黑体" w:hAnsi="黑体" w:eastAsia="黑体"/>
        <w:sz w:val="28"/>
      </w:rPr>
    </w:lvl>
    <w:lvl w:ilvl="3" w:tentative="0">
      <w:start w:val="1"/>
      <w:numFmt w:val="decimal"/>
      <w:suff w:val="space"/>
      <w:lvlText w:val="%1.%2.%3.%4"/>
      <w:lvlJc w:val="left"/>
      <w:pPr>
        <w:ind w:left="0" w:firstLine="0"/>
      </w:pPr>
      <w:rPr>
        <w:rFonts w:hint="eastAsia" w:ascii="黑体" w:hAnsi="黑体" w:eastAsia="黑体"/>
        <w:sz w:val="24"/>
      </w:rPr>
    </w:lvl>
    <w:lvl w:ilvl="4" w:tentative="0">
      <w:start w:val="1"/>
      <w:numFmt w:val="decimal"/>
      <w:lvlText w:val="%1.%2.%3.%4.%5"/>
      <w:lvlJc w:val="left"/>
      <w:pPr>
        <w:ind w:left="0" w:firstLine="0"/>
      </w:pPr>
      <w:rPr>
        <w:rFonts w:hint="eastAsia"/>
      </w:rPr>
    </w:lvl>
    <w:lvl w:ilvl="5" w:tentative="0">
      <w:start w:val="1"/>
      <w:numFmt w:val="decimal"/>
      <w:lvlText w:val="%1.%2.%3.%4.%5.%6"/>
      <w:lvlJc w:val="left"/>
      <w:pPr>
        <w:ind w:left="0" w:firstLine="0"/>
      </w:pPr>
      <w:rPr>
        <w:rFonts w:hint="eastAsia"/>
      </w:rPr>
    </w:lvl>
    <w:lvl w:ilvl="6" w:tentative="0">
      <w:start w:val="1"/>
      <w:numFmt w:val="decima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3">
    <w:nsid w:val="13D08838"/>
    <w:multiLevelType w:val="singleLevel"/>
    <w:tmpl w:val="13D08838"/>
    <w:lvl w:ilvl="0" w:tentative="0">
      <w:start w:val="1"/>
      <w:numFmt w:val="decimal"/>
      <w:suff w:val="nothing"/>
      <w:lvlText w:val="%1）"/>
      <w:lvlJc w:val="left"/>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40"/>
  <w:drawingGridVerticalSpacing w:val="381"/>
  <w:doNotShadeFormData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44C"/>
    <w:rsid w:val="0000113A"/>
    <w:rsid w:val="00001A62"/>
    <w:rsid w:val="000025E8"/>
    <w:rsid w:val="00002763"/>
    <w:rsid w:val="000038F5"/>
    <w:rsid w:val="00003AFC"/>
    <w:rsid w:val="000045AB"/>
    <w:rsid w:val="0000567C"/>
    <w:rsid w:val="00005C2B"/>
    <w:rsid w:val="000062D6"/>
    <w:rsid w:val="00006418"/>
    <w:rsid w:val="0000678E"/>
    <w:rsid w:val="000075B3"/>
    <w:rsid w:val="00007962"/>
    <w:rsid w:val="00010786"/>
    <w:rsid w:val="000121E9"/>
    <w:rsid w:val="000142AF"/>
    <w:rsid w:val="000143B7"/>
    <w:rsid w:val="0001441A"/>
    <w:rsid w:val="0001568D"/>
    <w:rsid w:val="00015B99"/>
    <w:rsid w:val="000161E3"/>
    <w:rsid w:val="000167FE"/>
    <w:rsid w:val="00016EAC"/>
    <w:rsid w:val="00021204"/>
    <w:rsid w:val="000212CE"/>
    <w:rsid w:val="000214F5"/>
    <w:rsid w:val="00023349"/>
    <w:rsid w:val="0002410C"/>
    <w:rsid w:val="00025EE3"/>
    <w:rsid w:val="00026F23"/>
    <w:rsid w:val="000312BF"/>
    <w:rsid w:val="00032197"/>
    <w:rsid w:val="00035176"/>
    <w:rsid w:val="0003531E"/>
    <w:rsid w:val="000358CD"/>
    <w:rsid w:val="00035EC0"/>
    <w:rsid w:val="00035F52"/>
    <w:rsid w:val="000367DC"/>
    <w:rsid w:val="00036813"/>
    <w:rsid w:val="000373E7"/>
    <w:rsid w:val="00040590"/>
    <w:rsid w:val="000407FE"/>
    <w:rsid w:val="00040F4B"/>
    <w:rsid w:val="0004133A"/>
    <w:rsid w:val="0004148F"/>
    <w:rsid w:val="000418A6"/>
    <w:rsid w:val="00041A5A"/>
    <w:rsid w:val="00042046"/>
    <w:rsid w:val="0004332C"/>
    <w:rsid w:val="0004343B"/>
    <w:rsid w:val="00044B76"/>
    <w:rsid w:val="0004658A"/>
    <w:rsid w:val="00046ED4"/>
    <w:rsid w:val="000475BF"/>
    <w:rsid w:val="000504C8"/>
    <w:rsid w:val="000508C8"/>
    <w:rsid w:val="00052563"/>
    <w:rsid w:val="00053171"/>
    <w:rsid w:val="00053B42"/>
    <w:rsid w:val="00053C32"/>
    <w:rsid w:val="000551B1"/>
    <w:rsid w:val="00055216"/>
    <w:rsid w:val="00055BD1"/>
    <w:rsid w:val="0005648A"/>
    <w:rsid w:val="00057B2B"/>
    <w:rsid w:val="00057E55"/>
    <w:rsid w:val="00061C13"/>
    <w:rsid w:val="00062B14"/>
    <w:rsid w:val="00062D1D"/>
    <w:rsid w:val="0006523C"/>
    <w:rsid w:val="0006533F"/>
    <w:rsid w:val="000714A2"/>
    <w:rsid w:val="000731B6"/>
    <w:rsid w:val="0007380A"/>
    <w:rsid w:val="0007387A"/>
    <w:rsid w:val="000743DF"/>
    <w:rsid w:val="000743FE"/>
    <w:rsid w:val="00074766"/>
    <w:rsid w:val="00074BB9"/>
    <w:rsid w:val="00074D1B"/>
    <w:rsid w:val="0007563E"/>
    <w:rsid w:val="000757FF"/>
    <w:rsid w:val="00076511"/>
    <w:rsid w:val="00076B66"/>
    <w:rsid w:val="00080343"/>
    <w:rsid w:val="00081F4C"/>
    <w:rsid w:val="00082F7A"/>
    <w:rsid w:val="00083406"/>
    <w:rsid w:val="0008414C"/>
    <w:rsid w:val="000849A6"/>
    <w:rsid w:val="000850FC"/>
    <w:rsid w:val="000855BE"/>
    <w:rsid w:val="00090CA9"/>
    <w:rsid w:val="000918E3"/>
    <w:rsid w:val="00091AA9"/>
    <w:rsid w:val="00093F98"/>
    <w:rsid w:val="00093FAF"/>
    <w:rsid w:val="00094929"/>
    <w:rsid w:val="00094BE4"/>
    <w:rsid w:val="00094C5E"/>
    <w:rsid w:val="00096A8A"/>
    <w:rsid w:val="00097D71"/>
    <w:rsid w:val="000A0EC9"/>
    <w:rsid w:val="000A177A"/>
    <w:rsid w:val="000A2E50"/>
    <w:rsid w:val="000A2FE8"/>
    <w:rsid w:val="000A36BA"/>
    <w:rsid w:val="000A5430"/>
    <w:rsid w:val="000A67EA"/>
    <w:rsid w:val="000A6F43"/>
    <w:rsid w:val="000A6FE0"/>
    <w:rsid w:val="000A71BC"/>
    <w:rsid w:val="000A7849"/>
    <w:rsid w:val="000B014A"/>
    <w:rsid w:val="000B110F"/>
    <w:rsid w:val="000B1D40"/>
    <w:rsid w:val="000B2944"/>
    <w:rsid w:val="000B2DF9"/>
    <w:rsid w:val="000B3020"/>
    <w:rsid w:val="000B3776"/>
    <w:rsid w:val="000B399B"/>
    <w:rsid w:val="000B39B3"/>
    <w:rsid w:val="000B4FDC"/>
    <w:rsid w:val="000B5117"/>
    <w:rsid w:val="000B57BF"/>
    <w:rsid w:val="000B6D5A"/>
    <w:rsid w:val="000B7333"/>
    <w:rsid w:val="000C0416"/>
    <w:rsid w:val="000C22E9"/>
    <w:rsid w:val="000C255C"/>
    <w:rsid w:val="000C3C97"/>
    <w:rsid w:val="000C4918"/>
    <w:rsid w:val="000C4B62"/>
    <w:rsid w:val="000C5428"/>
    <w:rsid w:val="000C7277"/>
    <w:rsid w:val="000C741B"/>
    <w:rsid w:val="000C74BC"/>
    <w:rsid w:val="000D0466"/>
    <w:rsid w:val="000D09A8"/>
    <w:rsid w:val="000D1143"/>
    <w:rsid w:val="000D17CB"/>
    <w:rsid w:val="000D25C6"/>
    <w:rsid w:val="000D270E"/>
    <w:rsid w:val="000D2C0B"/>
    <w:rsid w:val="000D394A"/>
    <w:rsid w:val="000D3AC1"/>
    <w:rsid w:val="000D3D20"/>
    <w:rsid w:val="000D3E17"/>
    <w:rsid w:val="000D5447"/>
    <w:rsid w:val="000D6614"/>
    <w:rsid w:val="000D694C"/>
    <w:rsid w:val="000D6958"/>
    <w:rsid w:val="000D76C9"/>
    <w:rsid w:val="000E1EBE"/>
    <w:rsid w:val="000E31F5"/>
    <w:rsid w:val="000E4CBB"/>
    <w:rsid w:val="000E5B35"/>
    <w:rsid w:val="000E6401"/>
    <w:rsid w:val="000E645B"/>
    <w:rsid w:val="000E694A"/>
    <w:rsid w:val="000F0421"/>
    <w:rsid w:val="000F0A1E"/>
    <w:rsid w:val="000F233E"/>
    <w:rsid w:val="000F364F"/>
    <w:rsid w:val="000F36C7"/>
    <w:rsid w:val="000F39C9"/>
    <w:rsid w:val="000F49D5"/>
    <w:rsid w:val="000F4CED"/>
    <w:rsid w:val="000F679E"/>
    <w:rsid w:val="000F6B72"/>
    <w:rsid w:val="001010C5"/>
    <w:rsid w:val="00101BC7"/>
    <w:rsid w:val="00101C39"/>
    <w:rsid w:val="001025FE"/>
    <w:rsid w:val="001028B9"/>
    <w:rsid w:val="00102DC7"/>
    <w:rsid w:val="00104347"/>
    <w:rsid w:val="001059B3"/>
    <w:rsid w:val="00107100"/>
    <w:rsid w:val="00110431"/>
    <w:rsid w:val="00110E07"/>
    <w:rsid w:val="001110AB"/>
    <w:rsid w:val="00111297"/>
    <w:rsid w:val="001116CA"/>
    <w:rsid w:val="001127DB"/>
    <w:rsid w:val="00112E09"/>
    <w:rsid w:val="00115A23"/>
    <w:rsid w:val="00116A8B"/>
    <w:rsid w:val="00116AC6"/>
    <w:rsid w:val="001177EE"/>
    <w:rsid w:val="001212A5"/>
    <w:rsid w:val="001212F4"/>
    <w:rsid w:val="00121E27"/>
    <w:rsid w:val="00122592"/>
    <w:rsid w:val="0012314B"/>
    <w:rsid w:val="0012330C"/>
    <w:rsid w:val="00123D2D"/>
    <w:rsid w:val="001240BD"/>
    <w:rsid w:val="001249F2"/>
    <w:rsid w:val="00125B2C"/>
    <w:rsid w:val="00130680"/>
    <w:rsid w:val="00131856"/>
    <w:rsid w:val="00131ADF"/>
    <w:rsid w:val="00131E55"/>
    <w:rsid w:val="00131FF8"/>
    <w:rsid w:val="00132A0D"/>
    <w:rsid w:val="00132C01"/>
    <w:rsid w:val="00132EC2"/>
    <w:rsid w:val="00133116"/>
    <w:rsid w:val="00136018"/>
    <w:rsid w:val="00137AC8"/>
    <w:rsid w:val="00137B24"/>
    <w:rsid w:val="00137B8E"/>
    <w:rsid w:val="001406C6"/>
    <w:rsid w:val="00141735"/>
    <w:rsid w:val="00142D2E"/>
    <w:rsid w:val="00142DF3"/>
    <w:rsid w:val="001444CA"/>
    <w:rsid w:val="00144795"/>
    <w:rsid w:val="00145694"/>
    <w:rsid w:val="0014617C"/>
    <w:rsid w:val="00146710"/>
    <w:rsid w:val="00146779"/>
    <w:rsid w:val="001478F5"/>
    <w:rsid w:val="00150533"/>
    <w:rsid w:val="00151628"/>
    <w:rsid w:val="0015206B"/>
    <w:rsid w:val="00152693"/>
    <w:rsid w:val="00153FE4"/>
    <w:rsid w:val="00154FF6"/>
    <w:rsid w:val="00155DC2"/>
    <w:rsid w:val="001566EE"/>
    <w:rsid w:val="00156912"/>
    <w:rsid w:val="00156D2F"/>
    <w:rsid w:val="0015703D"/>
    <w:rsid w:val="00157AA4"/>
    <w:rsid w:val="00161F65"/>
    <w:rsid w:val="001634EA"/>
    <w:rsid w:val="00165249"/>
    <w:rsid w:val="0016547A"/>
    <w:rsid w:val="00165665"/>
    <w:rsid w:val="001666A3"/>
    <w:rsid w:val="00167450"/>
    <w:rsid w:val="00167574"/>
    <w:rsid w:val="00167936"/>
    <w:rsid w:val="00167BA3"/>
    <w:rsid w:val="001701BD"/>
    <w:rsid w:val="00170D55"/>
    <w:rsid w:val="0017117D"/>
    <w:rsid w:val="00172A27"/>
    <w:rsid w:val="001735E4"/>
    <w:rsid w:val="00173E61"/>
    <w:rsid w:val="001741A7"/>
    <w:rsid w:val="001751A9"/>
    <w:rsid w:val="00175D24"/>
    <w:rsid w:val="0017672C"/>
    <w:rsid w:val="00176E80"/>
    <w:rsid w:val="00176FBF"/>
    <w:rsid w:val="00177171"/>
    <w:rsid w:val="00181917"/>
    <w:rsid w:val="00181990"/>
    <w:rsid w:val="00182399"/>
    <w:rsid w:val="0018285C"/>
    <w:rsid w:val="00182F61"/>
    <w:rsid w:val="0018352A"/>
    <w:rsid w:val="00183CD2"/>
    <w:rsid w:val="00185079"/>
    <w:rsid w:val="0018556A"/>
    <w:rsid w:val="001869DB"/>
    <w:rsid w:val="00186A82"/>
    <w:rsid w:val="00187707"/>
    <w:rsid w:val="00187732"/>
    <w:rsid w:val="001906A0"/>
    <w:rsid w:val="001918E7"/>
    <w:rsid w:val="001922AD"/>
    <w:rsid w:val="001932C0"/>
    <w:rsid w:val="001932E2"/>
    <w:rsid w:val="0019488B"/>
    <w:rsid w:val="001952D0"/>
    <w:rsid w:val="0019597A"/>
    <w:rsid w:val="001A016A"/>
    <w:rsid w:val="001A0318"/>
    <w:rsid w:val="001A2147"/>
    <w:rsid w:val="001A48D0"/>
    <w:rsid w:val="001A4A92"/>
    <w:rsid w:val="001A506F"/>
    <w:rsid w:val="001A5E89"/>
    <w:rsid w:val="001A645F"/>
    <w:rsid w:val="001A71E1"/>
    <w:rsid w:val="001A7D47"/>
    <w:rsid w:val="001B0033"/>
    <w:rsid w:val="001B18DA"/>
    <w:rsid w:val="001B3BE7"/>
    <w:rsid w:val="001B3E56"/>
    <w:rsid w:val="001B537B"/>
    <w:rsid w:val="001B5F43"/>
    <w:rsid w:val="001B6F58"/>
    <w:rsid w:val="001B7523"/>
    <w:rsid w:val="001C0C95"/>
    <w:rsid w:val="001C150E"/>
    <w:rsid w:val="001C1799"/>
    <w:rsid w:val="001C1A66"/>
    <w:rsid w:val="001C2A1B"/>
    <w:rsid w:val="001C6CD3"/>
    <w:rsid w:val="001C7123"/>
    <w:rsid w:val="001C73F9"/>
    <w:rsid w:val="001D0B98"/>
    <w:rsid w:val="001D259D"/>
    <w:rsid w:val="001D3ECD"/>
    <w:rsid w:val="001D49E5"/>
    <w:rsid w:val="001D4F2E"/>
    <w:rsid w:val="001D51A6"/>
    <w:rsid w:val="001D56C0"/>
    <w:rsid w:val="001D5A1C"/>
    <w:rsid w:val="001D65E5"/>
    <w:rsid w:val="001D7B59"/>
    <w:rsid w:val="001D7DA7"/>
    <w:rsid w:val="001E0E07"/>
    <w:rsid w:val="001E138A"/>
    <w:rsid w:val="001E2C58"/>
    <w:rsid w:val="001E4369"/>
    <w:rsid w:val="001E4D2C"/>
    <w:rsid w:val="001E4DEB"/>
    <w:rsid w:val="001E545A"/>
    <w:rsid w:val="001E5CAB"/>
    <w:rsid w:val="001E72F1"/>
    <w:rsid w:val="001E736E"/>
    <w:rsid w:val="001E745A"/>
    <w:rsid w:val="001E7AF1"/>
    <w:rsid w:val="001F2BF9"/>
    <w:rsid w:val="001F4345"/>
    <w:rsid w:val="001F63E5"/>
    <w:rsid w:val="001F6A4A"/>
    <w:rsid w:val="001F7655"/>
    <w:rsid w:val="00201047"/>
    <w:rsid w:val="002010BB"/>
    <w:rsid w:val="00201546"/>
    <w:rsid w:val="0020204C"/>
    <w:rsid w:val="0020209A"/>
    <w:rsid w:val="00203655"/>
    <w:rsid w:val="00203C02"/>
    <w:rsid w:val="00203FAA"/>
    <w:rsid w:val="002040EA"/>
    <w:rsid w:val="00204B95"/>
    <w:rsid w:val="00205767"/>
    <w:rsid w:val="002063E8"/>
    <w:rsid w:val="00207010"/>
    <w:rsid w:val="00207DBB"/>
    <w:rsid w:val="002127FA"/>
    <w:rsid w:val="00212FEA"/>
    <w:rsid w:val="002157EB"/>
    <w:rsid w:val="002169EE"/>
    <w:rsid w:val="002170F9"/>
    <w:rsid w:val="00221097"/>
    <w:rsid w:val="00221922"/>
    <w:rsid w:val="00221FF4"/>
    <w:rsid w:val="00223A82"/>
    <w:rsid w:val="00223BC1"/>
    <w:rsid w:val="00224355"/>
    <w:rsid w:val="002244F4"/>
    <w:rsid w:val="00226A22"/>
    <w:rsid w:val="00226D3E"/>
    <w:rsid w:val="0022758F"/>
    <w:rsid w:val="002307E7"/>
    <w:rsid w:val="00231475"/>
    <w:rsid w:val="00232E66"/>
    <w:rsid w:val="00233262"/>
    <w:rsid w:val="0023345E"/>
    <w:rsid w:val="00233537"/>
    <w:rsid w:val="00233D21"/>
    <w:rsid w:val="0023536C"/>
    <w:rsid w:val="00235AA4"/>
    <w:rsid w:val="002364F0"/>
    <w:rsid w:val="002367BF"/>
    <w:rsid w:val="00237E67"/>
    <w:rsid w:val="00240EFE"/>
    <w:rsid w:val="002419F2"/>
    <w:rsid w:val="00242628"/>
    <w:rsid w:val="00242F89"/>
    <w:rsid w:val="00243674"/>
    <w:rsid w:val="002447D0"/>
    <w:rsid w:val="002455C3"/>
    <w:rsid w:val="00250723"/>
    <w:rsid w:val="002513F1"/>
    <w:rsid w:val="00252AAF"/>
    <w:rsid w:val="002530A7"/>
    <w:rsid w:val="00253ADA"/>
    <w:rsid w:val="00254191"/>
    <w:rsid w:val="00254A2F"/>
    <w:rsid w:val="002557C9"/>
    <w:rsid w:val="00256407"/>
    <w:rsid w:val="00257D71"/>
    <w:rsid w:val="00260476"/>
    <w:rsid w:val="0026069B"/>
    <w:rsid w:val="00260A21"/>
    <w:rsid w:val="00261603"/>
    <w:rsid w:val="00262099"/>
    <w:rsid w:val="00263321"/>
    <w:rsid w:val="002636CA"/>
    <w:rsid w:val="00263E94"/>
    <w:rsid w:val="002651E0"/>
    <w:rsid w:val="00265F4F"/>
    <w:rsid w:val="002663D3"/>
    <w:rsid w:val="0027015F"/>
    <w:rsid w:val="00270B40"/>
    <w:rsid w:val="00270E92"/>
    <w:rsid w:val="002712DF"/>
    <w:rsid w:val="00271594"/>
    <w:rsid w:val="00272A58"/>
    <w:rsid w:val="00272E02"/>
    <w:rsid w:val="00274DE1"/>
    <w:rsid w:val="00275502"/>
    <w:rsid w:val="0027562F"/>
    <w:rsid w:val="00275AB8"/>
    <w:rsid w:val="00276045"/>
    <w:rsid w:val="00276190"/>
    <w:rsid w:val="0027621C"/>
    <w:rsid w:val="00276678"/>
    <w:rsid w:val="00277A2C"/>
    <w:rsid w:val="00281326"/>
    <w:rsid w:val="00281913"/>
    <w:rsid w:val="00282290"/>
    <w:rsid w:val="00282680"/>
    <w:rsid w:val="00282EEB"/>
    <w:rsid w:val="00282F6F"/>
    <w:rsid w:val="00283C5D"/>
    <w:rsid w:val="0028467F"/>
    <w:rsid w:val="00285932"/>
    <w:rsid w:val="00285989"/>
    <w:rsid w:val="002862EC"/>
    <w:rsid w:val="00286331"/>
    <w:rsid w:val="00286CD4"/>
    <w:rsid w:val="002870EA"/>
    <w:rsid w:val="00287352"/>
    <w:rsid w:val="00290CCD"/>
    <w:rsid w:val="0029158D"/>
    <w:rsid w:val="00291DA2"/>
    <w:rsid w:val="0029202D"/>
    <w:rsid w:val="00292B0C"/>
    <w:rsid w:val="00292F49"/>
    <w:rsid w:val="00294182"/>
    <w:rsid w:val="00294F30"/>
    <w:rsid w:val="00296426"/>
    <w:rsid w:val="002970AD"/>
    <w:rsid w:val="00297BCD"/>
    <w:rsid w:val="002A0956"/>
    <w:rsid w:val="002A12AB"/>
    <w:rsid w:val="002A1F0B"/>
    <w:rsid w:val="002A2462"/>
    <w:rsid w:val="002A278C"/>
    <w:rsid w:val="002A4F23"/>
    <w:rsid w:val="002A4F5F"/>
    <w:rsid w:val="002A5A45"/>
    <w:rsid w:val="002A6EF6"/>
    <w:rsid w:val="002A7D65"/>
    <w:rsid w:val="002B0F78"/>
    <w:rsid w:val="002B1905"/>
    <w:rsid w:val="002B1ED7"/>
    <w:rsid w:val="002B3363"/>
    <w:rsid w:val="002B3519"/>
    <w:rsid w:val="002B3BF2"/>
    <w:rsid w:val="002B4B48"/>
    <w:rsid w:val="002B71FD"/>
    <w:rsid w:val="002B75C7"/>
    <w:rsid w:val="002C1912"/>
    <w:rsid w:val="002C2C9E"/>
    <w:rsid w:val="002C32C5"/>
    <w:rsid w:val="002C3A64"/>
    <w:rsid w:val="002C3CDD"/>
    <w:rsid w:val="002C4BCC"/>
    <w:rsid w:val="002C4C1B"/>
    <w:rsid w:val="002C58E1"/>
    <w:rsid w:val="002C63A2"/>
    <w:rsid w:val="002C72B8"/>
    <w:rsid w:val="002D02DD"/>
    <w:rsid w:val="002D0796"/>
    <w:rsid w:val="002D113A"/>
    <w:rsid w:val="002D187E"/>
    <w:rsid w:val="002D2F04"/>
    <w:rsid w:val="002D375E"/>
    <w:rsid w:val="002D4007"/>
    <w:rsid w:val="002D5869"/>
    <w:rsid w:val="002D622B"/>
    <w:rsid w:val="002E123B"/>
    <w:rsid w:val="002E2C7E"/>
    <w:rsid w:val="002E3126"/>
    <w:rsid w:val="002E3634"/>
    <w:rsid w:val="002E40A2"/>
    <w:rsid w:val="002E4903"/>
    <w:rsid w:val="002E4AC5"/>
    <w:rsid w:val="002E526E"/>
    <w:rsid w:val="002E580A"/>
    <w:rsid w:val="002E7683"/>
    <w:rsid w:val="002E7FDB"/>
    <w:rsid w:val="002F09A5"/>
    <w:rsid w:val="002F0B97"/>
    <w:rsid w:val="002F1CBC"/>
    <w:rsid w:val="002F2E05"/>
    <w:rsid w:val="002F3416"/>
    <w:rsid w:val="002F5C67"/>
    <w:rsid w:val="002F659A"/>
    <w:rsid w:val="002F68B9"/>
    <w:rsid w:val="002F7754"/>
    <w:rsid w:val="003003B7"/>
    <w:rsid w:val="00301565"/>
    <w:rsid w:val="00301A6C"/>
    <w:rsid w:val="00301FDD"/>
    <w:rsid w:val="00302585"/>
    <w:rsid w:val="0030259E"/>
    <w:rsid w:val="0030296F"/>
    <w:rsid w:val="00303229"/>
    <w:rsid w:val="003035C0"/>
    <w:rsid w:val="00305386"/>
    <w:rsid w:val="003058CE"/>
    <w:rsid w:val="00305EFE"/>
    <w:rsid w:val="00310B1F"/>
    <w:rsid w:val="00310D4C"/>
    <w:rsid w:val="003113C0"/>
    <w:rsid w:val="003115C7"/>
    <w:rsid w:val="00312D6E"/>
    <w:rsid w:val="003151B5"/>
    <w:rsid w:val="00316631"/>
    <w:rsid w:val="00316EE6"/>
    <w:rsid w:val="0031709E"/>
    <w:rsid w:val="00320D12"/>
    <w:rsid w:val="003221C5"/>
    <w:rsid w:val="00322300"/>
    <w:rsid w:val="0032268C"/>
    <w:rsid w:val="00325797"/>
    <w:rsid w:val="00325A56"/>
    <w:rsid w:val="00325C77"/>
    <w:rsid w:val="00326636"/>
    <w:rsid w:val="0032679E"/>
    <w:rsid w:val="00326B20"/>
    <w:rsid w:val="00327034"/>
    <w:rsid w:val="003271A7"/>
    <w:rsid w:val="003311B7"/>
    <w:rsid w:val="00332464"/>
    <w:rsid w:val="0033255E"/>
    <w:rsid w:val="00332FC8"/>
    <w:rsid w:val="00333174"/>
    <w:rsid w:val="003334F4"/>
    <w:rsid w:val="0033483A"/>
    <w:rsid w:val="00335B37"/>
    <w:rsid w:val="00336A7A"/>
    <w:rsid w:val="00336C0D"/>
    <w:rsid w:val="00337078"/>
    <w:rsid w:val="00337ACF"/>
    <w:rsid w:val="00341050"/>
    <w:rsid w:val="00341C09"/>
    <w:rsid w:val="003428A8"/>
    <w:rsid w:val="003428B3"/>
    <w:rsid w:val="00342916"/>
    <w:rsid w:val="00342FDD"/>
    <w:rsid w:val="00343C10"/>
    <w:rsid w:val="00344967"/>
    <w:rsid w:val="00344D35"/>
    <w:rsid w:val="003454C3"/>
    <w:rsid w:val="00345DFB"/>
    <w:rsid w:val="00345F40"/>
    <w:rsid w:val="003500DE"/>
    <w:rsid w:val="00350BD5"/>
    <w:rsid w:val="0035196B"/>
    <w:rsid w:val="003519F8"/>
    <w:rsid w:val="00351F40"/>
    <w:rsid w:val="003521C4"/>
    <w:rsid w:val="00352909"/>
    <w:rsid w:val="003536B3"/>
    <w:rsid w:val="00353965"/>
    <w:rsid w:val="00353F6A"/>
    <w:rsid w:val="003540FD"/>
    <w:rsid w:val="00354B19"/>
    <w:rsid w:val="0035517E"/>
    <w:rsid w:val="0035604A"/>
    <w:rsid w:val="0035617B"/>
    <w:rsid w:val="003565B7"/>
    <w:rsid w:val="00356D66"/>
    <w:rsid w:val="00357878"/>
    <w:rsid w:val="003579CD"/>
    <w:rsid w:val="003603D1"/>
    <w:rsid w:val="00360793"/>
    <w:rsid w:val="00361A29"/>
    <w:rsid w:val="00361B21"/>
    <w:rsid w:val="0036386C"/>
    <w:rsid w:val="003649CD"/>
    <w:rsid w:val="00364E31"/>
    <w:rsid w:val="0036634A"/>
    <w:rsid w:val="0036635A"/>
    <w:rsid w:val="00366452"/>
    <w:rsid w:val="00366714"/>
    <w:rsid w:val="003667E9"/>
    <w:rsid w:val="00366B58"/>
    <w:rsid w:val="00366C20"/>
    <w:rsid w:val="003711DD"/>
    <w:rsid w:val="00371A3E"/>
    <w:rsid w:val="00372C96"/>
    <w:rsid w:val="0037303F"/>
    <w:rsid w:val="003733D0"/>
    <w:rsid w:val="00374234"/>
    <w:rsid w:val="00374C2F"/>
    <w:rsid w:val="003764D2"/>
    <w:rsid w:val="00381D5F"/>
    <w:rsid w:val="003821B3"/>
    <w:rsid w:val="00382A0A"/>
    <w:rsid w:val="003849B4"/>
    <w:rsid w:val="00386CB1"/>
    <w:rsid w:val="003877EA"/>
    <w:rsid w:val="0038783D"/>
    <w:rsid w:val="00387F9C"/>
    <w:rsid w:val="00392511"/>
    <w:rsid w:val="00392A1E"/>
    <w:rsid w:val="00394823"/>
    <w:rsid w:val="00394B00"/>
    <w:rsid w:val="00394FC9"/>
    <w:rsid w:val="0039570A"/>
    <w:rsid w:val="003A4A68"/>
    <w:rsid w:val="003A5FA6"/>
    <w:rsid w:val="003A776E"/>
    <w:rsid w:val="003B043C"/>
    <w:rsid w:val="003B0E6A"/>
    <w:rsid w:val="003B1615"/>
    <w:rsid w:val="003B3D08"/>
    <w:rsid w:val="003B4EC9"/>
    <w:rsid w:val="003B5A21"/>
    <w:rsid w:val="003B60D0"/>
    <w:rsid w:val="003B6450"/>
    <w:rsid w:val="003B662C"/>
    <w:rsid w:val="003B6736"/>
    <w:rsid w:val="003B696B"/>
    <w:rsid w:val="003B6B3F"/>
    <w:rsid w:val="003B6E91"/>
    <w:rsid w:val="003B79EC"/>
    <w:rsid w:val="003C0041"/>
    <w:rsid w:val="003C0344"/>
    <w:rsid w:val="003C1067"/>
    <w:rsid w:val="003C1A75"/>
    <w:rsid w:val="003C3885"/>
    <w:rsid w:val="003C5DBC"/>
    <w:rsid w:val="003C6393"/>
    <w:rsid w:val="003C795B"/>
    <w:rsid w:val="003D0178"/>
    <w:rsid w:val="003D08A9"/>
    <w:rsid w:val="003D0BDC"/>
    <w:rsid w:val="003D1915"/>
    <w:rsid w:val="003D3C5F"/>
    <w:rsid w:val="003D4AF0"/>
    <w:rsid w:val="003D4C27"/>
    <w:rsid w:val="003D6F3E"/>
    <w:rsid w:val="003D7443"/>
    <w:rsid w:val="003D7920"/>
    <w:rsid w:val="003E167B"/>
    <w:rsid w:val="003E2860"/>
    <w:rsid w:val="003E309F"/>
    <w:rsid w:val="003E4530"/>
    <w:rsid w:val="003E473D"/>
    <w:rsid w:val="003E5907"/>
    <w:rsid w:val="003E61CD"/>
    <w:rsid w:val="003E63BA"/>
    <w:rsid w:val="003E7145"/>
    <w:rsid w:val="003E794D"/>
    <w:rsid w:val="003F1AAC"/>
    <w:rsid w:val="003F38D2"/>
    <w:rsid w:val="003F396E"/>
    <w:rsid w:val="003F3BAF"/>
    <w:rsid w:val="003F505B"/>
    <w:rsid w:val="003F5485"/>
    <w:rsid w:val="003F57C2"/>
    <w:rsid w:val="003F62B4"/>
    <w:rsid w:val="003F6440"/>
    <w:rsid w:val="003F6747"/>
    <w:rsid w:val="003F6ED1"/>
    <w:rsid w:val="003F7544"/>
    <w:rsid w:val="003F7976"/>
    <w:rsid w:val="003F7E17"/>
    <w:rsid w:val="00400694"/>
    <w:rsid w:val="004008B9"/>
    <w:rsid w:val="0040120F"/>
    <w:rsid w:val="00402130"/>
    <w:rsid w:val="00402CE8"/>
    <w:rsid w:val="00402DD3"/>
    <w:rsid w:val="00403A51"/>
    <w:rsid w:val="00403B14"/>
    <w:rsid w:val="00404A74"/>
    <w:rsid w:val="00404B96"/>
    <w:rsid w:val="00405754"/>
    <w:rsid w:val="00405CE2"/>
    <w:rsid w:val="00405E3F"/>
    <w:rsid w:val="00406E6A"/>
    <w:rsid w:val="00407404"/>
    <w:rsid w:val="00407560"/>
    <w:rsid w:val="00407598"/>
    <w:rsid w:val="004100A9"/>
    <w:rsid w:val="0041060C"/>
    <w:rsid w:val="004115BC"/>
    <w:rsid w:val="004124B4"/>
    <w:rsid w:val="00412EA6"/>
    <w:rsid w:val="00413497"/>
    <w:rsid w:val="00414564"/>
    <w:rsid w:val="004147FD"/>
    <w:rsid w:val="00414932"/>
    <w:rsid w:val="004156F1"/>
    <w:rsid w:val="0041640A"/>
    <w:rsid w:val="00416AA1"/>
    <w:rsid w:val="00416B52"/>
    <w:rsid w:val="00416BE1"/>
    <w:rsid w:val="0041740B"/>
    <w:rsid w:val="00417547"/>
    <w:rsid w:val="00421327"/>
    <w:rsid w:val="00421540"/>
    <w:rsid w:val="00421807"/>
    <w:rsid w:val="00422689"/>
    <w:rsid w:val="00422CDA"/>
    <w:rsid w:val="00423701"/>
    <w:rsid w:val="0042480A"/>
    <w:rsid w:val="00425311"/>
    <w:rsid w:val="004273E5"/>
    <w:rsid w:val="00427AAE"/>
    <w:rsid w:val="00427C70"/>
    <w:rsid w:val="0043032A"/>
    <w:rsid w:val="00430AD2"/>
    <w:rsid w:val="00431BC8"/>
    <w:rsid w:val="00432104"/>
    <w:rsid w:val="00433821"/>
    <w:rsid w:val="004343EC"/>
    <w:rsid w:val="00436018"/>
    <w:rsid w:val="00436119"/>
    <w:rsid w:val="00437041"/>
    <w:rsid w:val="004377A1"/>
    <w:rsid w:val="00441FF9"/>
    <w:rsid w:val="004440FB"/>
    <w:rsid w:val="004445E9"/>
    <w:rsid w:val="004460C8"/>
    <w:rsid w:val="0044639A"/>
    <w:rsid w:val="004467BE"/>
    <w:rsid w:val="00446880"/>
    <w:rsid w:val="00447423"/>
    <w:rsid w:val="00447A2B"/>
    <w:rsid w:val="00447A6F"/>
    <w:rsid w:val="0045063D"/>
    <w:rsid w:val="00450B07"/>
    <w:rsid w:val="00450EE0"/>
    <w:rsid w:val="00451143"/>
    <w:rsid w:val="004526CE"/>
    <w:rsid w:val="0045293A"/>
    <w:rsid w:val="00452D00"/>
    <w:rsid w:val="00453084"/>
    <w:rsid w:val="004530BA"/>
    <w:rsid w:val="00453A78"/>
    <w:rsid w:val="00454920"/>
    <w:rsid w:val="00454FDB"/>
    <w:rsid w:val="004560F4"/>
    <w:rsid w:val="004562A3"/>
    <w:rsid w:val="00460642"/>
    <w:rsid w:val="00460BD7"/>
    <w:rsid w:val="0046127E"/>
    <w:rsid w:val="00461AAF"/>
    <w:rsid w:val="00461D30"/>
    <w:rsid w:val="00462386"/>
    <w:rsid w:val="0046264A"/>
    <w:rsid w:val="00462BB9"/>
    <w:rsid w:val="00462CAD"/>
    <w:rsid w:val="004631BF"/>
    <w:rsid w:val="004631EE"/>
    <w:rsid w:val="00463D37"/>
    <w:rsid w:val="00464326"/>
    <w:rsid w:val="00464B7B"/>
    <w:rsid w:val="0046580C"/>
    <w:rsid w:val="00465ACA"/>
    <w:rsid w:val="004665AB"/>
    <w:rsid w:val="00466C28"/>
    <w:rsid w:val="004672FF"/>
    <w:rsid w:val="00467B1D"/>
    <w:rsid w:val="00470268"/>
    <w:rsid w:val="00470FF3"/>
    <w:rsid w:val="00472167"/>
    <w:rsid w:val="004721F0"/>
    <w:rsid w:val="00472527"/>
    <w:rsid w:val="004737A9"/>
    <w:rsid w:val="00473E86"/>
    <w:rsid w:val="00474741"/>
    <w:rsid w:val="00474B23"/>
    <w:rsid w:val="00474F8A"/>
    <w:rsid w:val="004751F2"/>
    <w:rsid w:val="00476E46"/>
    <w:rsid w:val="0047763F"/>
    <w:rsid w:val="00480FD6"/>
    <w:rsid w:val="00481A95"/>
    <w:rsid w:val="00481B90"/>
    <w:rsid w:val="00482356"/>
    <w:rsid w:val="00482925"/>
    <w:rsid w:val="00482AFB"/>
    <w:rsid w:val="00482DC0"/>
    <w:rsid w:val="00482F93"/>
    <w:rsid w:val="00483B68"/>
    <w:rsid w:val="00484391"/>
    <w:rsid w:val="004845BA"/>
    <w:rsid w:val="004859BD"/>
    <w:rsid w:val="004906BD"/>
    <w:rsid w:val="0049170A"/>
    <w:rsid w:val="004921A4"/>
    <w:rsid w:val="004928C9"/>
    <w:rsid w:val="00493122"/>
    <w:rsid w:val="0049334A"/>
    <w:rsid w:val="00493E43"/>
    <w:rsid w:val="00494347"/>
    <w:rsid w:val="00494814"/>
    <w:rsid w:val="00494FE1"/>
    <w:rsid w:val="004959CE"/>
    <w:rsid w:val="00495C4E"/>
    <w:rsid w:val="00495DCE"/>
    <w:rsid w:val="00495FCC"/>
    <w:rsid w:val="00496090"/>
    <w:rsid w:val="0049681F"/>
    <w:rsid w:val="0049738C"/>
    <w:rsid w:val="00497E88"/>
    <w:rsid w:val="004A050D"/>
    <w:rsid w:val="004A104E"/>
    <w:rsid w:val="004A146B"/>
    <w:rsid w:val="004A16CE"/>
    <w:rsid w:val="004A1723"/>
    <w:rsid w:val="004A182D"/>
    <w:rsid w:val="004A1E4C"/>
    <w:rsid w:val="004A2234"/>
    <w:rsid w:val="004A22EE"/>
    <w:rsid w:val="004A2C03"/>
    <w:rsid w:val="004A3031"/>
    <w:rsid w:val="004A3243"/>
    <w:rsid w:val="004A5960"/>
    <w:rsid w:val="004A5DA9"/>
    <w:rsid w:val="004A66F0"/>
    <w:rsid w:val="004A7260"/>
    <w:rsid w:val="004B1082"/>
    <w:rsid w:val="004B108E"/>
    <w:rsid w:val="004B111A"/>
    <w:rsid w:val="004B2FA9"/>
    <w:rsid w:val="004B4169"/>
    <w:rsid w:val="004B41AC"/>
    <w:rsid w:val="004B4CEA"/>
    <w:rsid w:val="004B6297"/>
    <w:rsid w:val="004C0896"/>
    <w:rsid w:val="004C20A0"/>
    <w:rsid w:val="004C21BD"/>
    <w:rsid w:val="004C3EB0"/>
    <w:rsid w:val="004C483B"/>
    <w:rsid w:val="004C5B3F"/>
    <w:rsid w:val="004C5FD8"/>
    <w:rsid w:val="004C63B1"/>
    <w:rsid w:val="004D054B"/>
    <w:rsid w:val="004D180E"/>
    <w:rsid w:val="004D1CA9"/>
    <w:rsid w:val="004D23CD"/>
    <w:rsid w:val="004D3B9A"/>
    <w:rsid w:val="004D6427"/>
    <w:rsid w:val="004D6BD3"/>
    <w:rsid w:val="004E0269"/>
    <w:rsid w:val="004E0581"/>
    <w:rsid w:val="004E0B40"/>
    <w:rsid w:val="004E1F80"/>
    <w:rsid w:val="004E2425"/>
    <w:rsid w:val="004E31B0"/>
    <w:rsid w:val="004E3BC7"/>
    <w:rsid w:val="004E445D"/>
    <w:rsid w:val="004E4D2C"/>
    <w:rsid w:val="004E5AAE"/>
    <w:rsid w:val="004E6161"/>
    <w:rsid w:val="004E6B2E"/>
    <w:rsid w:val="004F0191"/>
    <w:rsid w:val="004F1035"/>
    <w:rsid w:val="004F1E28"/>
    <w:rsid w:val="004F3561"/>
    <w:rsid w:val="004F3573"/>
    <w:rsid w:val="004F4779"/>
    <w:rsid w:val="004F4FD9"/>
    <w:rsid w:val="004F5674"/>
    <w:rsid w:val="004F5999"/>
    <w:rsid w:val="004F62C9"/>
    <w:rsid w:val="004F7196"/>
    <w:rsid w:val="00500505"/>
    <w:rsid w:val="00501255"/>
    <w:rsid w:val="005018E2"/>
    <w:rsid w:val="005023E2"/>
    <w:rsid w:val="005023E5"/>
    <w:rsid w:val="00503807"/>
    <w:rsid w:val="00504DA6"/>
    <w:rsid w:val="00504F9C"/>
    <w:rsid w:val="0050551C"/>
    <w:rsid w:val="0050619B"/>
    <w:rsid w:val="005062EC"/>
    <w:rsid w:val="00506587"/>
    <w:rsid w:val="00506E4E"/>
    <w:rsid w:val="0050750C"/>
    <w:rsid w:val="00510799"/>
    <w:rsid w:val="00510C8D"/>
    <w:rsid w:val="00512D71"/>
    <w:rsid w:val="0051355D"/>
    <w:rsid w:val="00513FD3"/>
    <w:rsid w:val="0051419A"/>
    <w:rsid w:val="00514556"/>
    <w:rsid w:val="005154FB"/>
    <w:rsid w:val="005157D8"/>
    <w:rsid w:val="00516A43"/>
    <w:rsid w:val="00516D30"/>
    <w:rsid w:val="00517263"/>
    <w:rsid w:val="00517642"/>
    <w:rsid w:val="00517BE8"/>
    <w:rsid w:val="00517CB4"/>
    <w:rsid w:val="005213CB"/>
    <w:rsid w:val="0052294B"/>
    <w:rsid w:val="005233E0"/>
    <w:rsid w:val="005234A5"/>
    <w:rsid w:val="00523862"/>
    <w:rsid w:val="005255D7"/>
    <w:rsid w:val="005258F8"/>
    <w:rsid w:val="00526054"/>
    <w:rsid w:val="00526874"/>
    <w:rsid w:val="00526C2D"/>
    <w:rsid w:val="0052705A"/>
    <w:rsid w:val="00527BD2"/>
    <w:rsid w:val="0053094A"/>
    <w:rsid w:val="005314FC"/>
    <w:rsid w:val="0053320B"/>
    <w:rsid w:val="005332F6"/>
    <w:rsid w:val="00533565"/>
    <w:rsid w:val="005340FD"/>
    <w:rsid w:val="00534930"/>
    <w:rsid w:val="00536932"/>
    <w:rsid w:val="0054046A"/>
    <w:rsid w:val="0054109B"/>
    <w:rsid w:val="005410A1"/>
    <w:rsid w:val="00541549"/>
    <w:rsid w:val="00541F42"/>
    <w:rsid w:val="00542708"/>
    <w:rsid w:val="00542B4F"/>
    <w:rsid w:val="00543151"/>
    <w:rsid w:val="005440E8"/>
    <w:rsid w:val="00544AD1"/>
    <w:rsid w:val="00544B60"/>
    <w:rsid w:val="005455FA"/>
    <w:rsid w:val="00545984"/>
    <w:rsid w:val="005464CF"/>
    <w:rsid w:val="005479CF"/>
    <w:rsid w:val="00551DDF"/>
    <w:rsid w:val="00551ED7"/>
    <w:rsid w:val="005529B2"/>
    <w:rsid w:val="00552F49"/>
    <w:rsid w:val="00553167"/>
    <w:rsid w:val="00554B1B"/>
    <w:rsid w:val="0055520B"/>
    <w:rsid w:val="00555310"/>
    <w:rsid w:val="00555450"/>
    <w:rsid w:val="00556F85"/>
    <w:rsid w:val="0055707A"/>
    <w:rsid w:val="005570B3"/>
    <w:rsid w:val="00557DBF"/>
    <w:rsid w:val="005604FC"/>
    <w:rsid w:val="00560661"/>
    <w:rsid w:val="005606E2"/>
    <w:rsid w:val="005607B2"/>
    <w:rsid w:val="00560B59"/>
    <w:rsid w:val="00560DA4"/>
    <w:rsid w:val="00560FEB"/>
    <w:rsid w:val="005610BF"/>
    <w:rsid w:val="00562774"/>
    <w:rsid w:val="005637C9"/>
    <w:rsid w:val="00565FD5"/>
    <w:rsid w:val="00566241"/>
    <w:rsid w:val="005704BD"/>
    <w:rsid w:val="005721E8"/>
    <w:rsid w:val="005729EB"/>
    <w:rsid w:val="00573023"/>
    <w:rsid w:val="00573BDB"/>
    <w:rsid w:val="005740C0"/>
    <w:rsid w:val="005745CA"/>
    <w:rsid w:val="00574AA3"/>
    <w:rsid w:val="005751E3"/>
    <w:rsid w:val="00576103"/>
    <w:rsid w:val="0057729A"/>
    <w:rsid w:val="00580F04"/>
    <w:rsid w:val="0058280E"/>
    <w:rsid w:val="005844BE"/>
    <w:rsid w:val="00584B90"/>
    <w:rsid w:val="00584C85"/>
    <w:rsid w:val="0058554B"/>
    <w:rsid w:val="0058566D"/>
    <w:rsid w:val="0058571D"/>
    <w:rsid w:val="005863BD"/>
    <w:rsid w:val="00586F23"/>
    <w:rsid w:val="00587246"/>
    <w:rsid w:val="00587B0C"/>
    <w:rsid w:val="00587F53"/>
    <w:rsid w:val="0059126F"/>
    <w:rsid w:val="00591D00"/>
    <w:rsid w:val="00596A53"/>
    <w:rsid w:val="00597492"/>
    <w:rsid w:val="00597D16"/>
    <w:rsid w:val="005A19B7"/>
    <w:rsid w:val="005A2058"/>
    <w:rsid w:val="005A20C9"/>
    <w:rsid w:val="005A336F"/>
    <w:rsid w:val="005A47D8"/>
    <w:rsid w:val="005A57B3"/>
    <w:rsid w:val="005A5C21"/>
    <w:rsid w:val="005A617C"/>
    <w:rsid w:val="005A6DA3"/>
    <w:rsid w:val="005A75E5"/>
    <w:rsid w:val="005B0923"/>
    <w:rsid w:val="005B21E5"/>
    <w:rsid w:val="005B2726"/>
    <w:rsid w:val="005B2B14"/>
    <w:rsid w:val="005B3430"/>
    <w:rsid w:val="005B43F7"/>
    <w:rsid w:val="005B64E2"/>
    <w:rsid w:val="005B7EB0"/>
    <w:rsid w:val="005C0A66"/>
    <w:rsid w:val="005C153D"/>
    <w:rsid w:val="005C1F6A"/>
    <w:rsid w:val="005C302A"/>
    <w:rsid w:val="005C3CEA"/>
    <w:rsid w:val="005C4D2E"/>
    <w:rsid w:val="005C513A"/>
    <w:rsid w:val="005C5616"/>
    <w:rsid w:val="005C5B8D"/>
    <w:rsid w:val="005C6AC8"/>
    <w:rsid w:val="005D0823"/>
    <w:rsid w:val="005D1123"/>
    <w:rsid w:val="005D173E"/>
    <w:rsid w:val="005D252E"/>
    <w:rsid w:val="005D3841"/>
    <w:rsid w:val="005D3E67"/>
    <w:rsid w:val="005D5505"/>
    <w:rsid w:val="005D5740"/>
    <w:rsid w:val="005D580A"/>
    <w:rsid w:val="005D5CA3"/>
    <w:rsid w:val="005D5FC8"/>
    <w:rsid w:val="005E0024"/>
    <w:rsid w:val="005E15F8"/>
    <w:rsid w:val="005E2579"/>
    <w:rsid w:val="005E2871"/>
    <w:rsid w:val="005E2FFE"/>
    <w:rsid w:val="005E45B1"/>
    <w:rsid w:val="005E4FD7"/>
    <w:rsid w:val="005E5313"/>
    <w:rsid w:val="005E5629"/>
    <w:rsid w:val="005E5AA1"/>
    <w:rsid w:val="005E70C8"/>
    <w:rsid w:val="005E7376"/>
    <w:rsid w:val="005F1924"/>
    <w:rsid w:val="005F1EB0"/>
    <w:rsid w:val="005F2A3A"/>
    <w:rsid w:val="005F307A"/>
    <w:rsid w:val="005F324E"/>
    <w:rsid w:val="005F3BEF"/>
    <w:rsid w:val="005F4318"/>
    <w:rsid w:val="005F6369"/>
    <w:rsid w:val="005F6572"/>
    <w:rsid w:val="005F697D"/>
    <w:rsid w:val="005F7123"/>
    <w:rsid w:val="00601369"/>
    <w:rsid w:val="006026A5"/>
    <w:rsid w:val="0060377D"/>
    <w:rsid w:val="006039ED"/>
    <w:rsid w:val="006047D3"/>
    <w:rsid w:val="00604900"/>
    <w:rsid w:val="0060494C"/>
    <w:rsid w:val="00604E7A"/>
    <w:rsid w:val="00604FE4"/>
    <w:rsid w:val="00605029"/>
    <w:rsid w:val="00606A17"/>
    <w:rsid w:val="0061090E"/>
    <w:rsid w:val="00611387"/>
    <w:rsid w:val="006117F1"/>
    <w:rsid w:val="00611819"/>
    <w:rsid w:val="0061258F"/>
    <w:rsid w:val="006157BA"/>
    <w:rsid w:val="006167B7"/>
    <w:rsid w:val="006167D9"/>
    <w:rsid w:val="00616ACB"/>
    <w:rsid w:val="00616C46"/>
    <w:rsid w:val="00617B0F"/>
    <w:rsid w:val="00617B75"/>
    <w:rsid w:val="006201F3"/>
    <w:rsid w:val="00621098"/>
    <w:rsid w:val="006223AC"/>
    <w:rsid w:val="00622A19"/>
    <w:rsid w:val="00623CD5"/>
    <w:rsid w:val="0062488E"/>
    <w:rsid w:val="006264F1"/>
    <w:rsid w:val="0062700D"/>
    <w:rsid w:val="0063038A"/>
    <w:rsid w:val="00630FD3"/>
    <w:rsid w:val="0063155E"/>
    <w:rsid w:val="0063172B"/>
    <w:rsid w:val="0063177F"/>
    <w:rsid w:val="006332DF"/>
    <w:rsid w:val="00633CCF"/>
    <w:rsid w:val="006348EE"/>
    <w:rsid w:val="006356B7"/>
    <w:rsid w:val="00635881"/>
    <w:rsid w:val="006358C9"/>
    <w:rsid w:val="0063591C"/>
    <w:rsid w:val="00637225"/>
    <w:rsid w:val="00637B9E"/>
    <w:rsid w:val="00637F9C"/>
    <w:rsid w:val="006407FF"/>
    <w:rsid w:val="006418FA"/>
    <w:rsid w:val="00641CB2"/>
    <w:rsid w:val="006423C7"/>
    <w:rsid w:val="00642A3A"/>
    <w:rsid w:val="00642DF5"/>
    <w:rsid w:val="006443C1"/>
    <w:rsid w:val="00644B80"/>
    <w:rsid w:val="00645096"/>
    <w:rsid w:val="006454EF"/>
    <w:rsid w:val="00645A8D"/>
    <w:rsid w:val="00645BAF"/>
    <w:rsid w:val="0064656B"/>
    <w:rsid w:val="00646832"/>
    <w:rsid w:val="006478C6"/>
    <w:rsid w:val="0065225F"/>
    <w:rsid w:val="00654BDD"/>
    <w:rsid w:val="00655666"/>
    <w:rsid w:val="006557D4"/>
    <w:rsid w:val="00656EA0"/>
    <w:rsid w:val="00656EBC"/>
    <w:rsid w:val="006570FC"/>
    <w:rsid w:val="00657DCC"/>
    <w:rsid w:val="006609B0"/>
    <w:rsid w:val="006609B3"/>
    <w:rsid w:val="0066204B"/>
    <w:rsid w:val="00662094"/>
    <w:rsid w:val="00662A4F"/>
    <w:rsid w:val="00662C9A"/>
    <w:rsid w:val="00662F6C"/>
    <w:rsid w:val="00663817"/>
    <w:rsid w:val="00663F52"/>
    <w:rsid w:val="006652C8"/>
    <w:rsid w:val="00665C1F"/>
    <w:rsid w:val="006670E5"/>
    <w:rsid w:val="00667379"/>
    <w:rsid w:val="006676D3"/>
    <w:rsid w:val="006706E5"/>
    <w:rsid w:val="00670F0B"/>
    <w:rsid w:val="0067132A"/>
    <w:rsid w:val="0067279F"/>
    <w:rsid w:val="006759D7"/>
    <w:rsid w:val="00675CE6"/>
    <w:rsid w:val="006766C0"/>
    <w:rsid w:val="00677E86"/>
    <w:rsid w:val="00680C05"/>
    <w:rsid w:val="0068161F"/>
    <w:rsid w:val="00681BA9"/>
    <w:rsid w:val="006828D2"/>
    <w:rsid w:val="00683111"/>
    <w:rsid w:val="00683C98"/>
    <w:rsid w:val="006842B9"/>
    <w:rsid w:val="0068452E"/>
    <w:rsid w:val="00684B5A"/>
    <w:rsid w:val="00685F0B"/>
    <w:rsid w:val="00686A75"/>
    <w:rsid w:val="00686B7A"/>
    <w:rsid w:val="00687D5D"/>
    <w:rsid w:val="00690546"/>
    <w:rsid w:val="006912BD"/>
    <w:rsid w:val="00691F92"/>
    <w:rsid w:val="00692589"/>
    <w:rsid w:val="00692825"/>
    <w:rsid w:val="00692A85"/>
    <w:rsid w:val="006936ED"/>
    <w:rsid w:val="00693775"/>
    <w:rsid w:val="00693E34"/>
    <w:rsid w:val="00694878"/>
    <w:rsid w:val="00694960"/>
    <w:rsid w:val="006951E1"/>
    <w:rsid w:val="006957BA"/>
    <w:rsid w:val="006959C4"/>
    <w:rsid w:val="006961E6"/>
    <w:rsid w:val="0069626C"/>
    <w:rsid w:val="006977CC"/>
    <w:rsid w:val="00697B5B"/>
    <w:rsid w:val="006A1160"/>
    <w:rsid w:val="006A205B"/>
    <w:rsid w:val="006A25E3"/>
    <w:rsid w:val="006A2A6B"/>
    <w:rsid w:val="006A3004"/>
    <w:rsid w:val="006A309E"/>
    <w:rsid w:val="006A3FE3"/>
    <w:rsid w:val="006A40BC"/>
    <w:rsid w:val="006A420B"/>
    <w:rsid w:val="006A4349"/>
    <w:rsid w:val="006A51D9"/>
    <w:rsid w:val="006A7306"/>
    <w:rsid w:val="006A7E66"/>
    <w:rsid w:val="006B0425"/>
    <w:rsid w:val="006B0CCC"/>
    <w:rsid w:val="006B16CE"/>
    <w:rsid w:val="006B180A"/>
    <w:rsid w:val="006B1979"/>
    <w:rsid w:val="006B1E82"/>
    <w:rsid w:val="006B3221"/>
    <w:rsid w:val="006B39A1"/>
    <w:rsid w:val="006B3CD0"/>
    <w:rsid w:val="006B3FA7"/>
    <w:rsid w:val="006B48D1"/>
    <w:rsid w:val="006B500F"/>
    <w:rsid w:val="006B5A13"/>
    <w:rsid w:val="006B79A5"/>
    <w:rsid w:val="006C0469"/>
    <w:rsid w:val="006C0A50"/>
    <w:rsid w:val="006C0B0B"/>
    <w:rsid w:val="006C0D1A"/>
    <w:rsid w:val="006C13E5"/>
    <w:rsid w:val="006C28B3"/>
    <w:rsid w:val="006C373B"/>
    <w:rsid w:val="006C418A"/>
    <w:rsid w:val="006C5533"/>
    <w:rsid w:val="006C60FC"/>
    <w:rsid w:val="006C648E"/>
    <w:rsid w:val="006C6FFA"/>
    <w:rsid w:val="006C754C"/>
    <w:rsid w:val="006C7797"/>
    <w:rsid w:val="006D035D"/>
    <w:rsid w:val="006D15A9"/>
    <w:rsid w:val="006D176A"/>
    <w:rsid w:val="006D2D3D"/>
    <w:rsid w:val="006D3BD1"/>
    <w:rsid w:val="006D3E93"/>
    <w:rsid w:val="006D42AE"/>
    <w:rsid w:val="006D47A5"/>
    <w:rsid w:val="006D4AFF"/>
    <w:rsid w:val="006D4C74"/>
    <w:rsid w:val="006D50D0"/>
    <w:rsid w:val="006D58FD"/>
    <w:rsid w:val="006D5A4A"/>
    <w:rsid w:val="006D7507"/>
    <w:rsid w:val="006D7C10"/>
    <w:rsid w:val="006E049F"/>
    <w:rsid w:val="006E1E3B"/>
    <w:rsid w:val="006E27E4"/>
    <w:rsid w:val="006E3B15"/>
    <w:rsid w:val="006E5609"/>
    <w:rsid w:val="006E60C7"/>
    <w:rsid w:val="006E6814"/>
    <w:rsid w:val="006E6F09"/>
    <w:rsid w:val="006E7FF1"/>
    <w:rsid w:val="006F157E"/>
    <w:rsid w:val="006F23B1"/>
    <w:rsid w:val="006F2698"/>
    <w:rsid w:val="006F2E9F"/>
    <w:rsid w:val="006F30E5"/>
    <w:rsid w:val="006F37C7"/>
    <w:rsid w:val="006F601C"/>
    <w:rsid w:val="006F6BC9"/>
    <w:rsid w:val="006F716F"/>
    <w:rsid w:val="006F72E3"/>
    <w:rsid w:val="006F7470"/>
    <w:rsid w:val="006F77AE"/>
    <w:rsid w:val="00700D65"/>
    <w:rsid w:val="00701070"/>
    <w:rsid w:val="007019AD"/>
    <w:rsid w:val="00701C8C"/>
    <w:rsid w:val="0070290A"/>
    <w:rsid w:val="00702968"/>
    <w:rsid w:val="007056D7"/>
    <w:rsid w:val="00705A53"/>
    <w:rsid w:val="007064AF"/>
    <w:rsid w:val="00706B23"/>
    <w:rsid w:val="0070740D"/>
    <w:rsid w:val="00707AE5"/>
    <w:rsid w:val="00707EAE"/>
    <w:rsid w:val="00707F6D"/>
    <w:rsid w:val="007107EF"/>
    <w:rsid w:val="00711279"/>
    <w:rsid w:val="00711901"/>
    <w:rsid w:val="007119FD"/>
    <w:rsid w:val="007129EC"/>
    <w:rsid w:val="007138E6"/>
    <w:rsid w:val="00713E14"/>
    <w:rsid w:val="00714139"/>
    <w:rsid w:val="00715FDA"/>
    <w:rsid w:val="007174AA"/>
    <w:rsid w:val="007174AB"/>
    <w:rsid w:val="007200AB"/>
    <w:rsid w:val="007202EB"/>
    <w:rsid w:val="007211A8"/>
    <w:rsid w:val="00721D23"/>
    <w:rsid w:val="0072281B"/>
    <w:rsid w:val="00722BCC"/>
    <w:rsid w:val="00722EFB"/>
    <w:rsid w:val="007241A5"/>
    <w:rsid w:val="007246B3"/>
    <w:rsid w:val="007252D2"/>
    <w:rsid w:val="007255A2"/>
    <w:rsid w:val="00725B9B"/>
    <w:rsid w:val="007260C4"/>
    <w:rsid w:val="0073076E"/>
    <w:rsid w:val="00730F6F"/>
    <w:rsid w:val="007330CF"/>
    <w:rsid w:val="007357FA"/>
    <w:rsid w:val="0073596F"/>
    <w:rsid w:val="00736927"/>
    <w:rsid w:val="00736ED5"/>
    <w:rsid w:val="0073744D"/>
    <w:rsid w:val="00737F91"/>
    <w:rsid w:val="0074003F"/>
    <w:rsid w:val="00740312"/>
    <w:rsid w:val="0074076D"/>
    <w:rsid w:val="007409B3"/>
    <w:rsid w:val="00740B92"/>
    <w:rsid w:val="00740CEA"/>
    <w:rsid w:val="00741623"/>
    <w:rsid w:val="00741EED"/>
    <w:rsid w:val="007422C9"/>
    <w:rsid w:val="007432BB"/>
    <w:rsid w:val="00743349"/>
    <w:rsid w:val="00743385"/>
    <w:rsid w:val="00744021"/>
    <w:rsid w:val="00745110"/>
    <w:rsid w:val="00745801"/>
    <w:rsid w:val="00745F72"/>
    <w:rsid w:val="00746462"/>
    <w:rsid w:val="007466D4"/>
    <w:rsid w:val="00746DFE"/>
    <w:rsid w:val="00746FB5"/>
    <w:rsid w:val="007476EE"/>
    <w:rsid w:val="00747F06"/>
    <w:rsid w:val="00750D8C"/>
    <w:rsid w:val="00751E58"/>
    <w:rsid w:val="00752548"/>
    <w:rsid w:val="00753FDC"/>
    <w:rsid w:val="007549BE"/>
    <w:rsid w:val="0075502E"/>
    <w:rsid w:val="00755933"/>
    <w:rsid w:val="00755D17"/>
    <w:rsid w:val="0075667E"/>
    <w:rsid w:val="0075694B"/>
    <w:rsid w:val="00760616"/>
    <w:rsid w:val="00760E04"/>
    <w:rsid w:val="0076161D"/>
    <w:rsid w:val="00762A9B"/>
    <w:rsid w:val="00763082"/>
    <w:rsid w:val="007637EB"/>
    <w:rsid w:val="00763C4A"/>
    <w:rsid w:val="00764075"/>
    <w:rsid w:val="007652F2"/>
    <w:rsid w:val="00766DB7"/>
    <w:rsid w:val="00770F65"/>
    <w:rsid w:val="007725EF"/>
    <w:rsid w:val="00772B7D"/>
    <w:rsid w:val="00773089"/>
    <w:rsid w:val="00775500"/>
    <w:rsid w:val="00775B09"/>
    <w:rsid w:val="00775DDD"/>
    <w:rsid w:val="00781121"/>
    <w:rsid w:val="00781D2F"/>
    <w:rsid w:val="00783533"/>
    <w:rsid w:val="00783731"/>
    <w:rsid w:val="007850B6"/>
    <w:rsid w:val="007852F7"/>
    <w:rsid w:val="007853D5"/>
    <w:rsid w:val="00787607"/>
    <w:rsid w:val="00787A35"/>
    <w:rsid w:val="00790EF9"/>
    <w:rsid w:val="00792D21"/>
    <w:rsid w:val="00792F64"/>
    <w:rsid w:val="007940B9"/>
    <w:rsid w:val="007941C3"/>
    <w:rsid w:val="0079425F"/>
    <w:rsid w:val="00794B67"/>
    <w:rsid w:val="00795159"/>
    <w:rsid w:val="00796BFA"/>
    <w:rsid w:val="00797AE5"/>
    <w:rsid w:val="007A12E8"/>
    <w:rsid w:val="007A1618"/>
    <w:rsid w:val="007A357A"/>
    <w:rsid w:val="007A375B"/>
    <w:rsid w:val="007A5C49"/>
    <w:rsid w:val="007A62D2"/>
    <w:rsid w:val="007A7AAF"/>
    <w:rsid w:val="007B16E8"/>
    <w:rsid w:val="007B1D90"/>
    <w:rsid w:val="007B214E"/>
    <w:rsid w:val="007B2249"/>
    <w:rsid w:val="007B2671"/>
    <w:rsid w:val="007B31DA"/>
    <w:rsid w:val="007B323C"/>
    <w:rsid w:val="007B35DF"/>
    <w:rsid w:val="007B38BA"/>
    <w:rsid w:val="007B3A7F"/>
    <w:rsid w:val="007B3CD4"/>
    <w:rsid w:val="007B46EF"/>
    <w:rsid w:val="007B69DA"/>
    <w:rsid w:val="007B74F4"/>
    <w:rsid w:val="007B7930"/>
    <w:rsid w:val="007C1D75"/>
    <w:rsid w:val="007C26AF"/>
    <w:rsid w:val="007C2F12"/>
    <w:rsid w:val="007C382B"/>
    <w:rsid w:val="007C4781"/>
    <w:rsid w:val="007C4E02"/>
    <w:rsid w:val="007C51EF"/>
    <w:rsid w:val="007C5740"/>
    <w:rsid w:val="007C67C3"/>
    <w:rsid w:val="007D04D5"/>
    <w:rsid w:val="007D240C"/>
    <w:rsid w:val="007D2844"/>
    <w:rsid w:val="007D4A1F"/>
    <w:rsid w:val="007D5A96"/>
    <w:rsid w:val="007D6272"/>
    <w:rsid w:val="007D6C6A"/>
    <w:rsid w:val="007D71B2"/>
    <w:rsid w:val="007D7D2D"/>
    <w:rsid w:val="007E0097"/>
    <w:rsid w:val="007E0EF3"/>
    <w:rsid w:val="007E1699"/>
    <w:rsid w:val="007E2ACC"/>
    <w:rsid w:val="007E2CE7"/>
    <w:rsid w:val="007E324E"/>
    <w:rsid w:val="007E3335"/>
    <w:rsid w:val="007E34F0"/>
    <w:rsid w:val="007E4F1E"/>
    <w:rsid w:val="007E60CB"/>
    <w:rsid w:val="007E66A3"/>
    <w:rsid w:val="007E7391"/>
    <w:rsid w:val="007E7F56"/>
    <w:rsid w:val="007F073E"/>
    <w:rsid w:val="007F0B73"/>
    <w:rsid w:val="007F13EF"/>
    <w:rsid w:val="007F1AF7"/>
    <w:rsid w:val="007F22D3"/>
    <w:rsid w:val="007F3587"/>
    <w:rsid w:val="007F3C02"/>
    <w:rsid w:val="007F3F2B"/>
    <w:rsid w:val="007F52E6"/>
    <w:rsid w:val="007F55AC"/>
    <w:rsid w:val="007F5B23"/>
    <w:rsid w:val="007F6024"/>
    <w:rsid w:val="007F6297"/>
    <w:rsid w:val="007F63DA"/>
    <w:rsid w:val="007F72E3"/>
    <w:rsid w:val="00800308"/>
    <w:rsid w:val="00800F87"/>
    <w:rsid w:val="00802421"/>
    <w:rsid w:val="008024FC"/>
    <w:rsid w:val="00802F1F"/>
    <w:rsid w:val="00803621"/>
    <w:rsid w:val="008039D1"/>
    <w:rsid w:val="00804350"/>
    <w:rsid w:val="00804CC3"/>
    <w:rsid w:val="0081100F"/>
    <w:rsid w:val="00811EF0"/>
    <w:rsid w:val="0081270B"/>
    <w:rsid w:val="00812B75"/>
    <w:rsid w:val="0081330B"/>
    <w:rsid w:val="008138A0"/>
    <w:rsid w:val="00813E3B"/>
    <w:rsid w:val="00813EC8"/>
    <w:rsid w:val="00815662"/>
    <w:rsid w:val="00815ACF"/>
    <w:rsid w:val="0081618F"/>
    <w:rsid w:val="0081675B"/>
    <w:rsid w:val="00816B57"/>
    <w:rsid w:val="00816CCE"/>
    <w:rsid w:val="00816D63"/>
    <w:rsid w:val="0081766C"/>
    <w:rsid w:val="0082083F"/>
    <w:rsid w:val="00821933"/>
    <w:rsid w:val="00821C84"/>
    <w:rsid w:val="00822760"/>
    <w:rsid w:val="00822D43"/>
    <w:rsid w:val="00823D56"/>
    <w:rsid w:val="00825874"/>
    <w:rsid w:val="00826073"/>
    <w:rsid w:val="00826BF8"/>
    <w:rsid w:val="00827E50"/>
    <w:rsid w:val="00827F47"/>
    <w:rsid w:val="00831C21"/>
    <w:rsid w:val="008328FA"/>
    <w:rsid w:val="00832C7A"/>
    <w:rsid w:val="008334E8"/>
    <w:rsid w:val="00833580"/>
    <w:rsid w:val="008335D4"/>
    <w:rsid w:val="00833EB4"/>
    <w:rsid w:val="0083487C"/>
    <w:rsid w:val="008349B7"/>
    <w:rsid w:val="00834E9B"/>
    <w:rsid w:val="00834FF1"/>
    <w:rsid w:val="008361FD"/>
    <w:rsid w:val="008362A7"/>
    <w:rsid w:val="0083656F"/>
    <w:rsid w:val="008367C3"/>
    <w:rsid w:val="00840008"/>
    <w:rsid w:val="008405BA"/>
    <w:rsid w:val="0084064F"/>
    <w:rsid w:val="00840B36"/>
    <w:rsid w:val="00840DB6"/>
    <w:rsid w:val="00842205"/>
    <w:rsid w:val="008426B6"/>
    <w:rsid w:val="00842D4F"/>
    <w:rsid w:val="0084307B"/>
    <w:rsid w:val="00843579"/>
    <w:rsid w:val="00843C32"/>
    <w:rsid w:val="00844581"/>
    <w:rsid w:val="008446E5"/>
    <w:rsid w:val="00844905"/>
    <w:rsid w:val="0084494D"/>
    <w:rsid w:val="00844F92"/>
    <w:rsid w:val="00845ACD"/>
    <w:rsid w:val="00846C38"/>
    <w:rsid w:val="0084709D"/>
    <w:rsid w:val="008474F4"/>
    <w:rsid w:val="00847F7B"/>
    <w:rsid w:val="008521A3"/>
    <w:rsid w:val="008522F7"/>
    <w:rsid w:val="0085243A"/>
    <w:rsid w:val="00855EB1"/>
    <w:rsid w:val="00857BCF"/>
    <w:rsid w:val="00860E13"/>
    <w:rsid w:val="008615D5"/>
    <w:rsid w:val="008632EF"/>
    <w:rsid w:val="00863507"/>
    <w:rsid w:val="0086396B"/>
    <w:rsid w:val="00865366"/>
    <w:rsid w:val="00866D9D"/>
    <w:rsid w:val="00867494"/>
    <w:rsid w:val="00867F01"/>
    <w:rsid w:val="008701F8"/>
    <w:rsid w:val="008704FF"/>
    <w:rsid w:val="00870663"/>
    <w:rsid w:val="00870CF2"/>
    <w:rsid w:val="00871672"/>
    <w:rsid w:val="00871767"/>
    <w:rsid w:val="0087178D"/>
    <w:rsid w:val="00871F74"/>
    <w:rsid w:val="00872936"/>
    <w:rsid w:val="00872C5E"/>
    <w:rsid w:val="00872E6F"/>
    <w:rsid w:val="008769F7"/>
    <w:rsid w:val="00876F62"/>
    <w:rsid w:val="008773A5"/>
    <w:rsid w:val="00877B21"/>
    <w:rsid w:val="00877B9B"/>
    <w:rsid w:val="00877EAD"/>
    <w:rsid w:val="008813F6"/>
    <w:rsid w:val="0088336D"/>
    <w:rsid w:val="00883791"/>
    <w:rsid w:val="00884A32"/>
    <w:rsid w:val="00884A92"/>
    <w:rsid w:val="00885049"/>
    <w:rsid w:val="008854B9"/>
    <w:rsid w:val="00886E72"/>
    <w:rsid w:val="00890DB3"/>
    <w:rsid w:val="00890DE1"/>
    <w:rsid w:val="00892242"/>
    <w:rsid w:val="008930F2"/>
    <w:rsid w:val="0089334C"/>
    <w:rsid w:val="00893795"/>
    <w:rsid w:val="00894082"/>
    <w:rsid w:val="008945FA"/>
    <w:rsid w:val="0089667C"/>
    <w:rsid w:val="00897B49"/>
    <w:rsid w:val="008A06B4"/>
    <w:rsid w:val="008A0C97"/>
    <w:rsid w:val="008A0E64"/>
    <w:rsid w:val="008A0F71"/>
    <w:rsid w:val="008A2FBC"/>
    <w:rsid w:val="008A397A"/>
    <w:rsid w:val="008A5088"/>
    <w:rsid w:val="008A5CE5"/>
    <w:rsid w:val="008A5E9F"/>
    <w:rsid w:val="008A7763"/>
    <w:rsid w:val="008A7A30"/>
    <w:rsid w:val="008B0B13"/>
    <w:rsid w:val="008B0BE5"/>
    <w:rsid w:val="008B0D47"/>
    <w:rsid w:val="008B3497"/>
    <w:rsid w:val="008B58B0"/>
    <w:rsid w:val="008B64CD"/>
    <w:rsid w:val="008B6675"/>
    <w:rsid w:val="008B7F2F"/>
    <w:rsid w:val="008C160F"/>
    <w:rsid w:val="008C1FF2"/>
    <w:rsid w:val="008C4297"/>
    <w:rsid w:val="008C4975"/>
    <w:rsid w:val="008C5C63"/>
    <w:rsid w:val="008C5EC0"/>
    <w:rsid w:val="008C6EB8"/>
    <w:rsid w:val="008D3131"/>
    <w:rsid w:val="008D35EB"/>
    <w:rsid w:val="008D4002"/>
    <w:rsid w:val="008D4435"/>
    <w:rsid w:val="008D61BC"/>
    <w:rsid w:val="008D64D7"/>
    <w:rsid w:val="008D677A"/>
    <w:rsid w:val="008D6913"/>
    <w:rsid w:val="008D6A81"/>
    <w:rsid w:val="008D6D09"/>
    <w:rsid w:val="008E037D"/>
    <w:rsid w:val="008E0AC7"/>
    <w:rsid w:val="008E0FD0"/>
    <w:rsid w:val="008E2CA0"/>
    <w:rsid w:val="008E532F"/>
    <w:rsid w:val="008E5CAE"/>
    <w:rsid w:val="008E6165"/>
    <w:rsid w:val="008E6761"/>
    <w:rsid w:val="008E6F0F"/>
    <w:rsid w:val="008E7EFD"/>
    <w:rsid w:val="008E7FE0"/>
    <w:rsid w:val="008F08A9"/>
    <w:rsid w:val="008F0C5F"/>
    <w:rsid w:val="008F24FF"/>
    <w:rsid w:val="008F274D"/>
    <w:rsid w:val="008F2B49"/>
    <w:rsid w:val="008F2C1E"/>
    <w:rsid w:val="008F3BEA"/>
    <w:rsid w:val="008F49CE"/>
    <w:rsid w:val="008F5439"/>
    <w:rsid w:val="008F5769"/>
    <w:rsid w:val="008F5EE6"/>
    <w:rsid w:val="008F64F2"/>
    <w:rsid w:val="00900BFC"/>
    <w:rsid w:val="009021D7"/>
    <w:rsid w:val="00902601"/>
    <w:rsid w:val="009029C7"/>
    <w:rsid w:val="00903060"/>
    <w:rsid w:val="00903199"/>
    <w:rsid w:val="00903408"/>
    <w:rsid w:val="00904CCF"/>
    <w:rsid w:val="0090557F"/>
    <w:rsid w:val="00905CCE"/>
    <w:rsid w:val="0090682E"/>
    <w:rsid w:val="00907235"/>
    <w:rsid w:val="00907BA5"/>
    <w:rsid w:val="0091017C"/>
    <w:rsid w:val="00912B53"/>
    <w:rsid w:val="00912CB4"/>
    <w:rsid w:val="0091337D"/>
    <w:rsid w:val="009137B2"/>
    <w:rsid w:val="00913E5D"/>
    <w:rsid w:val="00913FFA"/>
    <w:rsid w:val="0091450C"/>
    <w:rsid w:val="0091569B"/>
    <w:rsid w:val="00917299"/>
    <w:rsid w:val="00917BDB"/>
    <w:rsid w:val="0092005B"/>
    <w:rsid w:val="009202E3"/>
    <w:rsid w:val="0092044D"/>
    <w:rsid w:val="00920453"/>
    <w:rsid w:val="00920D8B"/>
    <w:rsid w:val="00920DA8"/>
    <w:rsid w:val="0092166A"/>
    <w:rsid w:val="00922D15"/>
    <w:rsid w:val="00925247"/>
    <w:rsid w:val="00925CD5"/>
    <w:rsid w:val="00925ED6"/>
    <w:rsid w:val="00926E70"/>
    <w:rsid w:val="009275D0"/>
    <w:rsid w:val="00927B57"/>
    <w:rsid w:val="00927C22"/>
    <w:rsid w:val="00927E7B"/>
    <w:rsid w:val="00931BE4"/>
    <w:rsid w:val="00931D38"/>
    <w:rsid w:val="00932005"/>
    <w:rsid w:val="00932554"/>
    <w:rsid w:val="00932638"/>
    <w:rsid w:val="00933DB6"/>
    <w:rsid w:val="00934C32"/>
    <w:rsid w:val="009354D4"/>
    <w:rsid w:val="00935642"/>
    <w:rsid w:val="00936EF2"/>
    <w:rsid w:val="00940528"/>
    <w:rsid w:val="00940FB0"/>
    <w:rsid w:val="00942703"/>
    <w:rsid w:val="0094280A"/>
    <w:rsid w:val="009428DE"/>
    <w:rsid w:val="00943701"/>
    <w:rsid w:val="009437EC"/>
    <w:rsid w:val="00943F2E"/>
    <w:rsid w:val="00944657"/>
    <w:rsid w:val="00944DF0"/>
    <w:rsid w:val="0094552D"/>
    <w:rsid w:val="00945937"/>
    <w:rsid w:val="0095182F"/>
    <w:rsid w:val="00952B74"/>
    <w:rsid w:val="00953397"/>
    <w:rsid w:val="00953D49"/>
    <w:rsid w:val="00954F7E"/>
    <w:rsid w:val="0095509F"/>
    <w:rsid w:val="009567F1"/>
    <w:rsid w:val="00956DF5"/>
    <w:rsid w:val="00956E1E"/>
    <w:rsid w:val="00956F0E"/>
    <w:rsid w:val="009603D9"/>
    <w:rsid w:val="00960553"/>
    <w:rsid w:val="0096176D"/>
    <w:rsid w:val="00961788"/>
    <w:rsid w:val="009619BB"/>
    <w:rsid w:val="00962A07"/>
    <w:rsid w:val="00962BFA"/>
    <w:rsid w:val="00962CB5"/>
    <w:rsid w:val="00963585"/>
    <w:rsid w:val="00963864"/>
    <w:rsid w:val="009643C8"/>
    <w:rsid w:val="00966D4F"/>
    <w:rsid w:val="009670C2"/>
    <w:rsid w:val="0096718F"/>
    <w:rsid w:val="0097094E"/>
    <w:rsid w:val="00970FFB"/>
    <w:rsid w:val="00971C8A"/>
    <w:rsid w:val="00973321"/>
    <w:rsid w:val="00973950"/>
    <w:rsid w:val="00974C35"/>
    <w:rsid w:val="009752D6"/>
    <w:rsid w:val="00975B0C"/>
    <w:rsid w:val="009762CE"/>
    <w:rsid w:val="00976EFC"/>
    <w:rsid w:val="00977883"/>
    <w:rsid w:val="00977D1B"/>
    <w:rsid w:val="0098131D"/>
    <w:rsid w:val="009813B3"/>
    <w:rsid w:val="00981478"/>
    <w:rsid w:val="00982E5A"/>
    <w:rsid w:val="00982EA5"/>
    <w:rsid w:val="009833B6"/>
    <w:rsid w:val="00985CFE"/>
    <w:rsid w:val="00985E8B"/>
    <w:rsid w:val="009862B0"/>
    <w:rsid w:val="00987584"/>
    <w:rsid w:val="0099002A"/>
    <w:rsid w:val="00991A31"/>
    <w:rsid w:val="0099269E"/>
    <w:rsid w:val="00992AFC"/>
    <w:rsid w:val="00993707"/>
    <w:rsid w:val="00993FF2"/>
    <w:rsid w:val="00995472"/>
    <w:rsid w:val="00995AA1"/>
    <w:rsid w:val="00997928"/>
    <w:rsid w:val="009A011D"/>
    <w:rsid w:val="009A0304"/>
    <w:rsid w:val="009A12AA"/>
    <w:rsid w:val="009A2555"/>
    <w:rsid w:val="009A25E2"/>
    <w:rsid w:val="009A2F42"/>
    <w:rsid w:val="009A3201"/>
    <w:rsid w:val="009A35AF"/>
    <w:rsid w:val="009A37E2"/>
    <w:rsid w:val="009A3860"/>
    <w:rsid w:val="009A3BB4"/>
    <w:rsid w:val="009A3EDF"/>
    <w:rsid w:val="009A423E"/>
    <w:rsid w:val="009A4569"/>
    <w:rsid w:val="009A53BA"/>
    <w:rsid w:val="009A562A"/>
    <w:rsid w:val="009A5CF1"/>
    <w:rsid w:val="009A74B9"/>
    <w:rsid w:val="009A7504"/>
    <w:rsid w:val="009A7DC7"/>
    <w:rsid w:val="009B165E"/>
    <w:rsid w:val="009B18D3"/>
    <w:rsid w:val="009B2224"/>
    <w:rsid w:val="009B292B"/>
    <w:rsid w:val="009B302B"/>
    <w:rsid w:val="009B3A7E"/>
    <w:rsid w:val="009B410F"/>
    <w:rsid w:val="009B46B9"/>
    <w:rsid w:val="009B57D5"/>
    <w:rsid w:val="009B5DBE"/>
    <w:rsid w:val="009B61B6"/>
    <w:rsid w:val="009B6578"/>
    <w:rsid w:val="009B7F03"/>
    <w:rsid w:val="009B7F1E"/>
    <w:rsid w:val="009C15D2"/>
    <w:rsid w:val="009C1979"/>
    <w:rsid w:val="009C22A0"/>
    <w:rsid w:val="009C29A1"/>
    <w:rsid w:val="009C307A"/>
    <w:rsid w:val="009C3834"/>
    <w:rsid w:val="009C3871"/>
    <w:rsid w:val="009C458E"/>
    <w:rsid w:val="009C565F"/>
    <w:rsid w:val="009C589D"/>
    <w:rsid w:val="009C6C30"/>
    <w:rsid w:val="009C6EC1"/>
    <w:rsid w:val="009C793D"/>
    <w:rsid w:val="009C7B17"/>
    <w:rsid w:val="009C7ED1"/>
    <w:rsid w:val="009D0430"/>
    <w:rsid w:val="009D0EED"/>
    <w:rsid w:val="009D0F55"/>
    <w:rsid w:val="009D161E"/>
    <w:rsid w:val="009D1DD5"/>
    <w:rsid w:val="009D1FD7"/>
    <w:rsid w:val="009D232B"/>
    <w:rsid w:val="009D2415"/>
    <w:rsid w:val="009D2621"/>
    <w:rsid w:val="009D31CD"/>
    <w:rsid w:val="009D3743"/>
    <w:rsid w:val="009D4EE3"/>
    <w:rsid w:val="009D54BC"/>
    <w:rsid w:val="009D568A"/>
    <w:rsid w:val="009D715B"/>
    <w:rsid w:val="009D7E58"/>
    <w:rsid w:val="009E0D11"/>
    <w:rsid w:val="009E1442"/>
    <w:rsid w:val="009E1706"/>
    <w:rsid w:val="009E1739"/>
    <w:rsid w:val="009E2719"/>
    <w:rsid w:val="009E2B21"/>
    <w:rsid w:val="009E3A38"/>
    <w:rsid w:val="009E4500"/>
    <w:rsid w:val="009E591A"/>
    <w:rsid w:val="009E5A4B"/>
    <w:rsid w:val="009E5B72"/>
    <w:rsid w:val="009E5B7B"/>
    <w:rsid w:val="009E63E9"/>
    <w:rsid w:val="009E6F0B"/>
    <w:rsid w:val="009F278A"/>
    <w:rsid w:val="009F4265"/>
    <w:rsid w:val="009F460E"/>
    <w:rsid w:val="009F5E53"/>
    <w:rsid w:val="009F5ED5"/>
    <w:rsid w:val="009F62BA"/>
    <w:rsid w:val="009F671C"/>
    <w:rsid w:val="009F6AA6"/>
    <w:rsid w:val="009F7108"/>
    <w:rsid w:val="009F74F0"/>
    <w:rsid w:val="00A00DBD"/>
    <w:rsid w:val="00A02BB4"/>
    <w:rsid w:val="00A0371D"/>
    <w:rsid w:val="00A03C75"/>
    <w:rsid w:val="00A03FBB"/>
    <w:rsid w:val="00A05499"/>
    <w:rsid w:val="00A12084"/>
    <w:rsid w:val="00A122D5"/>
    <w:rsid w:val="00A12D28"/>
    <w:rsid w:val="00A12DD1"/>
    <w:rsid w:val="00A155B4"/>
    <w:rsid w:val="00A15670"/>
    <w:rsid w:val="00A17212"/>
    <w:rsid w:val="00A173B9"/>
    <w:rsid w:val="00A206BE"/>
    <w:rsid w:val="00A21272"/>
    <w:rsid w:val="00A212D5"/>
    <w:rsid w:val="00A213E6"/>
    <w:rsid w:val="00A21C2D"/>
    <w:rsid w:val="00A22681"/>
    <w:rsid w:val="00A23D79"/>
    <w:rsid w:val="00A24A4C"/>
    <w:rsid w:val="00A24B43"/>
    <w:rsid w:val="00A25073"/>
    <w:rsid w:val="00A2552E"/>
    <w:rsid w:val="00A2588F"/>
    <w:rsid w:val="00A259F4"/>
    <w:rsid w:val="00A2685E"/>
    <w:rsid w:val="00A304F2"/>
    <w:rsid w:val="00A30CFD"/>
    <w:rsid w:val="00A31355"/>
    <w:rsid w:val="00A31999"/>
    <w:rsid w:val="00A32429"/>
    <w:rsid w:val="00A329CA"/>
    <w:rsid w:val="00A32AE4"/>
    <w:rsid w:val="00A32C1C"/>
    <w:rsid w:val="00A3305E"/>
    <w:rsid w:val="00A34F54"/>
    <w:rsid w:val="00A358C8"/>
    <w:rsid w:val="00A3607F"/>
    <w:rsid w:val="00A36B12"/>
    <w:rsid w:val="00A36B84"/>
    <w:rsid w:val="00A40127"/>
    <w:rsid w:val="00A40A39"/>
    <w:rsid w:val="00A41730"/>
    <w:rsid w:val="00A438E7"/>
    <w:rsid w:val="00A43C30"/>
    <w:rsid w:val="00A4436F"/>
    <w:rsid w:val="00A46B75"/>
    <w:rsid w:val="00A509C9"/>
    <w:rsid w:val="00A532EC"/>
    <w:rsid w:val="00A53601"/>
    <w:rsid w:val="00A53BE4"/>
    <w:rsid w:val="00A5590C"/>
    <w:rsid w:val="00A56386"/>
    <w:rsid w:val="00A57A1F"/>
    <w:rsid w:val="00A6001D"/>
    <w:rsid w:val="00A60900"/>
    <w:rsid w:val="00A60F4C"/>
    <w:rsid w:val="00A628B2"/>
    <w:rsid w:val="00A63346"/>
    <w:rsid w:val="00A640D4"/>
    <w:rsid w:val="00A6434D"/>
    <w:rsid w:val="00A64DA4"/>
    <w:rsid w:val="00A6509D"/>
    <w:rsid w:val="00A65154"/>
    <w:rsid w:val="00A66252"/>
    <w:rsid w:val="00A6682E"/>
    <w:rsid w:val="00A66F17"/>
    <w:rsid w:val="00A67DAE"/>
    <w:rsid w:val="00A70D8E"/>
    <w:rsid w:val="00A714D1"/>
    <w:rsid w:val="00A71531"/>
    <w:rsid w:val="00A7162B"/>
    <w:rsid w:val="00A71A4C"/>
    <w:rsid w:val="00A71E8E"/>
    <w:rsid w:val="00A71FBA"/>
    <w:rsid w:val="00A739E2"/>
    <w:rsid w:val="00A7463F"/>
    <w:rsid w:val="00A763AE"/>
    <w:rsid w:val="00A775C7"/>
    <w:rsid w:val="00A77823"/>
    <w:rsid w:val="00A778C6"/>
    <w:rsid w:val="00A801A5"/>
    <w:rsid w:val="00A803E7"/>
    <w:rsid w:val="00A816C5"/>
    <w:rsid w:val="00A82C17"/>
    <w:rsid w:val="00A83951"/>
    <w:rsid w:val="00A873BD"/>
    <w:rsid w:val="00A87A69"/>
    <w:rsid w:val="00A9016B"/>
    <w:rsid w:val="00A90FAF"/>
    <w:rsid w:val="00A92AF1"/>
    <w:rsid w:val="00A92B9C"/>
    <w:rsid w:val="00A9381C"/>
    <w:rsid w:val="00A94D96"/>
    <w:rsid w:val="00A95FB6"/>
    <w:rsid w:val="00A963E3"/>
    <w:rsid w:val="00A96758"/>
    <w:rsid w:val="00AA0F1D"/>
    <w:rsid w:val="00AA12D2"/>
    <w:rsid w:val="00AA20B4"/>
    <w:rsid w:val="00AA4DA0"/>
    <w:rsid w:val="00AA5264"/>
    <w:rsid w:val="00AA549B"/>
    <w:rsid w:val="00AA5BE8"/>
    <w:rsid w:val="00AA64A9"/>
    <w:rsid w:val="00AA7331"/>
    <w:rsid w:val="00AA736D"/>
    <w:rsid w:val="00AB0040"/>
    <w:rsid w:val="00AB01A7"/>
    <w:rsid w:val="00AB0DFC"/>
    <w:rsid w:val="00AB10EF"/>
    <w:rsid w:val="00AB22FB"/>
    <w:rsid w:val="00AB2D4B"/>
    <w:rsid w:val="00AB39EC"/>
    <w:rsid w:val="00AB3AEA"/>
    <w:rsid w:val="00AB3CB5"/>
    <w:rsid w:val="00AB4DD6"/>
    <w:rsid w:val="00AB52C9"/>
    <w:rsid w:val="00AB6CE6"/>
    <w:rsid w:val="00AB70BD"/>
    <w:rsid w:val="00AB72E0"/>
    <w:rsid w:val="00AB7917"/>
    <w:rsid w:val="00AC097C"/>
    <w:rsid w:val="00AC1390"/>
    <w:rsid w:val="00AC27CB"/>
    <w:rsid w:val="00AC2DA3"/>
    <w:rsid w:val="00AC547F"/>
    <w:rsid w:val="00AC6DBF"/>
    <w:rsid w:val="00AD01E3"/>
    <w:rsid w:val="00AD1F5C"/>
    <w:rsid w:val="00AD25EC"/>
    <w:rsid w:val="00AD36BF"/>
    <w:rsid w:val="00AD4506"/>
    <w:rsid w:val="00AD4A15"/>
    <w:rsid w:val="00AD4E32"/>
    <w:rsid w:val="00AD4EEA"/>
    <w:rsid w:val="00AD52BF"/>
    <w:rsid w:val="00AD6762"/>
    <w:rsid w:val="00AD747A"/>
    <w:rsid w:val="00AD7696"/>
    <w:rsid w:val="00AE0410"/>
    <w:rsid w:val="00AE10D6"/>
    <w:rsid w:val="00AE116F"/>
    <w:rsid w:val="00AE1F78"/>
    <w:rsid w:val="00AE29FC"/>
    <w:rsid w:val="00AE3CE5"/>
    <w:rsid w:val="00AE3F68"/>
    <w:rsid w:val="00AE63AA"/>
    <w:rsid w:val="00AE746B"/>
    <w:rsid w:val="00AE777D"/>
    <w:rsid w:val="00AE7B27"/>
    <w:rsid w:val="00AE7D6E"/>
    <w:rsid w:val="00AF0504"/>
    <w:rsid w:val="00AF1658"/>
    <w:rsid w:val="00AF19CB"/>
    <w:rsid w:val="00AF1C20"/>
    <w:rsid w:val="00AF2402"/>
    <w:rsid w:val="00AF3FDB"/>
    <w:rsid w:val="00AF47FA"/>
    <w:rsid w:val="00AF582D"/>
    <w:rsid w:val="00AF606C"/>
    <w:rsid w:val="00AF7007"/>
    <w:rsid w:val="00AF7593"/>
    <w:rsid w:val="00AF7D99"/>
    <w:rsid w:val="00B016BE"/>
    <w:rsid w:val="00B019B8"/>
    <w:rsid w:val="00B01C85"/>
    <w:rsid w:val="00B02358"/>
    <w:rsid w:val="00B0292A"/>
    <w:rsid w:val="00B02EF2"/>
    <w:rsid w:val="00B02F7C"/>
    <w:rsid w:val="00B03349"/>
    <w:rsid w:val="00B03BC6"/>
    <w:rsid w:val="00B04036"/>
    <w:rsid w:val="00B04AD0"/>
    <w:rsid w:val="00B06A72"/>
    <w:rsid w:val="00B104E0"/>
    <w:rsid w:val="00B10A97"/>
    <w:rsid w:val="00B10DC5"/>
    <w:rsid w:val="00B122E2"/>
    <w:rsid w:val="00B12774"/>
    <w:rsid w:val="00B133CD"/>
    <w:rsid w:val="00B136BD"/>
    <w:rsid w:val="00B13F97"/>
    <w:rsid w:val="00B1440F"/>
    <w:rsid w:val="00B14BBA"/>
    <w:rsid w:val="00B156B0"/>
    <w:rsid w:val="00B16327"/>
    <w:rsid w:val="00B16719"/>
    <w:rsid w:val="00B17897"/>
    <w:rsid w:val="00B20289"/>
    <w:rsid w:val="00B20324"/>
    <w:rsid w:val="00B20D50"/>
    <w:rsid w:val="00B20DEA"/>
    <w:rsid w:val="00B218D2"/>
    <w:rsid w:val="00B21921"/>
    <w:rsid w:val="00B219F4"/>
    <w:rsid w:val="00B21B42"/>
    <w:rsid w:val="00B21B89"/>
    <w:rsid w:val="00B225BD"/>
    <w:rsid w:val="00B22FD3"/>
    <w:rsid w:val="00B2416D"/>
    <w:rsid w:val="00B26A1D"/>
    <w:rsid w:val="00B31071"/>
    <w:rsid w:val="00B313D8"/>
    <w:rsid w:val="00B34808"/>
    <w:rsid w:val="00B35E3A"/>
    <w:rsid w:val="00B37807"/>
    <w:rsid w:val="00B41B25"/>
    <w:rsid w:val="00B41C1E"/>
    <w:rsid w:val="00B42DDB"/>
    <w:rsid w:val="00B42DF9"/>
    <w:rsid w:val="00B430FF"/>
    <w:rsid w:val="00B43B31"/>
    <w:rsid w:val="00B44E7D"/>
    <w:rsid w:val="00B450D5"/>
    <w:rsid w:val="00B45914"/>
    <w:rsid w:val="00B4592F"/>
    <w:rsid w:val="00B47FF4"/>
    <w:rsid w:val="00B50A05"/>
    <w:rsid w:val="00B5391A"/>
    <w:rsid w:val="00B53E5E"/>
    <w:rsid w:val="00B54305"/>
    <w:rsid w:val="00B55104"/>
    <w:rsid w:val="00B554C9"/>
    <w:rsid w:val="00B55900"/>
    <w:rsid w:val="00B5599B"/>
    <w:rsid w:val="00B55B67"/>
    <w:rsid w:val="00B5678A"/>
    <w:rsid w:val="00B57098"/>
    <w:rsid w:val="00B57140"/>
    <w:rsid w:val="00B57192"/>
    <w:rsid w:val="00B6051D"/>
    <w:rsid w:val="00B60F68"/>
    <w:rsid w:val="00B611AF"/>
    <w:rsid w:val="00B614B3"/>
    <w:rsid w:val="00B61CE8"/>
    <w:rsid w:val="00B62315"/>
    <w:rsid w:val="00B63376"/>
    <w:rsid w:val="00B63A2E"/>
    <w:rsid w:val="00B63D6A"/>
    <w:rsid w:val="00B64082"/>
    <w:rsid w:val="00B6481C"/>
    <w:rsid w:val="00B64F90"/>
    <w:rsid w:val="00B65BA6"/>
    <w:rsid w:val="00B6780E"/>
    <w:rsid w:val="00B707CB"/>
    <w:rsid w:val="00B714F8"/>
    <w:rsid w:val="00B7273E"/>
    <w:rsid w:val="00B72A86"/>
    <w:rsid w:val="00B72AB8"/>
    <w:rsid w:val="00B72F88"/>
    <w:rsid w:val="00B7326C"/>
    <w:rsid w:val="00B7336D"/>
    <w:rsid w:val="00B73926"/>
    <w:rsid w:val="00B73B47"/>
    <w:rsid w:val="00B75AA1"/>
    <w:rsid w:val="00B75B3B"/>
    <w:rsid w:val="00B76A5A"/>
    <w:rsid w:val="00B80C6E"/>
    <w:rsid w:val="00B81006"/>
    <w:rsid w:val="00B81E69"/>
    <w:rsid w:val="00B82866"/>
    <w:rsid w:val="00B83E3A"/>
    <w:rsid w:val="00B8428D"/>
    <w:rsid w:val="00B85153"/>
    <w:rsid w:val="00B86709"/>
    <w:rsid w:val="00B86AF7"/>
    <w:rsid w:val="00B86E04"/>
    <w:rsid w:val="00B91B86"/>
    <w:rsid w:val="00B92A91"/>
    <w:rsid w:val="00B94184"/>
    <w:rsid w:val="00B9425E"/>
    <w:rsid w:val="00B94D3C"/>
    <w:rsid w:val="00B95A98"/>
    <w:rsid w:val="00B9634C"/>
    <w:rsid w:val="00B970EC"/>
    <w:rsid w:val="00B971AD"/>
    <w:rsid w:val="00B976ED"/>
    <w:rsid w:val="00BA0010"/>
    <w:rsid w:val="00BA0E93"/>
    <w:rsid w:val="00BA1AAA"/>
    <w:rsid w:val="00BA1F5F"/>
    <w:rsid w:val="00BA2FF6"/>
    <w:rsid w:val="00BA3A9A"/>
    <w:rsid w:val="00BA44DC"/>
    <w:rsid w:val="00BA4B7F"/>
    <w:rsid w:val="00BA507E"/>
    <w:rsid w:val="00BA55F6"/>
    <w:rsid w:val="00BA63DA"/>
    <w:rsid w:val="00BA66DB"/>
    <w:rsid w:val="00BA6B4B"/>
    <w:rsid w:val="00BA6E9E"/>
    <w:rsid w:val="00BA763A"/>
    <w:rsid w:val="00BA7D65"/>
    <w:rsid w:val="00BB3185"/>
    <w:rsid w:val="00BB3BD0"/>
    <w:rsid w:val="00BB491F"/>
    <w:rsid w:val="00BB5C48"/>
    <w:rsid w:val="00BB691A"/>
    <w:rsid w:val="00BB79C7"/>
    <w:rsid w:val="00BB7F32"/>
    <w:rsid w:val="00BC1812"/>
    <w:rsid w:val="00BC354D"/>
    <w:rsid w:val="00BC44BC"/>
    <w:rsid w:val="00BC5DF8"/>
    <w:rsid w:val="00BC6E23"/>
    <w:rsid w:val="00BC7ACA"/>
    <w:rsid w:val="00BD24F9"/>
    <w:rsid w:val="00BD504F"/>
    <w:rsid w:val="00BD5365"/>
    <w:rsid w:val="00BD53EB"/>
    <w:rsid w:val="00BD55D0"/>
    <w:rsid w:val="00BD57EA"/>
    <w:rsid w:val="00BD6811"/>
    <w:rsid w:val="00BD6CBD"/>
    <w:rsid w:val="00BD6E23"/>
    <w:rsid w:val="00BD7130"/>
    <w:rsid w:val="00BE0C0E"/>
    <w:rsid w:val="00BE0D5E"/>
    <w:rsid w:val="00BE118F"/>
    <w:rsid w:val="00BE1378"/>
    <w:rsid w:val="00BE2160"/>
    <w:rsid w:val="00BE22FF"/>
    <w:rsid w:val="00BE2F5A"/>
    <w:rsid w:val="00BE33E6"/>
    <w:rsid w:val="00BE35EE"/>
    <w:rsid w:val="00BE3CA8"/>
    <w:rsid w:val="00BE4100"/>
    <w:rsid w:val="00BE46AD"/>
    <w:rsid w:val="00BE4C65"/>
    <w:rsid w:val="00BE6DBE"/>
    <w:rsid w:val="00BE6ECF"/>
    <w:rsid w:val="00BE722F"/>
    <w:rsid w:val="00BF072E"/>
    <w:rsid w:val="00BF0B6E"/>
    <w:rsid w:val="00BF2A8B"/>
    <w:rsid w:val="00BF2F73"/>
    <w:rsid w:val="00BF3CEF"/>
    <w:rsid w:val="00BF40F8"/>
    <w:rsid w:val="00BF425B"/>
    <w:rsid w:val="00BF47A0"/>
    <w:rsid w:val="00BF48FF"/>
    <w:rsid w:val="00BF7BFB"/>
    <w:rsid w:val="00BF7CA6"/>
    <w:rsid w:val="00BF7FAB"/>
    <w:rsid w:val="00C00092"/>
    <w:rsid w:val="00C000D4"/>
    <w:rsid w:val="00C01642"/>
    <w:rsid w:val="00C01CD6"/>
    <w:rsid w:val="00C01D4F"/>
    <w:rsid w:val="00C0279A"/>
    <w:rsid w:val="00C02A78"/>
    <w:rsid w:val="00C0431B"/>
    <w:rsid w:val="00C04749"/>
    <w:rsid w:val="00C04B49"/>
    <w:rsid w:val="00C04FC5"/>
    <w:rsid w:val="00C068AF"/>
    <w:rsid w:val="00C068B4"/>
    <w:rsid w:val="00C07A60"/>
    <w:rsid w:val="00C1040B"/>
    <w:rsid w:val="00C10477"/>
    <w:rsid w:val="00C10AA6"/>
    <w:rsid w:val="00C11BEB"/>
    <w:rsid w:val="00C12136"/>
    <w:rsid w:val="00C1377D"/>
    <w:rsid w:val="00C13D94"/>
    <w:rsid w:val="00C14130"/>
    <w:rsid w:val="00C151AF"/>
    <w:rsid w:val="00C2103A"/>
    <w:rsid w:val="00C2110A"/>
    <w:rsid w:val="00C21D49"/>
    <w:rsid w:val="00C24B3C"/>
    <w:rsid w:val="00C25781"/>
    <w:rsid w:val="00C263CD"/>
    <w:rsid w:val="00C26C0B"/>
    <w:rsid w:val="00C33FA2"/>
    <w:rsid w:val="00C345CF"/>
    <w:rsid w:val="00C36BE4"/>
    <w:rsid w:val="00C40979"/>
    <w:rsid w:val="00C41F89"/>
    <w:rsid w:val="00C420BD"/>
    <w:rsid w:val="00C4244E"/>
    <w:rsid w:val="00C42E57"/>
    <w:rsid w:val="00C43177"/>
    <w:rsid w:val="00C44449"/>
    <w:rsid w:val="00C469D4"/>
    <w:rsid w:val="00C50188"/>
    <w:rsid w:val="00C50F56"/>
    <w:rsid w:val="00C51073"/>
    <w:rsid w:val="00C51CA5"/>
    <w:rsid w:val="00C521D6"/>
    <w:rsid w:val="00C52E4D"/>
    <w:rsid w:val="00C5416D"/>
    <w:rsid w:val="00C544B1"/>
    <w:rsid w:val="00C54739"/>
    <w:rsid w:val="00C56723"/>
    <w:rsid w:val="00C56805"/>
    <w:rsid w:val="00C56A7D"/>
    <w:rsid w:val="00C57C87"/>
    <w:rsid w:val="00C60756"/>
    <w:rsid w:val="00C61FFF"/>
    <w:rsid w:val="00C62162"/>
    <w:rsid w:val="00C63454"/>
    <w:rsid w:val="00C63B69"/>
    <w:rsid w:val="00C63BF7"/>
    <w:rsid w:val="00C63EC0"/>
    <w:rsid w:val="00C655B7"/>
    <w:rsid w:val="00C66E25"/>
    <w:rsid w:val="00C709D6"/>
    <w:rsid w:val="00C72267"/>
    <w:rsid w:val="00C7253A"/>
    <w:rsid w:val="00C72745"/>
    <w:rsid w:val="00C749AD"/>
    <w:rsid w:val="00C74CFD"/>
    <w:rsid w:val="00C77C9B"/>
    <w:rsid w:val="00C8265D"/>
    <w:rsid w:val="00C8460A"/>
    <w:rsid w:val="00C86060"/>
    <w:rsid w:val="00C86EBF"/>
    <w:rsid w:val="00C91108"/>
    <w:rsid w:val="00C924DA"/>
    <w:rsid w:val="00C93E85"/>
    <w:rsid w:val="00C93EA7"/>
    <w:rsid w:val="00C94677"/>
    <w:rsid w:val="00C9621B"/>
    <w:rsid w:val="00C96D73"/>
    <w:rsid w:val="00C9791C"/>
    <w:rsid w:val="00CA00F4"/>
    <w:rsid w:val="00CA046A"/>
    <w:rsid w:val="00CA0AB3"/>
    <w:rsid w:val="00CA0B32"/>
    <w:rsid w:val="00CA0BC7"/>
    <w:rsid w:val="00CA1745"/>
    <w:rsid w:val="00CA1C53"/>
    <w:rsid w:val="00CA25AC"/>
    <w:rsid w:val="00CA423C"/>
    <w:rsid w:val="00CA5046"/>
    <w:rsid w:val="00CA562A"/>
    <w:rsid w:val="00CA64BF"/>
    <w:rsid w:val="00CA666E"/>
    <w:rsid w:val="00CA6DCC"/>
    <w:rsid w:val="00CA7384"/>
    <w:rsid w:val="00CA7AE3"/>
    <w:rsid w:val="00CA7FC1"/>
    <w:rsid w:val="00CB1A8E"/>
    <w:rsid w:val="00CB3A03"/>
    <w:rsid w:val="00CB3C05"/>
    <w:rsid w:val="00CB6331"/>
    <w:rsid w:val="00CC0591"/>
    <w:rsid w:val="00CC0F7A"/>
    <w:rsid w:val="00CC1108"/>
    <w:rsid w:val="00CC3486"/>
    <w:rsid w:val="00CC43C5"/>
    <w:rsid w:val="00CC6FC2"/>
    <w:rsid w:val="00CD06D1"/>
    <w:rsid w:val="00CD07EA"/>
    <w:rsid w:val="00CD0AE3"/>
    <w:rsid w:val="00CD0FFB"/>
    <w:rsid w:val="00CD194A"/>
    <w:rsid w:val="00CD19C3"/>
    <w:rsid w:val="00CD1A46"/>
    <w:rsid w:val="00CD212C"/>
    <w:rsid w:val="00CD307E"/>
    <w:rsid w:val="00CD339F"/>
    <w:rsid w:val="00CD3E85"/>
    <w:rsid w:val="00CD439A"/>
    <w:rsid w:val="00CD4E78"/>
    <w:rsid w:val="00CD58EE"/>
    <w:rsid w:val="00CD67A6"/>
    <w:rsid w:val="00CD6910"/>
    <w:rsid w:val="00CD71D6"/>
    <w:rsid w:val="00CD751D"/>
    <w:rsid w:val="00CE0362"/>
    <w:rsid w:val="00CE205D"/>
    <w:rsid w:val="00CE3418"/>
    <w:rsid w:val="00CE39CE"/>
    <w:rsid w:val="00CE3A1B"/>
    <w:rsid w:val="00CE4427"/>
    <w:rsid w:val="00CE66B6"/>
    <w:rsid w:val="00CE67C0"/>
    <w:rsid w:val="00CE74F5"/>
    <w:rsid w:val="00CE754D"/>
    <w:rsid w:val="00CF0AED"/>
    <w:rsid w:val="00CF1D1E"/>
    <w:rsid w:val="00CF25B7"/>
    <w:rsid w:val="00CF2F12"/>
    <w:rsid w:val="00CF5941"/>
    <w:rsid w:val="00CF5A32"/>
    <w:rsid w:val="00CF5B44"/>
    <w:rsid w:val="00CF6618"/>
    <w:rsid w:val="00CF6F20"/>
    <w:rsid w:val="00CF7246"/>
    <w:rsid w:val="00CF747F"/>
    <w:rsid w:val="00D00285"/>
    <w:rsid w:val="00D00B3B"/>
    <w:rsid w:val="00D00EE0"/>
    <w:rsid w:val="00D01949"/>
    <w:rsid w:val="00D01CDD"/>
    <w:rsid w:val="00D023F4"/>
    <w:rsid w:val="00D05498"/>
    <w:rsid w:val="00D05BB6"/>
    <w:rsid w:val="00D05EE9"/>
    <w:rsid w:val="00D067C7"/>
    <w:rsid w:val="00D07961"/>
    <w:rsid w:val="00D10AA1"/>
    <w:rsid w:val="00D10D2F"/>
    <w:rsid w:val="00D112C0"/>
    <w:rsid w:val="00D138B0"/>
    <w:rsid w:val="00D14656"/>
    <w:rsid w:val="00D15272"/>
    <w:rsid w:val="00D159DF"/>
    <w:rsid w:val="00D160AB"/>
    <w:rsid w:val="00D1675F"/>
    <w:rsid w:val="00D170E8"/>
    <w:rsid w:val="00D171C8"/>
    <w:rsid w:val="00D172EE"/>
    <w:rsid w:val="00D17707"/>
    <w:rsid w:val="00D2024E"/>
    <w:rsid w:val="00D213E0"/>
    <w:rsid w:val="00D21A40"/>
    <w:rsid w:val="00D21BDA"/>
    <w:rsid w:val="00D21EA8"/>
    <w:rsid w:val="00D23745"/>
    <w:rsid w:val="00D25CD7"/>
    <w:rsid w:val="00D25D37"/>
    <w:rsid w:val="00D26307"/>
    <w:rsid w:val="00D26A08"/>
    <w:rsid w:val="00D30408"/>
    <w:rsid w:val="00D30827"/>
    <w:rsid w:val="00D31E27"/>
    <w:rsid w:val="00D32A1E"/>
    <w:rsid w:val="00D333CD"/>
    <w:rsid w:val="00D33D35"/>
    <w:rsid w:val="00D3537D"/>
    <w:rsid w:val="00D367B4"/>
    <w:rsid w:val="00D37245"/>
    <w:rsid w:val="00D40A82"/>
    <w:rsid w:val="00D4249E"/>
    <w:rsid w:val="00D42D55"/>
    <w:rsid w:val="00D42D57"/>
    <w:rsid w:val="00D42F2E"/>
    <w:rsid w:val="00D45D92"/>
    <w:rsid w:val="00D462C6"/>
    <w:rsid w:val="00D46D96"/>
    <w:rsid w:val="00D47780"/>
    <w:rsid w:val="00D47A0E"/>
    <w:rsid w:val="00D51218"/>
    <w:rsid w:val="00D52F70"/>
    <w:rsid w:val="00D5431B"/>
    <w:rsid w:val="00D5468A"/>
    <w:rsid w:val="00D60948"/>
    <w:rsid w:val="00D6099D"/>
    <w:rsid w:val="00D6143A"/>
    <w:rsid w:val="00D617ED"/>
    <w:rsid w:val="00D623FC"/>
    <w:rsid w:val="00D625D8"/>
    <w:rsid w:val="00D6294C"/>
    <w:rsid w:val="00D62DDB"/>
    <w:rsid w:val="00D63D4C"/>
    <w:rsid w:val="00D64E43"/>
    <w:rsid w:val="00D67BC5"/>
    <w:rsid w:val="00D724F9"/>
    <w:rsid w:val="00D72E92"/>
    <w:rsid w:val="00D7350C"/>
    <w:rsid w:val="00D73D14"/>
    <w:rsid w:val="00D743DD"/>
    <w:rsid w:val="00D7497A"/>
    <w:rsid w:val="00D75C9D"/>
    <w:rsid w:val="00D75ECD"/>
    <w:rsid w:val="00D7607E"/>
    <w:rsid w:val="00D76970"/>
    <w:rsid w:val="00D77359"/>
    <w:rsid w:val="00D776A8"/>
    <w:rsid w:val="00D77B9A"/>
    <w:rsid w:val="00D8175C"/>
    <w:rsid w:val="00D82593"/>
    <w:rsid w:val="00D83112"/>
    <w:rsid w:val="00D84090"/>
    <w:rsid w:val="00D84C97"/>
    <w:rsid w:val="00D8565B"/>
    <w:rsid w:val="00D86353"/>
    <w:rsid w:val="00D87A89"/>
    <w:rsid w:val="00D87C3E"/>
    <w:rsid w:val="00D90120"/>
    <w:rsid w:val="00D90990"/>
    <w:rsid w:val="00D90E6B"/>
    <w:rsid w:val="00D9351A"/>
    <w:rsid w:val="00D9377A"/>
    <w:rsid w:val="00D952C6"/>
    <w:rsid w:val="00D95948"/>
    <w:rsid w:val="00D95C75"/>
    <w:rsid w:val="00D967C7"/>
    <w:rsid w:val="00D96919"/>
    <w:rsid w:val="00D9723D"/>
    <w:rsid w:val="00D97CF2"/>
    <w:rsid w:val="00DA0535"/>
    <w:rsid w:val="00DA0A5B"/>
    <w:rsid w:val="00DA0C3F"/>
    <w:rsid w:val="00DA151C"/>
    <w:rsid w:val="00DA2182"/>
    <w:rsid w:val="00DA302C"/>
    <w:rsid w:val="00DA3C3E"/>
    <w:rsid w:val="00DA4A6B"/>
    <w:rsid w:val="00DA53FE"/>
    <w:rsid w:val="00DA5983"/>
    <w:rsid w:val="00DA5D11"/>
    <w:rsid w:val="00DA79F7"/>
    <w:rsid w:val="00DB002A"/>
    <w:rsid w:val="00DB0786"/>
    <w:rsid w:val="00DB0D92"/>
    <w:rsid w:val="00DB122A"/>
    <w:rsid w:val="00DB1C91"/>
    <w:rsid w:val="00DB2B34"/>
    <w:rsid w:val="00DB3286"/>
    <w:rsid w:val="00DB4E10"/>
    <w:rsid w:val="00DB526D"/>
    <w:rsid w:val="00DB60B4"/>
    <w:rsid w:val="00DB635D"/>
    <w:rsid w:val="00DB6799"/>
    <w:rsid w:val="00DB6902"/>
    <w:rsid w:val="00DB76D1"/>
    <w:rsid w:val="00DB7843"/>
    <w:rsid w:val="00DB7C4E"/>
    <w:rsid w:val="00DC120D"/>
    <w:rsid w:val="00DC1D90"/>
    <w:rsid w:val="00DC23D1"/>
    <w:rsid w:val="00DC2ED0"/>
    <w:rsid w:val="00DC389E"/>
    <w:rsid w:val="00DC4447"/>
    <w:rsid w:val="00DC5A85"/>
    <w:rsid w:val="00DC5D44"/>
    <w:rsid w:val="00DC7146"/>
    <w:rsid w:val="00DC79C7"/>
    <w:rsid w:val="00DD0169"/>
    <w:rsid w:val="00DD058E"/>
    <w:rsid w:val="00DD06F8"/>
    <w:rsid w:val="00DD087B"/>
    <w:rsid w:val="00DD0D17"/>
    <w:rsid w:val="00DD0F36"/>
    <w:rsid w:val="00DD303E"/>
    <w:rsid w:val="00DD40A5"/>
    <w:rsid w:val="00DD5178"/>
    <w:rsid w:val="00DD5AC4"/>
    <w:rsid w:val="00DD5AEE"/>
    <w:rsid w:val="00DD5FA5"/>
    <w:rsid w:val="00DE0267"/>
    <w:rsid w:val="00DE29BE"/>
    <w:rsid w:val="00DE339C"/>
    <w:rsid w:val="00DE4E12"/>
    <w:rsid w:val="00DE57E6"/>
    <w:rsid w:val="00DE5FD1"/>
    <w:rsid w:val="00DE7054"/>
    <w:rsid w:val="00DE74D5"/>
    <w:rsid w:val="00DE7990"/>
    <w:rsid w:val="00DF331D"/>
    <w:rsid w:val="00DF3E2E"/>
    <w:rsid w:val="00DF4ECE"/>
    <w:rsid w:val="00DF4F6C"/>
    <w:rsid w:val="00DF5785"/>
    <w:rsid w:val="00DF60E9"/>
    <w:rsid w:val="00DF6FB4"/>
    <w:rsid w:val="00E01A72"/>
    <w:rsid w:val="00E02673"/>
    <w:rsid w:val="00E02839"/>
    <w:rsid w:val="00E03814"/>
    <w:rsid w:val="00E03B3E"/>
    <w:rsid w:val="00E03D05"/>
    <w:rsid w:val="00E04352"/>
    <w:rsid w:val="00E0498D"/>
    <w:rsid w:val="00E05653"/>
    <w:rsid w:val="00E05C0F"/>
    <w:rsid w:val="00E0642A"/>
    <w:rsid w:val="00E10586"/>
    <w:rsid w:val="00E1185A"/>
    <w:rsid w:val="00E121FD"/>
    <w:rsid w:val="00E12794"/>
    <w:rsid w:val="00E13A18"/>
    <w:rsid w:val="00E13AC2"/>
    <w:rsid w:val="00E150C4"/>
    <w:rsid w:val="00E15BAA"/>
    <w:rsid w:val="00E1655D"/>
    <w:rsid w:val="00E165EA"/>
    <w:rsid w:val="00E16ECF"/>
    <w:rsid w:val="00E17037"/>
    <w:rsid w:val="00E2091A"/>
    <w:rsid w:val="00E24B4B"/>
    <w:rsid w:val="00E24CB4"/>
    <w:rsid w:val="00E25E18"/>
    <w:rsid w:val="00E2603F"/>
    <w:rsid w:val="00E2614B"/>
    <w:rsid w:val="00E27867"/>
    <w:rsid w:val="00E310E1"/>
    <w:rsid w:val="00E31692"/>
    <w:rsid w:val="00E31D5F"/>
    <w:rsid w:val="00E321BD"/>
    <w:rsid w:val="00E324BA"/>
    <w:rsid w:val="00E32552"/>
    <w:rsid w:val="00E3256D"/>
    <w:rsid w:val="00E338F7"/>
    <w:rsid w:val="00E339E5"/>
    <w:rsid w:val="00E34B6F"/>
    <w:rsid w:val="00E35D2B"/>
    <w:rsid w:val="00E41023"/>
    <w:rsid w:val="00E410AD"/>
    <w:rsid w:val="00E41694"/>
    <w:rsid w:val="00E419E3"/>
    <w:rsid w:val="00E421A3"/>
    <w:rsid w:val="00E42B41"/>
    <w:rsid w:val="00E434D3"/>
    <w:rsid w:val="00E44B99"/>
    <w:rsid w:val="00E462C1"/>
    <w:rsid w:val="00E46DA7"/>
    <w:rsid w:val="00E50602"/>
    <w:rsid w:val="00E50B29"/>
    <w:rsid w:val="00E51B40"/>
    <w:rsid w:val="00E521F9"/>
    <w:rsid w:val="00E5245A"/>
    <w:rsid w:val="00E53FD9"/>
    <w:rsid w:val="00E555CF"/>
    <w:rsid w:val="00E56939"/>
    <w:rsid w:val="00E604CA"/>
    <w:rsid w:val="00E61C18"/>
    <w:rsid w:val="00E63031"/>
    <w:rsid w:val="00E63959"/>
    <w:rsid w:val="00E6397B"/>
    <w:rsid w:val="00E65F55"/>
    <w:rsid w:val="00E6670B"/>
    <w:rsid w:val="00E7092A"/>
    <w:rsid w:val="00E727DC"/>
    <w:rsid w:val="00E73543"/>
    <w:rsid w:val="00E81154"/>
    <w:rsid w:val="00E81CD9"/>
    <w:rsid w:val="00E82E1D"/>
    <w:rsid w:val="00E83543"/>
    <w:rsid w:val="00E83AD9"/>
    <w:rsid w:val="00E84934"/>
    <w:rsid w:val="00E84A09"/>
    <w:rsid w:val="00E84CA1"/>
    <w:rsid w:val="00E85163"/>
    <w:rsid w:val="00E85F3A"/>
    <w:rsid w:val="00E8742A"/>
    <w:rsid w:val="00E87911"/>
    <w:rsid w:val="00E87CA9"/>
    <w:rsid w:val="00E9119A"/>
    <w:rsid w:val="00E914F8"/>
    <w:rsid w:val="00E91B79"/>
    <w:rsid w:val="00E921FA"/>
    <w:rsid w:val="00E92893"/>
    <w:rsid w:val="00E928E6"/>
    <w:rsid w:val="00E92B22"/>
    <w:rsid w:val="00E92D9F"/>
    <w:rsid w:val="00E9348C"/>
    <w:rsid w:val="00E93897"/>
    <w:rsid w:val="00E938B2"/>
    <w:rsid w:val="00E93E7C"/>
    <w:rsid w:val="00E95342"/>
    <w:rsid w:val="00E959D4"/>
    <w:rsid w:val="00E95B33"/>
    <w:rsid w:val="00E960BE"/>
    <w:rsid w:val="00E96258"/>
    <w:rsid w:val="00E96766"/>
    <w:rsid w:val="00EA0088"/>
    <w:rsid w:val="00EA0460"/>
    <w:rsid w:val="00EA0942"/>
    <w:rsid w:val="00EA0D0E"/>
    <w:rsid w:val="00EA16F5"/>
    <w:rsid w:val="00EA191E"/>
    <w:rsid w:val="00EA1E37"/>
    <w:rsid w:val="00EA2019"/>
    <w:rsid w:val="00EA20B2"/>
    <w:rsid w:val="00EA2904"/>
    <w:rsid w:val="00EA2F00"/>
    <w:rsid w:val="00EA3249"/>
    <w:rsid w:val="00EA32CC"/>
    <w:rsid w:val="00EA3DA1"/>
    <w:rsid w:val="00EA4723"/>
    <w:rsid w:val="00EA4BA3"/>
    <w:rsid w:val="00EA6A8F"/>
    <w:rsid w:val="00EA6E73"/>
    <w:rsid w:val="00EA73FE"/>
    <w:rsid w:val="00EA7B95"/>
    <w:rsid w:val="00EB19DD"/>
    <w:rsid w:val="00EB20AE"/>
    <w:rsid w:val="00EB5D6E"/>
    <w:rsid w:val="00EB5E60"/>
    <w:rsid w:val="00EB6FDA"/>
    <w:rsid w:val="00EC01BA"/>
    <w:rsid w:val="00EC06DC"/>
    <w:rsid w:val="00EC0AA8"/>
    <w:rsid w:val="00EC115C"/>
    <w:rsid w:val="00EC1921"/>
    <w:rsid w:val="00EC199F"/>
    <w:rsid w:val="00EC2538"/>
    <w:rsid w:val="00EC2CD9"/>
    <w:rsid w:val="00EC2ED9"/>
    <w:rsid w:val="00EC2EFC"/>
    <w:rsid w:val="00EC378F"/>
    <w:rsid w:val="00EC4A11"/>
    <w:rsid w:val="00EC587D"/>
    <w:rsid w:val="00EC7F9C"/>
    <w:rsid w:val="00ED0424"/>
    <w:rsid w:val="00ED0608"/>
    <w:rsid w:val="00ED08CB"/>
    <w:rsid w:val="00ED1119"/>
    <w:rsid w:val="00ED1717"/>
    <w:rsid w:val="00ED1749"/>
    <w:rsid w:val="00ED259F"/>
    <w:rsid w:val="00ED33A8"/>
    <w:rsid w:val="00ED5157"/>
    <w:rsid w:val="00ED5934"/>
    <w:rsid w:val="00ED5B0A"/>
    <w:rsid w:val="00ED75A2"/>
    <w:rsid w:val="00ED7A48"/>
    <w:rsid w:val="00EE00EB"/>
    <w:rsid w:val="00EE09B0"/>
    <w:rsid w:val="00EE0AAA"/>
    <w:rsid w:val="00EE0CF0"/>
    <w:rsid w:val="00EE101B"/>
    <w:rsid w:val="00EE1899"/>
    <w:rsid w:val="00EE24A3"/>
    <w:rsid w:val="00EE33A4"/>
    <w:rsid w:val="00EE3EB0"/>
    <w:rsid w:val="00EE460F"/>
    <w:rsid w:val="00EE534B"/>
    <w:rsid w:val="00EE642B"/>
    <w:rsid w:val="00EE6530"/>
    <w:rsid w:val="00EE7990"/>
    <w:rsid w:val="00EE7FE6"/>
    <w:rsid w:val="00EF0CD3"/>
    <w:rsid w:val="00EF14C3"/>
    <w:rsid w:val="00EF1ADF"/>
    <w:rsid w:val="00EF2431"/>
    <w:rsid w:val="00EF4124"/>
    <w:rsid w:val="00EF51BB"/>
    <w:rsid w:val="00EF5981"/>
    <w:rsid w:val="00EF5CC3"/>
    <w:rsid w:val="00EF62D6"/>
    <w:rsid w:val="00EF6638"/>
    <w:rsid w:val="00EF6722"/>
    <w:rsid w:val="00EF74B6"/>
    <w:rsid w:val="00F0029F"/>
    <w:rsid w:val="00F017B3"/>
    <w:rsid w:val="00F01B87"/>
    <w:rsid w:val="00F02182"/>
    <w:rsid w:val="00F02B5E"/>
    <w:rsid w:val="00F04445"/>
    <w:rsid w:val="00F05ADF"/>
    <w:rsid w:val="00F05D1C"/>
    <w:rsid w:val="00F07BE4"/>
    <w:rsid w:val="00F07C7D"/>
    <w:rsid w:val="00F10048"/>
    <w:rsid w:val="00F101E5"/>
    <w:rsid w:val="00F12401"/>
    <w:rsid w:val="00F12946"/>
    <w:rsid w:val="00F138F8"/>
    <w:rsid w:val="00F13ACB"/>
    <w:rsid w:val="00F152E6"/>
    <w:rsid w:val="00F16842"/>
    <w:rsid w:val="00F17AAA"/>
    <w:rsid w:val="00F17ED9"/>
    <w:rsid w:val="00F21418"/>
    <w:rsid w:val="00F21F75"/>
    <w:rsid w:val="00F24564"/>
    <w:rsid w:val="00F25291"/>
    <w:rsid w:val="00F25CC6"/>
    <w:rsid w:val="00F2669F"/>
    <w:rsid w:val="00F27B2E"/>
    <w:rsid w:val="00F3035A"/>
    <w:rsid w:val="00F30F9C"/>
    <w:rsid w:val="00F31EB1"/>
    <w:rsid w:val="00F32024"/>
    <w:rsid w:val="00F3205B"/>
    <w:rsid w:val="00F327E6"/>
    <w:rsid w:val="00F3376D"/>
    <w:rsid w:val="00F33937"/>
    <w:rsid w:val="00F33B68"/>
    <w:rsid w:val="00F36A1D"/>
    <w:rsid w:val="00F40C8A"/>
    <w:rsid w:val="00F4124B"/>
    <w:rsid w:val="00F412F0"/>
    <w:rsid w:val="00F41AFD"/>
    <w:rsid w:val="00F43808"/>
    <w:rsid w:val="00F43997"/>
    <w:rsid w:val="00F44974"/>
    <w:rsid w:val="00F452FD"/>
    <w:rsid w:val="00F4544A"/>
    <w:rsid w:val="00F46A5B"/>
    <w:rsid w:val="00F46BB5"/>
    <w:rsid w:val="00F477E8"/>
    <w:rsid w:val="00F50A1F"/>
    <w:rsid w:val="00F5181A"/>
    <w:rsid w:val="00F51D9F"/>
    <w:rsid w:val="00F52674"/>
    <w:rsid w:val="00F52C93"/>
    <w:rsid w:val="00F5457B"/>
    <w:rsid w:val="00F54DE5"/>
    <w:rsid w:val="00F55645"/>
    <w:rsid w:val="00F55CBA"/>
    <w:rsid w:val="00F55EE3"/>
    <w:rsid w:val="00F56575"/>
    <w:rsid w:val="00F572AC"/>
    <w:rsid w:val="00F5769C"/>
    <w:rsid w:val="00F57AB7"/>
    <w:rsid w:val="00F604D1"/>
    <w:rsid w:val="00F60713"/>
    <w:rsid w:val="00F61219"/>
    <w:rsid w:val="00F6270F"/>
    <w:rsid w:val="00F632E9"/>
    <w:rsid w:val="00F6359A"/>
    <w:rsid w:val="00F6391C"/>
    <w:rsid w:val="00F64A06"/>
    <w:rsid w:val="00F65165"/>
    <w:rsid w:val="00F66634"/>
    <w:rsid w:val="00F66779"/>
    <w:rsid w:val="00F67740"/>
    <w:rsid w:val="00F67B5D"/>
    <w:rsid w:val="00F731A7"/>
    <w:rsid w:val="00F73511"/>
    <w:rsid w:val="00F73517"/>
    <w:rsid w:val="00F7378F"/>
    <w:rsid w:val="00F7393B"/>
    <w:rsid w:val="00F73DF9"/>
    <w:rsid w:val="00F751E8"/>
    <w:rsid w:val="00F75A4D"/>
    <w:rsid w:val="00F764AE"/>
    <w:rsid w:val="00F767F3"/>
    <w:rsid w:val="00F76870"/>
    <w:rsid w:val="00F777F9"/>
    <w:rsid w:val="00F778AF"/>
    <w:rsid w:val="00F77CF3"/>
    <w:rsid w:val="00F81773"/>
    <w:rsid w:val="00F81AF2"/>
    <w:rsid w:val="00F81B0A"/>
    <w:rsid w:val="00F8431D"/>
    <w:rsid w:val="00F84844"/>
    <w:rsid w:val="00F849B9"/>
    <w:rsid w:val="00F86C4B"/>
    <w:rsid w:val="00F878A9"/>
    <w:rsid w:val="00F90156"/>
    <w:rsid w:val="00F903B8"/>
    <w:rsid w:val="00F90918"/>
    <w:rsid w:val="00F90978"/>
    <w:rsid w:val="00F912D5"/>
    <w:rsid w:val="00F92241"/>
    <w:rsid w:val="00F93783"/>
    <w:rsid w:val="00F93791"/>
    <w:rsid w:val="00F939D3"/>
    <w:rsid w:val="00F94599"/>
    <w:rsid w:val="00F95C43"/>
    <w:rsid w:val="00F96516"/>
    <w:rsid w:val="00F97F33"/>
    <w:rsid w:val="00FA078F"/>
    <w:rsid w:val="00FA0BD4"/>
    <w:rsid w:val="00FA0CD5"/>
    <w:rsid w:val="00FA0FD8"/>
    <w:rsid w:val="00FA1B40"/>
    <w:rsid w:val="00FA2B3B"/>
    <w:rsid w:val="00FA2C1A"/>
    <w:rsid w:val="00FA3156"/>
    <w:rsid w:val="00FA36EC"/>
    <w:rsid w:val="00FA58FA"/>
    <w:rsid w:val="00FA5B34"/>
    <w:rsid w:val="00FA65ED"/>
    <w:rsid w:val="00FA703D"/>
    <w:rsid w:val="00FA73D6"/>
    <w:rsid w:val="00FA7514"/>
    <w:rsid w:val="00FA7D11"/>
    <w:rsid w:val="00FB08C9"/>
    <w:rsid w:val="00FB0B0A"/>
    <w:rsid w:val="00FB0B80"/>
    <w:rsid w:val="00FB545B"/>
    <w:rsid w:val="00FB5BFF"/>
    <w:rsid w:val="00FB7F08"/>
    <w:rsid w:val="00FC15BF"/>
    <w:rsid w:val="00FC3632"/>
    <w:rsid w:val="00FC4814"/>
    <w:rsid w:val="00FC5DD0"/>
    <w:rsid w:val="00FC6209"/>
    <w:rsid w:val="00FC6628"/>
    <w:rsid w:val="00FD1185"/>
    <w:rsid w:val="00FD14DA"/>
    <w:rsid w:val="00FD27E7"/>
    <w:rsid w:val="00FD40A4"/>
    <w:rsid w:val="00FD50CD"/>
    <w:rsid w:val="00FD5858"/>
    <w:rsid w:val="00FD63B1"/>
    <w:rsid w:val="00FD6E2A"/>
    <w:rsid w:val="00FD758B"/>
    <w:rsid w:val="00FD7788"/>
    <w:rsid w:val="00FD7B73"/>
    <w:rsid w:val="00FD7EBB"/>
    <w:rsid w:val="00FE0153"/>
    <w:rsid w:val="00FE07DC"/>
    <w:rsid w:val="00FE0F57"/>
    <w:rsid w:val="00FE10C9"/>
    <w:rsid w:val="00FE1216"/>
    <w:rsid w:val="00FE15FF"/>
    <w:rsid w:val="00FE1A22"/>
    <w:rsid w:val="00FE3205"/>
    <w:rsid w:val="00FE3353"/>
    <w:rsid w:val="00FE38AE"/>
    <w:rsid w:val="00FE5E44"/>
    <w:rsid w:val="00FE6130"/>
    <w:rsid w:val="00FE629A"/>
    <w:rsid w:val="00FE73C2"/>
    <w:rsid w:val="00FF09D1"/>
    <w:rsid w:val="00FF1959"/>
    <w:rsid w:val="00FF475D"/>
    <w:rsid w:val="00FF5878"/>
    <w:rsid w:val="00FF593B"/>
    <w:rsid w:val="00FF6216"/>
    <w:rsid w:val="00FF75B7"/>
    <w:rsid w:val="00FF78E8"/>
    <w:rsid w:val="00FF7A7E"/>
    <w:rsid w:val="01217958"/>
    <w:rsid w:val="012A04B9"/>
    <w:rsid w:val="012B2028"/>
    <w:rsid w:val="013B32CC"/>
    <w:rsid w:val="01715EC7"/>
    <w:rsid w:val="01D32307"/>
    <w:rsid w:val="01E722A7"/>
    <w:rsid w:val="021A0D4F"/>
    <w:rsid w:val="022D653C"/>
    <w:rsid w:val="023926C5"/>
    <w:rsid w:val="024D6296"/>
    <w:rsid w:val="025D03D8"/>
    <w:rsid w:val="02772F62"/>
    <w:rsid w:val="027A0F13"/>
    <w:rsid w:val="028D4319"/>
    <w:rsid w:val="02C26764"/>
    <w:rsid w:val="02E81EC4"/>
    <w:rsid w:val="03015265"/>
    <w:rsid w:val="0310470D"/>
    <w:rsid w:val="03A11E52"/>
    <w:rsid w:val="03D5421C"/>
    <w:rsid w:val="03E63083"/>
    <w:rsid w:val="03EF410F"/>
    <w:rsid w:val="0426314B"/>
    <w:rsid w:val="045819F0"/>
    <w:rsid w:val="04645233"/>
    <w:rsid w:val="046D202D"/>
    <w:rsid w:val="047522B7"/>
    <w:rsid w:val="04895B67"/>
    <w:rsid w:val="049921ED"/>
    <w:rsid w:val="049F389C"/>
    <w:rsid w:val="04B62695"/>
    <w:rsid w:val="051E1E23"/>
    <w:rsid w:val="05252F28"/>
    <w:rsid w:val="05347B96"/>
    <w:rsid w:val="05D22340"/>
    <w:rsid w:val="05DC0A0A"/>
    <w:rsid w:val="05F11AE4"/>
    <w:rsid w:val="06565FDD"/>
    <w:rsid w:val="06661F23"/>
    <w:rsid w:val="068454F8"/>
    <w:rsid w:val="06A738B6"/>
    <w:rsid w:val="06B33BC2"/>
    <w:rsid w:val="06E937C4"/>
    <w:rsid w:val="06F33C91"/>
    <w:rsid w:val="07077C03"/>
    <w:rsid w:val="072B7F2A"/>
    <w:rsid w:val="07485295"/>
    <w:rsid w:val="076F684E"/>
    <w:rsid w:val="07CC279A"/>
    <w:rsid w:val="0835530F"/>
    <w:rsid w:val="0875488F"/>
    <w:rsid w:val="08BE51A9"/>
    <w:rsid w:val="08C75E0C"/>
    <w:rsid w:val="08E66515"/>
    <w:rsid w:val="092D4A6B"/>
    <w:rsid w:val="0949088A"/>
    <w:rsid w:val="096A05FA"/>
    <w:rsid w:val="09E23607"/>
    <w:rsid w:val="0A1647BB"/>
    <w:rsid w:val="0A4B4438"/>
    <w:rsid w:val="0A5C16A7"/>
    <w:rsid w:val="0A852515"/>
    <w:rsid w:val="0AB43B74"/>
    <w:rsid w:val="0ABD0B04"/>
    <w:rsid w:val="0B0A2763"/>
    <w:rsid w:val="0B15705B"/>
    <w:rsid w:val="0B1F3E15"/>
    <w:rsid w:val="0B2E529D"/>
    <w:rsid w:val="0B340A19"/>
    <w:rsid w:val="0B717F6F"/>
    <w:rsid w:val="0B754E73"/>
    <w:rsid w:val="0B803E00"/>
    <w:rsid w:val="0B807393"/>
    <w:rsid w:val="0B827613"/>
    <w:rsid w:val="0BD03D35"/>
    <w:rsid w:val="0BF066E4"/>
    <w:rsid w:val="0C016D3D"/>
    <w:rsid w:val="0C22047E"/>
    <w:rsid w:val="0C4417AC"/>
    <w:rsid w:val="0C452C2D"/>
    <w:rsid w:val="0C59246E"/>
    <w:rsid w:val="0C6352C5"/>
    <w:rsid w:val="0C762E2A"/>
    <w:rsid w:val="0CC70616"/>
    <w:rsid w:val="0CD72292"/>
    <w:rsid w:val="0CF70FC1"/>
    <w:rsid w:val="0D1A766B"/>
    <w:rsid w:val="0D65490F"/>
    <w:rsid w:val="0D8C4D66"/>
    <w:rsid w:val="0DAB36E0"/>
    <w:rsid w:val="0DC44126"/>
    <w:rsid w:val="0DE71C28"/>
    <w:rsid w:val="0E1F6633"/>
    <w:rsid w:val="0E2B113B"/>
    <w:rsid w:val="0E351DED"/>
    <w:rsid w:val="0E535C95"/>
    <w:rsid w:val="0E761999"/>
    <w:rsid w:val="0E991FD2"/>
    <w:rsid w:val="0EB86D2F"/>
    <w:rsid w:val="0EEC4A58"/>
    <w:rsid w:val="0F05087E"/>
    <w:rsid w:val="0F0A11A8"/>
    <w:rsid w:val="0F191B06"/>
    <w:rsid w:val="0F3A1C19"/>
    <w:rsid w:val="0F8519BF"/>
    <w:rsid w:val="0F902878"/>
    <w:rsid w:val="0F9166CB"/>
    <w:rsid w:val="0FAF543B"/>
    <w:rsid w:val="10000315"/>
    <w:rsid w:val="10263975"/>
    <w:rsid w:val="102F4DE2"/>
    <w:rsid w:val="104A13A0"/>
    <w:rsid w:val="10840812"/>
    <w:rsid w:val="10A43239"/>
    <w:rsid w:val="10B460D9"/>
    <w:rsid w:val="10CC30B5"/>
    <w:rsid w:val="10E727A8"/>
    <w:rsid w:val="10EC1831"/>
    <w:rsid w:val="10F703EE"/>
    <w:rsid w:val="111437EA"/>
    <w:rsid w:val="116A2514"/>
    <w:rsid w:val="1178608E"/>
    <w:rsid w:val="11AD010B"/>
    <w:rsid w:val="11B32C3A"/>
    <w:rsid w:val="11B63BEC"/>
    <w:rsid w:val="11CD11CE"/>
    <w:rsid w:val="11E22983"/>
    <w:rsid w:val="11EA636F"/>
    <w:rsid w:val="12091798"/>
    <w:rsid w:val="121E7DA1"/>
    <w:rsid w:val="123B05E9"/>
    <w:rsid w:val="12656328"/>
    <w:rsid w:val="126B0F86"/>
    <w:rsid w:val="12741488"/>
    <w:rsid w:val="12A0196C"/>
    <w:rsid w:val="12AF70DD"/>
    <w:rsid w:val="12B565EF"/>
    <w:rsid w:val="12F94F48"/>
    <w:rsid w:val="13702BE7"/>
    <w:rsid w:val="137C3424"/>
    <w:rsid w:val="13B2213A"/>
    <w:rsid w:val="13C97910"/>
    <w:rsid w:val="13DA593E"/>
    <w:rsid w:val="13E93037"/>
    <w:rsid w:val="13ED7E54"/>
    <w:rsid w:val="13EF5E1E"/>
    <w:rsid w:val="140B7B7F"/>
    <w:rsid w:val="140C2C1C"/>
    <w:rsid w:val="14364A8F"/>
    <w:rsid w:val="144B721A"/>
    <w:rsid w:val="149A4538"/>
    <w:rsid w:val="149E09DA"/>
    <w:rsid w:val="14A25C12"/>
    <w:rsid w:val="14AE3B87"/>
    <w:rsid w:val="14BD5B4C"/>
    <w:rsid w:val="14EB0208"/>
    <w:rsid w:val="152425ED"/>
    <w:rsid w:val="15452127"/>
    <w:rsid w:val="15A23798"/>
    <w:rsid w:val="15C81CE7"/>
    <w:rsid w:val="15D7006F"/>
    <w:rsid w:val="15DC3767"/>
    <w:rsid w:val="1642055F"/>
    <w:rsid w:val="166F531E"/>
    <w:rsid w:val="169C60B6"/>
    <w:rsid w:val="16AB42EB"/>
    <w:rsid w:val="16DA6C27"/>
    <w:rsid w:val="16FF62EE"/>
    <w:rsid w:val="171B1BF3"/>
    <w:rsid w:val="17BA7039"/>
    <w:rsid w:val="17BD1B19"/>
    <w:rsid w:val="17BD7D07"/>
    <w:rsid w:val="17CD18B1"/>
    <w:rsid w:val="17E8471A"/>
    <w:rsid w:val="17E96260"/>
    <w:rsid w:val="17F513E6"/>
    <w:rsid w:val="17FD677F"/>
    <w:rsid w:val="183774E4"/>
    <w:rsid w:val="184E4C34"/>
    <w:rsid w:val="187223BB"/>
    <w:rsid w:val="18794241"/>
    <w:rsid w:val="1888583E"/>
    <w:rsid w:val="189E6679"/>
    <w:rsid w:val="18E95A5F"/>
    <w:rsid w:val="18EC682A"/>
    <w:rsid w:val="190B0AF9"/>
    <w:rsid w:val="192823D8"/>
    <w:rsid w:val="19430D23"/>
    <w:rsid w:val="195C065B"/>
    <w:rsid w:val="197D72E1"/>
    <w:rsid w:val="19814669"/>
    <w:rsid w:val="1985311D"/>
    <w:rsid w:val="198F3908"/>
    <w:rsid w:val="19C23611"/>
    <w:rsid w:val="19DD3D84"/>
    <w:rsid w:val="19E014A5"/>
    <w:rsid w:val="19E80F89"/>
    <w:rsid w:val="19F118FB"/>
    <w:rsid w:val="1A517B56"/>
    <w:rsid w:val="1A5F5899"/>
    <w:rsid w:val="1A6250AB"/>
    <w:rsid w:val="1A7735AA"/>
    <w:rsid w:val="1A9D7F39"/>
    <w:rsid w:val="1AA90435"/>
    <w:rsid w:val="1B107785"/>
    <w:rsid w:val="1B1D634E"/>
    <w:rsid w:val="1B48645D"/>
    <w:rsid w:val="1B8B1E4D"/>
    <w:rsid w:val="1B9610FC"/>
    <w:rsid w:val="1BC33853"/>
    <w:rsid w:val="1BC47942"/>
    <w:rsid w:val="1C3F340C"/>
    <w:rsid w:val="1C6E3261"/>
    <w:rsid w:val="1C7C20D2"/>
    <w:rsid w:val="1C88083E"/>
    <w:rsid w:val="1CA405C6"/>
    <w:rsid w:val="1CB0172F"/>
    <w:rsid w:val="1CCB7A25"/>
    <w:rsid w:val="1CEB7D61"/>
    <w:rsid w:val="1CED207F"/>
    <w:rsid w:val="1D1038FB"/>
    <w:rsid w:val="1D481934"/>
    <w:rsid w:val="1D555A7F"/>
    <w:rsid w:val="1D641502"/>
    <w:rsid w:val="1D712E88"/>
    <w:rsid w:val="1D8B6A06"/>
    <w:rsid w:val="1DA65FB2"/>
    <w:rsid w:val="1DC52437"/>
    <w:rsid w:val="1DDC3A78"/>
    <w:rsid w:val="1DE93C74"/>
    <w:rsid w:val="1DF52D8D"/>
    <w:rsid w:val="1E1F5FBF"/>
    <w:rsid w:val="1E451514"/>
    <w:rsid w:val="1E4748E3"/>
    <w:rsid w:val="1E872B9C"/>
    <w:rsid w:val="1E891E81"/>
    <w:rsid w:val="1E9124A3"/>
    <w:rsid w:val="1E9D1868"/>
    <w:rsid w:val="1EDD1082"/>
    <w:rsid w:val="1EE473F2"/>
    <w:rsid w:val="1EF12781"/>
    <w:rsid w:val="1EF93D10"/>
    <w:rsid w:val="1F302AFA"/>
    <w:rsid w:val="1F310E8C"/>
    <w:rsid w:val="1F3C1070"/>
    <w:rsid w:val="1F656780"/>
    <w:rsid w:val="1F6E3313"/>
    <w:rsid w:val="1F8830A2"/>
    <w:rsid w:val="1F94721C"/>
    <w:rsid w:val="1FC658C9"/>
    <w:rsid w:val="1FD47C39"/>
    <w:rsid w:val="1FD55D8B"/>
    <w:rsid w:val="1FEE338D"/>
    <w:rsid w:val="1FFA77B9"/>
    <w:rsid w:val="20896BE6"/>
    <w:rsid w:val="20C462AC"/>
    <w:rsid w:val="20CB670D"/>
    <w:rsid w:val="20EC72BA"/>
    <w:rsid w:val="2113675B"/>
    <w:rsid w:val="21717BB1"/>
    <w:rsid w:val="21770D5A"/>
    <w:rsid w:val="21900F12"/>
    <w:rsid w:val="21C9298E"/>
    <w:rsid w:val="21FD4856"/>
    <w:rsid w:val="21FF3D1F"/>
    <w:rsid w:val="22401962"/>
    <w:rsid w:val="22413A4A"/>
    <w:rsid w:val="22684875"/>
    <w:rsid w:val="22864868"/>
    <w:rsid w:val="22B36434"/>
    <w:rsid w:val="22C34341"/>
    <w:rsid w:val="22C823F7"/>
    <w:rsid w:val="233108CE"/>
    <w:rsid w:val="233B6182"/>
    <w:rsid w:val="233F3D27"/>
    <w:rsid w:val="236C4678"/>
    <w:rsid w:val="23907D72"/>
    <w:rsid w:val="23A47E05"/>
    <w:rsid w:val="23B36914"/>
    <w:rsid w:val="23C12F77"/>
    <w:rsid w:val="2427761C"/>
    <w:rsid w:val="24464C0C"/>
    <w:rsid w:val="244B6221"/>
    <w:rsid w:val="2461150A"/>
    <w:rsid w:val="249B669A"/>
    <w:rsid w:val="249D6A6E"/>
    <w:rsid w:val="24C44F46"/>
    <w:rsid w:val="25165313"/>
    <w:rsid w:val="25290FD7"/>
    <w:rsid w:val="25516E7F"/>
    <w:rsid w:val="258456B4"/>
    <w:rsid w:val="258A4634"/>
    <w:rsid w:val="25970914"/>
    <w:rsid w:val="25E4294C"/>
    <w:rsid w:val="25F16D7B"/>
    <w:rsid w:val="26813A06"/>
    <w:rsid w:val="26901181"/>
    <w:rsid w:val="2720349B"/>
    <w:rsid w:val="27557D2D"/>
    <w:rsid w:val="27B802EB"/>
    <w:rsid w:val="27DD6DEF"/>
    <w:rsid w:val="28095587"/>
    <w:rsid w:val="28453C39"/>
    <w:rsid w:val="2862363D"/>
    <w:rsid w:val="28AF19F8"/>
    <w:rsid w:val="28C2515E"/>
    <w:rsid w:val="291E265E"/>
    <w:rsid w:val="29280DAC"/>
    <w:rsid w:val="294D24D1"/>
    <w:rsid w:val="29561A8E"/>
    <w:rsid w:val="295C4FF9"/>
    <w:rsid w:val="29B8129C"/>
    <w:rsid w:val="29D70693"/>
    <w:rsid w:val="29FA2ED4"/>
    <w:rsid w:val="29FC5C50"/>
    <w:rsid w:val="2A152ADC"/>
    <w:rsid w:val="2A231A52"/>
    <w:rsid w:val="2A651183"/>
    <w:rsid w:val="2A7A7BBF"/>
    <w:rsid w:val="2ABC38C7"/>
    <w:rsid w:val="2ABE3005"/>
    <w:rsid w:val="2AF13FD3"/>
    <w:rsid w:val="2AF14848"/>
    <w:rsid w:val="2B19015D"/>
    <w:rsid w:val="2B1E01A3"/>
    <w:rsid w:val="2B520958"/>
    <w:rsid w:val="2B57519B"/>
    <w:rsid w:val="2B626CBE"/>
    <w:rsid w:val="2B7665D4"/>
    <w:rsid w:val="2BC41661"/>
    <w:rsid w:val="2BDA36F3"/>
    <w:rsid w:val="2BDF04BE"/>
    <w:rsid w:val="2C1B6E84"/>
    <w:rsid w:val="2C1C547A"/>
    <w:rsid w:val="2C1D4D7E"/>
    <w:rsid w:val="2C261D37"/>
    <w:rsid w:val="2C3432A1"/>
    <w:rsid w:val="2C736F55"/>
    <w:rsid w:val="2C823176"/>
    <w:rsid w:val="2C9C35FE"/>
    <w:rsid w:val="2D054B16"/>
    <w:rsid w:val="2D484E52"/>
    <w:rsid w:val="2D8447B4"/>
    <w:rsid w:val="2D8633C3"/>
    <w:rsid w:val="2D8A1F63"/>
    <w:rsid w:val="2D9052C4"/>
    <w:rsid w:val="2DA47214"/>
    <w:rsid w:val="2DAA4989"/>
    <w:rsid w:val="2DC754F4"/>
    <w:rsid w:val="2DCA6F6B"/>
    <w:rsid w:val="2DE32812"/>
    <w:rsid w:val="2DEA1671"/>
    <w:rsid w:val="2DEF79F1"/>
    <w:rsid w:val="2DF439B1"/>
    <w:rsid w:val="2DFF2F48"/>
    <w:rsid w:val="2E14149D"/>
    <w:rsid w:val="2E931D4A"/>
    <w:rsid w:val="2E9566A5"/>
    <w:rsid w:val="2ED92F98"/>
    <w:rsid w:val="2EDD50BE"/>
    <w:rsid w:val="2F0629F2"/>
    <w:rsid w:val="2F150CB7"/>
    <w:rsid w:val="2F6E6EEE"/>
    <w:rsid w:val="2FAD7AD1"/>
    <w:rsid w:val="2FDE3495"/>
    <w:rsid w:val="2FDF0C2C"/>
    <w:rsid w:val="30105F9B"/>
    <w:rsid w:val="30664656"/>
    <w:rsid w:val="309B641A"/>
    <w:rsid w:val="30C42210"/>
    <w:rsid w:val="30D217B5"/>
    <w:rsid w:val="30F0394C"/>
    <w:rsid w:val="31074338"/>
    <w:rsid w:val="312E2A25"/>
    <w:rsid w:val="31464ABB"/>
    <w:rsid w:val="31556970"/>
    <w:rsid w:val="315A1365"/>
    <w:rsid w:val="317061B7"/>
    <w:rsid w:val="317F5EFB"/>
    <w:rsid w:val="3182736F"/>
    <w:rsid w:val="31967455"/>
    <w:rsid w:val="31C7431B"/>
    <w:rsid w:val="31EC70D7"/>
    <w:rsid w:val="32053477"/>
    <w:rsid w:val="32247F72"/>
    <w:rsid w:val="32553EF4"/>
    <w:rsid w:val="325B49D4"/>
    <w:rsid w:val="32BB7567"/>
    <w:rsid w:val="32BD2721"/>
    <w:rsid w:val="32C77E8A"/>
    <w:rsid w:val="32C81E4C"/>
    <w:rsid w:val="32CE032D"/>
    <w:rsid w:val="32D73F7A"/>
    <w:rsid w:val="33216491"/>
    <w:rsid w:val="333360C7"/>
    <w:rsid w:val="33573AD9"/>
    <w:rsid w:val="33723DD1"/>
    <w:rsid w:val="33B340B6"/>
    <w:rsid w:val="33FE4038"/>
    <w:rsid w:val="342E41C9"/>
    <w:rsid w:val="34547D19"/>
    <w:rsid w:val="345F0986"/>
    <w:rsid w:val="347C0454"/>
    <w:rsid w:val="348225B9"/>
    <w:rsid w:val="348C58E7"/>
    <w:rsid w:val="34947551"/>
    <w:rsid w:val="34973D8A"/>
    <w:rsid w:val="34C6500A"/>
    <w:rsid w:val="34D73279"/>
    <w:rsid w:val="34DB2D3C"/>
    <w:rsid w:val="34EC7730"/>
    <w:rsid w:val="355E24D6"/>
    <w:rsid w:val="35733BBB"/>
    <w:rsid w:val="359B460C"/>
    <w:rsid w:val="35C03DDA"/>
    <w:rsid w:val="360526F2"/>
    <w:rsid w:val="360C528B"/>
    <w:rsid w:val="360E712B"/>
    <w:rsid w:val="362A50BC"/>
    <w:rsid w:val="366D6CD7"/>
    <w:rsid w:val="36A17F00"/>
    <w:rsid w:val="36AD7056"/>
    <w:rsid w:val="36C15A92"/>
    <w:rsid w:val="36C21281"/>
    <w:rsid w:val="36C8377C"/>
    <w:rsid w:val="36CF6ABE"/>
    <w:rsid w:val="370201AC"/>
    <w:rsid w:val="370B1720"/>
    <w:rsid w:val="370E1E58"/>
    <w:rsid w:val="373E0D6A"/>
    <w:rsid w:val="375F3428"/>
    <w:rsid w:val="376B4EAF"/>
    <w:rsid w:val="3773F964"/>
    <w:rsid w:val="37926534"/>
    <w:rsid w:val="380D66FD"/>
    <w:rsid w:val="380F213C"/>
    <w:rsid w:val="384112B3"/>
    <w:rsid w:val="38590722"/>
    <w:rsid w:val="38966596"/>
    <w:rsid w:val="38B203D5"/>
    <w:rsid w:val="38C775CC"/>
    <w:rsid w:val="38CA2BC1"/>
    <w:rsid w:val="38D51313"/>
    <w:rsid w:val="38E92216"/>
    <w:rsid w:val="38F329BE"/>
    <w:rsid w:val="390834E6"/>
    <w:rsid w:val="391629FE"/>
    <w:rsid w:val="39317BEF"/>
    <w:rsid w:val="3955341E"/>
    <w:rsid w:val="39595B70"/>
    <w:rsid w:val="39925C80"/>
    <w:rsid w:val="399F0AC2"/>
    <w:rsid w:val="39A031C0"/>
    <w:rsid w:val="39C87203"/>
    <w:rsid w:val="39E80879"/>
    <w:rsid w:val="39E925C3"/>
    <w:rsid w:val="3A0D7DC5"/>
    <w:rsid w:val="3A1A16F3"/>
    <w:rsid w:val="3A3127AC"/>
    <w:rsid w:val="3A3E6BCB"/>
    <w:rsid w:val="3A5810A7"/>
    <w:rsid w:val="3A5B1572"/>
    <w:rsid w:val="3A762064"/>
    <w:rsid w:val="3A7F713C"/>
    <w:rsid w:val="3A9C44AF"/>
    <w:rsid w:val="3AA2292D"/>
    <w:rsid w:val="3ACA25F0"/>
    <w:rsid w:val="3AF11A46"/>
    <w:rsid w:val="3B0822C8"/>
    <w:rsid w:val="3B085F05"/>
    <w:rsid w:val="3B1456B8"/>
    <w:rsid w:val="3B287BE1"/>
    <w:rsid w:val="3B443AD5"/>
    <w:rsid w:val="3B5D7B1C"/>
    <w:rsid w:val="3B7B4D69"/>
    <w:rsid w:val="3B8135A4"/>
    <w:rsid w:val="3B970549"/>
    <w:rsid w:val="3B994BFD"/>
    <w:rsid w:val="3BBD4832"/>
    <w:rsid w:val="3BCF5A5E"/>
    <w:rsid w:val="3BD239EC"/>
    <w:rsid w:val="3C122A8A"/>
    <w:rsid w:val="3C3E5EE4"/>
    <w:rsid w:val="3C461E13"/>
    <w:rsid w:val="3C6F0F7B"/>
    <w:rsid w:val="3C7418E7"/>
    <w:rsid w:val="3CDD147C"/>
    <w:rsid w:val="3CF93E15"/>
    <w:rsid w:val="3D104BE1"/>
    <w:rsid w:val="3D5C000A"/>
    <w:rsid w:val="3D8C41D7"/>
    <w:rsid w:val="3DA163DF"/>
    <w:rsid w:val="3DA35A29"/>
    <w:rsid w:val="3DA73EAF"/>
    <w:rsid w:val="3DF42249"/>
    <w:rsid w:val="3E2B6DF5"/>
    <w:rsid w:val="3E3C4B2F"/>
    <w:rsid w:val="3E4B6146"/>
    <w:rsid w:val="3E657AED"/>
    <w:rsid w:val="3E7F0EBF"/>
    <w:rsid w:val="3E9903A8"/>
    <w:rsid w:val="3EB2768F"/>
    <w:rsid w:val="3FC349C2"/>
    <w:rsid w:val="3FC556D6"/>
    <w:rsid w:val="3FE44DB8"/>
    <w:rsid w:val="3FEC2CD2"/>
    <w:rsid w:val="40094E74"/>
    <w:rsid w:val="40374811"/>
    <w:rsid w:val="40A85FAB"/>
    <w:rsid w:val="40E55BE0"/>
    <w:rsid w:val="41230D04"/>
    <w:rsid w:val="41913A46"/>
    <w:rsid w:val="41B00F87"/>
    <w:rsid w:val="41B02784"/>
    <w:rsid w:val="41BC60B1"/>
    <w:rsid w:val="41FB46B8"/>
    <w:rsid w:val="420D56C6"/>
    <w:rsid w:val="42173735"/>
    <w:rsid w:val="42250392"/>
    <w:rsid w:val="43097D0E"/>
    <w:rsid w:val="432223E2"/>
    <w:rsid w:val="43904532"/>
    <w:rsid w:val="43B33259"/>
    <w:rsid w:val="43B41434"/>
    <w:rsid w:val="43C20985"/>
    <w:rsid w:val="43CD56BF"/>
    <w:rsid w:val="43D22E51"/>
    <w:rsid w:val="43F3080C"/>
    <w:rsid w:val="4415422A"/>
    <w:rsid w:val="444F7B9C"/>
    <w:rsid w:val="44DF2E05"/>
    <w:rsid w:val="44F05B7E"/>
    <w:rsid w:val="44FE7E68"/>
    <w:rsid w:val="45137700"/>
    <w:rsid w:val="45144AC5"/>
    <w:rsid w:val="45271399"/>
    <w:rsid w:val="45443E07"/>
    <w:rsid w:val="4551515E"/>
    <w:rsid w:val="456125ED"/>
    <w:rsid w:val="45737CDE"/>
    <w:rsid w:val="457B3BCD"/>
    <w:rsid w:val="45855E61"/>
    <w:rsid w:val="45DF73AF"/>
    <w:rsid w:val="45F20DEB"/>
    <w:rsid w:val="45FA56C4"/>
    <w:rsid w:val="462A6398"/>
    <w:rsid w:val="462C343C"/>
    <w:rsid w:val="46624F7D"/>
    <w:rsid w:val="46943AA5"/>
    <w:rsid w:val="46A817A6"/>
    <w:rsid w:val="46AE1FD1"/>
    <w:rsid w:val="46B029BB"/>
    <w:rsid w:val="46CE3131"/>
    <w:rsid w:val="47017063"/>
    <w:rsid w:val="472A7855"/>
    <w:rsid w:val="47474047"/>
    <w:rsid w:val="47864C99"/>
    <w:rsid w:val="47BB5CFC"/>
    <w:rsid w:val="47CA372B"/>
    <w:rsid w:val="47F3112F"/>
    <w:rsid w:val="47FB6EBF"/>
    <w:rsid w:val="48053314"/>
    <w:rsid w:val="48067EEE"/>
    <w:rsid w:val="484C5A22"/>
    <w:rsid w:val="488B4FFC"/>
    <w:rsid w:val="489D1A03"/>
    <w:rsid w:val="48C91A4A"/>
    <w:rsid w:val="48E54EC0"/>
    <w:rsid w:val="48EE180D"/>
    <w:rsid w:val="494D545C"/>
    <w:rsid w:val="4960645D"/>
    <w:rsid w:val="496103A3"/>
    <w:rsid w:val="49AB0F30"/>
    <w:rsid w:val="49BB29A4"/>
    <w:rsid w:val="4A031A76"/>
    <w:rsid w:val="4A151C89"/>
    <w:rsid w:val="4A744044"/>
    <w:rsid w:val="4A8B6E09"/>
    <w:rsid w:val="4ACC4740"/>
    <w:rsid w:val="4ACE10D2"/>
    <w:rsid w:val="4AE03817"/>
    <w:rsid w:val="4B0B3C04"/>
    <w:rsid w:val="4B213E9D"/>
    <w:rsid w:val="4B607EE9"/>
    <w:rsid w:val="4BA361D7"/>
    <w:rsid w:val="4BB22189"/>
    <w:rsid w:val="4BC22F09"/>
    <w:rsid w:val="4BFD5E70"/>
    <w:rsid w:val="4C0D00D7"/>
    <w:rsid w:val="4C7B6FCD"/>
    <w:rsid w:val="4C884A5A"/>
    <w:rsid w:val="4CC72D89"/>
    <w:rsid w:val="4CC84C71"/>
    <w:rsid w:val="4D117C8A"/>
    <w:rsid w:val="4D1505B0"/>
    <w:rsid w:val="4D225ECF"/>
    <w:rsid w:val="4D967234"/>
    <w:rsid w:val="4DA423C7"/>
    <w:rsid w:val="4DDEDC03"/>
    <w:rsid w:val="4DDF585B"/>
    <w:rsid w:val="4E020D27"/>
    <w:rsid w:val="4E477AB1"/>
    <w:rsid w:val="4E5B735E"/>
    <w:rsid w:val="4E5E31B8"/>
    <w:rsid w:val="4E621340"/>
    <w:rsid w:val="4E6C0E74"/>
    <w:rsid w:val="4ECC2F0C"/>
    <w:rsid w:val="4F1B520E"/>
    <w:rsid w:val="4F2B6A41"/>
    <w:rsid w:val="4F362CC2"/>
    <w:rsid w:val="4F4E07DE"/>
    <w:rsid w:val="4F59666D"/>
    <w:rsid w:val="4FDD6336"/>
    <w:rsid w:val="4FF107DF"/>
    <w:rsid w:val="50192ACC"/>
    <w:rsid w:val="50694B58"/>
    <w:rsid w:val="50973DBE"/>
    <w:rsid w:val="50FD137E"/>
    <w:rsid w:val="510C1095"/>
    <w:rsid w:val="518F5BD9"/>
    <w:rsid w:val="521F3F3D"/>
    <w:rsid w:val="5227297D"/>
    <w:rsid w:val="522959F4"/>
    <w:rsid w:val="5244343B"/>
    <w:rsid w:val="525A4745"/>
    <w:rsid w:val="525E10C0"/>
    <w:rsid w:val="528F6596"/>
    <w:rsid w:val="52B6144E"/>
    <w:rsid w:val="52D77EB6"/>
    <w:rsid w:val="52EA2DD6"/>
    <w:rsid w:val="52EF47F1"/>
    <w:rsid w:val="52F43E2F"/>
    <w:rsid w:val="53185788"/>
    <w:rsid w:val="532507DC"/>
    <w:rsid w:val="532C2074"/>
    <w:rsid w:val="533303B3"/>
    <w:rsid w:val="534248DD"/>
    <w:rsid w:val="535348CC"/>
    <w:rsid w:val="53B7A554"/>
    <w:rsid w:val="53BF3FD4"/>
    <w:rsid w:val="53E7288E"/>
    <w:rsid w:val="53F1011E"/>
    <w:rsid w:val="5432404E"/>
    <w:rsid w:val="5436328B"/>
    <w:rsid w:val="54AB1268"/>
    <w:rsid w:val="54CA494A"/>
    <w:rsid w:val="54D91E6C"/>
    <w:rsid w:val="54EE3B71"/>
    <w:rsid w:val="54F832D0"/>
    <w:rsid w:val="54FD77D1"/>
    <w:rsid w:val="551E7DED"/>
    <w:rsid w:val="55350A2C"/>
    <w:rsid w:val="55495799"/>
    <w:rsid w:val="55556F44"/>
    <w:rsid w:val="556B53E2"/>
    <w:rsid w:val="559144FE"/>
    <w:rsid w:val="55A328A6"/>
    <w:rsid w:val="55AF0817"/>
    <w:rsid w:val="55CC36D2"/>
    <w:rsid w:val="55E6158E"/>
    <w:rsid w:val="55EB0278"/>
    <w:rsid w:val="55FE3AC6"/>
    <w:rsid w:val="56083F31"/>
    <w:rsid w:val="560E30DB"/>
    <w:rsid w:val="563B12F2"/>
    <w:rsid w:val="565374FE"/>
    <w:rsid w:val="565F755B"/>
    <w:rsid w:val="567E5F9A"/>
    <w:rsid w:val="56C404A1"/>
    <w:rsid w:val="56ED1797"/>
    <w:rsid w:val="570E1B6B"/>
    <w:rsid w:val="57365E12"/>
    <w:rsid w:val="573E5A96"/>
    <w:rsid w:val="576B45AD"/>
    <w:rsid w:val="577560B7"/>
    <w:rsid w:val="577C776F"/>
    <w:rsid w:val="577D68EC"/>
    <w:rsid w:val="5783613F"/>
    <w:rsid w:val="57B43108"/>
    <w:rsid w:val="57D34A42"/>
    <w:rsid w:val="57F02B43"/>
    <w:rsid w:val="57FE4951"/>
    <w:rsid w:val="582334FD"/>
    <w:rsid w:val="582702A8"/>
    <w:rsid w:val="584619D1"/>
    <w:rsid w:val="58945FE7"/>
    <w:rsid w:val="589A7BAE"/>
    <w:rsid w:val="58A12B8D"/>
    <w:rsid w:val="58A9779C"/>
    <w:rsid w:val="58AF5A11"/>
    <w:rsid w:val="58FF29F8"/>
    <w:rsid w:val="5922116F"/>
    <w:rsid w:val="59320E4D"/>
    <w:rsid w:val="594B55C2"/>
    <w:rsid w:val="594B7983"/>
    <w:rsid w:val="59756D2D"/>
    <w:rsid w:val="5999104F"/>
    <w:rsid w:val="59A04917"/>
    <w:rsid w:val="59CB44CA"/>
    <w:rsid w:val="59FC3E42"/>
    <w:rsid w:val="5A0B7E7C"/>
    <w:rsid w:val="5A6B11AF"/>
    <w:rsid w:val="5ABA3287"/>
    <w:rsid w:val="5ACE7A7B"/>
    <w:rsid w:val="5AD63563"/>
    <w:rsid w:val="5B63400B"/>
    <w:rsid w:val="5B821644"/>
    <w:rsid w:val="5B835724"/>
    <w:rsid w:val="5BBE5961"/>
    <w:rsid w:val="5C20124A"/>
    <w:rsid w:val="5C2F0F6F"/>
    <w:rsid w:val="5C6752D7"/>
    <w:rsid w:val="5C7C3512"/>
    <w:rsid w:val="5C7C7023"/>
    <w:rsid w:val="5CA07C8F"/>
    <w:rsid w:val="5CA51D5E"/>
    <w:rsid w:val="5CB477B7"/>
    <w:rsid w:val="5CB53974"/>
    <w:rsid w:val="5CBA0C60"/>
    <w:rsid w:val="5CC22A8E"/>
    <w:rsid w:val="5CD71340"/>
    <w:rsid w:val="5D165963"/>
    <w:rsid w:val="5D312660"/>
    <w:rsid w:val="5D597A24"/>
    <w:rsid w:val="5D5E0F00"/>
    <w:rsid w:val="5D672FD9"/>
    <w:rsid w:val="5DA1310D"/>
    <w:rsid w:val="5DAB58DE"/>
    <w:rsid w:val="5DAF5FE1"/>
    <w:rsid w:val="5E6B0C35"/>
    <w:rsid w:val="5E846932"/>
    <w:rsid w:val="5EA6367E"/>
    <w:rsid w:val="5EA9493E"/>
    <w:rsid w:val="5EC7421E"/>
    <w:rsid w:val="5EDE68CC"/>
    <w:rsid w:val="5EED40FD"/>
    <w:rsid w:val="5EFF4A8F"/>
    <w:rsid w:val="5F1068FE"/>
    <w:rsid w:val="5F371598"/>
    <w:rsid w:val="5F7F181A"/>
    <w:rsid w:val="5FB53ECB"/>
    <w:rsid w:val="5FBA0B75"/>
    <w:rsid w:val="5FF163FF"/>
    <w:rsid w:val="5FF27DC1"/>
    <w:rsid w:val="5FFFC44F"/>
    <w:rsid w:val="600E06F5"/>
    <w:rsid w:val="60213E7A"/>
    <w:rsid w:val="60322A25"/>
    <w:rsid w:val="606114DC"/>
    <w:rsid w:val="60733444"/>
    <w:rsid w:val="60A22BDF"/>
    <w:rsid w:val="60B14230"/>
    <w:rsid w:val="60DF7841"/>
    <w:rsid w:val="6125322A"/>
    <w:rsid w:val="61594D81"/>
    <w:rsid w:val="6182240B"/>
    <w:rsid w:val="618F7BFA"/>
    <w:rsid w:val="61A84853"/>
    <w:rsid w:val="61AD69EC"/>
    <w:rsid w:val="61ED09B4"/>
    <w:rsid w:val="61FD60D8"/>
    <w:rsid w:val="61FE7B3E"/>
    <w:rsid w:val="62163B73"/>
    <w:rsid w:val="62252EC8"/>
    <w:rsid w:val="623126B4"/>
    <w:rsid w:val="623540B7"/>
    <w:rsid w:val="62452D07"/>
    <w:rsid w:val="62525A89"/>
    <w:rsid w:val="627534BA"/>
    <w:rsid w:val="62CC5834"/>
    <w:rsid w:val="62D766FE"/>
    <w:rsid w:val="62ED793C"/>
    <w:rsid w:val="62FB665C"/>
    <w:rsid w:val="637F6AD2"/>
    <w:rsid w:val="638F2C57"/>
    <w:rsid w:val="63953C13"/>
    <w:rsid w:val="63DF257F"/>
    <w:rsid w:val="63E537F3"/>
    <w:rsid w:val="64077C54"/>
    <w:rsid w:val="64B729A0"/>
    <w:rsid w:val="64E331DF"/>
    <w:rsid w:val="64EE6278"/>
    <w:rsid w:val="64EF43CA"/>
    <w:rsid w:val="65030467"/>
    <w:rsid w:val="651B5FF9"/>
    <w:rsid w:val="6522799B"/>
    <w:rsid w:val="652D7214"/>
    <w:rsid w:val="655FC5EF"/>
    <w:rsid w:val="65864ACE"/>
    <w:rsid w:val="65A97FB1"/>
    <w:rsid w:val="65E014E9"/>
    <w:rsid w:val="65E03FC2"/>
    <w:rsid w:val="66081495"/>
    <w:rsid w:val="66121C84"/>
    <w:rsid w:val="662B3A9C"/>
    <w:rsid w:val="66475E07"/>
    <w:rsid w:val="6651212D"/>
    <w:rsid w:val="66D97A1F"/>
    <w:rsid w:val="67293352"/>
    <w:rsid w:val="67312870"/>
    <w:rsid w:val="673169F4"/>
    <w:rsid w:val="6740199B"/>
    <w:rsid w:val="674A68B4"/>
    <w:rsid w:val="67666047"/>
    <w:rsid w:val="67895524"/>
    <w:rsid w:val="6796515B"/>
    <w:rsid w:val="67D01668"/>
    <w:rsid w:val="67DD66E0"/>
    <w:rsid w:val="67FE2CA2"/>
    <w:rsid w:val="68353A27"/>
    <w:rsid w:val="684B18E2"/>
    <w:rsid w:val="68523303"/>
    <w:rsid w:val="68527C8F"/>
    <w:rsid w:val="685E28B6"/>
    <w:rsid w:val="688E1F83"/>
    <w:rsid w:val="68A015B4"/>
    <w:rsid w:val="68C12344"/>
    <w:rsid w:val="68CA4FE5"/>
    <w:rsid w:val="68D02714"/>
    <w:rsid w:val="68D81828"/>
    <w:rsid w:val="68F10600"/>
    <w:rsid w:val="690337CF"/>
    <w:rsid w:val="690875F2"/>
    <w:rsid w:val="693E73CC"/>
    <w:rsid w:val="69633930"/>
    <w:rsid w:val="69677F4C"/>
    <w:rsid w:val="698626B7"/>
    <w:rsid w:val="69BF5A7B"/>
    <w:rsid w:val="69C22B16"/>
    <w:rsid w:val="69D85F6E"/>
    <w:rsid w:val="6A0C3186"/>
    <w:rsid w:val="6A113B6C"/>
    <w:rsid w:val="6AE77A4A"/>
    <w:rsid w:val="6B0F7DC4"/>
    <w:rsid w:val="6B4E2E45"/>
    <w:rsid w:val="6BF9386D"/>
    <w:rsid w:val="6C14566C"/>
    <w:rsid w:val="6C2031BA"/>
    <w:rsid w:val="6CA82F0E"/>
    <w:rsid w:val="6CBD5AE4"/>
    <w:rsid w:val="6CF91CFA"/>
    <w:rsid w:val="6D005E91"/>
    <w:rsid w:val="6D096488"/>
    <w:rsid w:val="6D8D1CE7"/>
    <w:rsid w:val="6DB50C05"/>
    <w:rsid w:val="6DC84AA6"/>
    <w:rsid w:val="6DF238E5"/>
    <w:rsid w:val="6DF60D0C"/>
    <w:rsid w:val="6E191EE8"/>
    <w:rsid w:val="6E2D7604"/>
    <w:rsid w:val="6E3564E8"/>
    <w:rsid w:val="6E5268BF"/>
    <w:rsid w:val="6E6474FC"/>
    <w:rsid w:val="6E7B59BE"/>
    <w:rsid w:val="6EAE05E1"/>
    <w:rsid w:val="6EBE0F7B"/>
    <w:rsid w:val="6EC86EA5"/>
    <w:rsid w:val="6EF06A69"/>
    <w:rsid w:val="6EFF4507"/>
    <w:rsid w:val="6F55197C"/>
    <w:rsid w:val="6F5862FB"/>
    <w:rsid w:val="6F6A283B"/>
    <w:rsid w:val="6F810123"/>
    <w:rsid w:val="6FA62C9A"/>
    <w:rsid w:val="6FF7017E"/>
    <w:rsid w:val="6FF81B04"/>
    <w:rsid w:val="700E0316"/>
    <w:rsid w:val="701708AA"/>
    <w:rsid w:val="70341F4B"/>
    <w:rsid w:val="704D2B9E"/>
    <w:rsid w:val="70754D8D"/>
    <w:rsid w:val="708134FA"/>
    <w:rsid w:val="709C214D"/>
    <w:rsid w:val="70A63B0B"/>
    <w:rsid w:val="70BF79E5"/>
    <w:rsid w:val="70CF3EE8"/>
    <w:rsid w:val="70EA1F13"/>
    <w:rsid w:val="70FC05D1"/>
    <w:rsid w:val="710B47ED"/>
    <w:rsid w:val="71195C6D"/>
    <w:rsid w:val="715130AE"/>
    <w:rsid w:val="71784029"/>
    <w:rsid w:val="71832834"/>
    <w:rsid w:val="718D1EEB"/>
    <w:rsid w:val="71B95FA2"/>
    <w:rsid w:val="71BF3D2E"/>
    <w:rsid w:val="71CE6ADC"/>
    <w:rsid w:val="71DE0B86"/>
    <w:rsid w:val="71FE418F"/>
    <w:rsid w:val="721F6B5C"/>
    <w:rsid w:val="722146F2"/>
    <w:rsid w:val="724530A5"/>
    <w:rsid w:val="72E53EEC"/>
    <w:rsid w:val="72FA6890"/>
    <w:rsid w:val="72FB7C89"/>
    <w:rsid w:val="730D09BA"/>
    <w:rsid w:val="733B0885"/>
    <w:rsid w:val="733C0CA5"/>
    <w:rsid w:val="73655822"/>
    <w:rsid w:val="737077A5"/>
    <w:rsid w:val="73AB5845"/>
    <w:rsid w:val="73BE45CF"/>
    <w:rsid w:val="73CA55CA"/>
    <w:rsid w:val="74032E3B"/>
    <w:rsid w:val="743877E2"/>
    <w:rsid w:val="743A32A7"/>
    <w:rsid w:val="748E2655"/>
    <w:rsid w:val="74AD2984"/>
    <w:rsid w:val="74BC6B74"/>
    <w:rsid w:val="75055A90"/>
    <w:rsid w:val="75183B68"/>
    <w:rsid w:val="751F6487"/>
    <w:rsid w:val="75473D87"/>
    <w:rsid w:val="75502E69"/>
    <w:rsid w:val="75584156"/>
    <w:rsid w:val="755C337B"/>
    <w:rsid w:val="75727DA1"/>
    <w:rsid w:val="759E8AA8"/>
    <w:rsid w:val="75B474C1"/>
    <w:rsid w:val="75F05814"/>
    <w:rsid w:val="7619747B"/>
    <w:rsid w:val="769A5974"/>
    <w:rsid w:val="76A203BE"/>
    <w:rsid w:val="76B1695E"/>
    <w:rsid w:val="76C237F0"/>
    <w:rsid w:val="76D04AC7"/>
    <w:rsid w:val="76DD5EFB"/>
    <w:rsid w:val="76F70F89"/>
    <w:rsid w:val="770B0E0B"/>
    <w:rsid w:val="77104D12"/>
    <w:rsid w:val="77187814"/>
    <w:rsid w:val="772C26A6"/>
    <w:rsid w:val="772F17FB"/>
    <w:rsid w:val="7773712E"/>
    <w:rsid w:val="77761D32"/>
    <w:rsid w:val="778C7B8F"/>
    <w:rsid w:val="77A54F0A"/>
    <w:rsid w:val="77B56497"/>
    <w:rsid w:val="77FA5911"/>
    <w:rsid w:val="77FDEB90"/>
    <w:rsid w:val="78012C24"/>
    <w:rsid w:val="78150F56"/>
    <w:rsid w:val="783C5C5B"/>
    <w:rsid w:val="787F2D7C"/>
    <w:rsid w:val="789B3599"/>
    <w:rsid w:val="78C95383"/>
    <w:rsid w:val="7948531D"/>
    <w:rsid w:val="79633CBF"/>
    <w:rsid w:val="79A92B12"/>
    <w:rsid w:val="79B7167F"/>
    <w:rsid w:val="79F958DE"/>
    <w:rsid w:val="79FB70D5"/>
    <w:rsid w:val="7A0422BC"/>
    <w:rsid w:val="7A1968EB"/>
    <w:rsid w:val="7A3A5DE4"/>
    <w:rsid w:val="7A4C6B52"/>
    <w:rsid w:val="7A5878BC"/>
    <w:rsid w:val="7A6730A5"/>
    <w:rsid w:val="7A8B159B"/>
    <w:rsid w:val="7A9C310A"/>
    <w:rsid w:val="7AA2462A"/>
    <w:rsid w:val="7ACE7B99"/>
    <w:rsid w:val="7AD134A9"/>
    <w:rsid w:val="7B011B65"/>
    <w:rsid w:val="7B1D3181"/>
    <w:rsid w:val="7B2368BD"/>
    <w:rsid w:val="7B45181B"/>
    <w:rsid w:val="7BAC5173"/>
    <w:rsid w:val="7C615CA4"/>
    <w:rsid w:val="7C6447CD"/>
    <w:rsid w:val="7C9F056F"/>
    <w:rsid w:val="7CA358BE"/>
    <w:rsid w:val="7CB11288"/>
    <w:rsid w:val="7D077933"/>
    <w:rsid w:val="7D226B43"/>
    <w:rsid w:val="7D55A9A8"/>
    <w:rsid w:val="7D7B6617"/>
    <w:rsid w:val="7D811617"/>
    <w:rsid w:val="7D9D088D"/>
    <w:rsid w:val="7DF01CAC"/>
    <w:rsid w:val="7E2C77AC"/>
    <w:rsid w:val="7E35388B"/>
    <w:rsid w:val="7E590686"/>
    <w:rsid w:val="7E5B29FA"/>
    <w:rsid w:val="7E6478FC"/>
    <w:rsid w:val="7E6926CD"/>
    <w:rsid w:val="7E7FFEE7"/>
    <w:rsid w:val="7E8A06E0"/>
    <w:rsid w:val="7E8B36DE"/>
    <w:rsid w:val="7EA52FE7"/>
    <w:rsid w:val="7EC677B9"/>
    <w:rsid w:val="7EFF0EC6"/>
    <w:rsid w:val="7F1C5EDD"/>
    <w:rsid w:val="7F530F9A"/>
    <w:rsid w:val="7F6C7526"/>
    <w:rsid w:val="7F7E49ED"/>
    <w:rsid w:val="7F994A47"/>
    <w:rsid w:val="7FA627C3"/>
    <w:rsid w:val="7FAB4F73"/>
    <w:rsid w:val="7FBB284A"/>
    <w:rsid w:val="7FBFED3C"/>
    <w:rsid w:val="7FEA48D2"/>
    <w:rsid w:val="7FEC7F4A"/>
    <w:rsid w:val="7FFD8F85"/>
    <w:rsid w:val="9AE7BF84"/>
    <w:rsid w:val="9F793739"/>
    <w:rsid w:val="BA9DA454"/>
    <w:rsid w:val="BDB65377"/>
    <w:rsid w:val="BE9FEDDE"/>
    <w:rsid w:val="BFB37408"/>
    <w:rsid w:val="C6D39AC8"/>
    <w:rsid w:val="D5DDDA21"/>
    <w:rsid w:val="DCDFCF5B"/>
    <w:rsid w:val="DDFA9E1A"/>
    <w:rsid w:val="DE4BDAC1"/>
    <w:rsid w:val="EAFFBC6A"/>
    <w:rsid w:val="ED7FF851"/>
    <w:rsid w:val="EF9FF6B9"/>
    <w:rsid w:val="F2FA5F1D"/>
    <w:rsid w:val="FBD32283"/>
    <w:rsid w:val="FBD5B39C"/>
    <w:rsid w:val="FC9F6B02"/>
    <w:rsid w:val="FD9FA183"/>
    <w:rsid w:val="FDBBDDD3"/>
    <w:rsid w:val="FEF58669"/>
    <w:rsid w:val="FEF7FE6D"/>
    <w:rsid w:val="FF7E42ED"/>
    <w:rsid w:val="FFFF570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uiPriority="0" w:name="toc 2"/>
    <w:lsdException w:uiPriority="0" w:name="toc 3"/>
    <w:lsdException w:uiPriority="0" w:name="toc 4"/>
    <w:lsdException w:uiPriority="0" w:name="toc 5"/>
    <w:lsdException w:qFormat="1" w:uiPriority="39" w:name="toc 6"/>
    <w:lsdException w:uiPriority="0" w:name="toc 7"/>
    <w:lsdException w:uiPriority="0" w:name="toc 8"/>
    <w:lsdException w:uiPriority="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qFormat="1" w:unhideWhenUsed="0" w:uiPriority="0"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szCs w:val="24"/>
      <w:lang w:val="en-US" w:eastAsia="zh-CN" w:bidi="ar-SA"/>
    </w:rPr>
  </w:style>
  <w:style w:type="paragraph" w:styleId="2">
    <w:name w:val="heading 1"/>
    <w:basedOn w:val="1"/>
    <w:next w:val="1"/>
    <w:link w:val="50"/>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69"/>
    <w:qFormat/>
    <w:uiPriority w:val="0"/>
    <w:pPr>
      <w:keepNext/>
      <w:keepLines/>
      <w:spacing w:before="260" w:after="260" w:line="415" w:lineRule="auto"/>
      <w:outlineLvl w:val="1"/>
    </w:pPr>
    <w:rPr>
      <w:rFonts w:ascii="Arial" w:hAnsi="Arial" w:eastAsia="黑体"/>
      <w:b/>
      <w:bCs/>
      <w:sz w:val="32"/>
      <w:szCs w:val="32"/>
    </w:rPr>
  </w:style>
  <w:style w:type="paragraph" w:styleId="4">
    <w:name w:val="heading 3"/>
    <w:basedOn w:val="3"/>
    <w:next w:val="1"/>
    <w:link w:val="58"/>
    <w:qFormat/>
    <w:uiPriority w:val="0"/>
    <w:pPr>
      <w:keepNext/>
      <w:keepLines/>
      <w:spacing w:before="260" w:after="260" w:line="416" w:lineRule="auto"/>
      <w:outlineLvl w:val="2"/>
    </w:pPr>
    <w:rPr>
      <w:sz w:val="32"/>
      <w:szCs w:val="32"/>
    </w:rPr>
  </w:style>
  <w:style w:type="paragraph" w:styleId="5">
    <w:name w:val="heading 4"/>
    <w:basedOn w:val="1"/>
    <w:next w:val="1"/>
    <w:link w:val="62"/>
    <w:qFormat/>
    <w:uiPriority w:val="0"/>
    <w:pPr>
      <w:keepNext/>
      <w:keepLines/>
      <w:spacing w:before="280" w:after="290" w:line="376" w:lineRule="auto"/>
      <w:outlineLvl w:val="3"/>
    </w:pPr>
    <w:rPr>
      <w:rFonts w:ascii="Cambria" w:hAnsi="Cambria"/>
      <w:b/>
      <w:bCs/>
      <w:szCs w:val="28"/>
    </w:rPr>
  </w:style>
  <w:style w:type="paragraph" w:styleId="6">
    <w:name w:val="heading 5"/>
    <w:basedOn w:val="1"/>
    <w:next w:val="1"/>
    <w:link w:val="60"/>
    <w:qFormat/>
    <w:uiPriority w:val="0"/>
    <w:pPr>
      <w:keepNext/>
      <w:keepLines/>
      <w:spacing w:before="280" w:after="290" w:line="376" w:lineRule="auto"/>
      <w:outlineLvl w:val="4"/>
    </w:pPr>
    <w:rPr>
      <w:b/>
      <w:bCs/>
      <w:szCs w:val="28"/>
    </w:rPr>
  </w:style>
  <w:style w:type="paragraph" w:styleId="7">
    <w:name w:val="heading 6"/>
    <w:basedOn w:val="1"/>
    <w:next w:val="1"/>
    <w:link w:val="64"/>
    <w:qFormat/>
    <w:uiPriority w:val="0"/>
    <w:pPr>
      <w:keepNext/>
      <w:keepLines/>
      <w:spacing w:before="240" w:after="64" w:line="320" w:lineRule="auto"/>
      <w:outlineLvl w:val="5"/>
    </w:pPr>
    <w:rPr>
      <w:rFonts w:ascii="Cambria" w:hAnsi="Cambria"/>
      <w:b/>
      <w:bCs/>
      <w:sz w:val="24"/>
    </w:rPr>
  </w:style>
  <w:style w:type="character" w:default="1" w:styleId="39">
    <w:name w:val="Default Paragraph Font"/>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8">
    <w:name w:val="List Number"/>
    <w:basedOn w:val="1"/>
    <w:qFormat/>
    <w:uiPriority w:val="0"/>
    <w:pPr>
      <w:widowControl/>
      <w:tabs>
        <w:tab w:val="left" w:pos="454"/>
        <w:tab w:val="left" w:pos="720"/>
        <w:tab w:val="left" w:pos="900"/>
      </w:tabs>
      <w:spacing w:afterLines="50"/>
      <w:ind w:left="454" w:hanging="284"/>
      <w:jc w:val="left"/>
    </w:pPr>
    <w:rPr>
      <w:kern w:val="0"/>
      <w:sz w:val="24"/>
      <w:szCs w:val="20"/>
    </w:rPr>
  </w:style>
  <w:style w:type="paragraph" w:styleId="9">
    <w:name w:val="Normal Indent"/>
    <w:basedOn w:val="1"/>
    <w:next w:val="1"/>
    <w:qFormat/>
    <w:uiPriority w:val="0"/>
    <w:pPr>
      <w:ind w:firstLine="420"/>
    </w:pPr>
    <w:rPr>
      <w:sz w:val="21"/>
      <w:szCs w:val="20"/>
    </w:rPr>
  </w:style>
  <w:style w:type="paragraph" w:styleId="10">
    <w:name w:val="caption"/>
    <w:basedOn w:val="1"/>
    <w:next w:val="1"/>
    <w:qFormat/>
    <w:uiPriority w:val="0"/>
    <w:pPr>
      <w:spacing w:before="152" w:after="160"/>
    </w:pPr>
    <w:rPr>
      <w:rFonts w:ascii="Arial" w:hAnsi="Arial" w:eastAsia="黑体" w:cs="Arial"/>
      <w:sz w:val="20"/>
      <w:szCs w:val="20"/>
    </w:rPr>
  </w:style>
  <w:style w:type="paragraph" w:styleId="11">
    <w:name w:val="Document Map"/>
    <w:basedOn w:val="1"/>
    <w:link w:val="109"/>
    <w:qFormat/>
    <w:uiPriority w:val="0"/>
    <w:rPr>
      <w:rFonts w:ascii="宋体"/>
      <w:sz w:val="18"/>
      <w:szCs w:val="18"/>
    </w:rPr>
  </w:style>
  <w:style w:type="paragraph" w:styleId="12">
    <w:name w:val="annotation text"/>
    <w:basedOn w:val="1"/>
    <w:link w:val="67"/>
    <w:qFormat/>
    <w:uiPriority w:val="0"/>
    <w:rPr>
      <w:sz w:val="20"/>
      <w:szCs w:val="20"/>
    </w:rPr>
  </w:style>
  <w:style w:type="paragraph" w:styleId="13">
    <w:name w:val="Body Text 3"/>
    <w:basedOn w:val="1"/>
    <w:qFormat/>
    <w:uiPriority w:val="0"/>
    <w:pPr>
      <w:snapToGrid w:val="0"/>
      <w:spacing w:before="50" w:after="50"/>
    </w:pPr>
    <w:rPr>
      <w:rFonts w:hAnsi="宋体" w:eastAsia="仿宋_GB2312"/>
      <w:b/>
      <w:bCs/>
      <w:sz w:val="24"/>
      <w:szCs w:val="20"/>
    </w:rPr>
  </w:style>
  <w:style w:type="paragraph" w:styleId="14">
    <w:name w:val="Body Text"/>
    <w:basedOn w:val="1"/>
    <w:next w:val="15"/>
    <w:qFormat/>
    <w:uiPriority w:val="0"/>
    <w:pPr>
      <w:spacing w:after="120"/>
    </w:pPr>
  </w:style>
  <w:style w:type="paragraph" w:styleId="15">
    <w:name w:val="Body Text First Indent"/>
    <w:basedOn w:val="14"/>
    <w:next w:val="16"/>
    <w:qFormat/>
    <w:uiPriority w:val="0"/>
    <w:pPr>
      <w:ind w:firstLine="420" w:firstLineChars="100"/>
    </w:pPr>
    <w:rPr>
      <w:rFonts w:ascii="Calibri" w:hAnsi="Calibri"/>
      <w:sz w:val="21"/>
    </w:rPr>
  </w:style>
  <w:style w:type="paragraph" w:styleId="16">
    <w:name w:val="toc 6"/>
    <w:basedOn w:val="1"/>
    <w:next w:val="1"/>
    <w:semiHidden/>
    <w:unhideWhenUsed/>
    <w:qFormat/>
    <w:uiPriority w:val="39"/>
    <w:pPr>
      <w:ind w:left="2100" w:leftChars="1000"/>
    </w:pPr>
  </w:style>
  <w:style w:type="paragraph" w:styleId="17">
    <w:name w:val="Body Text Indent"/>
    <w:basedOn w:val="1"/>
    <w:link w:val="63"/>
    <w:qFormat/>
    <w:uiPriority w:val="0"/>
    <w:pPr>
      <w:spacing w:line="200" w:lineRule="atLeast"/>
      <w:ind w:firstLine="301"/>
    </w:pPr>
    <w:rPr>
      <w:rFonts w:ascii="宋体" w:hAnsi="Courier New"/>
      <w:spacing w:val="-4"/>
      <w:sz w:val="18"/>
      <w:szCs w:val="20"/>
    </w:rPr>
  </w:style>
  <w:style w:type="paragraph" w:styleId="18">
    <w:name w:val="List Number 3"/>
    <w:basedOn w:val="1"/>
    <w:qFormat/>
    <w:uiPriority w:val="0"/>
    <w:pPr>
      <w:tabs>
        <w:tab w:val="left" w:pos="1200"/>
      </w:tabs>
      <w:ind w:left="720" w:hanging="420"/>
    </w:pPr>
    <w:rPr>
      <w:sz w:val="21"/>
    </w:rPr>
  </w:style>
  <w:style w:type="paragraph" w:styleId="19">
    <w:name w:val="List 2"/>
    <w:basedOn w:val="1"/>
    <w:qFormat/>
    <w:uiPriority w:val="0"/>
    <w:pPr>
      <w:ind w:left="200" w:leftChars="200" w:hanging="200" w:hangingChars="200"/>
    </w:pPr>
  </w:style>
  <w:style w:type="paragraph" w:styleId="20">
    <w:name w:val="Block Text"/>
    <w:basedOn w:val="1"/>
    <w:qFormat/>
    <w:uiPriority w:val="0"/>
    <w:pPr>
      <w:autoSpaceDE w:val="0"/>
      <w:autoSpaceDN w:val="0"/>
      <w:adjustRightInd w:val="0"/>
      <w:spacing w:line="240" w:lineRule="atLeast"/>
      <w:ind w:left="1797" w:right="857" w:rightChars="857" w:firstLine="542" w:firstLineChars="226"/>
      <w:jc w:val="left"/>
    </w:pPr>
    <w:rPr>
      <w:rFonts w:hint="eastAsia" w:ascii="宋体"/>
      <w:color w:val="000000"/>
      <w:kern w:val="0"/>
      <w:sz w:val="24"/>
    </w:rPr>
  </w:style>
  <w:style w:type="paragraph" w:styleId="21">
    <w:name w:val="Plain Text"/>
    <w:basedOn w:val="1"/>
    <w:next w:val="1"/>
    <w:link w:val="68"/>
    <w:qFormat/>
    <w:uiPriority w:val="0"/>
    <w:pPr>
      <w:spacing w:beforeLines="50" w:afterLines="50" w:line="400" w:lineRule="atLeast"/>
    </w:pPr>
    <w:rPr>
      <w:rFonts w:ascii="宋体" w:hAnsi="Courier New"/>
      <w:sz w:val="24"/>
    </w:rPr>
  </w:style>
  <w:style w:type="paragraph" w:styleId="22">
    <w:name w:val="Date"/>
    <w:basedOn w:val="1"/>
    <w:next w:val="1"/>
    <w:link w:val="70"/>
    <w:qFormat/>
    <w:uiPriority w:val="0"/>
    <w:pPr>
      <w:ind w:left="2500" w:leftChars="2500"/>
    </w:pPr>
    <w:rPr>
      <w:rFonts w:eastAsia="楷体_GB2312"/>
      <w:sz w:val="32"/>
      <w:szCs w:val="20"/>
    </w:rPr>
  </w:style>
  <w:style w:type="paragraph" w:styleId="23">
    <w:name w:val="Body Text Indent 2"/>
    <w:basedOn w:val="1"/>
    <w:link w:val="49"/>
    <w:qFormat/>
    <w:uiPriority w:val="0"/>
    <w:pPr>
      <w:snapToGrid w:val="0"/>
      <w:ind w:firstLine="542" w:firstLineChars="225"/>
    </w:pPr>
    <w:rPr>
      <w:rFonts w:ascii="仿宋_GB2312" w:hAnsi="宋体"/>
      <w:b/>
      <w:bCs/>
      <w:color w:val="000000"/>
      <w:sz w:val="24"/>
    </w:rPr>
  </w:style>
  <w:style w:type="paragraph" w:styleId="24">
    <w:name w:val="Balloon Text"/>
    <w:basedOn w:val="1"/>
    <w:link w:val="59"/>
    <w:qFormat/>
    <w:uiPriority w:val="0"/>
    <w:rPr>
      <w:sz w:val="18"/>
      <w:szCs w:val="18"/>
    </w:rPr>
  </w:style>
  <w:style w:type="paragraph" w:styleId="25">
    <w:name w:val="footer"/>
    <w:basedOn w:val="1"/>
    <w:link w:val="61"/>
    <w:qFormat/>
    <w:uiPriority w:val="0"/>
    <w:pPr>
      <w:tabs>
        <w:tab w:val="center" w:pos="4153"/>
        <w:tab w:val="right" w:pos="8306"/>
      </w:tabs>
      <w:snapToGrid w:val="0"/>
      <w:jc w:val="left"/>
    </w:pPr>
    <w:rPr>
      <w:sz w:val="18"/>
      <w:szCs w:val="18"/>
    </w:rPr>
  </w:style>
  <w:style w:type="paragraph" w:styleId="26">
    <w:name w:val="header"/>
    <w:basedOn w:val="1"/>
    <w:link w:val="52"/>
    <w:qFormat/>
    <w:uiPriority w:val="0"/>
    <w:pPr>
      <w:pBdr>
        <w:bottom w:val="single" w:color="auto" w:sz="6" w:space="1"/>
      </w:pBdr>
      <w:tabs>
        <w:tab w:val="center" w:pos="4153"/>
        <w:tab w:val="right" w:pos="8306"/>
      </w:tabs>
      <w:snapToGrid w:val="0"/>
      <w:jc w:val="center"/>
    </w:pPr>
    <w:rPr>
      <w:sz w:val="18"/>
      <w:szCs w:val="18"/>
    </w:rPr>
  </w:style>
  <w:style w:type="paragraph" w:styleId="27">
    <w:name w:val="toc 1"/>
    <w:basedOn w:val="1"/>
    <w:next w:val="1"/>
    <w:qFormat/>
    <w:uiPriority w:val="0"/>
    <w:rPr>
      <w:sz w:val="21"/>
    </w:rPr>
  </w:style>
  <w:style w:type="paragraph" w:styleId="28">
    <w:name w:val="List"/>
    <w:basedOn w:val="1"/>
    <w:qFormat/>
    <w:uiPriority w:val="0"/>
    <w:pPr>
      <w:ind w:left="200" w:hanging="200" w:hangingChars="200"/>
    </w:pPr>
  </w:style>
  <w:style w:type="paragraph" w:styleId="29">
    <w:name w:val="footnote text"/>
    <w:basedOn w:val="1"/>
    <w:qFormat/>
    <w:uiPriority w:val="0"/>
    <w:pPr>
      <w:snapToGrid w:val="0"/>
      <w:jc w:val="left"/>
    </w:pPr>
    <w:rPr>
      <w:rFonts w:eastAsia="仿宋_GB2312"/>
      <w:sz w:val="18"/>
      <w:szCs w:val="20"/>
    </w:rPr>
  </w:style>
  <w:style w:type="paragraph" w:styleId="30">
    <w:name w:val="Body Text Indent 3"/>
    <w:basedOn w:val="1"/>
    <w:qFormat/>
    <w:uiPriority w:val="0"/>
    <w:pPr>
      <w:spacing w:after="120"/>
      <w:ind w:left="420" w:leftChars="200"/>
    </w:pPr>
    <w:rPr>
      <w:sz w:val="16"/>
      <w:szCs w:val="16"/>
    </w:rPr>
  </w:style>
  <w:style w:type="paragraph" w:styleId="31">
    <w:name w:val="Body Text 2"/>
    <w:basedOn w:val="1"/>
    <w:qFormat/>
    <w:uiPriority w:val="0"/>
    <w:pPr>
      <w:widowControl/>
      <w:snapToGrid w:val="0"/>
      <w:spacing w:before="50" w:afterLines="50" w:line="400" w:lineRule="atLeast"/>
      <w:jc w:val="left"/>
    </w:pPr>
    <w:rPr>
      <w:rFonts w:hint="eastAsia" w:ascii="宋体" w:hAnsi="宋体"/>
      <w:color w:val="000000"/>
      <w:sz w:val="24"/>
    </w:rPr>
  </w:style>
  <w:style w:type="paragraph" w:styleId="32">
    <w:name w:val="HTML Preformatted"/>
    <w:basedOn w:val="1"/>
    <w:link w:val="6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33">
    <w:name w:val="Normal (Web)"/>
    <w:basedOn w:val="1"/>
    <w:qFormat/>
    <w:uiPriority w:val="0"/>
    <w:pPr>
      <w:widowControl/>
      <w:spacing w:before="100" w:beforeAutospacing="1" w:after="100" w:afterAutospacing="1"/>
      <w:jc w:val="left"/>
    </w:pPr>
    <w:rPr>
      <w:rFonts w:ascii="宋体" w:hAnsi="宋体"/>
      <w:color w:val="000000"/>
      <w:kern w:val="0"/>
      <w:sz w:val="24"/>
    </w:rPr>
  </w:style>
  <w:style w:type="paragraph" w:styleId="34">
    <w:name w:val="Title"/>
    <w:basedOn w:val="1"/>
    <w:next w:val="1"/>
    <w:link w:val="73"/>
    <w:qFormat/>
    <w:uiPriority w:val="0"/>
    <w:pPr>
      <w:spacing w:before="240" w:after="60"/>
      <w:jc w:val="center"/>
      <w:outlineLvl w:val="0"/>
    </w:pPr>
    <w:rPr>
      <w:rFonts w:ascii="Arial" w:hAnsi="Arial" w:cs="Arial"/>
      <w:b/>
      <w:bCs/>
      <w:sz w:val="32"/>
      <w:szCs w:val="32"/>
    </w:rPr>
  </w:style>
  <w:style w:type="paragraph" w:styleId="35">
    <w:name w:val="annotation subject"/>
    <w:basedOn w:val="12"/>
    <w:next w:val="12"/>
    <w:link w:val="53"/>
    <w:qFormat/>
    <w:uiPriority w:val="0"/>
    <w:rPr>
      <w:b/>
      <w:bCs/>
    </w:rPr>
  </w:style>
  <w:style w:type="paragraph" w:styleId="36">
    <w:name w:val="Body Text First Indent 2"/>
    <w:basedOn w:val="17"/>
    <w:link w:val="72"/>
    <w:qFormat/>
    <w:uiPriority w:val="0"/>
    <w:pPr>
      <w:spacing w:after="120" w:line="240" w:lineRule="auto"/>
      <w:ind w:left="420" w:leftChars="200" w:firstLine="420" w:firstLineChars="200"/>
    </w:pPr>
    <w:rPr>
      <w:rFonts w:ascii="Times New Roman" w:hAnsi="Times New Roman"/>
      <w:sz w:val="28"/>
      <w:szCs w:val="24"/>
    </w:rPr>
  </w:style>
  <w:style w:type="table" w:styleId="38">
    <w:name w:val="Table Grid"/>
    <w:basedOn w:val="3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0">
    <w:name w:val="Strong"/>
    <w:qFormat/>
    <w:uiPriority w:val="0"/>
    <w:rPr>
      <w:rFonts w:ascii="Times New Roman" w:hAnsi="Times New Roman" w:eastAsia="宋体" w:cs="Times New Roman"/>
      <w:b/>
      <w:bCs/>
    </w:rPr>
  </w:style>
  <w:style w:type="character" w:styleId="41">
    <w:name w:val="page number"/>
    <w:qFormat/>
    <w:uiPriority w:val="0"/>
    <w:rPr>
      <w:rFonts w:ascii="Times New Roman" w:hAnsi="Times New Roman" w:eastAsia="宋体" w:cs="Times New Roman"/>
    </w:rPr>
  </w:style>
  <w:style w:type="character" w:styleId="42">
    <w:name w:val="FollowedHyperlink"/>
    <w:qFormat/>
    <w:uiPriority w:val="0"/>
    <w:rPr>
      <w:rFonts w:ascii="Times New Roman" w:hAnsi="Times New Roman" w:eastAsia="宋体" w:cs="Times New Roman"/>
      <w:color w:val="800080"/>
      <w:u w:val="single"/>
    </w:rPr>
  </w:style>
  <w:style w:type="character" w:styleId="43">
    <w:name w:val="Hyperlink"/>
    <w:qFormat/>
    <w:uiPriority w:val="0"/>
    <w:rPr>
      <w:rFonts w:ascii="Times New Roman" w:hAnsi="Times New Roman" w:eastAsia="宋体" w:cs="Times New Roman"/>
      <w:color w:val="0000FF"/>
      <w:u w:val="single"/>
    </w:rPr>
  </w:style>
  <w:style w:type="character" w:styleId="44">
    <w:name w:val="annotation reference"/>
    <w:qFormat/>
    <w:uiPriority w:val="0"/>
    <w:rPr>
      <w:rFonts w:ascii="Times New Roman" w:hAnsi="Times New Roman" w:eastAsia="宋体" w:cs="Times New Roman"/>
      <w:sz w:val="16"/>
      <w:szCs w:val="16"/>
    </w:rPr>
  </w:style>
  <w:style w:type="character" w:styleId="45">
    <w:name w:val="footnote reference"/>
    <w:qFormat/>
    <w:uiPriority w:val="0"/>
    <w:rPr>
      <w:rFonts w:ascii="Times New Roman" w:hAnsi="Times New Roman" w:eastAsia="宋体" w:cs="Times New Roman"/>
      <w:vertAlign w:val="superscript"/>
    </w:rPr>
  </w:style>
  <w:style w:type="paragraph" w:customStyle="1" w:styleId="46">
    <w:name w:val="4、正文"/>
    <w:basedOn w:val="1"/>
    <w:qFormat/>
    <w:uiPriority w:val="0"/>
    <w:pPr>
      <w:ind w:firstLine="200" w:firstLineChars="200"/>
    </w:pPr>
    <w:rPr>
      <w:rFonts w:ascii="宋体"/>
      <w:sz w:val="24"/>
      <w:szCs w:val="28"/>
    </w:rPr>
  </w:style>
  <w:style w:type="paragraph" w:customStyle="1" w:styleId="47">
    <w:name w:val="表格文字"/>
    <w:basedOn w:val="1"/>
    <w:next w:val="14"/>
    <w:qFormat/>
    <w:uiPriority w:val="0"/>
    <w:pPr>
      <w:adjustRightInd w:val="0"/>
      <w:spacing w:line="420" w:lineRule="atLeast"/>
      <w:jc w:val="left"/>
      <w:textAlignment w:val="baseline"/>
    </w:pPr>
    <w:rPr>
      <w:kern w:val="0"/>
      <w:szCs w:val="20"/>
    </w:rPr>
  </w:style>
  <w:style w:type="character" w:customStyle="1" w:styleId="48">
    <w:name w:val="NormalCharacter"/>
    <w:qFormat/>
    <w:uiPriority w:val="0"/>
  </w:style>
  <w:style w:type="character" w:customStyle="1" w:styleId="49">
    <w:name w:val="正文文本缩进 2 字符"/>
    <w:link w:val="23"/>
    <w:qFormat/>
    <w:uiPriority w:val="0"/>
    <w:rPr>
      <w:rFonts w:ascii="仿宋_GB2312" w:hAnsi="宋体" w:eastAsia="宋体" w:cs="Arial"/>
      <w:b/>
      <w:bCs/>
      <w:color w:val="000000"/>
      <w:kern w:val="2"/>
      <w:sz w:val="24"/>
      <w:szCs w:val="24"/>
    </w:rPr>
  </w:style>
  <w:style w:type="character" w:customStyle="1" w:styleId="50">
    <w:name w:val="标题 1 字符"/>
    <w:link w:val="2"/>
    <w:qFormat/>
    <w:uiPriority w:val="0"/>
    <w:rPr>
      <w:rFonts w:ascii="Times New Roman" w:hAnsi="Times New Roman" w:eastAsia="宋体" w:cs="Times New Roman"/>
      <w:b/>
      <w:bCs/>
      <w:kern w:val="44"/>
      <w:sz w:val="44"/>
      <w:szCs w:val="44"/>
    </w:rPr>
  </w:style>
  <w:style w:type="character" w:customStyle="1" w:styleId="51">
    <w:name w:val="fontstyle01"/>
    <w:qFormat/>
    <w:uiPriority w:val="0"/>
    <w:rPr>
      <w:rFonts w:ascii="新宋体" w:hAnsi="新宋体" w:eastAsia="新宋体" w:cs="新宋体"/>
      <w:color w:val="000000"/>
      <w:sz w:val="22"/>
      <w:szCs w:val="22"/>
    </w:rPr>
  </w:style>
  <w:style w:type="character" w:customStyle="1" w:styleId="52">
    <w:name w:val="页眉 字符"/>
    <w:link w:val="26"/>
    <w:qFormat/>
    <w:uiPriority w:val="0"/>
    <w:rPr>
      <w:rFonts w:ascii="Times New Roman" w:hAnsi="Times New Roman" w:eastAsia="宋体" w:cs="Times New Roman"/>
      <w:kern w:val="2"/>
      <w:sz w:val="18"/>
      <w:szCs w:val="18"/>
    </w:rPr>
  </w:style>
  <w:style w:type="character" w:customStyle="1" w:styleId="53">
    <w:name w:val="批注主题 字符"/>
    <w:link w:val="35"/>
    <w:qFormat/>
    <w:uiPriority w:val="0"/>
    <w:rPr>
      <w:rFonts w:ascii="Times New Roman" w:hAnsi="Times New Roman" w:eastAsia="宋体" w:cs="Times New Roman"/>
      <w:b/>
      <w:bCs/>
      <w:kern w:val="2"/>
      <w:lang w:val="en-US"/>
    </w:rPr>
  </w:style>
  <w:style w:type="character" w:customStyle="1" w:styleId="54">
    <w:name w:val="List Paragraph Char"/>
    <w:link w:val="55"/>
    <w:qFormat/>
    <w:uiPriority w:val="0"/>
    <w:rPr>
      <w:rFonts w:ascii="Times New Roman" w:hAnsi="Times New Roman" w:eastAsia="宋体" w:cs="Times New Roman"/>
      <w:kern w:val="2"/>
      <w:sz w:val="24"/>
      <w:szCs w:val="24"/>
    </w:rPr>
  </w:style>
  <w:style w:type="paragraph" w:customStyle="1" w:styleId="55">
    <w:name w:val="列出段落1"/>
    <w:basedOn w:val="1"/>
    <w:link w:val="54"/>
    <w:qFormat/>
    <w:uiPriority w:val="0"/>
    <w:pPr>
      <w:ind w:firstLine="420" w:firstLineChars="200"/>
    </w:pPr>
    <w:rPr>
      <w:sz w:val="24"/>
    </w:rPr>
  </w:style>
  <w:style w:type="character" w:customStyle="1" w:styleId="56">
    <w:name w:val="标题 2 Char"/>
    <w:qFormat/>
    <w:uiPriority w:val="0"/>
    <w:rPr>
      <w:rFonts w:ascii="Arial" w:hAnsi="Arial" w:eastAsia="黑体" w:cs="Times New Roman"/>
      <w:b/>
      <w:bCs/>
      <w:sz w:val="32"/>
      <w:szCs w:val="32"/>
      <w:lang w:val="en-US" w:eastAsia="zh-CN" w:bidi="ar-SA"/>
    </w:rPr>
  </w:style>
  <w:style w:type="character" w:customStyle="1" w:styleId="57">
    <w:name w:val="fontstyle11"/>
    <w:qFormat/>
    <w:uiPriority w:val="0"/>
    <w:rPr>
      <w:rFonts w:hint="eastAsia" w:ascii="宋体" w:hAnsi="宋体" w:eastAsia="宋体" w:cs="宋体"/>
      <w:color w:val="000000"/>
      <w:sz w:val="22"/>
      <w:szCs w:val="22"/>
    </w:rPr>
  </w:style>
  <w:style w:type="character" w:customStyle="1" w:styleId="58">
    <w:name w:val="标题 3 字符"/>
    <w:link w:val="4"/>
    <w:qFormat/>
    <w:uiPriority w:val="0"/>
    <w:rPr>
      <w:rFonts w:ascii="Times New Roman" w:hAnsi="Times New Roman" w:eastAsia="宋体" w:cs="Times New Roman"/>
      <w:b/>
      <w:bCs/>
      <w:kern w:val="2"/>
      <w:sz w:val="32"/>
      <w:szCs w:val="32"/>
    </w:rPr>
  </w:style>
  <w:style w:type="character" w:customStyle="1" w:styleId="59">
    <w:name w:val="批注框文本 字符"/>
    <w:link w:val="24"/>
    <w:qFormat/>
    <w:uiPriority w:val="0"/>
    <w:rPr>
      <w:rFonts w:ascii="Times New Roman" w:hAnsi="Times New Roman" w:eastAsia="宋体" w:cs="Times New Roman"/>
      <w:kern w:val="2"/>
      <w:sz w:val="18"/>
      <w:szCs w:val="18"/>
    </w:rPr>
  </w:style>
  <w:style w:type="character" w:customStyle="1" w:styleId="60">
    <w:name w:val="标题 5 字符"/>
    <w:link w:val="6"/>
    <w:qFormat/>
    <w:uiPriority w:val="0"/>
    <w:rPr>
      <w:rFonts w:ascii="Times New Roman" w:hAnsi="Times New Roman" w:eastAsia="宋体" w:cs="Times New Roman"/>
      <w:b/>
      <w:bCs/>
      <w:kern w:val="2"/>
      <w:sz w:val="28"/>
      <w:szCs w:val="28"/>
    </w:rPr>
  </w:style>
  <w:style w:type="character" w:customStyle="1" w:styleId="61">
    <w:name w:val="页脚 字符"/>
    <w:link w:val="25"/>
    <w:qFormat/>
    <w:uiPriority w:val="0"/>
    <w:rPr>
      <w:rFonts w:ascii="Times New Roman" w:hAnsi="Times New Roman" w:eastAsia="宋体" w:cs="Times New Roman"/>
      <w:kern w:val="2"/>
      <w:sz w:val="18"/>
      <w:szCs w:val="18"/>
    </w:rPr>
  </w:style>
  <w:style w:type="character" w:customStyle="1" w:styleId="62">
    <w:name w:val="标题 4 字符"/>
    <w:link w:val="5"/>
    <w:qFormat/>
    <w:uiPriority w:val="0"/>
    <w:rPr>
      <w:rFonts w:ascii="Cambria" w:hAnsi="Cambria" w:eastAsia="宋体" w:cs="Times New Roman"/>
      <w:b/>
      <w:bCs/>
      <w:kern w:val="2"/>
      <w:sz w:val="28"/>
      <w:szCs w:val="28"/>
    </w:rPr>
  </w:style>
  <w:style w:type="character" w:customStyle="1" w:styleId="63">
    <w:name w:val="正文文本缩进 字符"/>
    <w:link w:val="17"/>
    <w:qFormat/>
    <w:uiPriority w:val="0"/>
    <w:rPr>
      <w:rFonts w:ascii="宋体" w:hAnsi="Courier New" w:eastAsia="宋体" w:cs="Times New Roman"/>
      <w:spacing w:val="-4"/>
      <w:kern w:val="2"/>
      <w:sz w:val="18"/>
    </w:rPr>
  </w:style>
  <w:style w:type="character" w:customStyle="1" w:styleId="64">
    <w:name w:val="标题 6 字符"/>
    <w:link w:val="7"/>
    <w:qFormat/>
    <w:uiPriority w:val="0"/>
    <w:rPr>
      <w:rFonts w:ascii="Cambria" w:hAnsi="Cambria" w:eastAsia="宋体" w:cs="Times New Roman"/>
      <w:b/>
      <w:bCs/>
      <w:kern w:val="2"/>
      <w:sz w:val="24"/>
      <w:szCs w:val="24"/>
    </w:rPr>
  </w:style>
  <w:style w:type="character" w:customStyle="1" w:styleId="65">
    <w:name w:val="HTML 预设格式 字符"/>
    <w:link w:val="32"/>
    <w:qFormat/>
    <w:uiPriority w:val="0"/>
    <w:rPr>
      <w:rFonts w:ascii="宋体" w:hAnsi="宋体" w:eastAsia="宋体" w:cs="Times New Roman"/>
      <w:sz w:val="24"/>
      <w:szCs w:val="24"/>
    </w:rPr>
  </w:style>
  <w:style w:type="character" w:customStyle="1" w:styleId="66">
    <w:name w:val="纯文本 Char1"/>
    <w:qFormat/>
    <w:uiPriority w:val="0"/>
    <w:rPr>
      <w:rFonts w:ascii="宋体" w:hAnsi="Courier New" w:eastAsia="宋体" w:cs="Times New Roman"/>
      <w:kern w:val="2"/>
      <w:sz w:val="24"/>
      <w:szCs w:val="24"/>
      <w:lang w:val="en-US" w:eastAsia="zh-CN" w:bidi="ar-SA"/>
    </w:rPr>
  </w:style>
  <w:style w:type="character" w:customStyle="1" w:styleId="67">
    <w:name w:val="批注文字 字符"/>
    <w:link w:val="12"/>
    <w:qFormat/>
    <w:uiPriority w:val="0"/>
    <w:rPr>
      <w:rFonts w:ascii="Times New Roman" w:hAnsi="Times New Roman" w:eastAsia="宋体" w:cs="Times New Roman"/>
      <w:kern w:val="2"/>
      <w:lang w:val="en-US"/>
    </w:rPr>
  </w:style>
  <w:style w:type="character" w:customStyle="1" w:styleId="68">
    <w:name w:val="纯文本 字符"/>
    <w:link w:val="21"/>
    <w:qFormat/>
    <w:uiPriority w:val="0"/>
    <w:rPr>
      <w:rFonts w:ascii="宋体" w:hAnsi="Courier New" w:eastAsia="宋体" w:cs="Times New Roman"/>
      <w:kern w:val="2"/>
      <w:sz w:val="24"/>
      <w:szCs w:val="24"/>
      <w:lang w:val="en-US" w:eastAsia="zh-CN" w:bidi="ar-SA"/>
    </w:rPr>
  </w:style>
  <w:style w:type="character" w:customStyle="1" w:styleId="69">
    <w:name w:val="标题 2 字符"/>
    <w:link w:val="3"/>
    <w:qFormat/>
    <w:uiPriority w:val="0"/>
    <w:rPr>
      <w:rFonts w:ascii="Arial" w:hAnsi="Arial" w:eastAsia="黑体" w:cs="Times New Roman"/>
      <w:b/>
      <w:bCs/>
      <w:kern w:val="2"/>
      <w:sz w:val="32"/>
      <w:szCs w:val="32"/>
    </w:rPr>
  </w:style>
  <w:style w:type="character" w:customStyle="1" w:styleId="70">
    <w:name w:val="日期 字符"/>
    <w:link w:val="22"/>
    <w:qFormat/>
    <w:uiPriority w:val="0"/>
    <w:rPr>
      <w:rFonts w:ascii="Times New Roman" w:hAnsi="Times New Roman" w:eastAsia="楷体_GB2312" w:cs="Times New Roman"/>
      <w:kern w:val="2"/>
      <w:sz w:val="32"/>
    </w:rPr>
  </w:style>
  <w:style w:type="character" w:customStyle="1" w:styleId="71">
    <w:name w:val="标题 1 Char Char"/>
    <w:qFormat/>
    <w:uiPriority w:val="0"/>
    <w:rPr>
      <w:rFonts w:ascii="Times New Roman" w:hAnsi="Times New Roman" w:eastAsia="宋体" w:cs="Times New Roman"/>
      <w:b/>
      <w:spacing w:val="-2"/>
      <w:sz w:val="24"/>
      <w:lang w:val="en-US" w:eastAsia="zh-CN" w:bidi="ar-SA"/>
    </w:rPr>
  </w:style>
  <w:style w:type="character" w:customStyle="1" w:styleId="72">
    <w:name w:val="正文首行缩进 2 字符"/>
    <w:link w:val="36"/>
    <w:qFormat/>
    <w:uiPriority w:val="0"/>
    <w:rPr>
      <w:rFonts w:ascii="宋体" w:hAnsi="Courier New" w:eastAsia="宋体" w:cs="Times New Roman"/>
      <w:spacing w:val="-4"/>
      <w:kern w:val="2"/>
      <w:sz w:val="28"/>
      <w:szCs w:val="24"/>
    </w:rPr>
  </w:style>
  <w:style w:type="character" w:customStyle="1" w:styleId="73">
    <w:name w:val="标题 字符"/>
    <w:link w:val="34"/>
    <w:qFormat/>
    <w:uiPriority w:val="0"/>
    <w:rPr>
      <w:rFonts w:ascii="Arial" w:hAnsi="Arial" w:eastAsia="宋体" w:cs="Arial"/>
      <w:b/>
      <w:bCs/>
      <w:kern w:val="2"/>
      <w:sz w:val="32"/>
      <w:szCs w:val="32"/>
      <w:lang w:val="en-US" w:eastAsia="zh-CN" w:bidi="ar-SA"/>
    </w:rPr>
  </w:style>
  <w:style w:type="paragraph" w:customStyle="1" w:styleId="74">
    <w:name w:val="默认段落字体 Para Char Char Char Char Char Char Char Char Char1 Char Char Char Char"/>
    <w:basedOn w:val="1"/>
    <w:qFormat/>
    <w:uiPriority w:val="0"/>
    <w:rPr>
      <w:rFonts w:ascii="Tahoma" w:hAnsi="Tahoma"/>
      <w:sz w:val="24"/>
      <w:szCs w:val="20"/>
    </w:rPr>
  </w:style>
  <w:style w:type="paragraph" w:customStyle="1" w:styleId="75">
    <w:name w:val="_Style 2"/>
    <w:qFormat/>
    <w:uiPriority w:val="0"/>
    <w:pPr>
      <w:adjustRightInd w:val="0"/>
      <w:snapToGrid w:val="0"/>
    </w:pPr>
    <w:rPr>
      <w:rFonts w:ascii="Tahoma" w:hAnsi="Tahoma" w:eastAsia="微软雅黑" w:cs="Tahoma"/>
      <w:sz w:val="22"/>
      <w:szCs w:val="22"/>
      <w:lang w:val="en-US" w:eastAsia="zh-CN" w:bidi="ar-SA"/>
    </w:rPr>
  </w:style>
  <w:style w:type="paragraph" w:customStyle="1" w:styleId="76">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7">
    <w:name w:val="正文1"/>
    <w:qFormat/>
    <w:uiPriority w:val="0"/>
    <w:pPr>
      <w:widowControl w:val="0"/>
      <w:jc w:val="both"/>
    </w:pPr>
    <w:rPr>
      <w:rFonts w:hint="eastAsia" w:ascii="Calibri" w:hAnsi="Calibri" w:eastAsia="宋体" w:cs="Times New Roman"/>
      <w:kern w:val="2"/>
      <w:sz w:val="21"/>
      <w:lang w:val="en-US" w:eastAsia="zh-CN" w:bidi="ar-SA"/>
    </w:rPr>
  </w:style>
  <w:style w:type="paragraph" w:customStyle="1" w:styleId="78">
    <w:name w:val="修订1"/>
    <w:qFormat/>
    <w:uiPriority w:val="0"/>
    <w:rPr>
      <w:rFonts w:ascii="Times New Roman" w:hAnsi="Times New Roman" w:eastAsia="宋体" w:cs="Times New Roman"/>
      <w:kern w:val="2"/>
      <w:sz w:val="28"/>
      <w:szCs w:val="24"/>
      <w:lang w:val="en-US" w:eastAsia="zh-CN" w:bidi="ar-SA"/>
    </w:rPr>
  </w:style>
  <w:style w:type="paragraph" w:customStyle="1" w:styleId="79">
    <w:name w:val="Char2"/>
    <w:basedOn w:val="1"/>
    <w:next w:val="1"/>
    <w:qFormat/>
    <w:uiPriority w:val="0"/>
    <w:pPr>
      <w:spacing w:before="120" w:line="360" w:lineRule="auto"/>
      <w:ind w:firstLine="425"/>
    </w:pPr>
    <w:rPr>
      <w:sz w:val="24"/>
    </w:rPr>
  </w:style>
  <w:style w:type="paragraph" w:customStyle="1" w:styleId="80">
    <w:name w:val="正文段"/>
    <w:basedOn w:val="1"/>
    <w:qFormat/>
    <w:uiPriority w:val="0"/>
    <w:pPr>
      <w:widowControl/>
      <w:snapToGrid w:val="0"/>
      <w:spacing w:afterLines="50"/>
      <w:ind w:firstLine="200" w:firstLineChars="200"/>
    </w:pPr>
    <w:rPr>
      <w:kern w:val="0"/>
      <w:sz w:val="24"/>
      <w:szCs w:val="20"/>
    </w:rPr>
  </w:style>
  <w:style w:type="paragraph" w:customStyle="1" w:styleId="81">
    <w:name w:val="msolistparagraph"/>
    <w:basedOn w:val="1"/>
    <w:qFormat/>
    <w:uiPriority w:val="0"/>
    <w:pPr>
      <w:ind w:firstLine="420" w:firstLineChars="200"/>
    </w:pPr>
    <w:rPr>
      <w:rFonts w:ascii="Calibri" w:hAnsi="Calibri"/>
      <w:szCs w:val="28"/>
    </w:rPr>
  </w:style>
  <w:style w:type="paragraph" w:customStyle="1" w:styleId="82">
    <w:name w:val="Char"/>
    <w:basedOn w:val="1"/>
    <w:qFormat/>
    <w:uiPriority w:val="0"/>
    <w:rPr>
      <w:sz w:val="21"/>
    </w:rPr>
  </w:style>
  <w:style w:type="paragraph" w:customStyle="1" w:styleId="83">
    <w:name w:val="正文缩进1"/>
    <w:basedOn w:val="1"/>
    <w:qFormat/>
    <w:uiPriority w:val="0"/>
    <w:pPr>
      <w:adjustRightInd w:val="0"/>
      <w:snapToGrid w:val="0"/>
      <w:spacing w:line="360" w:lineRule="auto"/>
      <w:ind w:firstLine="420" w:firstLineChars="200"/>
    </w:pPr>
    <w:rPr>
      <w:sz w:val="24"/>
      <w:szCs w:val="22"/>
    </w:rPr>
  </w:style>
  <w:style w:type="paragraph" w:customStyle="1" w:styleId="84">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85">
    <w:name w:val="标准正文"/>
    <w:basedOn w:val="1"/>
    <w:qFormat/>
    <w:uiPriority w:val="0"/>
    <w:pPr>
      <w:spacing w:afterLines="50"/>
      <w:ind w:firstLine="200" w:firstLineChars="200"/>
    </w:pPr>
    <w:rPr>
      <w:sz w:val="24"/>
      <w:szCs w:val="21"/>
    </w:rPr>
  </w:style>
  <w:style w:type="paragraph" w:customStyle="1" w:styleId="86">
    <w:name w:val="正文首行缩进2字符"/>
    <w:basedOn w:val="1"/>
    <w:qFormat/>
    <w:uiPriority w:val="0"/>
    <w:pPr>
      <w:spacing w:line="360" w:lineRule="auto"/>
      <w:ind w:firstLine="200" w:firstLineChars="200"/>
    </w:pPr>
    <w:rPr>
      <w:sz w:val="24"/>
      <w:szCs w:val="20"/>
    </w:rPr>
  </w:style>
  <w:style w:type="paragraph" w:customStyle="1" w:styleId="87">
    <w:name w:val="表内文字"/>
    <w:basedOn w:val="1"/>
    <w:qFormat/>
    <w:uiPriority w:val="0"/>
    <w:pPr>
      <w:tabs>
        <w:tab w:val="left" w:pos="1418"/>
      </w:tabs>
      <w:spacing w:line="360" w:lineRule="auto"/>
      <w:jc w:val="center"/>
    </w:pPr>
    <w:rPr>
      <w:rFonts w:hint="eastAsia" w:ascii="仿宋_GB2312" w:eastAsia="仿宋_GB2312"/>
      <w:spacing w:val="-20"/>
      <w:kern w:val="0"/>
      <w:sz w:val="24"/>
    </w:rPr>
  </w:style>
  <w:style w:type="paragraph" w:customStyle="1" w:styleId="88">
    <w:name w:val="Char Char Char1"/>
    <w:basedOn w:val="1"/>
    <w:qFormat/>
    <w:uiPriority w:val="0"/>
    <w:rPr>
      <w:sz w:val="21"/>
    </w:rPr>
  </w:style>
  <w:style w:type="paragraph" w:customStyle="1" w:styleId="89">
    <w:name w:val="列表段落1"/>
    <w:basedOn w:val="1"/>
    <w:qFormat/>
    <w:uiPriority w:val="0"/>
    <w:pPr>
      <w:ind w:firstLine="420" w:firstLineChars="200"/>
    </w:pPr>
    <w:rPr>
      <w:sz w:val="21"/>
    </w:rPr>
  </w:style>
  <w:style w:type="paragraph" w:customStyle="1" w:styleId="90">
    <w:name w:val="列出段落2"/>
    <w:basedOn w:val="1"/>
    <w:qFormat/>
    <w:uiPriority w:val="0"/>
    <w:pPr>
      <w:spacing w:before="100" w:line="500" w:lineRule="exact"/>
      <w:ind w:firstLine="420" w:firstLineChars="200"/>
    </w:pPr>
    <w:rPr>
      <w:rFonts w:ascii="宋体" w:hAnsi="宋体"/>
      <w:kern w:val="0"/>
      <w:sz w:val="20"/>
      <w:szCs w:val="20"/>
    </w:rPr>
  </w:style>
  <w:style w:type="paragraph" w:customStyle="1" w:styleId="91">
    <w:name w:val="默认"/>
    <w:qFormat/>
    <w:uiPriority w:val="0"/>
    <w:rPr>
      <w:rFonts w:hint="eastAsia" w:ascii="Arial Unicode MS" w:hAnsi="Arial Unicode MS" w:eastAsia="Helvetica" w:cs="Arial Unicode MS"/>
      <w:color w:val="000000"/>
      <w:sz w:val="22"/>
      <w:szCs w:val="22"/>
      <w:lang w:val="zh-CN" w:eastAsia="zh-CN" w:bidi="ar-SA"/>
    </w:rPr>
  </w:style>
  <w:style w:type="paragraph" w:customStyle="1" w:styleId="92">
    <w:name w:val="Normal (Web)1"/>
    <w:basedOn w:val="1"/>
    <w:qFormat/>
    <w:uiPriority w:val="0"/>
    <w:pPr>
      <w:widowControl/>
      <w:spacing w:before="100" w:beforeAutospacing="1" w:after="100" w:afterAutospacing="1"/>
      <w:jc w:val="left"/>
    </w:pPr>
    <w:rPr>
      <w:rFonts w:ascii="宋体" w:hAnsi="宋体" w:cs="宋体"/>
      <w:kern w:val="0"/>
      <w:sz w:val="24"/>
    </w:rPr>
  </w:style>
  <w:style w:type="paragraph" w:customStyle="1" w:styleId="93">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4">
    <w:name w:val="正文2"/>
    <w:basedOn w:val="1"/>
    <w:qFormat/>
    <w:uiPriority w:val="0"/>
    <w:pPr>
      <w:spacing w:before="156" w:line="360" w:lineRule="auto"/>
      <w:ind w:firstLine="510" w:firstLineChars="200"/>
    </w:pPr>
    <w:rPr>
      <w:sz w:val="24"/>
      <w:szCs w:val="20"/>
    </w:rPr>
  </w:style>
  <w:style w:type="paragraph" w:customStyle="1" w:styleId="95">
    <w:name w:val="zw"/>
    <w:basedOn w:val="1"/>
    <w:qFormat/>
    <w:uiPriority w:val="0"/>
    <w:pPr>
      <w:widowControl/>
      <w:spacing w:before="30"/>
      <w:ind w:left="100" w:right="100"/>
    </w:pPr>
    <w:rPr>
      <w:rFonts w:ascii="方正书宋简体" w:hAnsi="宋体" w:eastAsia="方正书宋简体"/>
      <w:color w:val="000000"/>
      <w:kern w:val="0"/>
      <w:sz w:val="21"/>
      <w:szCs w:val="21"/>
    </w:rPr>
  </w:style>
  <w:style w:type="paragraph" w:customStyle="1" w:styleId="96">
    <w:name w:val="样式 标题 2 + Times New Roman 四号 非加粗 段前: 5 磅 段后: 0 磅 行距: 固定值 20..."/>
    <w:basedOn w:val="3"/>
    <w:qFormat/>
    <w:uiPriority w:val="0"/>
    <w:pPr>
      <w:spacing w:before="100" w:after="0" w:line="400" w:lineRule="exact"/>
    </w:pPr>
    <w:rPr>
      <w:rFonts w:ascii="Times New Roman" w:hAnsi="Times New Roman" w:eastAsia="宋体" w:cs="宋体"/>
      <w:b w:val="0"/>
      <w:bCs w:val="0"/>
      <w:sz w:val="28"/>
      <w:szCs w:val="20"/>
    </w:rPr>
  </w:style>
  <w:style w:type="paragraph" w:customStyle="1" w:styleId="97">
    <w:name w:val="p15"/>
    <w:basedOn w:val="1"/>
    <w:qFormat/>
    <w:uiPriority w:val="0"/>
    <w:pPr>
      <w:widowControl/>
      <w:spacing w:line="360" w:lineRule="auto"/>
      <w:ind w:firstLine="403"/>
    </w:pPr>
    <w:rPr>
      <w:rFonts w:ascii="仿宋_GB2312" w:hAnsi="宋体" w:eastAsia="仿宋_GB2312" w:cs="宋体"/>
      <w:kern w:val="0"/>
      <w:szCs w:val="28"/>
    </w:rPr>
  </w:style>
  <w:style w:type="paragraph" w:customStyle="1" w:styleId="98">
    <w:name w:val="Char11"/>
    <w:basedOn w:val="1"/>
    <w:qFormat/>
    <w:uiPriority w:val="0"/>
    <w:rPr>
      <w:sz w:val="24"/>
    </w:rPr>
  </w:style>
  <w:style w:type="paragraph" w:customStyle="1" w:styleId="99">
    <w:name w:val="正文表格内容（居中）"/>
    <w:basedOn w:val="1"/>
    <w:qFormat/>
    <w:uiPriority w:val="0"/>
    <w:pPr>
      <w:widowControl/>
      <w:jc w:val="center"/>
    </w:pPr>
    <w:rPr>
      <w:rFonts w:ascii="Arial" w:hAnsi="Arial" w:cs="Arial"/>
      <w:kern w:val="0"/>
      <w:sz w:val="21"/>
      <w:szCs w:val="18"/>
    </w:rPr>
  </w:style>
  <w:style w:type="paragraph" w:customStyle="1" w:styleId="100">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01">
    <w:name w:val="纯文本1"/>
    <w:basedOn w:val="77"/>
    <w:qFormat/>
    <w:uiPriority w:val="0"/>
    <w:rPr>
      <w:rFonts w:ascii="宋体" w:hAnsi="Courier New"/>
    </w:rPr>
  </w:style>
  <w:style w:type="paragraph" w:customStyle="1" w:styleId="102">
    <w:name w:val="无间隔1"/>
    <w:basedOn w:val="1"/>
    <w:qFormat/>
    <w:uiPriority w:val="0"/>
    <w:pPr>
      <w:spacing w:line="400" w:lineRule="exact"/>
    </w:pPr>
    <w:rPr>
      <w:sz w:val="24"/>
    </w:rPr>
  </w:style>
  <w:style w:type="paragraph" w:customStyle="1" w:styleId="103">
    <w:name w:val="列出段落3"/>
    <w:basedOn w:val="1"/>
    <w:qFormat/>
    <w:uiPriority w:val="0"/>
    <w:pPr>
      <w:ind w:firstLine="420" w:firstLineChars="200"/>
    </w:pPr>
    <w:rPr>
      <w:szCs w:val="22"/>
    </w:rPr>
  </w:style>
  <w:style w:type="paragraph" w:customStyle="1" w:styleId="104">
    <w:name w:val="普通(网站)1"/>
    <w:basedOn w:val="1"/>
    <w:qFormat/>
    <w:uiPriority w:val="0"/>
    <w:pPr>
      <w:widowControl/>
      <w:spacing w:before="100" w:beforeAutospacing="1" w:after="100" w:afterAutospacing="1"/>
      <w:jc w:val="left"/>
    </w:pPr>
    <w:rPr>
      <w:rFonts w:ascii="宋体" w:hAnsi="宋体" w:cs="宋体"/>
      <w:kern w:val="0"/>
      <w:sz w:val="24"/>
    </w:rPr>
  </w:style>
  <w:style w:type="paragraph" w:customStyle="1" w:styleId="105">
    <w:name w:val="列出段落4"/>
    <w:basedOn w:val="1"/>
    <w:qFormat/>
    <w:uiPriority w:val="0"/>
    <w:pPr>
      <w:ind w:firstLine="420" w:firstLineChars="200"/>
    </w:pPr>
    <w:rPr>
      <w:sz w:val="21"/>
    </w:rPr>
  </w:style>
  <w:style w:type="paragraph" w:styleId="106">
    <w:name w:val="List Paragraph"/>
    <w:basedOn w:val="1"/>
    <w:qFormat/>
    <w:uiPriority w:val="0"/>
    <w:pPr>
      <w:ind w:firstLine="420" w:firstLineChars="200"/>
    </w:pPr>
    <w:rPr>
      <w:rFonts w:ascii="Calibri" w:hAnsi="Calibri"/>
      <w:szCs w:val="22"/>
    </w:rPr>
  </w:style>
  <w:style w:type="paragraph" w:customStyle="1" w:styleId="107">
    <w:name w:val="Char1"/>
    <w:basedOn w:val="1"/>
    <w:qFormat/>
    <w:uiPriority w:val="0"/>
    <w:pPr>
      <w:jc w:val="center"/>
    </w:pPr>
    <w:rPr>
      <w:rFonts w:ascii="仿宋_GB2312" w:eastAsia="仿宋_GB2312"/>
      <w:b/>
      <w:kern w:val="0"/>
      <w:sz w:val="32"/>
      <w:szCs w:val="32"/>
      <w:lang w:val="en-GB"/>
    </w:rPr>
  </w:style>
  <w:style w:type="paragraph" w:customStyle="1" w:styleId="108">
    <w:name w:val="BodyText"/>
    <w:basedOn w:val="1"/>
    <w:qFormat/>
    <w:uiPriority w:val="0"/>
    <w:pPr>
      <w:spacing w:after="120"/>
    </w:pPr>
    <w:rPr>
      <w:sz w:val="24"/>
    </w:rPr>
  </w:style>
  <w:style w:type="character" w:customStyle="1" w:styleId="109">
    <w:name w:val="文档结构图 字符"/>
    <w:basedOn w:val="39"/>
    <w:link w:val="11"/>
    <w:qFormat/>
    <w:uiPriority w:val="0"/>
    <w:rPr>
      <w:rFonts w:ascii="宋体"/>
      <w:kern w:val="2"/>
      <w:sz w:val="18"/>
      <w:szCs w:val="18"/>
    </w:rPr>
  </w:style>
  <w:style w:type="paragraph" w:customStyle="1" w:styleId="110">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table" w:customStyle="1" w:styleId="111">
    <w:name w:val="Table Normal"/>
    <w:semiHidden/>
    <w:unhideWhenUsed/>
    <w:qFormat/>
    <w:uiPriority w:val="0"/>
    <w:tblPr>
      <w:tblCellMar>
        <w:top w:w="0" w:type="dxa"/>
        <w:left w:w="0" w:type="dxa"/>
        <w:bottom w:w="0" w:type="dxa"/>
        <w:right w:w="0" w:type="dxa"/>
      </w:tblCellMar>
    </w:tblPr>
  </w:style>
  <w:style w:type="paragraph" w:customStyle="1" w:styleId="112">
    <w:name w:val="2级标题"/>
    <w:basedOn w:val="106"/>
    <w:qFormat/>
    <w:uiPriority w:val="0"/>
    <w:pPr>
      <w:keepLines/>
      <w:widowControl/>
      <w:numPr>
        <w:ilvl w:val="1"/>
        <w:numId w:val="1"/>
      </w:numPr>
      <w:ind w:firstLineChars="0"/>
      <w:contextualSpacing/>
      <w:jc w:val="left"/>
      <w:outlineLvl w:val="1"/>
    </w:pPr>
    <w:rPr>
      <w:rFonts w:ascii="黑体" w:hAnsi="黑体" w:eastAsia="黑体" w:cs="宋体"/>
      <w:kern w:val="0"/>
      <w:sz w:val="32"/>
      <w:szCs w:val="36"/>
      <w:lang w:eastAsia="en-US" w:bidi="en-US"/>
    </w:rPr>
  </w:style>
  <w:style w:type="paragraph" w:customStyle="1" w:styleId="113">
    <w:name w:val="1级标题"/>
    <w:basedOn w:val="106"/>
    <w:qFormat/>
    <w:uiPriority w:val="0"/>
    <w:pPr>
      <w:keepNext/>
      <w:keepLines/>
      <w:widowControl/>
      <w:numPr>
        <w:ilvl w:val="0"/>
        <w:numId w:val="1"/>
      </w:numPr>
      <w:spacing w:before="0" w:after="0"/>
      <w:ind w:firstLine="0" w:firstLineChars="0"/>
      <w:contextualSpacing/>
      <w:jc w:val="center"/>
      <w:outlineLvl w:val="0"/>
    </w:pPr>
    <w:rPr>
      <w:rFonts w:ascii="黑体" w:hAnsi="黑体" w:eastAsia="黑体" w:cs="宋体"/>
      <w:kern w:val="0"/>
      <w:sz w:val="36"/>
      <w:szCs w:val="36"/>
      <w:lang w:eastAsia="en-US" w:bidi="en-US"/>
    </w:rPr>
  </w:style>
  <w:style w:type="paragraph" w:customStyle="1" w:styleId="114">
    <w:name w:val="正文首行缩进两字符"/>
    <w:basedOn w:val="1"/>
    <w:qFormat/>
    <w:uiPriority w:val="99"/>
    <w:pPr>
      <w:widowControl/>
      <w:spacing w:before="0" w:after="0"/>
      <w:ind w:firstLine="200"/>
      <w:jc w:val="left"/>
    </w:pPr>
    <w:rPr>
      <w:rFonts w:asciiTheme="minorHAnsi" w:hAnsiTheme="minorHAnsi" w:cstheme="minorBidi"/>
    </w:rPr>
  </w:style>
  <w:style w:type="paragraph" w:customStyle="1" w:styleId="115">
    <w:name w:val="3级标题"/>
    <w:basedOn w:val="106"/>
    <w:qFormat/>
    <w:uiPriority w:val="0"/>
    <w:pPr>
      <w:keepLines/>
      <w:widowControl/>
      <w:numPr>
        <w:ilvl w:val="2"/>
        <w:numId w:val="1"/>
      </w:numPr>
      <w:ind w:firstLineChars="0"/>
      <w:contextualSpacing/>
      <w:jc w:val="left"/>
      <w:outlineLvl w:val="2"/>
    </w:pPr>
    <w:rPr>
      <w:rFonts w:ascii="黑体" w:hAnsi="黑体" w:eastAsia="黑体" w:cs="宋体"/>
      <w:kern w:val="0"/>
      <w:szCs w:val="36"/>
      <w:lang w:eastAsia="en-US" w:bidi="en-US"/>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3FF46EB-D9EF-40A1-A48B-6B42DFC910AE}">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49</Pages>
  <Words>4678</Words>
  <Characters>26665</Characters>
  <Lines>222</Lines>
  <Paragraphs>62</Paragraphs>
  <TotalTime>15</TotalTime>
  <ScaleCrop>false</ScaleCrop>
  <LinksUpToDate>false</LinksUpToDate>
  <CharactersWithSpaces>31281</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2021-08-30T01:54:00Z</dcterms:created>
  <dc:creator>费国炎</dc:creator>
  <cp:lastModifiedBy>葛俊</cp:lastModifiedBy>
  <cp:lastPrinted>2021-09-22T07:00:00Z</cp:lastPrinted>
  <dcterms:modified xsi:type="dcterms:W3CDTF">2021-12-28T04:50:26Z</dcterms:modified>
  <dc:title>浙江省政府采购招标文件（范本）</dc:title>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1CCD04944F664475B8146E749432CF57</vt:lpwstr>
  </property>
</Properties>
</file>