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156" w:after="156" w:line="360" w:lineRule="auto"/>
        <w:jc w:val="center"/>
        <w:rPr>
          <w:rFonts w:hint="eastAsia" w:hAnsi="宋体"/>
          <w:sz w:val="44"/>
          <w:szCs w:val="44"/>
        </w:rPr>
      </w:pPr>
      <w:bookmarkStart w:id="47" w:name="_GoBack"/>
      <w:bookmarkEnd w:id="47"/>
    </w:p>
    <w:p>
      <w:pPr>
        <w:pStyle w:val="20"/>
        <w:ind w:left="7000"/>
        <w:rPr>
          <w:rFonts w:hint="eastAsia"/>
        </w:rPr>
      </w:pPr>
    </w:p>
    <w:p>
      <w:pPr>
        <w:spacing w:line="600" w:lineRule="exact"/>
        <w:jc w:val="center"/>
        <w:rPr>
          <w:rFonts w:hint="eastAsia" w:ascii="宋体" w:hAnsi="宋体" w:cs="宋体"/>
          <w:b/>
          <w:sz w:val="52"/>
          <w:szCs w:val="52"/>
        </w:rPr>
      </w:pPr>
      <w:r>
        <w:rPr>
          <w:rFonts w:hint="eastAsia" w:ascii="宋体" w:hAnsi="宋体" w:cs="宋体"/>
          <w:b/>
          <w:sz w:val="52"/>
          <w:szCs w:val="52"/>
        </w:rPr>
        <w:t>台州市政府采购招标文件</w:t>
      </w:r>
    </w:p>
    <w:p>
      <w:pPr>
        <w:jc w:val="center"/>
        <w:rPr>
          <w:rFonts w:hint="eastAsia" w:ascii="宋体" w:hAnsi="宋体" w:cs="宋体"/>
          <w:color w:val="0D0D0D"/>
          <w:sz w:val="44"/>
          <w:szCs w:val="20"/>
        </w:rPr>
      </w:pPr>
    </w:p>
    <w:p>
      <w:pPr>
        <w:spacing w:before="156" w:beforeLines="50"/>
        <w:jc w:val="center"/>
        <w:rPr>
          <w:rFonts w:hint="eastAsia" w:ascii="宋体" w:hAnsi="宋体" w:cs="宋体"/>
          <w:b/>
          <w:color w:val="0D0D0D"/>
          <w:sz w:val="48"/>
          <w:szCs w:val="48"/>
        </w:rPr>
      </w:pPr>
    </w:p>
    <w:p>
      <w:pPr>
        <w:pStyle w:val="19"/>
        <w:tabs>
          <w:tab w:val="left" w:pos="1620"/>
        </w:tabs>
        <w:snapToGrid w:val="0"/>
        <w:spacing w:before="156" w:after="156"/>
        <w:ind w:firstLine="1175" w:firstLineChars="418"/>
        <w:rPr>
          <w:rFonts w:hint="eastAsia" w:hAnsi="宋体" w:cs="宋体"/>
          <w:b/>
          <w:bCs/>
          <w:color w:val="0D0D0D"/>
          <w:sz w:val="28"/>
        </w:rPr>
      </w:pPr>
      <w:r>
        <w:rPr>
          <w:rFonts w:hint="eastAsia" w:hAnsi="宋体" w:cs="宋体"/>
          <w:b/>
          <w:bCs/>
          <w:color w:val="0D0D0D"/>
          <w:sz w:val="28"/>
        </w:rPr>
        <w:t>项目编号：台财采确[2020]3614号</w:t>
      </w:r>
    </w:p>
    <w:p>
      <w:pPr>
        <w:pStyle w:val="19"/>
        <w:tabs>
          <w:tab w:val="left" w:pos="1620"/>
        </w:tabs>
        <w:snapToGrid w:val="0"/>
        <w:spacing w:before="156" w:after="156"/>
        <w:ind w:left="2415" w:leftChars="418" w:hanging="1245" w:hangingChars="443"/>
        <w:rPr>
          <w:rFonts w:hint="eastAsia" w:hAnsi="宋体" w:cs="宋体"/>
          <w:b/>
          <w:bCs/>
          <w:color w:val="0D0D0D"/>
          <w:sz w:val="28"/>
        </w:rPr>
      </w:pPr>
      <w:r>
        <w:rPr>
          <w:rFonts w:hint="eastAsia" w:hAnsi="宋体" w:cs="宋体"/>
          <w:b/>
          <w:bCs/>
          <w:color w:val="0D0D0D"/>
          <w:sz w:val="28"/>
        </w:rPr>
        <w:t>项目名称：台州市不动产登记便利化协同应用项目（市级系统部分）</w:t>
      </w:r>
    </w:p>
    <w:p>
      <w:pPr>
        <w:pStyle w:val="19"/>
        <w:tabs>
          <w:tab w:val="left" w:pos="1620"/>
        </w:tabs>
        <w:snapToGrid w:val="0"/>
        <w:spacing w:before="156" w:after="156"/>
        <w:ind w:left="2415" w:leftChars="418" w:hanging="1245" w:hangingChars="443"/>
        <w:rPr>
          <w:rFonts w:hint="eastAsia" w:hAnsi="宋体" w:cs="宋体"/>
          <w:b/>
          <w:bCs/>
          <w:sz w:val="28"/>
        </w:rPr>
      </w:pPr>
      <w:r>
        <w:rPr>
          <w:rFonts w:hint="eastAsia" w:hAnsi="宋体" w:cs="宋体"/>
          <w:b/>
          <w:bCs/>
          <w:sz w:val="28"/>
        </w:rPr>
        <w:t>采购单位：</w:t>
      </w:r>
      <w:r>
        <w:rPr>
          <w:rFonts w:hint="eastAsia" w:hAnsi="宋体" w:cs="宋体"/>
          <w:b/>
          <w:bCs/>
          <w:color w:val="0D0D0D"/>
          <w:sz w:val="28"/>
        </w:rPr>
        <w:t>台州市自然资源和规划局</w:t>
      </w:r>
      <w:r>
        <w:rPr>
          <w:rFonts w:hint="eastAsia" w:hAnsi="宋体" w:cs="宋体"/>
          <w:b/>
          <w:bCs/>
          <w:sz w:val="28"/>
        </w:rPr>
        <w:t>（盖章）</w:t>
      </w:r>
    </w:p>
    <w:p>
      <w:pPr>
        <w:pStyle w:val="19"/>
        <w:tabs>
          <w:tab w:val="left" w:pos="1620"/>
        </w:tabs>
        <w:snapToGrid w:val="0"/>
        <w:spacing w:before="156" w:after="156"/>
        <w:ind w:firstLine="1175" w:firstLineChars="418"/>
        <w:rPr>
          <w:rFonts w:hint="eastAsia" w:hAnsi="宋体" w:cs="宋体"/>
          <w:b/>
          <w:bCs/>
          <w:sz w:val="28"/>
        </w:rPr>
      </w:pPr>
      <w:r>
        <w:rPr>
          <w:rFonts w:hint="eastAsia" w:hAnsi="宋体" w:cs="宋体"/>
          <w:b/>
          <w:bCs/>
          <w:sz w:val="28"/>
        </w:rPr>
        <w:t>联系人：王先生        联系电话：0576-88511362</w:t>
      </w:r>
    </w:p>
    <w:p>
      <w:pPr>
        <w:pStyle w:val="19"/>
        <w:tabs>
          <w:tab w:val="left" w:pos="1620"/>
        </w:tabs>
        <w:snapToGrid w:val="0"/>
        <w:spacing w:before="156" w:after="156"/>
        <w:ind w:firstLine="1175" w:firstLineChars="418"/>
        <w:rPr>
          <w:rFonts w:hint="eastAsia" w:hAnsi="宋体" w:cs="宋体"/>
          <w:b/>
          <w:bCs/>
          <w:sz w:val="28"/>
        </w:rPr>
      </w:pPr>
      <w:r>
        <w:rPr>
          <w:rFonts w:hint="eastAsia" w:hAnsi="宋体" w:cs="宋体"/>
          <w:b/>
          <w:bCs/>
          <w:sz w:val="28"/>
        </w:rPr>
        <w:t>代理机构：台州市建设咨询有限公司（盖章）</w:t>
      </w:r>
    </w:p>
    <w:p>
      <w:pPr>
        <w:pStyle w:val="19"/>
        <w:tabs>
          <w:tab w:val="right" w:pos="9184"/>
        </w:tabs>
        <w:snapToGrid w:val="0"/>
        <w:spacing w:before="156" w:after="156" w:line="360" w:lineRule="auto"/>
        <w:ind w:firstLine="1105" w:firstLineChars="393"/>
        <w:rPr>
          <w:rFonts w:hint="eastAsia" w:hAnsi="宋体" w:cs="宋体"/>
          <w:b/>
          <w:bCs/>
          <w:sz w:val="30"/>
          <w:szCs w:val="30"/>
        </w:rPr>
      </w:pPr>
      <w:r>
        <w:rPr>
          <w:rFonts w:hint="eastAsia" w:hAnsi="宋体" w:cs="宋体"/>
          <w:b/>
          <w:bCs/>
          <w:sz w:val="28"/>
        </w:rPr>
        <w:t>代理项目负责人：葛俊       联系电话：0576-88517783</w:t>
      </w:r>
    </w:p>
    <w:p>
      <w:pPr>
        <w:pStyle w:val="19"/>
        <w:snapToGrid w:val="0"/>
        <w:spacing w:before="156" w:after="156" w:line="360" w:lineRule="auto"/>
        <w:rPr>
          <w:rFonts w:hint="eastAsia" w:hAnsi="宋体" w:cs="宋体"/>
          <w:b/>
          <w:bCs/>
          <w:sz w:val="30"/>
          <w:szCs w:val="30"/>
        </w:rPr>
      </w:pPr>
    </w:p>
    <w:p>
      <w:pPr>
        <w:pStyle w:val="19"/>
        <w:snapToGrid w:val="0"/>
        <w:spacing w:before="156" w:after="156" w:line="360" w:lineRule="auto"/>
        <w:rPr>
          <w:rFonts w:hint="eastAsia" w:hAnsi="宋体" w:cs="宋体"/>
          <w:b/>
          <w:bCs/>
          <w:sz w:val="30"/>
          <w:szCs w:val="30"/>
        </w:rPr>
      </w:pPr>
    </w:p>
    <w:p>
      <w:pPr>
        <w:pStyle w:val="19"/>
        <w:snapToGrid w:val="0"/>
        <w:spacing w:before="156" w:after="156" w:line="360" w:lineRule="auto"/>
        <w:rPr>
          <w:rFonts w:hint="eastAsia" w:hAnsi="宋体" w:cs="宋体"/>
          <w:b/>
          <w:bCs/>
          <w:sz w:val="30"/>
          <w:szCs w:val="30"/>
        </w:rPr>
      </w:pPr>
    </w:p>
    <w:p>
      <w:pPr>
        <w:pStyle w:val="19"/>
        <w:snapToGrid w:val="0"/>
        <w:spacing w:before="156" w:after="156" w:line="360" w:lineRule="auto"/>
        <w:rPr>
          <w:rFonts w:hint="eastAsia" w:hAnsi="宋体" w:cs="宋体"/>
          <w:b/>
          <w:bCs/>
          <w:sz w:val="30"/>
          <w:szCs w:val="30"/>
        </w:rPr>
      </w:pPr>
    </w:p>
    <w:p>
      <w:pPr>
        <w:pStyle w:val="19"/>
        <w:snapToGrid w:val="0"/>
        <w:spacing w:before="156" w:after="156" w:line="360" w:lineRule="auto"/>
        <w:rPr>
          <w:rFonts w:hint="eastAsia" w:hAnsi="宋体" w:cs="宋体"/>
          <w:b/>
          <w:bCs/>
          <w:sz w:val="30"/>
          <w:szCs w:val="30"/>
        </w:rPr>
      </w:pPr>
    </w:p>
    <w:p>
      <w:pPr>
        <w:pStyle w:val="19"/>
        <w:spacing w:before="156" w:after="156" w:line="360" w:lineRule="auto"/>
        <w:jc w:val="center"/>
        <w:rPr>
          <w:rFonts w:hint="eastAsia" w:hAnsi="宋体" w:cs="宋体"/>
          <w:sz w:val="44"/>
          <w:szCs w:val="44"/>
        </w:rPr>
      </w:pPr>
      <w:r>
        <w:rPr>
          <w:rFonts w:hint="eastAsia" w:hAnsi="宋体" w:cs="宋体"/>
          <w:b/>
          <w:bCs/>
          <w:w w:val="95"/>
          <w:sz w:val="30"/>
          <w:szCs w:val="30"/>
        </w:rPr>
        <w:t>二〇二〇年十月</w:t>
      </w:r>
    </w:p>
    <w:p>
      <w:pPr>
        <w:pStyle w:val="19"/>
        <w:spacing w:before="156" w:after="156" w:line="360" w:lineRule="auto"/>
        <w:jc w:val="center"/>
        <w:rPr>
          <w:rFonts w:hint="eastAsia" w:hAnsi="宋体" w:cs="宋体"/>
          <w:sz w:val="44"/>
          <w:szCs w:val="44"/>
        </w:rPr>
      </w:pPr>
    </w:p>
    <w:p>
      <w:pPr>
        <w:pStyle w:val="19"/>
        <w:spacing w:before="156" w:after="156" w:line="360" w:lineRule="auto"/>
        <w:jc w:val="center"/>
        <w:rPr>
          <w:rFonts w:hint="eastAsia" w:hAnsi="宋体" w:cs="宋体"/>
          <w:sz w:val="44"/>
          <w:szCs w:val="44"/>
        </w:rPr>
      </w:pPr>
    </w:p>
    <w:p>
      <w:pPr>
        <w:jc w:val="center"/>
        <w:rPr>
          <w:rFonts w:hint="eastAsia" w:ascii="宋体" w:hAnsi="宋体" w:cs="宋体"/>
          <w:sz w:val="44"/>
          <w:szCs w:val="44"/>
        </w:rPr>
      </w:pPr>
      <w:r>
        <w:rPr>
          <w:rFonts w:hint="eastAsia" w:ascii="宋体" w:hAnsi="宋体" w:cs="宋体"/>
          <w:sz w:val="44"/>
          <w:szCs w:val="44"/>
        </w:rPr>
        <w:br w:type="page"/>
      </w:r>
    </w:p>
    <w:p>
      <w:pPr>
        <w:pStyle w:val="19"/>
        <w:spacing w:before="156" w:after="156" w:line="360" w:lineRule="auto"/>
        <w:jc w:val="center"/>
        <w:rPr>
          <w:rFonts w:hint="eastAsia" w:hAnsi="宋体" w:cs="宋体"/>
          <w:sz w:val="44"/>
          <w:szCs w:val="44"/>
        </w:rPr>
      </w:pPr>
    </w:p>
    <w:p>
      <w:pPr>
        <w:pStyle w:val="19"/>
        <w:spacing w:before="156" w:after="156" w:line="360" w:lineRule="auto"/>
        <w:jc w:val="center"/>
        <w:rPr>
          <w:rFonts w:hint="eastAsia" w:hAnsi="宋体" w:cs="宋体"/>
          <w:sz w:val="44"/>
          <w:szCs w:val="44"/>
        </w:rPr>
      </w:pPr>
      <w:r>
        <w:rPr>
          <w:rFonts w:hint="eastAsia" w:hAnsi="宋体" w:cs="宋体"/>
          <w:sz w:val="44"/>
          <w:szCs w:val="44"/>
        </w:rPr>
        <w:t>目    录</w:t>
      </w:r>
    </w:p>
    <w:p>
      <w:pPr>
        <w:spacing w:before="156" w:beforeLines="50" w:line="480" w:lineRule="exact"/>
        <w:rPr>
          <w:rFonts w:hint="eastAsia" w:ascii="宋体" w:hAnsi="宋体" w:cs="宋体"/>
          <w:sz w:val="30"/>
          <w:szCs w:val="20"/>
        </w:rPr>
      </w:pPr>
      <w:r>
        <w:rPr>
          <w:rFonts w:hint="eastAsia" w:ascii="宋体" w:hAnsi="宋体" w:cs="宋体"/>
          <w:sz w:val="30"/>
        </w:rPr>
        <w:t>第一章  公开招标采购公告…………………………………………3</w:t>
      </w:r>
    </w:p>
    <w:p>
      <w:pPr>
        <w:spacing w:before="156" w:beforeLines="50" w:line="480" w:lineRule="exact"/>
        <w:rPr>
          <w:rFonts w:hint="eastAsia" w:ascii="宋体" w:hAnsi="宋体" w:cs="宋体"/>
          <w:sz w:val="30"/>
          <w:szCs w:val="20"/>
        </w:rPr>
      </w:pPr>
      <w:r>
        <w:rPr>
          <w:rFonts w:hint="eastAsia" w:ascii="宋体" w:hAnsi="宋体" w:cs="宋体"/>
          <w:sz w:val="30"/>
        </w:rPr>
        <w:t>第二章  招标需求……………………………………………………7</w:t>
      </w:r>
    </w:p>
    <w:p>
      <w:pPr>
        <w:spacing w:before="156" w:beforeLines="50" w:line="480" w:lineRule="exact"/>
        <w:rPr>
          <w:rFonts w:hint="eastAsia" w:ascii="宋体" w:hAnsi="宋体" w:cs="宋体"/>
          <w:sz w:val="30"/>
          <w:szCs w:val="20"/>
        </w:rPr>
      </w:pPr>
      <w:r>
        <w:rPr>
          <w:rFonts w:hint="eastAsia" w:ascii="宋体" w:hAnsi="宋体" w:cs="宋体"/>
          <w:sz w:val="30"/>
        </w:rPr>
        <w:t>第三章  投标人须知…………………………………………………12</w:t>
      </w:r>
    </w:p>
    <w:p>
      <w:pPr>
        <w:spacing w:before="156" w:beforeLines="50" w:line="480" w:lineRule="exact"/>
        <w:rPr>
          <w:rFonts w:hint="eastAsia" w:ascii="宋体" w:hAnsi="宋体" w:cs="宋体"/>
          <w:sz w:val="30"/>
          <w:szCs w:val="20"/>
        </w:rPr>
      </w:pPr>
      <w:r>
        <w:rPr>
          <w:rFonts w:hint="eastAsia" w:ascii="宋体" w:hAnsi="宋体" w:cs="宋体"/>
          <w:sz w:val="30"/>
        </w:rPr>
        <w:t>第四章  评标办法及评分标准………………………………………21</w:t>
      </w:r>
    </w:p>
    <w:p>
      <w:pPr>
        <w:spacing w:before="156" w:beforeLines="50" w:line="480" w:lineRule="exact"/>
        <w:rPr>
          <w:rFonts w:hint="eastAsia" w:ascii="宋体" w:hAnsi="宋体" w:cs="宋体"/>
          <w:sz w:val="30"/>
          <w:szCs w:val="20"/>
        </w:rPr>
      </w:pPr>
      <w:r>
        <w:rPr>
          <w:rFonts w:hint="eastAsia" w:ascii="宋体" w:hAnsi="宋体" w:cs="宋体"/>
          <w:sz w:val="30"/>
        </w:rPr>
        <w:t>第五章  合同主要条款………………………………………………25</w:t>
      </w:r>
    </w:p>
    <w:p>
      <w:pPr>
        <w:spacing w:before="156" w:beforeLines="50" w:line="480" w:lineRule="exact"/>
        <w:rPr>
          <w:rFonts w:hint="eastAsia" w:ascii="宋体" w:hAnsi="宋体" w:cs="宋体"/>
          <w:sz w:val="30"/>
          <w:szCs w:val="20"/>
        </w:rPr>
      </w:pPr>
      <w:r>
        <w:rPr>
          <w:rFonts w:hint="eastAsia" w:ascii="宋体" w:hAnsi="宋体" w:cs="宋体"/>
          <w:sz w:val="30"/>
        </w:rPr>
        <w:t>第六章  投标文件格式………………………………………………32</w:t>
      </w:r>
    </w:p>
    <w:p>
      <w:pPr>
        <w:pStyle w:val="19"/>
        <w:snapToGrid w:val="0"/>
        <w:spacing w:before="156" w:after="156" w:line="240" w:lineRule="auto"/>
        <w:jc w:val="center"/>
        <w:outlineLvl w:val="0"/>
        <w:rPr>
          <w:rFonts w:hint="eastAsia" w:hAnsi="宋体" w:cs="宋体"/>
        </w:rPr>
      </w:pPr>
      <w:r>
        <w:rPr>
          <w:rFonts w:hint="eastAsia" w:hAnsi="宋体" w:cs="宋体"/>
        </w:rPr>
        <w:br w:type="page"/>
      </w:r>
      <w:r>
        <w:rPr>
          <w:rFonts w:hint="eastAsia" w:hAnsi="宋体" w:cs="宋体"/>
        </w:rPr>
        <w:t>第一章  公开招标采购公告</w:t>
      </w:r>
    </w:p>
    <w:p>
      <w:pPr>
        <w:pStyle w:val="91"/>
        <w:widowControl w:val="0"/>
        <w:spacing w:afterLines="0" w:line="360" w:lineRule="auto"/>
        <w:ind w:firstLine="480"/>
        <w:rPr>
          <w:rFonts w:hint="eastAsia" w:ascii="宋体" w:hAnsi="宋体" w:cs="宋体"/>
          <w:color w:val="0D0D0D"/>
          <w:szCs w:val="24"/>
        </w:rPr>
      </w:pPr>
      <w:r>
        <w:rPr>
          <w:rFonts w:hint="eastAsia" w:ascii="宋体" w:hAnsi="宋体" w:cs="宋体"/>
          <w:szCs w:val="24"/>
        </w:rPr>
        <w:t>根据《中华人民共和国政府采购法》、《政府采购货物和服务招标投标管理办法》等规定</w:t>
      </w:r>
      <w:r>
        <w:rPr>
          <w:rFonts w:hint="eastAsia" w:ascii="宋体" w:hAnsi="宋体" w:cs="宋体"/>
          <w:color w:val="0D0D0D"/>
          <w:szCs w:val="24"/>
        </w:rPr>
        <w:t>，现就</w:t>
      </w:r>
      <w:r>
        <w:rPr>
          <w:rFonts w:hint="eastAsia" w:ascii="宋体" w:hAnsi="宋体" w:cs="宋体"/>
          <w:b/>
          <w:bCs/>
          <w:color w:val="0D0D0D"/>
          <w:szCs w:val="24"/>
          <w:u w:val="single"/>
        </w:rPr>
        <w:t>台州市不动产登记便利化协同应用项目（市级系统部分）</w:t>
      </w:r>
      <w:r>
        <w:rPr>
          <w:rFonts w:hint="eastAsia" w:ascii="宋体" w:hAnsi="宋体" w:cs="宋体"/>
          <w:color w:val="0D0D0D"/>
          <w:szCs w:val="24"/>
        </w:rPr>
        <w:t>进行公开招标采购，欢迎能提供本国货物、服务的投标人前来投标：</w:t>
      </w:r>
    </w:p>
    <w:p>
      <w:pPr>
        <w:snapToGrid w:val="0"/>
        <w:spacing w:line="360" w:lineRule="auto"/>
        <w:ind w:firstLine="482" w:firstLineChars="200"/>
        <w:rPr>
          <w:rFonts w:hint="eastAsia" w:ascii="宋体" w:hAnsi="宋体" w:cs="宋体"/>
          <w:color w:val="0D0D0D"/>
          <w:sz w:val="24"/>
        </w:rPr>
      </w:pPr>
      <w:r>
        <w:rPr>
          <w:rFonts w:hint="eastAsia" w:ascii="宋体" w:hAnsi="宋体" w:cs="宋体"/>
          <w:b/>
          <w:color w:val="0D0D0D"/>
          <w:sz w:val="24"/>
        </w:rPr>
        <w:t>一、项目编号：台财采确[2020]3614号</w:t>
      </w:r>
    </w:p>
    <w:p>
      <w:pPr>
        <w:snapToGrid w:val="0"/>
        <w:spacing w:line="360" w:lineRule="auto"/>
        <w:ind w:firstLine="482" w:firstLineChars="200"/>
        <w:rPr>
          <w:rFonts w:hint="eastAsia" w:ascii="宋体" w:hAnsi="宋体" w:cs="宋体"/>
          <w:color w:val="0D0D0D"/>
          <w:sz w:val="24"/>
        </w:rPr>
      </w:pPr>
      <w:r>
        <w:rPr>
          <w:rFonts w:hint="eastAsia" w:ascii="宋体" w:hAnsi="宋体" w:cs="宋体"/>
          <w:b/>
          <w:color w:val="0D0D0D"/>
          <w:sz w:val="24"/>
        </w:rPr>
        <w:t>二、采购方式：</w:t>
      </w:r>
      <w:r>
        <w:rPr>
          <w:rFonts w:hint="eastAsia" w:ascii="宋体" w:hAnsi="宋体" w:cs="宋体"/>
          <w:color w:val="0D0D0D"/>
          <w:sz w:val="24"/>
        </w:rPr>
        <w:t>公开招标</w:t>
      </w:r>
    </w:p>
    <w:p>
      <w:pPr>
        <w:snapToGrid w:val="0"/>
        <w:spacing w:line="360" w:lineRule="auto"/>
        <w:ind w:firstLine="482" w:firstLineChars="200"/>
        <w:rPr>
          <w:rFonts w:hint="eastAsia" w:ascii="宋体" w:hAnsi="宋体" w:cs="宋体"/>
          <w:b/>
          <w:bCs/>
          <w:color w:val="0D0D0D"/>
          <w:sz w:val="24"/>
        </w:rPr>
      </w:pPr>
      <w:r>
        <w:rPr>
          <w:rFonts w:hint="eastAsia" w:ascii="宋体" w:hAnsi="宋体" w:cs="宋体"/>
          <w:b/>
          <w:color w:val="0D0D0D"/>
          <w:sz w:val="24"/>
        </w:rPr>
        <w:t>三、</w:t>
      </w:r>
      <w:r>
        <w:rPr>
          <w:rFonts w:hint="eastAsia" w:ascii="宋体" w:hAnsi="宋体" w:cs="宋体"/>
          <w:b/>
          <w:bCs/>
          <w:color w:val="0D0D0D"/>
          <w:sz w:val="24"/>
        </w:rPr>
        <w:t>采购内容及数量</w:t>
      </w:r>
    </w:p>
    <w:tbl>
      <w:tblPr>
        <w:tblStyle w:val="34"/>
        <w:tblW w:w="9556"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417"/>
        <w:gridCol w:w="2490"/>
        <w:gridCol w:w="918"/>
        <w:gridCol w:w="81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11"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000000"/>
                <w:sz w:val="24"/>
              </w:rPr>
            </w:pPr>
            <w:r>
              <w:rPr>
                <w:rFonts w:hint="eastAsia" w:ascii="宋体" w:hAnsi="宋体" w:cs="宋体"/>
                <w:b/>
                <w:color w:val="000000"/>
                <w:sz w:val="24"/>
              </w:rPr>
              <w:t>标项</w:t>
            </w:r>
          </w:p>
        </w:tc>
        <w:tc>
          <w:tcPr>
            <w:tcW w:w="2417"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000000"/>
                <w:sz w:val="24"/>
              </w:rPr>
            </w:pPr>
            <w:r>
              <w:rPr>
                <w:rFonts w:hint="eastAsia" w:ascii="宋体" w:hAnsi="宋体" w:cs="宋体"/>
                <w:b/>
                <w:color w:val="000000"/>
                <w:sz w:val="24"/>
              </w:rPr>
              <w:t>顶目名称</w:t>
            </w:r>
          </w:p>
        </w:tc>
        <w:tc>
          <w:tcPr>
            <w:tcW w:w="2490" w:type="dxa"/>
            <w:noWrap w:val="0"/>
            <w:vAlign w:val="center"/>
          </w:tcPr>
          <w:p>
            <w:pPr>
              <w:tabs>
                <w:tab w:val="left" w:pos="8280"/>
              </w:tabs>
              <w:autoSpaceDE w:val="0"/>
              <w:autoSpaceDN w:val="0"/>
              <w:adjustRightInd w:val="0"/>
              <w:spacing w:line="360" w:lineRule="auto"/>
              <w:ind w:right="25" w:firstLine="120" w:firstLineChars="50"/>
              <w:jc w:val="center"/>
              <w:rPr>
                <w:rFonts w:hint="eastAsia" w:ascii="宋体" w:hAnsi="宋体" w:cs="宋体"/>
                <w:b/>
                <w:color w:val="000000"/>
                <w:sz w:val="24"/>
              </w:rPr>
            </w:pPr>
            <w:r>
              <w:rPr>
                <w:rFonts w:hint="eastAsia" w:ascii="宋体" w:hAnsi="宋体" w:cs="宋体"/>
                <w:b/>
                <w:color w:val="000000"/>
                <w:sz w:val="24"/>
              </w:rPr>
              <w:t>服务内容</w:t>
            </w:r>
          </w:p>
        </w:tc>
        <w:tc>
          <w:tcPr>
            <w:tcW w:w="918"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000000"/>
                <w:sz w:val="24"/>
              </w:rPr>
            </w:pPr>
            <w:r>
              <w:rPr>
                <w:rFonts w:hint="eastAsia" w:ascii="宋体" w:hAnsi="宋体" w:cs="宋体"/>
                <w:b/>
                <w:color w:val="000000"/>
                <w:sz w:val="24"/>
              </w:rPr>
              <w:t>数量</w:t>
            </w:r>
          </w:p>
        </w:tc>
        <w:tc>
          <w:tcPr>
            <w:tcW w:w="81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000000"/>
                <w:sz w:val="24"/>
              </w:rPr>
            </w:pPr>
            <w:r>
              <w:rPr>
                <w:rFonts w:hint="eastAsia" w:ascii="宋体" w:hAnsi="宋体" w:cs="宋体"/>
                <w:b/>
                <w:color w:val="000000"/>
                <w:sz w:val="24"/>
              </w:rPr>
              <w:t>单位</w:t>
            </w:r>
          </w:p>
        </w:tc>
        <w:tc>
          <w:tcPr>
            <w:tcW w:w="201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sz w:val="24"/>
              </w:rPr>
            </w:pPr>
            <w:r>
              <w:rPr>
                <w:rFonts w:hint="eastAsia" w:ascii="宋体" w:hAnsi="宋体" w:cs="宋体"/>
                <w:b/>
                <w:sz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911" w:type="dxa"/>
            <w:noWrap w:val="0"/>
            <w:vAlign w:val="center"/>
          </w:tcPr>
          <w:p>
            <w:pPr>
              <w:tabs>
                <w:tab w:val="left" w:pos="8280"/>
              </w:tabs>
              <w:autoSpaceDE w:val="0"/>
              <w:autoSpaceDN w:val="0"/>
              <w:adjustRightInd w:val="0"/>
              <w:spacing w:line="360" w:lineRule="auto"/>
              <w:ind w:right="25"/>
              <w:jc w:val="center"/>
              <w:rPr>
                <w:rFonts w:hint="eastAsia" w:ascii="宋体" w:hAnsi="宋体" w:cs="宋体"/>
                <w:sz w:val="24"/>
              </w:rPr>
            </w:pPr>
            <w:r>
              <w:rPr>
                <w:rFonts w:hint="eastAsia" w:ascii="宋体" w:hAnsi="宋体" w:cs="宋体"/>
                <w:sz w:val="24"/>
              </w:rPr>
              <w:t>1</w:t>
            </w:r>
          </w:p>
        </w:tc>
        <w:tc>
          <w:tcPr>
            <w:tcW w:w="2417" w:type="dxa"/>
            <w:noWrap w:val="0"/>
            <w:vAlign w:val="center"/>
          </w:tcPr>
          <w:p>
            <w:pPr>
              <w:spacing w:line="360" w:lineRule="auto"/>
              <w:jc w:val="center"/>
              <w:rPr>
                <w:rFonts w:hint="eastAsia" w:ascii="宋体" w:hAnsi="宋体" w:cs="宋体"/>
                <w:kern w:val="0"/>
                <w:sz w:val="24"/>
              </w:rPr>
            </w:pPr>
            <w:r>
              <w:rPr>
                <w:rFonts w:hint="eastAsia" w:ascii="宋体" w:hAnsi="宋体" w:cs="宋体"/>
                <w:kern w:val="0"/>
                <w:sz w:val="24"/>
              </w:rPr>
              <w:t>台州市不动产登记便利化协同应用项目（市级系统部分）</w:t>
            </w:r>
          </w:p>
        </w:tc>
        <w:tc>
          <w:tcPr>
            <w:tcW w:w="2490" w:type="dxa"/>
            <w:noWrap w:val="0"/>
            <w:vAlign w:val="center"/>
          </w:tcPr>
          <w:p>
            <w:pPr>
              <w:spacing w:line="360" w:lineRule="auto"/>
              <w:jc w:val="left"/>
              <w:rPr>
                <w:rFonts w:hint="eastAsia" w:ascii="宋体" w:hAnsi="宋体" w:cs="宋体"/>
                <w:kern w:val="0"/>
                <w:sz w:val="24"/>
              </w:rPr>
            </w:pPr>
            <w:r>
              <w:rPr>
                <w:rFonts w:hint="eastAsia" w:ascii="宋体" w:hAnsi="宋体" w:cs="宋体"/>
                <w:kern w:val="0"/>
                <w:sz w:val="24"/>
              </w:rPr>
              <w:t>详见第二章招标需求</w:t>
            </w:r>
          </w:p>
        </w:tc>
        <w:tc>
          <w:tcPr>
            <w:tcW w:w="918" w:type="dxa"/>
            <w:noWrap w:val="0"/>
            <w:vAlign w:val="center"/>
          </w:tcPr>
          <w:p>
            <w:pPr>
              <w:tabs>
                <w:tab w:val="left" w:pos="8280"/>
              </w:tabs>
              <w:autoSpaceDE w:val="0"/>
              <w:autoSpaceDN w:val="0"/>
              <w:adjustRightInd w:val="0"/>
              <w:spacing w:line="360" w:lineRule="auto"/>
              <w:ind w:right="25"/>
              <w:jc w:val="center"/>
              <w:rPr>
                <w:rFonts w:hint="eastAsia" w:ascii="宋体" w:hAnsi="宋体" w:cs="宋体"/>
                <w:sz w:val="24"/>
              </w:rPr>
            </w:pPr>
            <w:r>
              <w:rPr>
                <w:rFonts w:hint="eastAsia" w:ascii="宋体" w:hAnsi="宋体" w:cs="宋体"/>
                <w:sz w:val="24"/>
              </w:rPr>
              <w:t>1</w:t>
            </w:r>
          </w:p>
        </w:tc>
        <w:tc>
          <w:tcPr>
            <w:tcW w:w="810" w:type="dxa"/>
            <w:noWrap w:val="0"/>
            <w:vAlign w:val="center"/>
          </w:tcPr>
          <w:p>
            <w:pPr>
              <w:tabs>
                <w:tab w:val="left" w:pos="8280"/>
              </w:tabs>
              <w:autoSpaceDE w:val="0"/>
              <w:autoSpaceDN w:val="0"/>
              <w:adjustRightInd w:val="0"/>
              <w:spacing w:line="360" w:lineRule="auto"/>
              <w:ind w:right="25"/>
              <w:jc w:val="center"/>
              <w:rPr>
                <w:rFonts w:hint="eastAsia" w:ascii="宋体" w:hAnsi="宋体" w:cs="宋体"/>
                <w:sz w:val="24"/>
              </w:rPr>
            </w:pPr>
            <w:r>
              <w:rPr>
                <w:rFonts w:hint="eastAsia" w:ascii="宋体" w:hAnsi="宋体" w:cs="宋体"/>
                <w:sz w:val="24"/>
              </w:rPr>
              <w:t>项</w:t>
            </w:r>
          </w:p>
        </w:tc>
        <w:tc>
          <w:tcPr>
            <w:tcW w:w="2010" w:type="dxa"/>
            <w:noWrap w:val="0"/>
            <w:vAlign w:val="center"/>
          </w:tcPr>
          <w:p>
            <w:pPr>
              <w:tabs>
                <w:tab w:val="left" w:pos="8280"/>
              </w:tabs>
              <w:autoSpaceDE w:val="0"/>
              <w:autoSpaceDN w:val="0"/>
              <w:adjustRightInd w:val="0"/>
              <w:spacing w:line="360" w:lineRule="auto"/>
              <w:ind w:right="25"/>
              <w:jc w:val="center"/>
              <w:rPr>
                <w:rFonts w:hint="eastAsia" w:ascii="宋体" w:hAnsi="宋体" w:cs="宋体"/>
                <w:sz w:val="24"/>
              </w:rPr>
            </w:pPr>
            <w:r>
              <w:rPr>
                <w:rFonts w:hint="eastAsia" w:ascii="宋体" w:hAnsi="宋体" w:cs="宋体"/>
                <w:sz w:val="24"/>
              </w:rPr>
              <w:t>732．2</w:t>
            </w:r>
          </w:p>
        </w:tc>
      </w:tr>
    </w:tbl>
    <w:p>
      <w:pPr>
        <w:snapToGrid w:val="0"/>
        <w:spacing w:line="360" w:lineRule="auto"/>
        <w:ind w:firstLine="482" w:firstLineChars="200"/>
        <w:rPr>
          <w:rFonts w:hint="eastAsia" w:ascii="宋体" w:hAnsi="宋体" w:cs="宋体"/>
          <w:b/>
          <w:bCs/>
          <w:color w:val="0D0D0D"/>
          <w:sz w:val="24"/>
        </w:rPr>
      </w:pPr>
      <w:r>
        <w:rPr>
          <w:rFonts w:hint="eastAsia" w:ascii="宋体" w:hAnsi="宋体" w:cs="宋体"/>
          <w:b/>
          <w:color w:val="0D0D0D"/>
          <w:sz w:val="24"/>
        </w:rPr>
        <w:t>四</w:t>
      </w:r>
      <w:r>
        <w:rPr>
          <w:rFonts w:hint="eastAsia" w:ascii="宋体" w:hAnsi="宋体" w:cs="宋体"/>
          <w:color w:val="0D0D0D"/>
          <w:sz w:val="24"/>
        </w:rPr>
        <w:t>、</w:t>
      </w:r>
      <w:r>
        <w:rPr>
          <w:rFonts w:hint="eastAsia" w:ascii="宋体" w:hAnsi="宋体" w:cs="宋体"/>
          <w:b/>
          <w:bCs/>
          <w:color w:val="0D0D0D"/>
          <w:sz w:val="24"/>
        </w:rPr>
        <w:t>合格投标人的资格要求</w:t>
      </w:r>
    </w:p>
    <w:p>
      <w:pPr>
        <w:snapToGrid w:val="0"/>
        <w:spacing w:line="360" w:lineRule="auto"/>
        <w:ind w:left="540"/>
        <w:rPr>
          <w:rFonts w:hint="eastAsia" w:ascii="宋体" w:hAnsi="宋体" w:cs="宋体"/>
          <w:color w:val="0D0D0D"/>
          <w:sz w:val="24"/>
        </w:rPr>
      </w:pPr>
      <w:r>
        <w:rPr>
          <w:rFonts w:hint="eastAsia" w:ascii="宋体" w:hAnsi="宋体" w:cs="宋体"/>
          <w:color w:val="0D0D0D"/>
          <w:sz w:val="24"/>
        </w:rPr>
        <w:t xml:space="preserve">（一）符合《中华人民共和国政府采购法》第二十二条规定的投标人资格条件； </w:t>
      </w:r>
    </w:p>
    <w:p>
      <w:pPr>
        <w:snapToGrid w:val="0"/>
        <w:spacing w:line="360" w:lineRule="auto"/>
        <w:ind w:firstLine="540" w:firstLineChars="225"/>
        <w:rPr>
          <w:rFonts w:hint="eastAsia" w:ascii="宋体" w:hAnsi="宋体" w:cs="宋体"/>
          <w:color w:val="0D0D0D"/>
          <w:sz w:val="24"/>
        </w:rPr>
      </w:pPr>
      <w:r>
        <w:rPr>
          <w:rFonts w:hint="eastAsia" w:ascii="宋体" w:hAnsi="宋体" w:cs="宋体"/>
          <w:color w:val="0D0D0D"/>
          <w:sz w:val="24"/>
        </w:rPr>
        <w:t>（二）项目投标人的特定条件：</w:t>
      </w:r>
    </w:p>
    <w:p>
      <w:pPr>
        <w:snapToGrid w:val="0"/>
        <w:spacing w:line="360" w:lineRule="auto"/>
        <w:ind w:firstLine="540" w:firstLineChars="225"/>
        <w:rPr>
          <w:rFonts w:hint="eastAsia" w:ascii="宋体" w:hAnsi="宋体" w:cs="宋体"/>
          <w:color w:val="FF0000"/>
          <w:sz w:val="24"/>
        </w:rPr>
      </w:pPr>
      <w:r>
        <w:rPr>
          <w:rFonts w:hint="eastAsia" w:ascii="宋体" w:hAnsi="宋体" w:cs="宋体"/>
          <w:sz w:val="24"/>
        </w:rPr>
        <w:t>1、无；</w:t>
      </w:r>
    </w:p>
    <w:p>
      <w:pPr>
        <w:snapToGrid w:val="0"/>
        <w:spacing w:line="360" w:lineRule="auto"/>
        <w:ind w:firstLine="540" w:firstLineChars="225"/>
        <w:rPr>
          <w:rFonts w:hint="eastAsia" w:ascii="宋体" w:hAnsi="宋体" w:cs="宋体"/>
          <w:color w:val="0D0D0D"/>
          <w:sz w:val="24"/>
        </w:rPr>
      </w:pPr>
      <w:r>
        <w:rPr>
          <w:rFonts w:hint="eastAsia" w:ascii="宋体" w:hAnsi="宋体" w:cs="宋体"/>
          <w:color w:val="0D0D0D"/>
          <w:sz w:val="24"/>
        </w:rPr>
        <w:t>2、本项目不接受联合体投标。</w:t>
      </w:r>
    </w:p>
    <w:p>
      <w:pPr>
        <w:snapToGrid w:val="0"/>
        <w:spacing w:line="360" w:lineRule="auto"/>
        <w:ind w:firstLine="482" w:firstLineChars="200"/>
        <w:rPr>
          <w:rFonts w:hint="eastAsia" w:ascii="宋体" w:hAnsi="宋体" w:cs="宋体"/>
          <w:color w:val="0D0D0D"/>
          <w:sz w:val="24"/>
        </w:rPr>
      </w:pPr>
      <w:r>
        <w:rPr>
          <w:rFonts w:hint="eastAsia" w:ascii="宋体" w:hAnsi="宋体" w:cs="宋体"/>
          <w:b/>
          <w:bCs/>
          <w:color w:val="0D0D0D"/>
          <w:sz w:val="24"/>
        </w:rPr>
        <w:t>五、采购文件的获取</w:t>
      </w:r>
      <w:r>
        <w:rPr>
          <w:rFonts w:hint="eastAsia" w:ascii="宋体" w:hAnsi="宋体" w:cs="宋体"/>
          <w:color w:val="0D0D0D"/>
          <w:sz w:val="24"/>
        </w:rPr>
        <w:t>：</w:t>
      </w:r>
    </w:p>
    <w:p>
      <w:pPr>
        <w:pStyle w:val="31"/>
        <w:ind w:right="30" w:firstLine="540"/>
        <w:rPr>
          <w:rFonts w:hint="eastAsia" w:cs="宋体"/>
          <w:color w:val="0D0D0D"/>
        </w:rPr>
      </w:pPr>
      <w:r>
        <w:rPr>
          <w:rFonts w:hint="eastAsia" w:cs="宋体"/>
          <w:color w:val="0D0D0D"/>
        </w:rPr>
        <w:t>1、本项目采购文件实行“政府采购云平台”在线获取，不提供采购文件纸质版。供应商获取采购文件前应先完成“政府采购云平台”的账号注册。</w:t>
      </w:r>
    </w:p>
    <w:p>
      <w:pPr>
        <w:pStyle w:val="31"/>
        <w:ind w:right="30" w:firstLine="540"/>
        <w:rPr>
          <w:rFonts w:hint="eastAsia" w:cs="宋体"/>
        </w:rPr>
      </w:pPr>
      <w:r>
        <w:rPr>
          <w:rFonts w:hint="eastAsia" w:cs="宋体"/>
        </w:rPr>
        <w:t>2、获取时间：公告发布时间至投标截止时间。</w:t>
      </w:r>
    </w:p>
    <w:p>
      <w:pPr>
        <w:pStyle w:val="31"/>
        <w:ind w:right="30" w:firstLine="540"/>
        <w:rPr>
          <w:rFonts w:hint="eastAsia" w:cs="宋体"/>
        </w:rPr>
      </w:pPr>
      <w:r>
        <w:rPr>
          <w:rFonts w:hint="eastAsia" w:cs="宋体"/>
        </w:rPr>
        <w:t>3、地点：政府采购云平台（http://www.zcygov.cn）。</w:t>
      </w:r>
    </w:p>
    <w:p>
      <w:pPr>
        <w:pStyle w:val="31"/>
        <w:ind w:right="30" w:firstLine="540"/>
        <w:rPr>
          <w:rFonts w:hint="eastAsia" w:cs="宋体"/>
        </w:rPr>
      </w:pPr>
      <w:r>
        <w:rPr>
          <w:rFonts w:hint="eastAsia" w:cs="宋体"/>
        </w:rPr>
        <w:t>4、方式：潜在供应商登陆政府采购云平台，在线申请获取采购文件（进入“项目采购”应用，在获取采购文件菜单中选择项目，申请获取采购文件，本项目采购文件不收取费用；仅需浏览采购文件的供应商可点击“游客，浏览采购文件”直接下载采购文件浏览）。</w:t>
      </w:r>
    </w:p>
    <w:p>
      <w:pPr>
        <w:pStyle w:val="31"/>
        <w:ind w:right="30" w:firstLine="540"/>
        <w:rPr>
          <w:rFonts w:hint="eastAsia" w:cs="宋体"/>
        </w:rPr>
      </w:pPr>
      <w:r>
        <w:rPr>
          <w:rFonts w:hint="eastAsia" w:cs="宋体"/>
        </w:rPr>
        <w:t>5、供应商获取采购文件时须提交的文件资料：无。</w:t>
      </w:r>
    </w:p>
    <w:p>
      <w:pPr>
        <w:pStyle w:val="31"/>
        <w:ind w:right="30" w:firstLine="540"/>
        <w:rPr>
          <w:rFonts w:hint="eastAsia" w:cs="宋体"/>
        </w:rPr>
      </w:pPr>
      <w:r>
        <w:rPr>
          <w:rFonts w:hint="eastAsia" w:cs="宋体"/>
        </w:rPr>
        <w:t>6、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pStyle w:val="31"/>
        <w:ind w:right="30" w:firstLine="540"/>
        <w:rPr>
          <w:rFonts w:hint="eastAsia" w:cs="宋体"/>
        </w:rPr>
      </w:pPr>
      <w:r>
        <w:rPr>
          <w:rFonts w:hint="eastAsia" w:cs="宋体"/>
        </w:rPr>
        <w:t>注：请供应商按上述要求获取采购文件，如未在“政采云”系统内完成相关流程，引起的投标无效责任自负。</w:t>
      </w:r>
    </w:p>
    <w:p>
      <w:pPr>
        <w:pStyle w:val="31"/>
        <w:spacing w:line="360" w:lineRule="atLeast"/>
        <w:ind w:right="30" w:firstLine="540"/>
        <w:rPr>
          <w:rStyle w:val="37"/>
          <w:rFonts w:hint="eastAsia" w:cs="宋体"/>
        </w:rPr>
      </w:pPr>
      <w:r>
        <w:rPr>
          <w:rStyle w:val="37"/>
          <w:rFonts w:hint="eastAsia" w:cs="宋体"/>
        </w:rPr>
        <w:t>六、</w:t>
      </w:r>
      <w:r>
        <w:rPr>
          <w:rFonts w:hint="eastAsia" w:cs="宋体"/>
          <w:b/>
          <w:bCs/>
        </w:rPr>
        <w:t>投标截止时间</w:t>
      </w:r>
      <w:r>
        <w:rPr>
          <w:rStyle w:val="37"/>
          <w:rFonts w:hint="eastAsia" w:cs="宋体"/>
        </w:rPr>
        <w:t>、响应文件递交截止时间及投标开始时间、地点：</w:t>
      </w:r>
    </w:p>
    <w:p>
      <w:pPr>
        <w:pStyle w:val="31"/>
        <w:ind w:firstLine="480" w:firstLineChars="200"/>
        <w:rPr>
          <w:rFonts w:hint="eastAsia" w:cs="宋体"/>
        </w:rPr>
      </w:pPr>
      <w:r>
        <w:rPr>
          <w:rFonts w:hint="eastAsia" w:cs="宋体"/>
          <w:bCs/>
        </w:rPr>
        <w:t>投标截止时间：</w:t>
      </w:r>
      <w:r>
        <w:rPr>
          <w:rFonts w:hint="eastAsia" w:cs="宋体"/>
        </w:rPr>
        <w:t>2020年</w:t>
      </w:r>
      <w:r>
        <w:rPr>
          <w:rFonts w:hint="eastAsia" w:cs="宋体"/>
          <w:lang w:val="en-US" w:eastAsia="zh-CN"/>
        </w:rPr>
        <w:t>11</w:t>
      </w:r>
      <w:r>
        <w:rPr>
          <w:rFonts w:hint="eastAsia" w:cs="宋体"/>
        </w:rPr>
        <w:t>月</w:t>
      </w:r>
      <w:r>
        <w:rPr>
          <w:rFonts w:hint="eastAsia" w:cs="宋体"/>
          <w:lang w:val="en-US" w:eastAsia="zh-CN"/>
        </w:rPr>
        <w:t>18</w:t>
      </w:r>
      <w:r>
        <w:rPr>
          <w:rFonts w:hint="eastAsia" w:cs="宋体"/>
        </w:rPr>
        <w:t>日</w:t>
      </w:r>
      <w:r>
        <w:rPr>
          <w:rFonts w:hint="eastAsia" w:cs="宋体"/>
          <w:lang w:val="en-US" w:eastAsia="zh-CN"/>
        </w:rPr>
        <w:t>15</w:t>
      </w:r>
      <w:r>
        <w:rPr>
          <w:rFonts w:hint="eastAsia" w:cs="宋体"/>
        </w:rPr>
        <w:t>时</w:t>
      </w:r>
      <w:r>
        <w:rPr>
          <w:rFonts w:hint="eastAsia" w:cs="宋体"/>
          <w:lang w:val="en-US" w:eastAsia="zh-CN"/>
        </w:rPr>
        <w:t>00</w:t>
      </w:r>
      <w:r>
        <w:rPr>
          <w:rFonts w:hint="eastAsia" w:cs="宋体"/>
        </w:rPr>
        <w:t>分。投标文件未按时解密，视为放弃投标。</w:t>
      </w:r>
    </w:p>
    <w:p>
      <w:pPr>
        <w:pStyle w:val="31"/>
        <w:ind w:firstLine="480" w:firstLineChars="200"/>
        <w:rPr>
          <w:rFonts w:hint="eastAsia" w:cs="宋体"/>
        </w:rPr>
      </w:pPr>
      <w:r>
        <w:rPr>
          <w:rFonts w:hint="eastAsia" w:cs="宋体"/>
          <w:bCs/>
        </w:rPr>
        <w:t>投标地点：</w:t>
      </w:r>
      <w:r>
        <w:rPr>
          <w:rFonts w:hint="eastAsia" w:cs="宋体"/>
        </w:rPr>
        <w:t>投标截止时间前将“电子加密投标文件”上传递交至“政府采购云平台”。</w:t>
      </w:r>
    </w:p>
    <w:p>
      <w:pPr>
        <w:pStyle w:val="31"/>
        <w:ind w:firstLine="480" w:firstLineChars="200"/>
        <w:rPr>
          <w:rFonts w:hint="eastAsia" w:cs="宋体"/>
        </w:rPr>
      </w:pPr>
      <w:r>
        <w:rPr>
          <w:rFonts w:hint="eastAsia" w:cs="宋体"/>
          <w:bCs/>
        </w:rPr>
        <w:t>开标时间：</w:t>
      </w:r>
      <w:r>
        <w:rPr>
          <w:rFonts w:hint="eastAsia" w:cs="宋体"/>
        </w:rPr>
        <w:t>2020年</w:t>
      </w:r>
      <w:r>
        <w:rPr>
          <w:rFonts w:hint="eastAsia" w:cs="宋体"/>
          <w:lang w:val="en-US" w:eastAsia="zh-CN"/>
        </w:rPr>
        <w:t>11</w:t>
      </w:r>
      <w:r>
        <w:rPr>
          <w:rFonts w:hint="eastAsia" w:cs="宋体"/>
        </w:rPr>
        <w:t>月</w:t>
      </w:r>
      <w:r>
        <w:rPr>
          <w:rFonts w:hint="eastAsia" w:cs="宋体"/>
          <w:lang w:val="en-US" w:eastAsia="zh-CN"/>
        </w:rPr>
        <w:t>18</w:t>
      </w:r>
      <w:r>
        <w:rPr>
          <w:rFonts w:hint="eastAsia" w:cs="宋体"/>
        </w:rPr>
        <w:t>日</w:t>
      </w:r>
      <w:r>
        <w:rPr>
          <w:rFonts w:hint="eastAsia" w:cs="宋体"/>
          <w:lang w:val="en-US" w:eastAsia="zh-CN"/>
        </w:rPr>
        <w:t>15</w:t>
      </w:r>
      <w:r>
        <w:rPr>
          <w:rFonts w:hint="eastAsia" w:cs="宋体"/>
        </w:rPr>
        <w:t>时</w:t>
      </w:r>
      <w:r>
        <w:rPr>
          <w:rFonts w:hint="eastAsia" w:cs="宋体"/>
          <w:lang w:val="en-US" w:eastAsia="zh-CN"/>
        </w:rPr>
        <w:t>0</w:t>
      </w:r>
      <w:r>
        <w:rPr>
          <w:rFonts w:hint="eastAsia" w:cs="宋体"/>
        </w:rPr>
        <w:t>0分。</w:t>
      </w:r>
    </w:p>
    <w:p>
      <w:pPr>
        <w:pStyle w:val="31"/>
        <w:ind w:firstLine="480" w:firstLineChars="200"/>
        <w:rPr>
          <w:rFonts w:hint="eastAsia" w:cs="宋体"/>
        </w:rPr>
      </w:pPr>
      <w:r>
        <w:rPr>
          <w:rFonts w:hint="eastAsia" w:cs="宋体"/>
          <w:bCs/>
        </w:rPr>
        <w:t>开标地点</w:t>
      </w:r>
      <w:r>
        <w:rPr>
          <w:rFonts w:hint="eastAsia" w:cs="宋体"/>
          <w:b/>
          <w:bCs/>
        </w:rPr>
        <w:t>：</w:t>
      </w:r>
      <w:r>
        <w:rPr>
          <w:rFonts w:hint="eastAsia" w:cs="宋体"/>
          <w:u w:val="single"/>
        </w:rPr>
        <w:t>浙江省台州市市府大道507号台州国际商务广场3幢（南门）三楼开标室</w:t>
      </w:r>
      <w:r>
        <w:rPr>
          <w:rFonts w:hint="eastAsia" w:cs="宋体"/>
        </w:rPr>
        <w:t>（线上开标）。</w:t>
      </w:r>
    </w:p>
    <w:p>
      <w:pPr>
        <w:pStyle w:val="31"/>
        <w:spacing w:before="105" w:beforeAutospacing="0" w:after="0" w:afterAutospacing="0" w:line="360" w:lineRule="atLeast"/>
        <w:ind w:right="30" w:firstLine="480"/>
        <w:rPr>
          <w:rFonts w:hint="eastAsia" w:cs="宋体"/>
          <w:sz w:val="27"/>
          <w:szCs w:val="27"/>
        </w:rPr>
      </w:pPr>
      <w:r>
        <w:rPr>
          <w:rStyle w:val="37"/>
          <w:rFonts w:hint="eastAsia" w:cs="宋体"/>
        </w:rPr>
        <w:t>七、投标保证金：</w:t>
      </w:r>
    </w:p>
    <w:p>
      <w:pPr>
        <w:pStyle w:val="31"/>
        <w:spacing w:line="360" w:lineRule="atLeast"/>
        <w:ind w:firstLine="480"/>
        <w:rPr>
          <w:rFonts w:hint="eastAsia" w:cs="宋体"/>
          <w:sz w:val="27"/>
          <w:szCs w:val="27"/>
        </w:rPr>
      </w:pPr>
      <w:r>
        <w:rPr>
          <w:rFonts w:hint="eastAsia" w:cs="宋体"/>
        </w:rPr>
        <w:t>根据《浙江省财政厅关于明确政府采购保证金管理工作的通知》（浙财采监〔2019〕5号）相关规定，本项目不设置投标保证金。</w:t>
      </w:r>
    </w:p>
    <w:p>
      <w:pPr>
        <w:pStyle w:val="31"/>
        <w:spacing w:line="360" w:lineRule="atLeast"/>
        <w:ind w:firstLine="480"/>
        <w:rPr>
          <w:rFonts w:hint="eastAsia" w:cs="宋体"/>
          <w:sz w:val="27"/>
          <w:szCs w:val="27"/>
        </w:rPr>
      </w:pPr>
      <w:r>
        <w:rPr>
          <w:rStyle w:val="37"/>
          <w:rFonts w:hint="eastAsia" w:cs="宋体"/>
        </w:rPr>
        <w:t>八、相关注意事项</w:t>
      </w:r>
      <w:r>
        <w:rPr>
          <w:rFonts w:hint="eastAsia" w:cs="宋体"/>
        </w:rPr>
        <w:t>：</w:t>
      </w:r>
    </w:p>
    <w:p>
      <w:pPr>
        <w:pStyle w:val="31"/>
        <w:spacing w:line="360" w:lineRule="atLeast"/>
        <w:ind w:firstLine="480"/>
        <w:rPr>
          <w:rFonts w:hint="eastAsia" w:cs="宋体"/>
        </w:rPr>
      </w:pPr>
      <w:r>
        <w:rPr>
          <w:rFonts w:hint="eastAsia" w:cs="宋体"/>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spacing w:line="360" w:lineRule="atLeast"/>
        <w:ind w:firstLine="480"/>
        <w:rPr>
          <w:rFonts w:hint="eastAsia" w:cs="宋体"/>
          <w:sz w:val="27"/>
          <w:szCs w:val="27"/>
        </w:rPr>
      </w:pPr>
      <w:r>
        <w:rPr>
          <w:rFonts w:hint="eastAsia" w:cs="宋体"/>
        </w:rPr>
        <w:t>2、根据《浙江省政府采购供应商注册及诚信管理暂行办法》浙财采监【2009】28号文件，请各磋商响应供应商及时办理浙江政府采购网“政府采购供应商注册”手续。</w:t>
      </w:r>
    </w:p>
    <w:p>
      <w:pPr>
        <w:pStyle w:val="31"/>
        <w:spacing w:line="360" w:lineRule="atLeast"/>
        <w:ind w:firstLine="480"/>
        <w:rPr>
          <w:rFonts w:hint="eastAsia" w:cs="宋体"/>
          <w:sz w:val="27"/>
          <w:szCs w:val="27"/>
        </w:rPr>
      </w:pPr>
      <w:r>
        <w:rPr>
          <w:rFonts w:hint="eastAsia" w:cs="宋体"/>
        </w:rPr>
        <w:t>3、参与政府采购活动尚未注册的供应商应当先在浙江政府采购网上申请注册，注册终审通过后再进行报名。</w:t>
      </w:r>
    </w:p>
    <w:p>
      <w:pPr>
        <w:pStyle w:val="31"/>
        <w:spacing w:line="360" w:lineRule="atLeast"/>
        <w:ind w:firstLine="480"/>
        <w:rPr>
          <w:rFonts w:hint="eastAsia" w:cs="宋体"/>
        </w:rPr>
      </w:pPr>
      <w:r>
        <w:rPr>
          <w:rFonts w:hint="eastAsia" w:cs="宋体"/>
        </w:rPr>
        <w:t>4、本项目所有公告发布网站：“浙江政府采购网”（</w:t>
      </w:r>
      <w:r>
        <w:rPr>
          <w:rFonts w:hint="eastAsia" w:cs="宋体"/>
        </w:rPr>
        <w:fldChar w:fldCharType="begin"/>
      </w:r>
      <w:r>
        <w:rPr>
          <w:rFonts w:hint="eastAsia" w:cs="宋体"/>
        </w:rPr>
        <w:instrText xml:space="preserve"> HYPERLINK "http://zfcg.czt.zj.gov.cn/" </w:instrText>
      </w:r>
      <w:r>
        <w:rPr>
          <w:rFonts w:hint="eastAsia" w:cs="宋体"/>
        </w:rPr>
        <w:fldChar w:fldCharType="separate"/>
      </w:r>
      <w:r>
        <w:rPr>
          <w:rStyle w:val="40"/>
          <w:rFonts w:hint="eastAsia" w:cs="宋体"/>
        </w:rPr>
        <w:t>http://zfcg.czt.zj.gov.cn</w:t>
      </w:r>
      <w:r>
        <w:rPr>
          <w:rFonts w:hint="eastAsia" w:cs="宋体"/>
        </w:rPr>
        <w:fldChar w:fldCharType="end"/>
      </w:r>
      <w:r>
        <w:rPr>
          <w:rFonts w:hint="eastAsia" w:cs="宋体"/>
        </w:rPr>
        <w:t>）。</w:t>
      </w:r>
    </w:p>
    <w:p>
      <w:pPr>
        <w:pStyle w:val="31"/>
        <w:spacing w:line="360" w:lineRule="atLeast"/>
        <w:ind w:firstLine="480"/>
        <w:rPr>
          <w:rFonts w:hint="eastAsia" w:cs="宋体"/>
        </w:rPr>
      </w:pPr>
      <w:r>
        <w:rPr>
          <w:rFonts w:hint="eastAsia" w:cs="宋体"/>
        </w:rPr>
        <w:t>5、本项目对符合财政扶持政策的中小企业（小型、微型）、监狱企业、残疾人福利性单位给予价格优惠扶持，执行节能产品政府强制采购和优先采购政策，执行环境标志产品政府优先采购政策。</w:t>
      </w:r>
    </w:p>
    <w:p>
      <w:pPr>
        <w:pStyle w:val="31"/>
        <w:spacing w:line="360" w:lineRule="atLeast"/>
        <w:ind w:firstLine="480"/>
        <w:rPr>
          <w:rFonts w:hint="eastAsia" w:cs="宋体"/>
        </w:rPr>
      </w:pPr>
      <w:r>
        <w:rPr>
          <w:rFonts w:hint="eastAsia" w:cs="宋体"/>
        </w:rPr>
        <w:t>6、非浙江省政府采购网注册的供应商或发生变更且未及时更新的供应商，应当按照《浙江省政府采购供应商注册及诚信管理暂行办法的通知》（浙财采监字[2009]28号）的相关规定，及时办理供应商注册或更新事项。</w:t>
      </w:r>
    </w:p>
    <w:p>
      <w:pPr>
        <w:pStyle w:val="31"/>
        <w:spacing w:line="360" w:lineRule="atLeast"/>
        <w:ind w:firstLine="420"/>
        <w:rPr>
          <w:rFonts w:hint="eastAsia" w:cs="宋体"/>
          <w:sz w:val="27"/>
          <w:szCs w:val="27"/>
        </w:rPr>
      </w:pPr>
      <w:r>
        <w:rPr>
          <w:rStyle w:val="37"/>
          <w:rFonts w:hint="eastAsia" w:cs="宋体"/>
        </w:rPr>
        <w:t>九 、在线投标响应（电子投标）说明</w:t>
      </w:r>
    </w:p>
    <w:p>
      <w:pPr>
        <w:pStyle w:val="31"/>
        <w:spacing w:line="360" w:lineRule="atLeast"/>
        <w:ind w:firstLine="420"/>
        <w:rPr>
          <w:rFonts w:hint="eastAsia" w:cs="宋体"/>
          <w:sz w:val="27"/>
          <w:szCs w:val="27"/>
        </w:rPr>
      </w:pPr>
      <w:r>
        <w:rPr>
          <w:rStyle w:val="37"/>
          <w:rFonts w:hint="eastAsia" w:cs="宋体"/>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31"/>
        <w:spacing w:line="360" w:lineRule="atLeast"/>
        <w:ind w:firstLine="420"/>
        <w:rPr>
          <w:rFonts w:hint="eastAsia" w:cs="宋体"/>
          <w:sz w:val="27"/>
          <w:szCs w:val="27"/>
        </w:rPr>
      </w:pPr>
      <w:r>
        <w:rPr>
          <w:rStyle w:val="37"/>
          <w:rFonts w:hint="eastAsia" w:cs="宋体"/>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31"/>
        <w:spacing w:line="360" w:lineRule="atLeast"/>
        <w:ind w:firstLine="420"/>
        <w:rPr>
          <w:rFonts w:hint="eastAsia" w:cs="宋体"/>
          <w:sz w:val="27"/>
          <w:szCs w:val="27"/>
        </w:rPr>
      </w:pPr>
      <w:r>
        <w:rPr>
          <w:rStyle w:val="37"/>
          <w:rFonts w:hint="eastAsia" w:cs="宋体"/>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cs="宋体"/>
        </w:rPr>
        <w:fldChar w:fldCharType="begin"/>
      </w:r>
      <w:r>
        <w:rPr>
          <w:rStyle w:val="37"/>
          <w:rFonts w:hint="eastAsia" w:cs="宋体"/>
        </w:rPr>
        <w:instrText xml:space="preserve"> HYPERLINK "http://zfcg.czt.zj.gov.cn/bidClientTemplate/2019-05-27/12945.html" \o "CA驱动和申领流程" \t "_blank" </w:instrText>
      </w:r>
      <w:r>
        <w:rPr>
          <w:rFonts w:hint="eastAsia" w:cs="宋体"/>
        </w:rPr>
        <w:fldChar w:fldCharType="separate"/>
      </w:r>
      <w:r>
        <w:rPr>
          <w:rStyle w:val="39"/>
          <w:rFonts w:hint="eastAsia" w:cs="宋体"/>
          <w:b/>
          <w:bCs/>
          <w:color w:val="auto"/>
        </w:rPr>
        <w:t>CA驱动和</w:t>
      </w:r>
      <w:bookmarkStart w:id="0" w:name="_Hlt35328140"/>
      <w:bookmarkStart w:id="1" w:name="_Hlt35328141"/>
      <w:r>
        <w:rPr>
          <w:rStyle w:val="39"/>
          <w:rFonts w:hint="eastAsia" w:cs="宋体"/>
          <w:b/>
          <w:bCs/>
          <w:color w:val="auto"/>
        </w:rPr>
        <w:t>申</w:t>
      </w:r>
      <w:bookmarkEnd w:id="0"/>
      <w:bookmarkEnd w:id="1"/>
      <w:r>
        <w:rPr>
          <w:rStyle w:val="39"/>
          <w:rFonts w:hint="eastAsia" w:cs="宋体"/>
          <w:b/>
          <w:bCs/>
          <w:color w:val="auto"/>
        </w:rPr>
        <w:t>领流程</w:t>
      </w:r>
      <w:r>
        <w:rPr>
          <w:rFonts w:hint="eastAsia" w:cs="宋体"/>
        </w:rPr>
        <w:fldChar w:fldCharType="end"/>
      </w:r>
      <w:r>
        <w:rPr>
          <w:rStyle w:val="37"/>
          <w:rFonts w:hint="eastAsia" w:cs="宋体"/>
        </w:rPr>
        <w:t>”进行查阅；</w:t>
      </w:r>
    </w:p>
    <w:p>
      <w:pPr>
        <w:pStyle w:val="31"/>
        <w:spacing w:line="360" w:lineRule="atLeast"/>
        <w:ind w:firstLine="420"/>
        <w:rPr>
          <w:rFonts w:hint="eastAsia" w:cs="宋体"/>
          <w:sz w:val="27"/>
          <w:szCs w:val="27"/>
        </w:rPr>
      </w:pPr>
      <w:r>
        <w:rPr>
          <w:rStyle w:val="37"/>
          <w:rFonts w:hint="eastAsia" w:cs="宋体"/>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pStyle w:val="31"/>
        <w:spacing w:line="360" w:lineRule="atLeast"/>
        <w:ind w:firstLine="420"/>
        <w:rPr>
          <w:rFonts w:hint="eastAsia" w:cs="宋体"/>
          <w:sz w:val="27"/>
          <w:szCs w:val="27"/>
        </w:rPr>
      </w:pPr>
      <w:r>
        <w:rPr>
          <w:rStyle w:val="37"/>
          <w:rFonts w:hint="eastAsia" w:cs="宋体"/>
        </w:rPr>
        <w:t>4、投标供应商在“政府采购云平台”完成“电子加密投标文件”的上传递交后，还可以在投标截止时间前将【介质（U盘）存储的数据电文形式的“备份投标文件”】送交到开标地点（也可通过EMS邮寄或顺丰邮寄形式）。“备份投标文件”应当密封包装并在包装上标注投标项目名称、投标单位名称并加盖公章。包裹外包装上请注明单位、项目名称、联系电话等信息，以便代理机构作接收登记工作），邮寄接收截止时间为投标截止时间前一个工作日下午16:00整（邮寄地址：台州市建设咨询有限公司（台州市市府大道465号市建设规划大楼二楼213室，联系人：葛先生，电话：0576-88517783))。</w:t>
      </w:r>
    </w:p>
    <w:p>
      <w:pPr>
        <w:pStyle w:val="31"/>
        <w:spacing w:line="360" w:lineRule="atLeast"/>
        <w:ind w:firstLine="420"/>
        <w:rPr>
          <w:rStyle w:val="37"/>
          <w:rFonts w:hint="eastAsia" w:cs="宋体"/>
        </w:rPr>
      </w:pPr>
      <w:r>
        <w:rPr>
          <w:rStyle w:val="37"/>
          <w:rFonts w:hint="eastAsia" w:cs="宋体"/>
        </w:rPr>
        <w:t>5、通过“政府采购云平台”上传递交的“电子加密投标文件”无法按时解密（解密过程中解密失败），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r>
        <w:rPr>
          <w:rFonts w:hint="eastAsia" w:cs="宋体"/>
          <w:b/>
          <w:bCs/>
          <w:szCs w:val="32"/>
        </w:rPr>
        <w:t>开标时间后30分钟内，</w:t>
      </w:r>
      <w:r>
        <w:rPr>
          <w:rStyle w:val="37"/>
          <w:rFonts w:hint="eastAsia" w:cs="宋体"/>
        </w:rPr>
        <w:t>用</w:t>
      </w:r>
      <w:r>
        <w:rPr>
          <w:rFonts w:hint="eastAsia" w:cs="宋体"/>
          <w:b/>
          <w:bCs/>
        </w:rPr>
        <w:t>CA驱动锁插入电脑及</w:t>
      </w:r>
      <w:r>
        <w:rPr>
          <w:rStyle w:val="37"/>
          <w:rFonts w:hint="eastAsia" w:cs="宋体"/>
        </w:rPr>
        <w:t>账号登入“政府采购云平台”</w:t>
      </w:r>
      <w:r>
        <w:rPr>
          <w:rFonts w:hint="eastAsia" w:cs="宋体"/>
          <w:color w:val="auto"/>
          <w:kern w:val="2"/>
          <w:sz w:val="28"/>
        </w:rPr>
        <w:t xml:space="preserve"> </w:t>
      </w:r>
      <w:r>
        <w:rPr>
          <w:rFonts w:hint="eastAsia" w:cs="宋体"/>
          <w:b/>
          <w:bCs/>
        </w:rPr>
        <w:t>按时解密，否则视为放弃投标。</w:t>
      </w:r>
      <w:r>
        <w:rPr>
          <w:rFonts w:hint="eastAsia" w:cs="宋体"/>
          <w:b/>
          <w:bCs/>
          <w:szCs w:val="32"/>
        </w:rPr>
        <w:t>电脑及CA解密设备自备。</w:t>
      </w:r>
      <w:r>
        <w:rPr>
          <w:rStyle w:val="37"/>
          <w:rFonts w:hint="eastAsia" w:cs="宋体"/>
        </w:rPr>
        <w:t>）</w:t>
      </w:r>
    </w:p>
    <w:p>
      <w:pPr>
        <w:pStyle w:val="31"/>
        <w:spacing w:line="360" w:lineRule="atLeast"/>
        <w:ind w:firstLine="420"/>
        <w:rPr>
          <w:rStyle w:val="37"/>
          <w:rFonts w:hint="eastAsia" w:cs="宋体"/>
        </w:rPr>
      </w:pPr>
      <w:r>
        <w:rPr>
          <w:rStyle w:val="37"/>
          <w:rFonts w:hint="eastAsia" w:cs="宋体"/>
        </w:rPr>
        <w:t>6、投标文件启用顺序和效力：投标文件的启用，按先后顺位分别为电子投标文件、以介质（U盘）存储的数据电文形式的备份投标文件。投标人的电子投标文件已按时解密的，备份投标文件自动失效。某位投标人的电子投标文件无法按时解密的，启用以介质（U盘）存储的数据电文形式的“备份投标文件”进行开评标。</w:t>
      </w:r>
    </w:p>
    <w:p>
      <w:pPr>
        <w:pStyle w:val="31"/>
        <w:spacing w:line="360" w:lineRule="atLeast"/>
        <w:ind w:firstLine="420"/>
        <w:rPr>
          <w:rStyle w:val="37"/>
          <w:rFonts w:hint="eastAsia" w:cs="宋体"/>
        </w:rPr>
      </w:pPr>
      <w:r>
        <w:rPr>
          <w:rStyle w:val="37"/>
          <w:rFonts w:hint="eastAsia" w:cs="宋体"/>
        </w:rPr>
        <w:t>7、▲未传输递交电子投标文件的，投标无效。▲未按规定提供相应的备份投标文件，造成项目开评标活动无法进行下去的，投标无效。</w:t>
      </w:r>
    </w:p>
    <w:p>
      <w:pPr>
        <w:pStyle w:val="31"/>
        <w:spacing w:line="360" w:lineRule="atLeast"/>
        <w:rPr>
          <w:rStyle w:val="37"/>
          <w:rFonts w:hint="eastAsia" w:cs="宋体"/>
          <w:sz w:val="21"/>
          <w:szCs w:val="22"/>
        </w:rPr>
      </w:pPr>
      <w:r>
        <w:rPr>
          <w:rStyle w:val="37"/>
          <w:rFonts w:hint="eastAsia" w:cs="宋体"/>
          <w:bCs w:val="0"/>
          <w:color w:val="auto"/>
          <w:kern w:val="2"/>
        </w:rPr>
        <w:t>十、其余事项：</w:t>
      </w:r>
      <w:r>
        <w:rPr>
          <w:rStyle w:val="37"/>
          <w:rFonts w:hint="eastAsia" w:cs="宋体"/>
          <w:b w:val="0"/>
          <w:bCs w:val="0"/>
          <w:sz w:val="21"/>
          <w:szCs w:val="22"/>
        </w:rPr>
        <w:t>中标供应商如有融资需求，可使用以下银行的政采贷服务。</w:t>
      </w:r>
    </w:p>
    <w:tbl>
      <w:tblPr>
        <w:tblStyle w:val="34"/>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1560"/>
        <w:gridCol w:w="1590"/>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pStyle w:val="31"/>
              <w:spacing w:line="360" w:lineRule="atLeast"/>
              <w:jc w:val="center"/>
              <w:rPr>
                <w:rStyle w:val="37"/>
                <w:rFonts w:hint="eastAsia" w:cs="宋体"/>
                <w:b w:val="0"/>
                <w:bCs w:val="0"/>
                <w:sz w:val="21"/>
                <w:szCs w:val="22"/>
              </w:rPr>
            </w:pPr>
            <w:r>
              <w:rPr>
                <w:rStyle w:val="37"/>
                <w:rFonts w:hint="eastAsia" w:cs="宋体"/>
                <w:b w:val="0"/>
                <w:bCs w:val="0"/>
                <w:sz w:val="21"/>
                <w:szCs w:val="22"/>
              </w:rPr>
              <w:t>银行</w:t>
            </w:r>
          </w:p>
        </w:tc>
        <w:tc>
          <w:tcPr>
            <w:tcW w:w="1560" w:type="dxa"/>
            <w:noWrap w:val="0"/>
            <w:vAlign w:val="center"/>
          </w:tcPr>
          <w:p>
            <w:pPr>
              <w:pStyle w:val="31"/>
              <w:spacing w:line="360" w:lineRule="atLeast"/>
              <w:jc w:val="center"/>
              <w:rPr>
                <w:rStyle w:val="37"/>
                <w:rFonts w:hint="eastAsia" w:cs="宋体"/>
                <w:b w:val="0"/>
                <w:bCs w:val="0"/>
                <w:sz w:val="21"/>
                <w:szCs w:val="22"/>
              </w:rPr>
            </w:pPr>
            <w:r>
              <w:rPr>
                <w:rStyle w:val="37"/>
                <w:rFonts w:hint="eastAsia" w:cs="宋体"/>
                <w:b w:val="0"/>
                <w:bCs w:val="0"/>
                <w:sz w:val="21"/>
                <w:szCs w:val="22"/>
              </w:rPr>
              <w:t>贷款年利率</w:t>
            </w:r>
          </w:p>
        </w:tc>
        <w:tc>
          <w:tcPr>
            <w:tcW w:w="1590" w:type="dxa"/>
            <w:noWrap w:val="0"/>
            <w:vAlign w:val="center"/>
          </w:tcPr>
          <w:p>
            <w:pPr>
              <w:pStyle w:val="31"/>
              <w:spacing w:line="360" w:lineRule="atLeast"/>
              <w:jc w:val="center"/>
              <w:rPr>
                <w:rStyle w:val="37"/>
                <w:rFonts w:hint="eastAsia" w:cs="宋体"/>
                <w:b w:val="0"/>
                <w:bCs w:val="0"/>
                <w:sz w:val="21"/>
                <w:szCs w:val="22"/>
              </w:rPr>
            </w:pPr>
            <w:r>
              <w:rPr>
                <w:rStyle w:val="37"/>
                <w:rFonts w:hint="eastAsia" w:cs="宋体"/>
                <w:b w:val="0"/>
                <w:bCs w:val="0"/>
                <w:sz w:val="21"/>
                <w:szCs w:val="22"/>
              </w:rPr>
              <w:t>联系人</w:t>
            </w:r>
          </w:p>
        </w:tc>
        <w:tc>
          <w:tcPr>
            <w:tcW w:w="2985" w:type="dxa"/>
            <w:noWrap w:val="0"/>
            <w:vAlign w:val="center"/>
          </w:tcPr>
          <w:p>
            <w:pPr>
              <w:pStyle w:val="31"/>
              <w:spacing w:line="360" w:lineRule="atLeast"/>
              <w:jc w:val="center"/>
              <w:rPr>
                <w:rStyle w:val="37"/>
                <w:rFonts w:hint="eastAsia" w:cs="宋体"/>
                <w:b w:val="0"/>
                <w:bCs w:val="0"/>
                <w:sz w:val="21"/>
                <w:szCs w:val="22"/>
              </w:rPr>
            </w:pPr>
            <w:r>
              <w:rPr>
                <w:rStyle w:val="37"/>
                <w:rFonts w:hint="eastAsia" w:cs="宋体"/>
                <w:b w:val="0"/>
                <w:bCs w:val="0"/>
                <w:sz w:val="21"/>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中国工商银行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3.8%起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王霖</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中国农业银行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3.8%起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龚盛</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中国建设银行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3.8%起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梅晶晶</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88525339  13736585303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中国银行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3.75%起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任茜</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浦发银行台州分行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4.05%起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王渊</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浦发银行椒江分行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4.05%起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孙瑞华</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交通银行台州分行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3.75%起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周翔宇</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招商银行台州分行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4.32%起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王海玲</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浙商银行台州分行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5.01%起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章涉漪</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81880185  13606681262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中信银行台州分行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4.15%起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陈金园</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华夏银行台州分行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4.5%起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邱明达</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81871518  13736252233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泰隆银行开发区支行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5.6%起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梁宛莉</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民泰银行椒江支行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5.8%起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陈慧珠</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绍兴银行台州分行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5.1%起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郭庭斌</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温州银行台州分行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4.55%起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王晓波</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平安银行台州分行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6.53%起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李俊丽</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宁波银行台州分行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4.35%起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戴莉丽</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金华银行台州分行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4.05%起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金雪婷</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81886670  15968661569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台州银行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5.6%起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洪婷</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775" w:type="dxa"/>
            <w:noWrap w:val="0"/>
            <w:vAlign w:val="center"/>
          </w:tcPr>
          <w:p>
            <w:pPr>
              <w:snapToGrid w:val="0"/>
              <w:spacing w:line="360" w:lineRule="auto"/>
              <w:rPr>
                <w:rFonts w:ascii="宋体" w:hAnsi="宋体" w:cs="宋体"/>
                <w:sz w:val="24"/>
              </w:rPr>
            </w:pPr>
            <w:r>
              <w:rPr>
                <w:rFonts w:hint="eastAsia" w:ascii="宋体" w:hAnsi="宋体" w:cs="宋体"/>
                <w:sz w:val="24"/>
              </w:rPr>
              <w:t>邮储银行台州分行</w:t>
            </w:r>
          </w:p>
        </w:tc>
        <w:tc>
          <w:tcPr>
            <w:tcW w:w="1560" w:type="dxa"/>
            <w:noWrap w:val="0"/>
            <w:vAlign w:val="center"/>
          </w:tcPr>
          <w:p>
            <w:pPr>
              <w:snapToGrid w:val="0"/>
              <w:spacing w:line="360" w:lineRule="auto"/>
              <w:rPr>
                <w:rFonts w:ascii="宋体" w:hAnsi="宋体" w:cs="宋体"/>
                <w:sz w:val="24"/>
              </w:rPr>
            </w:pPr>
            <w:r>
              <w:rPr>
                <w:rFonts w:hint="eastAsia" w:ascii="宋体" w:hAnsi="宋体" w:cs="宋体"/>
                <w:sz w:val="24"/>
              </w:rPr>
              <w:t>3.85%起</w:t>
            </w:r>
          </w:p>
        </w:tc>
        <w:tc>
          <w:tcPr>
            <w:tcW w:w="1590" w:type="dxa"/>
            <w:noWrap w:val="0"/>
            <w:vAlign w:val="center"/>
          </w:tcPr>
          <w:p>
            <w:pPr>
              <w:snapToGrid w:val="0"/>
              <w:spacing w:line="360" w:lineRule="auto"/>
              <w:rPr>
                <w:rFonts w:ascii="宋体" w:hAnsi="宋体" w:cs="宋体"/>
                <w:sz w:val="24"/>
              </w:rPr>
            </w:pPr>
            <w:r>
              <w:rPr>
                <w:rFonts w:hint="eastAsia" w:ascii="宋体" w:hAnsi="宋体" w:cs="宋体"/>
                <w:sz w:val="24"/>
              </w:rPr>
              <w:t>董庆</w:t>
            </w:r>
          </w:p>
        </w:tc>
        <w:tc>
          <w:tcPr>
            <w:tcW w:w="2985" w:type="dxa"/>
            <w:noWrap w:val="0"/>
            <w:vAlign w:val="center"/>
          </w:tcPr>
          <w:p>
            <w:pPr>
              <w:snapToGrid w:val="0"/>
              <w:spacing w:line="360" w:lineRule="auto"/>
              <w:rPr>
                <w:rFonts w:ascii="宋体" w:hAnsi="宋体" w:cs="宋体"/>
                <w:sz w:val="24"/>
              </w:rPr>
            </w:pPr>
            <w:r>
              <w:rPr>
                <w:rFonts w:hint="eastAsia" w:ascii="宋体" w:hAnsi="宋体" w:cs="宋体"/>
                <w:sz w:val="24"/>
              </w:rPr>
              <w:t>81888982  18957683735</w:t>
            </w:r>
          </w:p>
        </w:tc>
      </w:tr>
    </w:tbl>
    <w:p>
      <w:pPr>
        <w:snapToGrid w:val="0"/>
        <w:spacing w:line="360" w:lineRule="auto"/>
        <w:ind w:firstLine="482" w:firstLineChars="200"/>
        <w:rPr>
          <w:rFonts w:hint="eastAsia" w:ascii="宋体" w:hAnsi="宋体" w:cs="宋体"/>
          <w:b/>
          <w:sz w:val="24"/>
        </w:rPr>
      </w:pPr>
    </w:p>
    <w:p>
      <w:pPr>
        <w:snapToGrid w:val="0"/>
        <w:spacing w:line="360" w:lineRule="auto"/>
        <w:ind w:firstLine="482" w:firstLineChars="200"/>
        <w:rPr>
          <w:rFonts w:hint="eastAsia" w:ascii="宋体" w:hAnsi="宋体" w:cs="宋体"/>
          <w:b/>
          <w:sz w:val="24"/>
        </w:rPr>
      </w:pPr>
      <w:r>
        <w:rPr>
          <w:rFonts w:hint="eastAsia" w:ascii="宋体" w:hAnsi="宋体" w:cs="宋体"/>
          <w:b/>
          <w:sz w:val="24"/>
        </w:rPr>
        <w:t>十一、其他：</w:t>
      </w:r>
    </w:p>
    <w:p>
      <w:pPr>
        <w:snapToGrid w:val="0"/>
        <w:spacing w:line="360" w:lineRule="auto"/>
        <w:ind w:firstLine="420"/>
        <w:rPr>
          <w:rFonts w:hint="eastAsia" w:ascii="宋体" w:hAnsi="宋体" w:cs="宋体"/>
          <w:sz w:val="24"/>
        </w:rPr>
      </w:pPr>
      <w:r>
        <w:rPr>
          <w:rFonts w:hint="eastAsia" w:ascii="宋体" w:hAnsi="宋体" w:cs="宋体"/>
          <w:sz w:val="24"/>
        </w:rPr>
        <w:t>1、采购代理机构名称：台州市建设咨询有限公司</w:t>
      </w:r>
    </w:p>
    <w:p>
      <w:pPr>
        <w:snapToGrid w:val="0"/>
        <w:spacing w:line="360" w:lineRule="auto"/>
        <w:ind w:firstLine="420"/>
        <w:rPr>
          <w:rFonts w:hint="eastAsia" w:ascii="宋体" w:hAnsi="宋体" w:cs="宋体"/>
          <w:sz w:val="24"/>
        </w:rPr>
      </w:pPr>
      <w:r>
        <w:rPr>
          <w:rFonts w:hint="eastAsia" w:ascii="宋体" w:hAnsi="宋体" w:cs="宋体"/>
          <w:sz w:val="24"/>
        </w:rPr>
        <w:t>联系人：葛俊</w:t>
      </w:r>
    </w:p>
    <w:p>
      <w:pPr>
        <w:snapToGrid w:val="0"/>
        <w:spacing w:line="360" w:lineRule="auto"/>
        <w:ind w:firstLine="420"/>
        <w:rPr>
          <w:rFonts w:hint="eastAsia" w:ascii="宋体" w:hAnsi="宋体" w:cs="宋体"/>
          <w:sz w:val="24"/>
        </w:rPr>
      </w:pPr>
      <w:r>
        <w:rPr>
          <w:rFonts w:hint="eastAsia" w:ascii="宋体" w:hAnsi="宋体" w:cs="宋体"/>
          <w:sz w:val="24"/>
        </w:rPr>
        <w:t>联系电话：0576-88517783</w:t>
      </w:r>
    </w:p>
    <w:p>
      <w:pPr>
        <w:snapToGrid w:val="0"/>
        <w:spacing w:line="360" w:lineRule="auto"/>
        <w:ind w:firstLine="420"/>
        <w:rPr>
          <w:rFonts w:hint="eastAsia" w:ascii="宋体" w:hAnsi="宋体" w:cs="宋体"/>
          <w:sz w:val="24"/>
        </w:rPr>
      </w:pPr>
      <w:r>
        <w:rPr>
          <w:rFonts w:hint="eastAsia" w:ascii="宋体" w:hAnsi="宋体" w:cs="宋体"/>
          <w:sz w:val="24"/>
        </w:rPr>
        <w:t>传真：0576-88517785</w:t>
      </w:r>
    </w:p>
    <w:p>
      <w:pPr>
        <w:snapToGrid w:val="0"/>
        <w:spacing w:line="360" w:lineRule="auto"/>
        <w:ind w:firstLine="420"/>
        <w:rPr>
          <w:rFonts w:hint="eastAsia" w:ascii="宋体" w:hAnsi="宋体" w:cs="宋体"/>
          <w:sz w:val="24"/>
        </w:rPr>
      </w:pPr>
      <w:r>
        <w:rPr>
          <w:rFonts w:hint="eastAsia" w:ascii="宋体" w:hAnsi="宋体" w:cs="宋体"/>
          <w:sz w:val="24"/>
        </w:rPr>
        <w:t>地址：浙江省台州市市府大道465号市建设规划大楼二楼213室</w:t>
      </w:r>
    </w:p>
    <w:p>
      <w:pPr>
        <w:snapToGrid w:val="0"/>
        <w:spacing w:line="360" w:lineRule="auto"/>
        <w:ind w:firstLine="420"/>
        <w:rPr>
          <w:rFonts w:hint="eastAsia" w:ascii="宋体" w:hAnsi="宋体" w:cs="宋体"/>
          <w:sz w:val="24"/>
        </w:rPr>
      </w:pPr>
      <w:r>
        <w:rPr>
          <w:rFonts w:hint="eastAsia" w:ascii="宋体" w:hAnsi="宋体" w:cs="宋体"/>
          <w:sz w:val="24"/>
        </w:rPr>
        <w:t>2、采购人名称：台州市自然资源和规划局</w:t>
      </w:r>
    </w:p>
    <w:p>
      <w:pPr>
        <w:snapToGrid w:val="0"/>
        <w:spacing w:line="360" w:lineRule="auto"/>
        <w:ind w:firstLine="420"/>
        <w:rPr>
          <w:rFonts w:hint="eastAsia" w:ascii="宋体" w:hAnsi="宋体" w:cs="宋体"/>
          <w:sz w:val="24"/>
        </w:rPr>
      </w:pPr>
      <w:r>
        <w:rPr>
          <w:rFonts w:hint="eastAsia" w:ascii="宋体" w:hAnsi="宋体" w:cs="宋体"/>
          <w:sz w:val="24"/>
        </w:rPr>
        <w:t>采购单位联系人：王先生 </w:t>
      </w:r>
    </w:p>
    <w:p>
      <w:pPr>
        <w:snapToGrid w:val="0"/>
        <w:spacing w:line="360" w:lineRule="auto"/>
        <w:ind w:firstLine="420"/>
        <w:rPr>
          <w:rFonts w:hint="eastAsia" w:ascii="宋体" w:hAnsi="宋体" w:cs="宋体"/>
          <w:sz w:val="24"/>
        </w:rPr>
      </w:pPr>
      <w:r>
        <w:rPr>
          <w:rFonts w:hint="eastAsia" w:ascii="宋体" w:hAnsi="宋体" w:cs="宋体"/>
          <w:sz w:val="24"/>
        </w:rPr>
        <w:t>联系电话：</w:t>
      </w:r>
      <w:r>
        <w:rPr>
          <w:rFonts w:hint="eastAsia" w:ascii="宋体" w:hAnsi="宋体" w:cs="宋体"/>
          <w:bCs/>
          <w:sz w:val="24"/>
        </w:rPr>
        <w:t>0576-88511362</w:t>
      </w:r>
      <w:r>
        <w:rPr>
          <w:rFonts w:hint="eastAsia" w:ascii="宋体" w:hAnsi="宋体" w:cs="宋体"/>
          <w:sz w:val="24"/>
        </w:rPr>
        <w:t> </w:t>
      </w:r>
    </w:p>
    <w:p>
      <w:pPr>
        <w:snapToGrid w:val="0"/>
        <w:spacing w:line="360" w:lineRule="auto"/>
        <w:ind w:firstLine="420"/>
        <w:rPr>
          <w:rFonts w:hint="eastAsia" w:ascii="宋体" w:hAnsi="宋体" w:cs="宋体"/>
          <w:sz w:val="24"/>
        </w:rPr>
      </w:pPr>
      <w:r>
        <w:rPr>
          <w:rFonts w:hint="eastAsia" w:ascii="宋体" w:hAnsi="宋体" w:cs="宋体"/>
          <w:sz w:val="24"/>
        </w:rPr>
        <w:t>地址：浙江省台州市市府大道468号</w:t>
      </w:r>
    </w:p>
    <w:p>
      <w:pPr>
        <w:snapToGrid w:val="0"/>
        <w:spacing w:line="360" w:lineRule="auto"/>
        <w:ind w:firstLine="420"/>
        <w:rPr>
          <w:rFonts w:hint="eastAsia" w:ascii="宋体" w:hAnsi="宋体" w:cs="宋体"/>
          <w:sz w:val="24"/>
        </w:rPr>
      </w:pPr>
      <w:r>
        <w:rPr>
          <w:rFonts w:hint="eastAsia" w:ascii="宋体" w:hAnsi="宋体" w:cs="宋体"/>
          <w:sz w:val="24"/>
        </w:rPr>
        <w:t>3、同级政府采购监督管理部门名称：台州市财政局</w:t>
      </w:r>
    </w:p>
    <w:p>
      <w:pPr>
        <w:snapToGrid w:val="0"/>
        <w:spacing w:line="360" w:lineRule="auto"/>
        <w:ind w:firstLine="420"/>
        <w:rPr>
          <w:rFonts w:hint="eastAsia" w:ascii="宋体" w:hAnsi="宋体" w:cs="宋体"/>
          <w:sz w:val="24"/>
        </w:rPr>
      </w:pPr>
      <w:r>
        <w:rPr>
          <w:rFonts w:hint="eastAsia" w:ascii="宋体" w:hAnsi="宋体" w:cs="宋体"/>
          <w:sz w:val="24"/>
        </w:rPr>
        <w:t>联系人：张先生       </w:t>
      </w:r>
    </w:p>
    <w:p>
      <w:pPr>
        <w:snapToGrid w:val="0"/>
        <w:spacing w:line="360" w:lineRule="auto"/>
        <w:ind w:firstLine="420"/>
        <w:rPr>
          <w:rFonts w:hint="eastAsia" w:ascii="宋体" w:hAnsi="宋体" w:cs="宋体"/>
          <w:sz w:val="24"/>
        </w:rPr>
      </w:pPr>
      <w:r>
        <w:rPr>
          <w:rFonts w:hint="eastAsia" w:ascii="宋体" w:hAnsi="宋体" w:cs="宋体"/>
          <w:sz w:val="24"/>
        </w:rPr>
        <w:t>监督投诉电话：0576-88206705</w:t>
      </w:r>
    </w:p>
    <w:p>
      <w:pPr>
        <w:snapToGrid w:val="0"/>
        <w:spacing w:line="360" w:lineRule="auto"/>
        <w:ind w:firstLine="420"/>
        <w:rPr>
          <w:rFonts w:hint="eastAsia" w:ascii="宋体" w:hAnsi="宋体" w:cs="宋体"/>
          <w:sz w:val="24"/>
        </w:rPr>
      </w:pPr>
      <w:r>
        <w:rPr>
          <w:rFonts w:hint="eastAsia" w:ascii="宋体" w:hAnsi="宋体" w:cs="宋体"/>
          <w:sz w:val="24"/>
        </w:rPr>
        <w:t>地址：台州经济开发区纬一路天元大厦</w:t>
      </w:r>
    </w:p>
    <w:p>
      <w:pPr>
        <w:snapToGrid w:val="0"/>
        <w:spacing w:line="360" w:lineRule="auto"/>
        <w:ind w:left="238"/>
        <w:jc w:val="center"/>
        <w:rPr>
          <w:rFonts w:hint="eastAsia" w:ascii="宋体" w:hAnsi="宋体" w:cs="宋体"/>
          <w:sz w:val="24"/>
        </w:rPr>
      </w:pPr>
      <w:r>
        <w:rPr>
          <w:rFonts w:hint="eastAsia" w:ascii="宋体" w:hAnsi="宋体" w:cs="宋体"/>
          <w:sz w:val="24"/>
        </w:rPr>
        <w:t xml:space="preserve">                                    </w:t>
      </w:r>
    </w:p>
    <w:p>
      <w:pPr>
        <w:snapToGrid w:val="0"/>
        <w:spacing w:line="360" w:lineRule="auto"/>
        <w:ind w:left="238"/>
        <w:jc w:val="center"/>
        <w:rPr>
          <w:rFonts w:hint="eastAsia" w:ascii="宋体" w:hAnsi="宋体" w:cs="宋体"/>
          <w:sz w:val="24"/>
        </w:rPr>
      </w:pPr>
      <w:r>
        <w:rPr>
          <w:rFonts w:hint="eastAsia" w:ascii="宋体" w:hAnsi="宋体" w:cs="宋体"/>
          <w:sz w:val="24"/>
        </w:rPr>
        <w:t xml:space="preserve">                                         台州市建设咨询有限公司</w:t>
      </w:r>
    </w:p>
    <w:p>
      <w:pPr>
        <w:snapToGrid w:val="0"/>
        <w:spacing w:line="360" w:lineRule="auto"/>
        <w:ind w:left="238" w:firstLine="4980" w:firstLineChars="2075"/>
        <w:jc w:val="center"/>
        <w:rPr>
          <w:rFonts w:hint="eastAsia" w:ascii="宋体" w:hAnsi="宋体" w:cs="宋体"/>
          <w:sz w:val="24"/>
        </w:rPr>
      </w:pPr>
      <w:r>
        <w:rPr>
          <w:rFonts w:hint="eastAsia" w:ascii="宋体" w:hAnsi="宋体" w:cs="宋体"/>
          <w:sz w:val="24"/>
        </w:rPr>
        <w:t>2020年</w:t>
      </w:r>
      <w:r>
        <w:rPr>
          <w:rFonts w:hint="eastAsia" w:ascii="宋体" w:hAnsi="宋体" w:cs="宋体"/>
          <w:sz w:val="24"/>
          <w:lang w:val="en-US" w:eastAsia="zh-CN"/>
        </w:rPr>
        <w:t>10</w:t>
      </w:r>
      <w:r>
        <w:rPr>
          <w:rFonts w:hint="eastAsia" w:ascii="宋体" w:hAnsi="宋体" w:cs="宋体"/>
          <w:sz w:val="24"/>
        </w:rPr>
        <w:t>月</w:t>
      </w:r>
    </w:p>
    <w:p>
      <w:pPr>
        <w:pStyle w:val="19"/>
        <w:tabs>
          <w:tab w:val="left" w:pos="1620"/>
        </w:tabs>
        <w:snapToGrid w:val="0"/>
        <w:spacing w:before="156" w:after="156"/>
        <w:jc w:val="center"/>
        <w:rPr>
          <w:rFonts w:hint="eastAsia" w:hAnsi="宋体" w:cs="宋体"/>
          <w:color w:val="0D0D0D"/>
          <w:sz w:val="30"/>
          <w:szCs w:val="30"/>
        </w:rPr>
      </w:pPr>
      <w:r>
        <w:rPr>
          <w:rFonts w:hint="eastAsia" w:hAnsi="宋体" w:cs="宋体"/>
          <w:color w:val="0D0D0D"/>
          <w:sz w:val="30"/>
          <w:szCs w:val="30"/>
        </w:rPr>
        <w:br w:type="page"/>
      </w:r>
      <w:r>
        <w:rPr>
          <w:rFonts w:hint="eastAsia" w:hAnsi="宋体" w:cs="宋体"/>
          <w:color w:val="0D0D0D"/>
          <w:sz w:val="30"/>
          <w:szCs w:val="30"/>
        </w:rPr>
        <w:t xml:space="preserve">第二章  </w:t>
      </w:r>
      <w:r>
        <w:rPr>
          <w:rFonts w:hint="eastAsia" w:hAnsi="宋体" w:cs="宋体"/>
          <w:bCs/>
          <w:color w:val="0D0D0D"/>
          <w:sz w:val="30"/>
          <w:szCs w:val="30"/>
        </w:rPr>
        <w:t>招</w:t>
      </w:r>
      <w:r>
        <w:rPr>
          <w:rFonts w:hint="eastAsia" w:hAnsi="宋体" w:cs="宋体"/>
          <w:color w:val="0D0D0D"/>
          <w:sz w:val="30"/>
          <w:szCs w:val="30"/>
        </w:rPr>
        <w:t>标需求</w:t>
      </w:r>
    </w:p>
    <w:p>
      <w:pPr>
        <w:pStyle w:val="19"/>
        <w:snapToGrid w:val="0"/>
        <w:spacing w:beforeLines="0" w:afterLines="0" w:line="240" w:lineRule="auto"/>
        <w:ind w:firstLine="117" w:firstLineChars="49"/>
        <w:outlineLvl w:val="0"/>
        <w:rPr>
          <w:rFonts w:hint="eastAsia" w:hAnsi="宋体" w:cs="宋体"/>
          <w:color w:val="0D0D0D"/>
        </w:rPr>
      </w:pPr>
      <w:r>
        <w:rPr>
          <w:rFonts w:hint="eastAsia" w:hAnsi="宋体" w:cs="宋体"/>
          <w:color w:val="0D0D0D"/>
        </w:rPr>
        <w:t>编号：</w:t>
      </w:r>
      <w:r>
        <w:rPr>
          <w:rFonts w:hint="eastAsia" w:hAnsi="宋体" w:cs="宋体"/>
          <w:b/>
          <w:bCs/>
          <w:color w:val="0D0D0D"/>
        </w:rPr>
        <w:t>台财采确[2020]3614号</w:t>
      </w:r>
    </w:p>
    <w:p>
      <w:pPr>
        <w:pStyle w:val="19"/>
        <w:snapToGrid w:val="0"/>
        <w:spacing w:beforeLines="0" w:afterLines="0" w:line="240" w:lineRule="auto"/>
        <w:ind w:firstLine="117" w:firstLineChars="49"/>
        <w:outlineLvl w:val="0"/>
        <w:rPr>
          <w:rFonts w:hint="eastAsia" w:hAnsi="宋体" w:cs="宋体"/>
          <w:b/>
          <w:bCs/>
          <w:color w:val="0D0D0D"/>
        </w:rPr>
      </w:pPr>
      <w:r>
        <w:rPr>
          <w:rFonts w:hint="eastAsia" w:hAnsi="宋体" w:cs="宋体"/>
          <w:color w:val="0D0D0D"/>
        </w:rPr>
        <w:t>采购项目名称：</w:t>
      </w:r>
      <w:r>
        <w:rPr>
          <w:rFonts w:hint="eastAsia" w:hAnsi="宋体" w:cs="宋体"/>
          <w:b/>
          <w:bCs/>
          <w:color w:val="0D0D0D"/>
        </w:rPr>
        <w:t>台州市不动产登记便利化协同应用项目（市级系统部分）</w:t>
      </w:r>
    </w:p>
    <w:p>
      <w:pPr>
        <w:pStyle w:val="68"/>
        <w:spacing w:line="600" w:lineRule="exact"/>
        <w:ind w:firstLine="0" w:firstLineChars="0"/>
        <w:textAlignment w:val="center"/>
        <w:rPr>
          <w:rFonts w:hint="eastAsia" w:ascii="宋体" w:hAnsi="宋体" w:cs="宋体"/>
          <w:b/>
          <w:bCs/>
          <w:spacing w:val="6"/>
          <w:szCs w:val="28"/>
        </w:rPr>
      </w:pPr>
      <w:r>
        <w:rPr>
          <w:rFonts w:hint="eastAsia" w:ascii="宋体" w:hAnsi="宋体" w:cs="宋体"/>
          <w:b/>
          <w:bCs/>
          <w:spacing w:val="6"/>
          <w:szCs w:val="28"/>
        </w:rPr>
        <w:t>一、项目要求</w:t>
      </w:r>
    </w:p>
    <w:tbl>
      <w:tblPr>
        <w:tblStyle w:val="34"/>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120" w:beforeLines="0" w:after="120" w:afterLines="0" w:line="240" w:lineRule="auto"/>
              <w:outlineLvl w:val="0"/>
              <w:rPr>
                <w:rFonts w:hint="eastAsia" w:hAnsi="宋体" w:cs="宋体"/>
                <w:sz w:val="21"/>
                <w:szCs w:val="21"/>
              </w:rPr>
            </w:pPr>
            <w:r>
              <w:rPr>
                <w:rFonts w:hint="eastAsia" w:hAnsi="宋体" w:cs="宋体"/>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120" w:beforeLines="0" w:after="120" w:afterLines="0" w:line="240" w:lineRule="auto"/>
              <w:outlineLvl w:val="0"/>
              <w:rPr>
                <w:rFonts w:hint="eastAsia" w:hAnsi="宋体" w:cs="宋体"/>
                <w:sz w:val="21"/>
                <w:szCs w:val="21"/>
              </w:rPr>
            </w:pPr>
            <w:r>
              <w:rPr>
                <w:rFonts w:hint="eastAsia" w:hAnsi="宋体" w:cs="宋体"/>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120" w:beforeLines="0" w:after="120" w:afterLines="0" w:line="240" w:lineRule="auto"/>
              <w:outlineLvl w:val="0"/>
              <w:rPr>
                <w:rFonts w:hint="eastAsia" w:hAnsi="宋体" w:cs="宋体"/>
                <w:sz w:val="21"/>
                <w:szCs w:val="21"/>
              </w:rPr>
            </w:pPr>
            <w:r>
              <w:rPr>
                <w:rFonts w:hint="eastAsia" w:hAnsi="宋体" w:cs="宋体"/>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156" w:after="156" w:line="240" w:lineRule="auto"/>
              <w:outlineLvl w:val="0"/>
              <w:rPr>
                <w:rFonts w:hint="eastAsia" w:hAnsi="宋体" w:cs="宋体"/>
                <w:sz w:val="21"/>
                <w:szCs w:val="21"/>
              </w:rPr>
            </w:pPr>
            <w:r>
              <w:rPr>
                <w:rFonts w:hint="eastAsia" w:hAnsi="宋体" w:cs="宋体"/>
                <w:sz w:val="21"/>
                <w:szCs w:val="21"/>
              </w:rPr>
              <w:t>台州市不动产登记便利化协同应用项目（市级系统部分）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120" w:beforeLines="0" w:after="120" w:afterLines="0" w:line="240" w:lineRule="auto"/>
              <w:outlineLvl w:val="0"/>
              <w:rPr>
                <w:rFonts w:hint="eastAsia" w:hAnsi="宋体" w:cs="宋体"/>
                <w:sz w:val="21"/>
                <w:szCs w:val="21"/>
              </w:rPr>
            </w:pPr>
            <w:r>
              <w:rPr>
                <w:rFonts w:hint="eastAsia" w:hAnsi="宋体" w:cs="宋体"/>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120" w:beforeLines="0" w:after="120" w:afterLines="0" w:line="240" w:lineRule="auto"/>
              <w:outlineLvl w:val="0"/>
              <w:rPr>
                <w:rFonts w:hint="eastAsia" w:hAnsi="宋体" w:cs="宋体"/>
                <w:sz w:val="21"/>
                <w:szCs w:val="21"/>
              </w:rPr>
            </w:pPr>
            <w:r>
              <w:rPr>
                <w:rFonts w:hint="eastAsia" w:hAnsi="宋体" w:cs="宋体"/>
                <w:sz w:val="21"/>
                <w:szCs w:val="21"/>
              </w:rPr>
              <w:t>详见本章“招标项目范围及要求”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120" w:beforeLines="0" w:after="120" w:afterLines="0" w:line="240" w:lineRule="auto"/>
              <w:outlineLvl w:val="0"/>
              <w:rPr>
                <w:rFonts w:hint="eastAsia" w:hAnsi="宋体" w:cs="宋体"/>
                <w:sz w:val="21"/>
                <w:szCs w:val="21"/>
              </w:rPr>
            </w:pPr>
            <w:r>
              <w:rPr>
                <w:rFonts w:hint="eastAsia" w:hAnsi="宋体" w:cs="宋体"/>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19"/>
              <w:snapToGrid w:val="0"/>
              <w:spacing w:before="120" w:beforeLines="0" w:after="120" w:afterLines="0" w:line="240" w:lineRule="auto"/>
              <w:outlineLvl w:val="0"/>
              <w:rPr>
                <w:rFonts w:hint="eastAsia" w:hAnsi="宋体" w:cs="宋体"/>
                <w:sz w:val="21"/>
                <w:szCs w:val="21"/>
              </w:rPr>
            </w:pPr>
            <w:r>
              <w:rPr>
                <w:rFonts w:hint="eastAsia" w:hAnsi="宋体" w:cs="宋体"/>
                <w:sz w:val="21"/>
                <w:szCs w:val="21"/>
              </w:rPr>
              <w:t>详见本章“招标项目范围及要求”</w:t>
            </w:r>
          </w:p>
        </w:tc>
      </w:tr>
    </w:tbl>
    <w:p>
      <w:pPr>
        <w:pStyle w:val="68"/>
        <w:spacing w:line="600" w:lineRule="exact"/>
        <w:ind w:firstLine="0" w:firstLineChars="0"/>
        <w:textAlignment w:val="center"/>
        <w:rPr>
          <w:rFonts w:hint="eastAsia" w:ascii="宋体" w:hAnsi="宋体" w:cs="宋体"/>
          <w:b/>
          <w:bCs/>
          <w:spacing w:val="6"/>
          <w:szCs w:val="28"/>
        </w:rPr>
      </w:pPr>
      <w:r>
        <w:rPr>
          <w:rFonts w:hint="eastAsia" w:ascii="宋体" w:hAnsi="宋体" w:cs="宋体"/>
          <w:b/>
          <w:bCs/>
          <w:spacing w:val="6"/>
          <w:szCs w:val="28"/>
        </w:rPr>
        <w:t>二、招标项目范围及要求</w:t>
      </w:r>
    </w:p>
    <w:p>
      <w:pPr>
        <w:pStyle w:val="5"/>
        <w:spacing w:before="98" w:after="98"/>
        <w:rPr>
          <w:rFonts w:hint="eastAsia" w:ascii="宋体" w:hAnsi="宋体" w:eastAsia="宋体" w:cs="宋体"/>
          <w:sz w:val="24"/>
          <w:szCs w:val="24"/>
        </w:rPr>
      </w:pPr>
      <w:bookmarkStart w:id="2" w:name="_Toc47346994"/>
      <w:bookmarkStart w:id="3" w:name="_Toc1051"/>
      <w:bookmarkStart w:id="4" w:name="_Toc11138381"/>
      <w:r>
        <w:rPr>
          <w:rFonts w:hint="eastAsia" w:ascii="宋体" w:hAnsi="宋体" w:eastAsia="宋体" w:cs="宋体"/>
          <w:sz w:val="24"/>
          <w:szCs w:val="24"/>
        </w:rPr>
        <w:t>1.1项目背景</w:t>
      </w:r>
    </w:p>
    <w:p>
      <w:pPr>
        <w:ind w:firstLine="480" w:firstLineChars="200"/>
        <w:rPr>
          <w:rFonts w:hint="eastAsia" w:ascii="宋体" w:hAnsi="宋体" w:cs="宋体"/>
          <w:sz w:val="24"/>
        </w:rPr>
      </w:pPr>
      <w:r>
        <w:rPr>
          <w:rFonts w:hint="eastAsia" w:ascii="宋体" w:hAnsi="宋体" w:cs="宋体"/>
          <w:sz w:val="24"/>
        </w:rPr>
        <w:t>2019年2月，为深化“放管服”改革，深入推进审批服务便民化，不断增强企业和群众改革获得感，国务院办公厅印发了《关于压缩不动产登记办理时间的通知》（国办发〔2019〕8号），明确要求以推进国家治理体系和治理能力现代化为目标，以为企业和群众“办好一件事”为标准，加强部门协作，实行信息共享集成、流程集成和人员集成，进行全流程优化，压缩办理时间，切实解决不动产登记耗时长、办理难问题，努力构建便捷高效、便民利民的不动产登记工作体系。按照“放管服”改革要求，基于数据共享交换平台，建立部门间信息共享集成机制，加强部门协作和信息互联互通，提高信息质量和利用效率，推进“互联网+不动产登记”建设。</w:t>
      </w:r>
    </w:p>
    <w:p>
      <w:pPr>
        <w:ind w:firstLine="480" w:firstLineChars="200"/>
        <w:rPr>
          <w:rFonts w:hint="eastAsia" w:ascii="宋体" w:hAnsi="宋体" w:cs="宋体"/>
          <w:sz w:val="24"/>
        </w:rPr>
      </w:pPr>
      <w:r>
        <w:rPr>
          <w:rFonts w:hint="eastAsia" w:ascii="宋体" w:hAnsi="宋体" w:cs="宋体"/>
          <w:sz w:val="24"/>
        </w:rPr>
        <w:t>2019年7月，浙江省委改革办（省跑改办）、省自然资源厅、省发展改革委等11个部门联合印发了《关于印发浙江省优化营商环境不动产登记“一件事”便利化行动方案的通知（浙改办法〔2019〕43号）》，要求贯彻落实国务院关于深化“放管服”改革和压缩不动产登记办理时间的要求，紧紧围绕省委省政府提出的打造营商环境最优省目标，坚持问题导向、需求导向和效果导向，突出机制创新和技术引领，构建规范高效、便民利民的不动产登记“浙江样板”，持续领跑全国。</w:t>
      </w:r>
    </w:p>
    <w:p>
      <w:pPr>
        <w:ind w:firstLine="480" w:firstLineChars="200"/>
        <w:rPr>
          <w:rFonts w:hint="eastAsia" w:ascii="宋体" w:hAnsi="宋体" w:cs="宋体"/>
          <w:kern w:val="0"/>
          <w:sz w:val="24"/>
        </w:rPr>
      </w:pPr>
      <w:r>
        <w:rPr>
          <w:rFonts w:hint="eastAsia" w:ascii="宋体" w:hAnsi="宋体" w:cs="宋体"/>
          <w:sz w:val="24"/>
        </w:rPr>
        <w:t>另外，各级部门还陆续发布了《关于印发&lt;全面开展营商环境评价实施方案&gt;的通知》（市府办便笺〔2019〕700）、《台州市人民政府办公室关于加快推进个人可信身份认证应用工作的通知》（市府办便笺〔2019〕549号）、《台州市人民政府办公室关于印发台州市政府数字化转型2020年工作要点的通知》（台政办发〔2020〕5号）、《浙江省自然资源厅  国家税务总局浙江省税务局关于推进企业不动产登记“一件事”进一步优化营商环境的通知》（浙自然资规〔2020〕3号）、《自然资源部 国家税务总局 中国银保监会关于协同推进“互联网+不动产登记”方便企业和群众办事的意见》（自然资发〔2020〕83号）等一系列文件，从个人可信身份认证、不动产涉税服务、不动产抵押登记业务、掌上办和网上办等方面对不动产登记业务服务提出了新的要求，</w:t>
      </w:r>
      <w:r>
        <w:rPr>
          <w:rFonts w:hint="eastAsia" w:ascii="宋体" w:hAnsi="宋体" w:cs="宋体"/>
          <w:kern w:val="0"/>
          <w:sz w:val="24"/>
        </w:rPr>
        <w:t>坚持便民高效，以方便群众办事、保护权利人合法权益为宗旨，优化办事流程，减少办事环节，压缩办事时限，严格遵守“最多跑一次”承诺，通过优质高效服务提升群众和企业获得感。</w:t>
      </w:r>
    </w:p>
    <w:p>
      <w:pPr>
        <w:ind w:firstLine="480" w:firstLineChars="200"/>
        <w:rPr>
          <w:rFonts w:hint="eastAsia" w:ascii="宋体" w:hAnsi="宋体" w:cs="宋体"/>
          <w:sz w:val="24"/>
        </w:rPr>
      </w:pPr>
      <w:r>
        <w:rPr>
          <w:rFonts w:hint="eastAsia" w:ascii="宋体" w:hAnsi="宋体" w:cs="宋体"/>
          <w:sz w:val="24"/>
        </w:rPr>
        <w:t>为更好地贯彻国务院及省委改革办要求，需要对目前台州市自然资源部门的不动产登记信息管理平台进行改造，并新建和扩建部分子系统，保证台州市群众和企业能够高效的办理不动产登记业务，减少来回次数，提高服务窗口的满意度，优化台州不动产登记营商环境。</w:t>
      </w:r>
    </w:p>
    <w:p>
      <w:pPr>
        <w:pStyle w:val="5"/>
        <w:spacing w:before="98" w:after="98"/>
        <w:rPr>
          <w:rFonts w:hint="eastAsia" w:ascii="宋体" w:hAnsi="宋体" w:eastAsia="宋体" w:cs="宋体"/>
          <w:sz w:val="24"/>
          <w:szCs w:val="24"/>
        </w:rPr>
      </w:pPr>
      <w:r>
        <w:rPr>
          <w:rFonts w:hint="eastAsia" w:ascii="宋体" w:hAnsi="宋体" w:eastAsia="宋体" w:cs="宋体"/>
          <w:sz w:val="24"/>
          <w:szCs w:val="24"/>
        </w:rPr>
        <w:t>1.2建设目标</w:t>
      </w:r>
    </w:p>
    <w:p>
      <w:pPr>
        <w:ind w:firstLine="480" w:firstLineChars="200"/>
        <w:rPr>
          <w:rFonts w:hint="eastAsia" w:ascii="宋体" w:hAnsi="宋体" w:cs="宋体"/>
          <w:sz w:val="24"/>
        </w:rPr>
      </w:pPr>
      <w:r>
        <w:rPr>
          <w:rFonts w:hint="eastAsia" w:ascii="宋体" w:hAnsi="宋体" w:cs="宋体"/>
          <w:sz w:val="24"/>
        </w:rPr>
        <w:t>实施“互联网＋不动产登记”推动不动产登记“最多跑一次”改革进入新阶段，在服务理念、体制机制、工作方式等方面大幅度提升群众和企业不动产登记获得感，创新打造“一优二无三全”式“互联网＋不动产登记”的台州样板，其中，一优指优窗口，变面对面受理为肩并肩服务；二无指不动产登记申请无材料、无需跑；三全指全业务、全流程、全市域实施。通过制度创新、业务优化、数据提升、数据共享等“互联网＋不动产登记”方法切实解决不动产登记中的“多头受理与串联办理”、办事流程交叉重复、企业和群众反复提交材料和反复跑路、部门信息共享集成推进缓慢等痛点难点堵点问题，同时提高不动产登记的质量和效率，突出机制创新和技术引领，构建规范高效、便民利民的不动产登记创新示范，助推台州市“最多跑一次”改革在全省领跑快跑、走在前列。</w:t>
      </w:r>
    </w:p>
    <w:p>
      <w:pPr>
        <w:ind w:firstLine="480" w:firstLineChars="200"/>
        <w:rPr>
          <w:rFonts w:hint="eastAsia" w:ascii="宋体" w:hAnsi="宋体" w:cs="宋体"/>
          <w:sz w:val="24"/>
        </w:rPr>
      </w:pPr>
      <w:r>
        <w:rPr>
          <w:rFonts w:hint="eastAsia" w:ascii="宋体" w:hAnsi="宋体" w:cs="宋体"/>
          <w:sz w:val="24"/>
        </w:rPr>
        <w:t>围绕省委省政府关于打造营商环境最优省目标，以服务企业为核心，坚持问题导向、需求导向和效果导向，纵深推进企业不动产登记“最多跑一次”改革，落实“减事项、减材料、减环节、减时间、减费用”的目标，推进“网上办”、“掌上办”，实现企业的工业用途土地/房屋等不动产转移登记“一窗办、一日办、一网办”，进一步提高企业不动产登记便利化获得感，持续领跑全国。</w:t>
      </w:r>
    </w:p>
    <w:p>
      <w:pPr>
        <w:pStyle w:val="5"/>
        <w:spacing w:before="98" w:after="98"/>
        <w:rPr>
          <w:rFonts w:hint="eastAsia" w:ascii="宋体" w:hAnsi="宋体" w:eastAsia="宋体" w:cs="宋体"/>
          <w:sz w:val="24"/>
          <w:szCs w:val="24"/>
        </w:rPr>
      </w:pPr>
      <w:r>
        <w:rPr>
          <w:rFonts w:hint="eastAsia" w:ascii="宋体" w:hAnsi="宋体" w:eastAsia="宋体" w:cs="宋体"/>
          <w:sz w:val="24"/>
          <w:szCs w:val="24"/>
        </w:rPr>
        <w:t>1.3现状情况</w:t>
      </w:r>
    </w:p>
    <w:p>
      <w:pPr>
        <w:ind w:firstLine="480" w:firstLineChars="200"/>
        <w:rPr>
          <w:rFonts w:hint="eastAsia" w:ascii="宋体" w:hAnsi="宋体" w:cs="宋体"/>
          <w:sz w:val="24"/>
        </w:rPr>
      </w:pPr>
      <w:r>
        <w:rPr>
          <w:rFonts w:hint="eastAsia" w:ascii="宋体" w:hAnsi="宋体" w:cs="宋体"/>
          <w:sz w:val="24"/>
        </w:rPr>
        <w:t>系统建设现状:目前，台州市不动产登记平台统一建设给市本级、椒江、黄岩、路桥区使用，包含不动产统一平台管理子系统、不动产权籍调查成果管理子系统、不动产登记业务管理子系统、不动产登记档案管理子系统、不动产信息分析监管子系统、不动产信息共享交换子系统、不动产登记配置管理子系统等。</w:t>
      </w:r>
    </w:p>
    <w:p>
      <w:pPr>
        <w:ind w:firstLine="480" w:firstLineChars="200"/>
        <w:rPr>
          <w:rFonts w:hint="eastAsia" w:ascii="宋体" w:hAnsi="宋体" w:cs="宋体"/>
          <w:sz w:val="24"/>
        </w:rPr>
      </w:pPr>
      <w:r>
        <w:rPr>
          <w:rFonts w:hint="eastAsia" w:ascii="宋体" w:hAnsi="宋体" w:cs="宋体"/>
          <w:sz w:val="24"/>
        </w:rPr>
        <w:t>数据现状：不动产登记目前包括房、地、农、林、海和自然资源等不动产类型。在数据资源方面，台州市自然资源和规划局已完成对不动产登记数据仓的设计、建设、部署，制定了不动产登记数据规范和数据资源目录，完成了不动产登记相关数据的梳理与存储，建设了调查数据库、登记数据库、登记簿数据库、汇交数据库、共享数据库、证书管理数据库、档案数据库、备份数据库、公众服务数据库、省厅前置库等。</w:t>
      </w:r>
    </w:p>
    <w:p>
      <w:pPr>
        <w:pStyle w:val="5"/>
        <w:spacing w:before="98" w:after="98"/>
        <w:rPr>
          <w:rFonts w:hint="eastAsia" w:ascii="宋体" w:hAnsi="宋体" w:eastAsia="宋体" w:cs="宋体"/>
          <w:sz w:val="24"/>
          <w:szCs w:val="24"/>
        </w:rPr>
      </w:pPr>
      <w:r>
        <w:rPr>
          <w:rFonts w:hint="eastAsia" w:ascii="宋体" w:hAnsi="宋体" w:eastAsia="宋体" w:cs="宋体"/>
          <w:sz w:val="24"/>
          <w:szCs w:val="24"/>
        </w:rPr>
        <w:t xml:space="preserve">1.4硬件需求 </w:t>
      </w:r>
    </w:p>
    <w:p>
      <w:pPr>
        <w:ind w:firstLine="480" w:firstLineChars="200"/>
        <w:rPr>
          <w:rFonts w:hint="eastAsia" w:ascii="宋体" w:hAnsi="宋体" w:cs="宋体"/>
          <w:sz w:val="24"/>
        </w:rPr>
      </w:pPr>
      <w:r>
        <w:rPr>
          <w:rFonts w:hint="eastAsia" w:ascii="宋体" w:hAnsi="宋体" w:cs="宋体"/>
          <w:sz w:val="24"/>
        </w:rPr>
        <w:t>本项目基础设施基于台州市自然资源和规划局机房环境进行部署和实施，本次项目建设将充分利用台州市自然和规划局现有基础设施资源，建立配套的软硬件基础设施环境，保障系统稳定运行。本期项目的硬件配置需求主要包括大屏电视和不动产自动化一体机两个方面。</w:t>
      </w:r>
    </w:p>
    <w:p>
      <w:pPr>
        <w:keepNext/>
        <w:rPr>
          <w:rFonts w:hint="eastAsia" w:ascii="宋体" w:hAnsi="宋体" w:cs="宋体"/>
          <w:sz w:val="24"/>
        </w:rPr>
      </w:pPr>
      <w:r>
        <w:rPr>
          <w:rFonts w:hint="eastAsia" w:ascii="宋体" w:hAnsi="宋体" w:cs="宋体"/>
          <w:sz w:val="24"/>
        </w:rPr>
        <w:t>（1）大屏电视</w:t>
      </w:r>
    </w:p>
    <w:p>
      <w:pPr>
        <w:ind w:firstLine="480" w:firstLineChars="200"/>
        <w:rPr>
          <w:rFonts w:hint="eastAsia" w:ascii="宋体" w:hAnsi="宋体" w:cs="宋体"/>
          <w:sz w:val="24"/>
        </w:rPr>
      </w:pPr>
      <w:r>
        <w:rPr>
          <w:rFonts w:hint="eastAsia" w:ascii="宋体" w:hAnsi="宋体" w:cs="宋体"/>
          <w:sz w:val="24"/>
        </w:rPr>
        <w:t>采购大屏电视3台，分别用于不动产登记业务趋势分析可视化展示、视频监控可视化展示和软硬件安全监控可视化展示。大屏电视放置在台州市自然资源和规划局（台州市行政6号楼）5楼在线指挥中心。</w:t>
      </w:r>
    </w:p>
    <w:p>
      <w:pPr>
        <w:ind w:firstLine="480" w:firstLineChars="200"/>
        <w:rPr>
          <w:rFonts w:hint="eastAsia" w:ascii="宋体" w:hAnsi="宋体" w:cs="宋体"/>
          <w:sz w:val="24"/>
        </w:rPr>
      </w:pPr>
      <w:r>
        <w:rPr>
          <w:rFonts w:hint="eastAsia" w:ascii="宋体" w:hAnsi="宋体" w:cs="宋体"/>
          <w:sz w:val="24"/>
        </w:rPr>
        <w:t>设备参数如下：98寸触摸平板显示设备，4K超高清显示屏，USB端口，红外触控，AG钢化玻璃，壁挂板。</w:t>
      </w:r>
    </w:p>
    <w:p>
      <w:pPr>
        <w:rPr>
          <w:rFonts w:hint="eastAsia" w:ascii="宋体" w:hAnsi="宋体" w:cs="宋体"/>
          <w:sz w:val="24"/>
        </w:rPr>
      </w:pPr>
      <w:r>
        <w:rPr>
          <w:rFonts w:hint="eastAsia" w:ascii="宋体" w:hAnsi="宋体" w:cs="宋体"/>
          <w:sz w:val="24"/>
        </w:rPr>
        <w:t>（2）不动产自动化一体机</w:t>
      </w:r>
    </w:p>
    <w:p>
      <w:pPr>
        <w:ind w:firstLine="480" w:firstLineChars="200"/>
        <w:rPr>
          <w:rFonts w:hint="eastAsia" w:ascii="宋体" w:hAnsi="宋体" w:cs="宋体"/>
          <w:sz w:val="24"/>
        </w:rPr>
      </w:pPr>
      <w:r>
        <w:rPr>
          <w:rFonts w:hint="eastAsia" w:ascii="宋体" w:hAnsi="宋体" w:cs="宋体"/>
          <w:sz w:val="24"/>
        </w:rPr>
        <w:t>采购不动产自动化一体机4台，用于市区的不动产登记服务大厅，辅助企业和群众自主打印不动产登记证书。</w:t>
      </w:r>
    </w:p>
    <w:p>
      <w:pPr>
        <w:ind w:firstLine="480" w:firstLineChars="200"/>
        <w:rPr>
          <w:rFonts w:hint="eastAsia" w:ascii="宋体" w:hAnsi="宋体" w:cs="宋体"/>
          <w:sz w:val="24"/>
        </w:rPr>
      </w:pPr>
      <w:r>
        <w:rPr>
          <w:rFonts w:hint="eastAsia" w:ascii="宋体" w:hAnsi="宋体" w:cs="宋体"/>
          <w:sz w:val="24"/>
        </w:rPr>
        <w:t>不动产自动化一体机需具备不动产证书及证明自动打印的功能，必须至少支持人脸识别、身份证识别、证书打印翻页、自动盖章等功能。</w:t>
      </w:r>
    </w:p>
    <w:p>
      <w:pPr>
        <w:pStyle w:val="5"/>
        <w:spacing w:before="98" w:after="98"/>
        <w:rPr>
          <w:rFonts w:hint="eastAsia" w:ascii="宋体" w:hAnsi="宋体" w:eastAsia="宋体" w:cs="宋体"/>
          <w:sz w:val="24"/>
          <w:szCs w:val="24"/>
        </w:rPr>
      </w:pPr>
      <w:r>
        <w:rPr>
          <w:rFonts w:hint="eastAsia" w:ascii="宋体" w:hAnsi="宋体" w:eastAsia="宋体" w:cs="宋体"/>
          <w:sz w:val="24"/>
          <w:szCs w:val="24"/>
        </w:rPr>
        <w:t>1.5应用系统建设</w:t>
      </w:r>
      <w:bookmarkEnd w:id="2"/>
      <w:bookmarkEnd w:id="3"/>
      <w:r>
        <w:rPr>
          <w:rFonts w:hint="eastAsia" w:ascii="宋体" w:hAnsi="宋体" w:eastAsia="宋体" w:cs="宋体"/>
          <w:sz w:val="24"/>
          <w:szCs w:val="24"/>
        </w:rPr>
        <w:t>需求</w:t>
      </w:r>
    </w:p>
    <w:p>
      <w:pPr>
        <w:pStyle w:val="6"/>
        <w:tabs>
          <w:tab w:val="left" w:pos="0"/>
        </w:tabs>
        <w:spacing w:before="98" w:after="98"/>
        <w:rPr>
          <w:rFonts w:hint="eastAsia" w:ascii="宋体" w:hAnsi="宋体" w:cs="宋体"/>
          <w:sz w:val="24"/>
          <w:szCs w:val="24"/>
        </w:rPr>
      </w:pPr>
      <w:bookmarkStart w:id="5" w:name="_Toc47346995"/>
      <w:bookmarkStart w:id="6" w:name="_Toc16227"/>
      <w:r>
        <w:rPr>
          <w:rFonts w:hint="eastAsia" w:ascii="宋体" w:hAnsi="宋体" w:cs="宋体"/>
          <w:sz w:val="24"/>
          <w:szCs w:val="24"/>
        </w:rPr>
        <w:t>1.5.1台州市</w:t>
      </w:r>
      <w:bookmarkEnd w:id="5"/>
      <w:r>
        <w:rPr>
          <w:rFonts w:hint="eastAsia" w:ascii="宋体" w:hAnsi="宋体" w:cs="宋体"/>
          <w:sz w:val="24"/>
          <w:szCs w:val="24"/>
        </w:rPr>
        <w:t>不动产登记银监协同应用建设</w:t>
      </w:r>
      <w:bookmarkEnd w:id="6"/>
    </w:p>
    <w:p>
      <w:pPr>
        <w:ind w:firstLine="480" w:firstLineChars="200"/>
        <w:rPr>
          <w:rFonts w:hint="eastAsia" w:ascii="宋体" w:hAnsi="宋体" w:cs="宋体"/>
          <w:sz w:val="24"/>
        </w:rPr>
      </w:pPr>
      <w:r>
        <w:rPr>
          <w:rFonts w:hint="eastAsia" w:ascii="宋体" w:hAnsi="宋体" w:cs="宋体"/>
          <w:sz w:val="24"/>
        </w:rPr>
        <w:t>开发建设台州市不动产登记银监协同应用，同时实现与省级协同平台的对接，实现全省金融机构对于台州不动产在不动产查询、抵押、抵押注销、预告等业务的本地化办理业务。</w:t>
      </w:r>
    </w:p>
    <w:p>
      <w:pPr>
        <w:pStyle w:val="6"/>
        <w:tabs>
          <w:tab w:val="left" w:pos="0"/>
        </w:tabs>
        <w:spacing w:before="98" w:after="98"/>
        <w:rPr>
          <w:rFonts w:hint="eastAsia" w:ascii="宋体" w:hAnsi="宋体" w:cs="宋体"/>
          <w:sz w:val="24"/>
          <w:szCs w:val="24"/>
        </w:rPr>
      </w:pPr>
      <w:bookmarkStart w:id="7" w:name="_Toc47346996"/>
      <w:bookmarkStart w:id="8" w:name="_Toc17139"/>
      <w:r>
        <w:rPr>
          <w:rFonts w:hint="eastAsia" w:ascii="宋体" w:hAnsi="宋体" w:cs="宋体"/>
          <w:sz w:val="24"/>
          <w:szCs w:val="24"/>
        </w:rPr>
        <w:t>1.5.2“互联网+不动产登记”便民服务</w:t>
      </w:r>
      <w:bookmarkEnd w:id="7"/>
      <w:r>
        <w:rPr>
          <w:rFonts w:hint="eastAsia" w:ascii="宋体" w:hAnsi="宋体" w:cs="宋体"/>
          <w:sz w:val="24"/>
          <w:szCs w:val="24"/>
        </w:rPr>
        <w:t>应用建设</w:t>
      </w:r>
      <w:bookmarkEnd w:id="8"/>
    </w:p>
    <w:p>
      <w:pPr>
        <w:ind w:firstLine="480" w:firstLineChars="200"/>
        <w:rPr>
          <w:rFonts w:hint="eastAsia" w:ascii="宋体" w:hAnsi="宋体" w:cs="宋体"/>
          <w:sz w:val="24"/>
        </w:rPr>
      </w:pPr>
      <w:r>
        <w:rPr>
          <w:rFonts w:hint="eastAsia" w:ascii="宋体" w:hAnsi="宋体" w:cs="宋体"/>
          <w:sz w:val="24"/>
        </w:rPr>
        <w:t>开发建设不动产登记掌上办事大厅和网上办事大厅，使企业和群众能够通过浙江政务服务网和浙里办平台在不受时间和地理位置约束的条件下便捷的办理不动产登记相关服务，同时，针对部分不动产登记涉税业务和缴费业务，提供银联网上支付和移动支付服务，使企业和群众能够方便的在线缴税。</w:t>
      </w:r>
    </w:p>
    <w:p>
      <w:pPr>
        <w:pStyle w:val="6"/>
        <w:tabs>
          <w:tab w:val="left" w:pos="0"/>
        </w:tabs>
        <w:spacing w:before="98" w:after="98"/>
        <w:rPr>
          <w:rFonts w:hint="eastAsia" w:ascii="宋体" w:hAnsi="宋体" w:cs="宋体"/>
          <w:sz w:val="24"/>
          <w:szCs w:val="24"/>
        </w:rPr>
      </w:pPr>
      <w:bookmarkStart w:id="9" w:name="_Toc47346997"/>
      <w:bookmarkStart w:id="10" w:name="_Toc11647"/>
      <w:r>
        <w:rPr>
          <w:rFonts w:hint="eastAsia" w:ascii="宋体" w:hAnsi="宋体" w:cs="宋体"/>
          <w:sz w:val="24"/>
          <w:szCs w:val="24"/>
        </w:rPr>
        <w:t>1.5.3不动产交易网上办税</w:t>
      </w:r>
      <w:bookmarkEnd w:id="9"/>
      <w:r>
        <w:rPr>
          <w:rFonts w:hint="eastAsia" w:ascii="宋体" w:hAnsi="宋体" w:cs="宋体"/>
          <w:sz w:val="24"/>
          <w:szCs w:val="24"/>
        </w:rPr>
        <w:t>应用建设</w:t>
      </w:r>
      <w:bookmarkEnd w:id="10"/>
    </w:p>
    <w:p>
      <w:pPr>
        <w:ind w:firstLine="480" w:firstLineChars="200"/>
        <w:rPr>
          <w:rFonts w:hint="eastAsia" w:ascii="宋体" w:hAnsi="宋体" w:cs="宋体"/>
          <w:sz w:val="24"/>
        </w:rPr>
      </w:pPr>
      <w:r>
        <w:rPr>
          <w:rFonts w:hint="eastAsia" w:ascii="宋体" w:hAnsi="宋体" w:cs="宋体"/>
          <w:sz w:val="24"/>
        </w:rPr>
        <w:t>开发不动产交易网上办税模块，对接台州市自然资源和规划局不动产登记信息管理平台、浙江政务服务网、银联和浙江省税务局税务系统，实现数据共享与业务协同联办。企业和群众可在互联网上通过浙江政务服务网或浙里办完成不动产登记税收纳税申报、税款缴纳、电子票证开具等业务，实现纳税人在互联网上进行申报确认、在线缴纳税款、电子票证开具、信息查询、消息管理等，推进“网上核税、网上缴税、网上共享”，做到税收事项不见面。</w:t>
      </w:r>
    </w:p>
    <w:p>
      <w:pPr>
        <w:pStyle w:val="6"/>
        <w:tabs>
          <w:tab w:val="left" w:pos="0"/>
        </w:tabs>
        <w:spacing w:before="98" w:after="98"/>
        <w:rPr>
          <w:rFonts w:hint="eastAsia" w:ascii="宋体" w:hAnsi="宋体" w:cs="宋体"/>
          <w:sz w:val="24"/>
          <w:szCs w:val="24"/>
        </w:rPr>
      </w:pPr>
      <w:bookmarkStart w:id="11" w:name="_Toc47346998"/>
      <w:bookmarkStart w:id="12" w:name="_Toc3541"/>
      <w:r>
        <w:rPr>
          <w:rFonts w:hint="eastAsia" w:ascii="宋体" w:hAnsi="宋体" w:cs="宋体"/>
          <w:sz w:val="24"/>
          <w:szCs w:val="24"/>
        </w:rPr>
        <w:t>1.5.4不动产登记动态监测</w:t>
      </w:r>
      <w:bookmarkEnd w:id="11"/>
      <w:r>
        <w:rPr>
          <w:rFonts w:hint="eastAsia" w:ascii="宋体" w:hAnsi="宋体" w:cs="宋体"/>
          <w:sz w:val="24"/>
          <w:szCs w:val="24"/>
        </w:rPr>
        <w:t>应用建设</w:t>
      </w:r>
      <w:bookmarkEnd w:id="12"/>
    </w:p>
    <w:p>
      <w:pPr>
        <w:ind w:firstLine="480" w:firstLineChars="200"/>
        <w:rPr>
          <w:rFonts w:hint="eastAsia" w:ascii="宋体" w:hAnsi="宋体" w:cs="宋体"/>
          <w:sz w:val="24"/>
        </w:rPr>
      </w:pPr>
      <w:r>
        <w:rPr>
          <w:rFonts w:hint="eastAsia" w:ascii="宋体" w:hAnsi="宋体" w:cs="宋体"/>
          <w:sz w:val="24"/>
        </w:rPr>
        <w:t>通过大屏实时展示不动产登记中心各项动态，包括不动产登记业务服务开展情况以及市局信息化资源运行现状等，从而整体掌握各项情况，实时了解各类动态，为相关决策制定提供支撑。</w:t>
      </w:r>
    </w:p>
    <w:p>
      <w:pPr>
        <w:pStyle w:val="6"/>
        <w:tabs>
          <w:tab w:val="left" w:pos="0"/>
        </w:tabs>
        <w:spacing w:before="98" w:after="98"/>
        <w:rPr>
          <w:rFonts w:hint="eastAsia" w:ascii="宋体" w:hAnsi="宋体" w:cs="宋体"/>
          <w:sz w:val="24"/>
          <w:szCs w:val="24"/>
        </w:rPr>
      </w:pPr>
      <w:bookmarkStart w:id="13" w:name="_Toc19920"/>
      <w:bookmarkStart w:id="14" w:name="_Toc47346999"/>
      <w:r>
        <w:rPr>
          <w:rFonts w:hint="eastAsia" w:ascii="宋体" w:hAnsi="宋体" w:cs="宋体"/>
          <w:sz w:val="24"/>
          <w:szCs w:val="24"/>
        </w:rPr>
        <w:t>1.5.5不动产登记信息管理平台改扩建</w:t>
      </w:r>
      <w:bookmarkEnd w:id="13"/>
      <w:bookmarkEnd w:id="14"/>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1.5.5.1不动产登记全市通办模块</w:t>
      </w:r>
    </w:p>
    <w:p>
      <w:pPr>
        <w:ind w:firstLine="480" w:firstLineChars="200"/>
        <w:rPr>
          <w:rFonts w:hint="eastAsia" w:ascii="宋体" w:hAnsi="宋体" w:cs="宋体"/>
          <w:sz w:val="24"/>
        </w:rPr>
      </w:pPr>
      <w:r>
        <w:rPr>
          <w:rFonts w:hint="eastAsia" w:ascii="宋体" w:hAnsi="宋体" w:cs="宋体"/>
          <w:sz w:val="24"/>
        </w:rPr>
        <w:t>推行线下政务服务事项跨地区通办模式，为台州市企业和群众提供更加便利的不动产登记相关服务，提升企业和群众办事的获得感。</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1.5.5.2市自然资源和规划局的电子签章应用</w:t>
      </w:r>
    </w:p>
    <w:p>
      <w:pPr>
        <w:ind w:firstLine="480" w:firstLineChars="200"/>
        <w:rPr>
          <w:rFonts w:hint="eastAsia" w:ascii="宋体" w:hAnsi="宋体" w:cs="宋体"/>
          <w:sz w:val="24"/>
        </w:rPr>
      </w:pPr>
      <w:r>
        <w:rPr>
          <w:rFonts w:hint="eastAsia" w:ascii="宋体" w:hAnsi="宋体" w:cs="宋体"/>
          <w:sz w:val="24"/>
        </w:rPr>
        <w:t>需要对电子签章的应用系统升级改造，对接浙江省政府电子印章系统。申请新电子签章使用权限的同时，需要对已有信息系统中对应的功能模块进行改造，当某项业务办理过程中需要出具电子签章时，实现对应的新电子签章在该功能模块中顺利使用。</w:t>
      </w:r>
    </w:p>
    <w:p>
      <w:pPr>
        <w:ind w:firstLine="420"/>
        <w:rPr>
          <w:rFonts w:hint="eastAsia" w:ascii="宋体" w:hAnsi="宋体" w:cs="宋体"/>
          <w:sz w:val="24"/>
        </w:rPr>
      </w:pPr>
      <w:r>
        <w:rPr>
          <w:rFonts w:hint="eastAsia" w:ascii="宋体" w:hAnsi="宋体" w:cs="宋体"/>
          <w:sz w:val="24"/>
        </w:rPr>
        <w:t>需要新申请的电子签章名称主要包括：</w:t>
      </w:r>
    </w:p>
    <w:p>
      <w:pPr>
        <w:numPr>
          <w:ilvl w:val="0"/>
          <w:numId w:val="2"/>
        </w:numPr>
        <w:ind w:left="560" w:leftChars="200"/>
        <w:rPr>
          <w:rFonts w:hint="eastAsia" w:ascii="宋体" w:hAnsi="宋体" w:cs="宋体"/>
          <w:sz w:val="24"/>
        </w:rPr>
      </w:pPr>
      <w:r>
        <w:rPr>
          <w:rFonts w:hint="eastAsia" w:ascii="宋体" w:hAnsi="宋体" w:cs="宋体"/>
          <w:sz w:val="24"/>
        </w:rPr>
        <w:t>专用章：“台州市自然资源和规划局不动产登记专用章”；</w:t>
      </w:r>
    </w:p>
    <w:p>
      <w:pPr>
        <w:numPr>
          <w:ilvl w:val="0"/>
          <w:numId w:val="2"/>
        </w:numPr>
        <w:ind w:left="560" w:leftChars="200"/>
        <w:rPr>
          <w:rFonts w:hint="eastAsia" w:ascii="宋体" w:hAnsi="宋体" w:cs="宋体"/>
          <w:sz w:val="24"/>
        </w:rPr>
      </w:pPr>
      <w:r>
        <w:rPr>
          <w:rFonts w:hint="eastAsia" w:ascii="宋体" w:hAnsi="宋体" w:cs="宋体"/>
          <w:sz w:val="24"/>
        </w:rPr>
        <w:t>专用章：“台州市不动产登记信息查询专用章”；</w:t>
      </w:r>
    </w:p>
    <w:p>
      <w:pPr>
        <w:numPr>
          <w:ilvl w:val="0"/>
          <w:numId w:val="2"/>
        </w:numPr>
        <w:ind w:left="560" w:leftChars="200"/>
        <w:rPr>
          <w:rFonts w:hint="eastAsia" w:ascii="宋体" w:hAnsi="宋体" w:cs="宋体"/>
          <w:sz w:val="24"/>
        </w:rPr>
      </w:pPr>
      <w:r>
        <w:rPr>
          <w:rFonts w:hint="eastAsia" w:ascii="宋体" w:hAnsi="宋体" w:cs="宋体"/>
          <w:sz w:val="24"/>
        </w:rPr>
        <w:t>公章：“台州市自然资源和规划局”。</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1.5.5.3不动产登记获取浙江省统一编号</w:t>
      </w:r>
    </w:p>
    <w:p>
      <w:pPr>
        <w:ind w:firstLine="480" w:firstLineChars="200"/>
        <w:rPr>
          <w:rFonts w:hint="eastAsia" w:ascii="宋体" w:hAnsi="宋体" w:cs="宋体"/>
          <w:sz w:val="24"/>
        </w:rPr>
      </w:pPr>
      <w:r>
        <w:rPr>
          <w:rFonts w:hint="eastAsia" w:ascii="宋体" w:hAnsi="宋体" w:cs="宋体"/>
          <w:sz w:val="24"/>
        </w:rPr>
        <w:t>在出现单点故障，无法通过省厅原有配号系统获取不动产统一编号时，可通过省政务外网中的浙江省自然资源厅不动产登记政务外网配号服务系统获取编号，从而保障不动产登记业务的顺畅开展，提升群众办事体验。</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1.5.5.4政务中台对接及不动产登记信息管理平台功能模块开发</w:t>
      </w:r>
    </w:p>
    <w:p>
      <w:pPr>
        <w:ind w:firstLine="480" w:firstLineChars="200"/>
        <w:rPr>
          <w:rFonts w:hint="eastAsia" w:ascii="宋体" w:hAnsi="宋体" w:cs="宋体"/>
          <w:sz w:val="24"/>
        </w:rPr>
      </w:pPr>
      <w:r>
        <w:rPr>
          <w:rFonts w:hint="eastAsia" w:ascii="宋体" w:hAnsi="宋体" w:cs="宋体"/>
          <w:sz w:val="24"/>
        </w:rPr>
        <w:t>根据省委改革办（跑改办）、省大数据局的相关要求，本期项目需完成台州市不动产登记信息管理平台与浙江政务服务网业务中台的对接，同时对不动产登记信息管理平台中对应的功能模块进行升级改造，推动“一件事”联办联审顺利实现。</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1.5.5.5政务服务2.0不动产登记信息管理平台改造</w:t>
      </w:r>
    </w:p>
    <w:p>
      <w:pPr>
        <w:ind w:firstLine="480" w:firstLineChars="200"/>
        <w:rPr>
          <w:rFonts w:hint="eastAsia" w:ascii="宋体" w:hAnsi="宋体" w:cs="宋体"/>
          <w:sz w:val="24"/>
        </w:rPr>
      </w:pPr>
      <w:r>
        <w:rPr>
          <w:rFonts w:hint="eastAsia" w:ascii="宋体" w:hAnsi="宋体" w:cs="宋体"/>
          <w:sz w:val="24"/>
        </w:rPr>
        <w:t>改造台州不动产登记信息管理平台，实现不动产登记相关事务在行政服务中心也可办理，由行政服务中心人员通过政务服务网统一收集群众身份信息和办事材料，由政务服务网将这些数据和材料转发到不动产登记信息平台，然后由不动产登记部门相关责任人员进行审核办理，并将审核办理的结果返回到浙江政务服务网，使群众只需在行政服务中心办理各项事务，无需跑各个业务部门。</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1.5.5.6个人可信身份证网证功能开发</w:t>
      </w:r>
    </w:p>
    <w:p>
      <w:pPr>
        <w:ind w:firstLine="480" w:firstLineChars="200"/>
        <w:rPr>
          <w:rFonts w:hint="eastAsia" w:ascii="宋体" w:hAnsi="宋体" w:cs="宋体"/>
          <w:sz w:val="24"/>
        </w:rPr>
      </w:pPr>
      <w:r>
        <w:rPr>
          <w:rFonts w:hint="eastAsia" w:ascii="宋体" w:hAnsi="宋体" w:cs="宋体"/>
          <w:sz w:val="24"/>
        </w:rPr>
        <w:t>在不动产登记信息管理平台内，对接浙江省可信身份认证平台、推广‘浙里办’电子证件和可信身份认证应用、统一个人可信身份认证体系、拓展个人可信身份认证应用场景，完成不动产登记个人可信身份认证改造。</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1.5.5.7短信功能升级开发</w:t>
      </w:r>
    </w:p>
    <w:p>
      <w:pPr>
        <w:ind w:firstLine="480" w:firstLineChars="200"/>
        <w:rPr>
          <w:rFonts w:hint="eastAsia" w:ascii="宋体" w:hAnsi="宋体" w:cs="宋体"/>
          <w:sz w:val="24"/>
        </w:rPr>
      </w:pPr>
      <w:r>
        <w:rPr>
          <w:rFonts w:hint="eastAsia" w:ascii="宋体" w:hAnsi="宋体" w:cs="宋体"/>
          <w:sz w:val="24"/>
        </w:rPr>
        <w:t>不动产登记过程中有关不动产预约、不动产领证等相关功能需要向办事群众发送短信进行提醒，因此本期项目需对接云通信消息应用平台，实现相关功能模块的短信提醒功能。</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1.5.5.8不动产电子证书/证明生成服务</w:t>
      </w:r>
    </w:p>
    <w:p>
      <w:pPr>
        <w:ind w:firstLine="480" w:firstLineChars="200"/>
        <w:rPr>
          <w:rFonts w:hint="eastAsia" w:ascii="宋体" w:hAnsi="宋体" w:cs="宋体"/>
          <w:sz w:val="24"/>
        </w:rPr>
      </w:pPr>
      <w:r>
        <w:rPr>
          <w:rFonts w:hint="eastAsia" w:ascii="宋体" w:hAnsi="宋体" w:cs="宋体"/>
          <w:sz w:val="24"/>
        </w:rPr>
        <w:t>根据《浙江省自然资源厅关于开展不动产登记电子证书（证明）建设与应用工作的通知》（浙自然资函〔2020〕28号）的要求，在不动产登记业务登簿后缮证前，业务产生的不动产权证/证明应该实时自动生成不动产电子证书/证明，并在不动产登记信息管理平台、不动产网上办事大厅、不动产掌上办事大厅等提供不动产查询功能的应用系统相应模块中使用。</w:t>
      </w:r>
      <w:bookmarkStart w:id="15" w:name="_Toc34725377"/>
      <w:r>
        <w:rPr>
          <w:rFonts w:hint="eastAsia" w:ascii="宋体" w:hAnsi="宋体" w:cs="宋体"/>
          <w:sz w:val="24"/>
        </w:rPr>
        <w:t>需要对不动产登记管理平台进行改造以满足以上要求。</w:t>
      </w:r>
    </w:p>
    <w:bookmarkEnd w:id="15"/>
    <w:p>
      <w:pPr>
        <w:pStyle w:val="6"/>
        <w:tabs>
          <w:tab w:val="left" w:pos="0"/>
        </w:tabs>
        <w:spacing w:before="98" w:after="98"/>
        <w:rPr>
          <w:rFonts w:hint="eastAsia" w:ascii="宋体" w:hAnsi="宋体" w:cs="宋体"/>
          <w:sz w:val="24"/>
          <w:szCs w:val="24"/>
        </w:rPr>
      </w:pPr>
      <w:bookmarkStart w:id="16" w:name="_Toc26646"/>
      <w:bookmarkStart w:id="17" w:name="_Toc47347000"/>
      <w:r>
        <w:rPr>
          <w:rFonts w:hint="eastAsia" w:ascii="宋体" w:hAnsi="宋体" w:cs="宋体"/>
          <w:sz w:val="24"/>
          <w:szCs w:val="24"/>
        </w:rPr>
        <w:t>1.5.6不动产登记业务横向延伸改造</w:t>
      </w:r>
      <w:bookmarkEnd w:id="16"/>
      <w:bookmarkEnd w:id="17"/>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1.5.6.1不动产登记向财政服务延伸改造</w:t>
      </w:r>
    </w:p>
    <w:p>
      <w:pPr>
        <w:ind w:firstLine="480" w:firstLineChars="200"/>
        <w:rPr>
          <w:rFonts w:hint="eastAsia" w:ascii="宋体" w:hAnsi="宋体" w:cs="宋体"/>
          <w:sz w:val="24"/>
        </w:rPr>
      </w:pPr>
      <w:r>
        <w:rPr>
          <w:rFonts w:hint="eastAsia" w:ascii="宋体" w:hAnsi="宋体" w:cs="宋体"/>
          <w:sz w:val="24"/>
        </w:rPr>
        <w:t>为提高数据的利用效率，实现不动产部门与财政部门缴费数据的共享以及财政缴费票据的电子化，本项目将对不动产登记信息管理平台各个服务端环境（服务大厅窗口端、服务大厅自助终端）进行升级扩展，实现不动产登记信息管理平台与省财政厅统一公共支付平台、财政电子票据管理系统的数据共享与协同。</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1.5.6.2不动产登记向税务服务延伸改造</w:t>
      </w:r>
    </w:p>
    <w:p>
      <w:pPr>
        <w:ind w:firstLine="480" w:firstLineChars="200"/>
        <w:rPr>
          <w:rFonts w:hint="eastAsia" w:ascii="宋体" w:hAnsi="宋体" w:cs="宋体"/>
          <w:sz w:val="24"/>
        </w:rPr>
      </w:pPr>
      <w:r>
        <w:rPr>
          <w:rFonts w:hint="eastAsia" w:ascii="宋体" w:hAnsi="宋体" w:cs="宋体"/>
          <w:sz w:val="24"/>
        </w:rPr>
        <w:t>本期项目需对不动产登记信息管理平台交易模块升级改造，实现税务系统与不动产登记信息管理平台的深度融合，共享不动产登记数据与税务完税数据，实现网上缴税并生成完税凭证的电子票据和属性数据。</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1.5.6.3不动产登记向一体机延伸</w:t>
      </w:r>
    </w:p>
    <w:p>
      <w:pPr>
        <w:ind w:firstLine="480" w:firstLineChars="200"/>
        <w:rPr>
          <w:rFonts w:hint="eastAsia" w:ascii="宋体" w:hAnsi="宋体" w:cs="宋体"/>
          <w:sz w:val="24"/>
        </w:rPr>
      </w:pPr>
      <w:r>
        <w:rPr>
          <w:rFonts w:hint="eastAsia" w:ascii="宋体" w:hAnsi="宋体" w:cs="宋体"/>
          <w:sz w:val="24"/>
        </w:rPr>
        <w:t>通过在政务大厅、各级不动产登记中心等场所设置自助服务设备，可以实现增加服务网点、延长办理时间、节约行政成本、提高办事效率等目的。不动产登记向一体机延伸的建设内容部署并应用于不动产自动化一体机中。</w:t>
      </w:r>
    </w:p>
    <w:p>
      <w:pPr>
        <w:pStyle w:val="6"/>
        <w:tabs>
          <w:tab w:val="left" w:pos="0"/>
        </w:tabs>
        <w:spacing w:before="98" w:after="98"/>
        <w:rPr>
          <w:rFonts w:hint="eastAsia" w:ascii="宋体" w:hAnsi="宋体" w:cs="宋体"/>
          <w:sz w:val="24"/>
          <w:szCs w:val="24"/>
        </w:rPr>
      </w:pPr>
      <w:bookmarkStart w:id="18" w:name="_Toc47347001"/>
      <w:bookmarkStart w:id="19" w:name="_Toc21262"/>
      <w:r>
        <w:rPr>
          <w:rFonts w:hint="eastAsia" w:ascii="宋体" w:hAnsi="宋体" w:cs="宋体"/>
          <w:sz w:val="24"/>
          <w:szCs w:val="24"/>
        </w:rPr>
        <w:t>1.5.7存量数据规范化处理及应用</w:t>
      </w:r>
      <w:bookmarkEnd w:id="18"/>
      <w:bookmarkEnd w:id="19"/>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1.5.7.1存量不动产电子证书/证明</w:t>
      </w:r>
    </w:p>
    <w:p>
      <w:pPr>
        <w:ind w:firstLine="480" w:firstLineChars="200"/>
        <w:rPr>
          <w:rFonts w:hint="eastAsia" w:ascii="宋体" w:hAnsi="宋体" w:cs="宋体"/>
          <w:sz w:val="24"/>
        </w:rPr>
      </w:pPr>
      <w:r>
        <w:rPr>
          <w:rFonts w:hint="eastAsia" w:ascii="宋体" w:hAnsi="宋体" w:cs="宋体"/>
          <w:sz w:val="24"/>
        </w:rPr>
        <w:t>根据浙江省政府数字化转型要求，按省厅规定的最新格式，提取不动产系统上线以来所形成的房地一体的不动产登簿数据，对符合要求的数据进行属性和图形的抽取、组合和规整，形成不动产登记结果的电子证书/证明数据库，满足不动产登记信息管理平台新的使用要求。</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1.5.7.2一证一码</w:t>
      </w:r>
    </w:p>
    <w:p>
      <w:pPr>
        <w:ind w:firstLine="480" w:firstLineChars="200"/>
        <w:rPr>
          <w:rFonts w:hint="eastAsia" w:ascii="宋体" w:hAnsi="宋体" w:cs="宋体"/>
          <w:sz w:val="24"/>
        </w:rPr>
      </w:pPr>
      <w:r>
        <w:rPr>
          <w:rFonts w:hint="eastAsia" w:ascii="宋体" w:hAnsi="宋体" w:cs="宋体"/>
          <w:sz w:val="24"/>
        </w:rPr>
        <w:t>根据国务院推出的第六批自由贸易区改革试点在台州市推广要求，实行不动产登记“一证一码”，手机扫描不动产权证二维码可查询证书附图、限制状态等信息。</w:t>
      </w:r>
    </w:p>
    <w:p>
      <w:pPr>
        <w:pStyle w:val="5"/>
        <w:spacing w:before="98" w:after="98"/>
        <w:rPr>
          <w:rFonts w:hint="eastAsia" w:ascii="宋体" w:hAnsi="宋体" w:eastAsia="宋体" w:cs="宋体"/>
          <w:sz w:val="24"/>
          <w:szCs w:val="24"/>
        </w:rPr>
      </w:pPr>
      <w:bookmarkStart w:id="20" w:name="_Toc19322"/>
      <w:bookmarkStart w:id="21" w:name="_Toc47347002"/>
      <w:r>
        <w:rPr>
          <w:rFonts w:hint="eastAsia" w:ascii="宋体" w:hAnsi="宋体" w:eastAsia="宋体" w:cs="宋体"/>
          <w:sz w:val="24"/>
          <w:szCs w:val="24"/>
        </w:rPr>
        <w:t>1.6数据库建设</w:t>
      </w:r>
      <w:bookmarkEnd w:id="20"/>
      <w:r>
        <w:rPr>
          <w:rFonts w:hint="eastAsia" w:ascii="宋体" w:hAnsi="宋体" w:eastAsia="宋体" w:cs="宋体"/>
          <w:sz w:val="24"/>
          <w:szCs w:val="24"/>
        </w:rPr>
        <w:t>需求</w:t>
      </w:r>
    </w:p>
    <w:p>
      <w:pPr>
        <w:pStyle w:val="6"/>
        <w:tabs>
          <w:tab w:val="left" w:pos="0"/>
        </w:tabs>
        <w:spacing w:before="98" w:after="98"/>
        <w:rPr>
          <w:rFonts w:hint="eastAsia" w:ascii="宋体" w:hAnsi="宋体" w:cs="宋体"/>
          <w:sz w:val="24"/>
          <w:szCs w:val="24"/>
        </w:rPr>
      </w:pPr>
      <w:bookmarkStart w:id="22" w:name="_Toc16943"/>
      <w:r>
        <w:rPr>
          <w:rFonts w:hint="eastAsia" w:ascii="宋体" w:hAnsi="宋体" w:cs="宋体"/>
          <w:sz w:val="24"/>
          <w:szCs w:val="24"/>
        </w:rPr>
        <w:t>1.6.1市区不动产电子证书/证明数据库</w:t>
      </w:r>
      <w:bookmarkEnd w:id="22"/>
    </w:p>
    <w:p>
      <w:pPr>
        <w:ind w:firstLine="480" w:firstLineChars="200"/>
        <w:rPr>
          <w:rFonts w:hint="eastAsia" w:ascii="宋体" w:hAnsi="宋体" w:cs="宋体"/>
          <w:sz w:val="24"/>
        </w:rPr>
      </w:pPr>
      <w:r>
        <w:rPr>
          <w:rFonts w:hint="eastAsia" w:ascii="宋体" w:hAnsi="宋体" w:cs="宋体"/>
          <w:sz w:val="24"/>
        </w:rPr>
        <w:t>根据《浙江省自然资源厅关于开展不动产登记电子证书（证明）建设与应用工作的通知》（浙自然资函〔2020〕28号）的要求，设计建设台州市区及下属6个县（市）的不动产电子证书/证明数据库。根据全省证照库部署设计要求，因登记属地管理原则，结合省市县信息化资源的合理分配利用，不动产电子证书/证明证照索引库按照省/市县两级建设，所有新生成的电子证照索引信息数据需在各县市分别建库并管理；而新生成的电子证照版式文件、附图证照版式文件统一存储至文件数据库，在节省存储资源的同时，确保市县证照库使用的时效性、完整性。</w:t>
      </w:r>
    </w:p>
    <w:p>
      <w:pPr>
        <w:ind w:firstLine="480" w:firstLineChars="200"/>
        <w:rPr>
          <w:rFonts w:hint="eastAsia" w:ascii="宋体" w:hAnsi="宋体" w:cs="宋体"/>
          <w:sz w:val="24"/>
        </w:rPr>
      </w:pPr>
      <w:r>
        <w:rPr>
          <w:rFonts w:hint="eastAsia" w:ascii="宋体" w:hAnsi="宋体" w:cs="宋体"/>
          <w:sz w:val="24"/>
        </w:rPr>
        <w:t>参照省级电子证照库相关规范，建立台州市市区证照库，包括电子不动产权证照库、附图证照库、证照索引库，根据浙江省电子证照标准要求，对台州市区的电子不动产权证照和附图证照进行统一存储和管理。</w:t>
      </w:r>
    </w:p>
    <w:p>
      <w:pPr>
        <w:pStyle w:val="6"/>
        <w:tabs>
          <w:tab w:val="left" w:pos="0"/>
        </w:tabs>
        <w:spacing w:before="98" w:after="98"/>
        <w:rPr>
          <w:rFonts w:hint="eastAsia" w:ascii="宋体" w:hAnsi="宋体" w:cs="宋体"/>
          <w:sz w:val="24"/>
          <w:szCs w:val="24"/>
        </w:rPr>
      </w:pPr>
      <w:bookmarkStart w:id="23" w:name="_Toc23125"/>
      <w:r>
        <w:rPr>
          <w:rFonts w:hint="eastAsia" w:ascii="宋体" w:hAnsi="宋体" w:cs="宋体"/>
          <w:sz w:val="24"/>
          <w:szCs w:val="24"/>
        </w:rPr>
        <w:t>1.6.2市区一证一码数据库</w:t>
      </w:r>
      <w:bookmarkEnd w:id="23"/>
    </w:p>
    <w:p>
      <w:pPr>
        <w:ind w:firstLine="480" w:firstLineChars="200"/>
        <w:rPr>
          <w:rFonts w:hint="eastAsia" w:ascii="宋体" w:hAnsi="宋体" w:cs="宋体"/>
          <w:sz w:val="24"/>
        </w:rPr>
      </w:pPr>
      <w:r>
        <w:rPr>
          <w:rFonts w:hint="eastAsia" w:ascii="宋体" w:hAnsi="宋体" w:cs="宋体"/>
          <w:sz w:val="24"/>
        </w:rPr>
        <w:t>参照全国一证一码数据相关规范和要求，建立台州市市区一证一码数据库，存储台州市区不动产登记“一证一码”数据，包括分户图和宗地图。</w:t>
      </w:r>
    </w:p>
    <w:p>
      <w:pPr>
        <w:pStyle w:val="5"/>
        <w:spacing w:before="98" w:after="98"/>
        <w:rPr>
          <w:rFonts w:hint="eastAsia" w:ascii="宋体" w:hAnsi="宋体" w:eastAsia="宋体" w:cs="宋体"/>
          <w:sz w:val="24"/>
          <w:szCs w:val="24"/>
        </w:rPr>
      </w:pPr>
      <w:bookmarkStart w:id="24" w:name="_Toc2182"/>
      <w:r>
        <w:rPr>
          <w:rFonts w:hint="eastAsia" w:ascii="宋体" w:hAnsi="宋体" w:eastAsia="宋体" w:cs="宋体"/>
          <w:sz w:val="24"/>
          <w:szCs w:val="24"/>
        </w:rPr>
        <w:t>1.7数据共享建设</w:t>
      </w:r>
      <w:bookmarkEnd w:id="21"/>
      <w:bookmarkEnd w:id="24"/>
      <w:r>
        <w:rPr>
          <w:rFonts w:hint="eastAsia" w:ascii="宋体" w:hAnsi="宋体" w:eastAsia="宋体" w:cs="宋体"/>
          <w:sz w:val="24"/>
          <w:szCs w:val="24"/>
        </w:rPr>
        <w:t>需求</w:t>
      </w:r>
    </w:p>
    <w:p>
      <w:pPr>
        <w:ind w:firstLine="480" w:firstLineChars="200"/>
        <w:rPr>
          <w:rFonts w:hint="eastAsia" w:ascii="宋体" w:hAnsi="宋体" w:cs="宋体"/>
          <w:sz w:val="24"/>
        </w:rPr>
      </w:pPr>
      <w:r>
        <w:rPr>
          <w:rFonts w:hint="eastAsia" w:ascii="宋体" w:hAnsi="宋体" w:cs="宋体"/>
          <w:sz w:val="24"/>
        </w:rPr>
        <w:t>本次项目涉及的数据共享包括不动产数据归集与业务受理数据上报、市自然资源和规划局内部数据对接、浙江省投资项目3.0数据对接、建设工程项目综合测绘数据对接、不动产登记数据对外部部门共享、外部系统数据对接共享六个方面。</w:t>
      </w:r>
    </w:p>
    <w:p>
      <w:pPr>
        <w:pStyle w:val="6"/>
        <w:tabs>
          <w:tab w:val="left" w:pos="0"/>
        </w:tabs>
        <w:spacing w:before="98" w:after="98"/>
        <w:rPr>
          <w:rFonts w:hint="eastAsia" w:ascii="宋体" w:hAnsi="宋体" w:cs="宋体"/>
          <w:sz w:val="24"/>
          <w:szCs w:val="24"/>
        </w:rPr>
      </w:pPr>
      <w:bookmarkStart w:id="25" w:name="_Toc6071"/>
      <w:bookmarkStart w:id="26" w:name="_Toc47347003"/>
      <w:r>
        <w:rPr>
          <w:rFonts w:hint="eastAsia" w:ascii="宋体" w:hAnsi="宋体" w:cs="宋体"/>
          <w:sz w:val="24"/>
          <w:szCs w:val="24"/>
        </w:rPr>
        <w:t>1.7.1接入台州市城市大脑</w:t>
      </w:r>
      <w:bookmarkEnd w:id="25"/>
    </w:p>
    <w:p>
      <w:pPr>
        <w:ind w:firstLine="480" w:firstLineChars="200"/>
        <w:rPr>
          <w:rFonts w:hint="eastAsia" w:ascii="宋体" w:hAnsi="宋体" w:cs="宋体"/>
          <w:sz w:val="24"/>
        </w:rPr>
      </w:pPr>
      <w:r>
        <w:rPr>
          <w:rFonts w:hint="eastAsia" w:ascii="宋体" w:hAnsi="宋体" w:cs="宋体"/>
          <w:sz w:val="24"/>
        </w:rPr>
        <w:t>开发建设与台州城市大脑的数据接口，根据城市大脑建设需求，将台州市自然资源和规划局的不动产登记相关数据汇交到城市大脑平台中，同时，为城市大脑提供进入不动产各个应用系统的入口。</w:t>
      </w:r>
    </w:p>
    <w:p>
      <w:pPr>
        <w:pStyle w:val="6"/>
        <w:tabs>
          <w:tab w:val="left" w:pos="0"/>
        </w:tabs>
        <w:spacing w:before="98" w:after="98"/>
        <w:rPr>
          <w:rFonts w:hint="eastAsia" w:ascii="宋体" w:hAnsi="宋体" w:cs="宋体"/>
          <w:sz w:val="24"/>
          <w:szCs w:val="24"/>
        </w:rPr>
      </w:pPr>
      <w:bookmarkStart w:id="27" w:name="_Toc25541"/>
      <w:r>
        <w:rPr>
          <w:rFonts w:hint="eastAsia" w:ascii="宋体" w:hAnsi="宋体" w:cs="宋体"/>
          <w:sz w:val="24"/>
          <w:szCs w:val="24"/>
        </w:rPr>
        <w:t>1.7.2不动产数据归集与业务受理数据上报</w:t>
      </w:r>
      <w:bookmarkEnd w:id="26"/>
      <w:bookmarkEnd w:id="27"/>
    </w:p>
    <w:p>
      <w:pPr>
        <w:ind w:firstLine="480" w:firstLineChars="200"/>
        <w:rPr>
          <w:rFonts w:hint="eastAsia" w:ascii="宋体" w:hAnsi="宋体" w:cs="宋体"/>
          <w:sz w:val="24"/>
        </w:rPr>
      </w:pPr>
      <w:r>
        <w:rPr>
          <w:rFonts w:hint="eastAsia" w:ascii="宋体" w:hAnsi="宋体" w:cs="宋体"/>
          <w:sz w:val="24"/>
        </w:rPr>
        <w:t>不动产数据归集与业务受理数据上报的内容包括三个方面：不动产登记数据归集到省政府、业务受理信息上报到省厅、不动产日常登簿数据上报到省厅。归集和上报的数据须保证数据质量，严格按照省政府以及省厅的要求，对相关数据进行归集和上报。</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1.7.2.1不动产登记数据归集到省政府</w:t>
      </w:r>
    </w:p>
    <w:p>
      <w:pPr>
        <w:ind w:firstLine="480" w:firstLineChars="200"/>
        <w:rPr>
          <w:rFonts w:hint="eastAsia" w:ascii="宋体" w:hAnsi="宋体" w:cs="宋体"/>
          <w:sz w:val="24"/>
        </w:rPr>
      </w:pPr>
      <w:r>
        <w:rPr>
          <w:rFonts w:hint="eastAsia" w:ascii="宋体" w:hAnsi="宋体" w:cs="宋体"/>
          <w:sz w:val="24"/>
        </w:rPr>
        <w:t>由于浙江省大数据发展管理局对各地市对不动产登记数据归集要求发生了改变，同时，台州市自然资源和规划局的机构名称和电子签章进行了变更，因此需重新开发新的数据接口，一方面对历史数据进行重新归集并加盖新的电子签章，另一方面对新产生的数据按照最新要求进行归集。</w:t>
      </w:r>
    </w:p>
    <w:p>
      <w:pPr>
        <w:numPr>
          <w:ilvl w:val="0"/>
          <w:numId w:val="3"/>
        </w:numPr>
        <w:ind w:left="560" w:leftChars="200"/>
        <w:rPr>
          <w:rFonts w:hint="eastAsia" w:ascii="宋体" w:hAnsi="宋体" w:cs="宋体"/>
          <w:sz w:val="24"/>
        </w:rPr>
      </w:pPr>
      <w:r>
        <w:rPr>
          <w:rFonts w:hint="eastAsia" w:ascii="宋体" w:hAnsi="宋体" w:cs="宋体"/>
          <w:sz w:val="24"/>
        </w:rPr>
        <w:t>数据接口重新开发</w:t>
      </w:r>
    </w:p>
    <w:p>
      <w:pPr>
        <w:ind w:firstLine="480" w:firstLineChars="200"/>
        <w:rPr>
          <w:rFonts w:hint="eastAsia" w:ascii="宋体" w:hAnsi="宋体" w:cs="宋体"/>
          <w:sz w:val="24"/>
        </w:rPr>
      </w:pPr>
      <w:r>
        <w:rPr>
          <w:rFonts w:hint="eastAsia" w:ascii="宋体" w:hAnsi="宋体" w:cs="宋体"/>
          <w:sz w:val="24"/>
        </w:rPr>
        <w:t>传入不动产电子证照数据，进行结构化数据的签名、时间戳签名，以及生成电子证照文件并进行签名和时间戳签名。</w:t>
      </w:r>
    </w:p>
    <w:p>
      <w:pPr>
        <w:numPr>
          <w:ilvl w:val="0"/>
          <w:numId w:val="3"/>
        </w:numPr>
        <w:ind w:left="560" w:leftChars="200"/>
        <w:rPr>
          <w:rFonts w:hint="eastAsia" w:ascii="宋体" w:hAnsi="宋体" w:cs="宋体"/>
          <w:sz w:val="24"/>
        </w:rPr>
      </w:pPr>
      <w:r>
        <w:rPr>
          <w:rFonts w:hint="eastAsia" w:ascii="宋体" w:hAnsi="宋体" w:cs="宋体"/>
          <w:sz w:val="24"/>
        </w:rPr>
        <w:t>不动产登记数据归集</w:t>
      </w:r>
    </w:p>
    <w:p>
      <w:pPr>
        <w:ind w:firstLine="480" w:firstLineChars="200"/>
        <w:rPr>
          <w:rFonts w:hint="eastAsia" w:ascii="宋体" w:hAnsi="宋体" w:cs="宋体"/>
          <w:sz w:val="24"/>
        </w:rPr>
      </w:pPr>
      <w:r>
        <w:rPr>
          <w:rFonts w:hint="eastAsia" w:ascii="宋体" w:hAnsi="宋体" w:cs="宋体"/>
          <w:sz w:val="24"/>
        </w:rPr>
        <w:t>台州市不动产登记数据归集到浙江省大数据局的公共数据共享平台中。其中，海域数据首次归集，既需对历史数据进行批量归集，也需对新增数据进行实时归集，同时加盖电子签章；其他类型的不动产登记数据由于之前已经完成归集，本次项目不再重新归集，只按最新要求对新增数据进行实时归集，同时加盖电子签章。归集范围为台州市本级及其下属6个县市的不动产登记数据。</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1.7.2.2业务受理信息上报到省厅</w:t>
      </w:r>
    </w:p>
    <w:p>
      <w:pPr>
        <w:ind w:firstLine="480" w:firstLineChars="200"/>
        <w:rPr>
          <w:rFonts w:hint="eastAsia" w:ascii="宋体" w:hAnsi="宋体" w:cs="宋体"/>
          <w:sz w:val="24"/>
        </w:rPr>
      </w:pPr>
      <w:r>
        <w:rPr>
          <w:rFonts w:hint="eastAsia" w:ascii="宋体" w:hAnsi="宋体" w:cs="宋体"/>
          <w:sz w:val="24"/>
        </w:rPr>
        <w:t>本期项目需开发建设台州市不动产登记信息管理平台与浙江省自然资源厅不动产登记一窗云平台的数据接口，将通过台州市不动产登记信息管理平台办理的不动产业务受理数据按照要求传递到浙江省不动产登记一窗云平台，具体对接内容包含登记类型，受理信息、收件信息及领证信息等。</w:t>
      </w:r>
    </w:p>
    <w:p>
      <w:pPr>
        <w:pStyle w:val="7"/>
        <w:tabs>
          <w:tab w:val="left" w:pos="0"/>
        </w:tabs>
        <w:spacing w:before="197" w:after="197"/>
        <w:rPr>
          <w:rFonts w:hint="eastAsia" w:ascii="宋体" w:hAnsi="宋体" w:cs="宋体"/>
          <w:sz w:val="24"/>
          <w:szCs w:val="24"/>
        </w:rPr>
      </w:pPr>
      <w:r>
        <w:rPr>
          <w:rFonts w:hint="eastAsia" w:ascii="宋体" w:hAnsi="宋体" w:cs="宋体"/>
          <w:sz w:val="24"/>
          <w:szCs w:val="24"/>
        </w:rPr>
        <w:t>1.7.2.3不动产日常登簿数据上报到省厅</w:t>
      </w:r>
    </w:p>
    <w:p>
      <w:pPr>
        <w:ind w:firstLine="480" w:firstLineChars="200"/>
        <w:rPr>
          <w:rFonts w:hint="eastAsia" w:ascii="宋体" w:hAnsi="宋体" w:cs="宋体"/>
          <w:sz w:val="24"/>
        </w:rPr>
      </w:pPr>
      <w:r>
        <w:rPr>
          <w:rFonts w:hint="eastAsia" w:ascii="宋体" w:hAnsi="宋体" w:cs="宋体"/>
          <w:sz w:val="24"/>
        </w:rPr>
        <w:t>本期项目需根据省厅最新要求，对照浙江省不动产数据库标准调整上报属性，重新开发数据接口，采用webservice方式，将台州市不动产日常登簿数据加盖台州市自然资源和规划局电子签章，以xml文件的形式上报到省厅。</w:t>
      </w:r>
    </w:p>
    <w:p>
      <w:pPr>
        <w:keepNext/>
        <w:keepLines/>
        <w:spacing w:before="78" w:beforeLines="25" w:after="78" w:afterLines="25"/>
        <w:outlineLvl w:val="2"/>
        <w:rPr>
          <w:rFonts w:hint="eastAsia" w:ascii="宋体" w:hAnsi="宋体" w:cs="宋体"/>
          <w:b/>
          <w:bCs/>
          <w:sz w:val="24"/>
        </w:rPr>
      </w:pPr>
      <w:bookmarkStart w:id="28" w:name="_Toc47347008"/>
      <w:bookmarkStart w:id="29" w:name="_Toc32232"/>
      <w:r>
        <w:rPr>
          <w:rFonts w:hint="eastAsia" w:ascii="宋体" w:hAnsi="宋体" w:cs="宋体"/>
          <w:b/>
          <w:bCs/>
          <w:sz w:val="24"/>
        </w:rPr>
        <w:t>1.7.3外部系统数据对接</w:t>
      </w:r>
      <w:bookmarkEnd w:id="28"/>
      <w:bookmarkEnd w:id="29"/>
    </w:p>
    <w:p>
      <w:pPr>
        <w:ind w:firstLine="480" w:firstLineChars="200"/>
        <w:rPr>
          <w:rFonts w:hint="eastAsia" w:ascii="宋体" w:hAnsi="宋体" w:cs="宋体"/>
          <w:sz w:val="24"/>
        </w:rPr>
      </w:pPr>
      <w:r>
        <w:rPr>
          <w:rFonts w:hint="eastAsia" w:ascii="宋体" w:hAnsi="宋体" w:cs="宋体"/>
          <w:sz w:val="24"/>
        </w:rPr>
        <w:t>不动产登记相关业务办理过程中需要利用工商部门、税务部门、金融部门、司法部门等多个部门的数据，这些数据已通过台州市公共数据共享平台进行共享，本期项目需分别实现与台州市公共数据共享平台各项数据服务的对接。</w:t>
      </w:r>
    </w:p>
    <w:p>
      <w:pPr>
        <w:pStyle w:val="6"/>
        <w:tabs>
          <w:tab w:val="left" w:pos="0"/>
        </w:tabs>
        <w:spacing w:before="98" w:after="98"/>
        <w:rPr>
          <w:rFonts w:hint="eastAsia" w:ascii="宋体" w:hAnsi="宋体" w:cs="宋体"/>
          <w:sz w:val="24"/>
          <w:szCs w:val="24"/>
        </w:rPr>
      </w:pPr>
      <w:bookmarkStart w:id="30" w:name="_Toc47347004"/>
      <w:bookmarkStart w:id="31" w:name="_Toc13065"/>
      <w:r>
        <w:rPr>
          <w:rFonts w:hint="eastAsia" w:ascii="宋体" w:hAnsi="宋体" w:cs="宋体"/>
          <w:sz w:val="24"/>
          <w:szCs w:val="24"/>
        </w:rPr>
        <w:t>1.7.4市自然资源和规划局内部数据对接</w:t>
      </w:r>
      <w:bookmarkEnd w:id="30"/>
      <w:bookmarkEnd w:id="31"/>
    </w:p>
    <w:p>
      <w:pPr>
        <w:ind w:firstLine="480" w:firstLineChars="200"/>
        <w:rPr>
          <w:rFonts w:hint="eastAsia" w:ascii="宋体" w:hAnsi="宋体" w:cs="宋体"/>
          <w:sz w:val="24"/>
        </w:rPr>
      </w:pPr>
      <w:r>
        <w:rPr>
          <w:rFonts w:hint="eastAsia" w:ascii="宋体" w:hAnsi="宋体" w:cs="宋体"/>
          <w:sz w:val="24"/>
        </w:rPr>
        <w:t>本期项目将分别开发建设不动产登记信息管理平台与台州市自然资源和规划局已有国土空间基础信息平台的数据接口，一方面将不动产登记数据共享给其他部门，另一方面将其他部门的数据对接到不动产登记信息管理平台中。</w:t>
      </w:r>
    </w:p>
    <w:p>
      <w:pPr>
        <w:pStyle w:val="6"/>
        <w:tabs>
          <w:tab w:val="left" w:pos="0"/>
        </w:tabs>
        <w:spacing w:before="98" w:after="98"/>
        <w:rPr>
          <w:rFonts w:hint="eastAsia" w:ascii="宋体" w:hAnsi="宋体" w:cs="宋体"/>
          <w:sz w:val="24"/>
          <w:szCs w:val="24"/>
        </w:rPr>
      </w:pPr>
      <w:bookmarkStart w:id="32" w:name="_Toc47347005"/>
      <w:bookmarkStart w:id="33" w:name="_Toc19896"/>
      <w:r>
        <w:rPr>
          <w:rFonts w:hint="eastAsia" w:ascii="宋体" w:hAnsi="宋体" w:cs="宋体"/>
          <w:sz w:val="24"/>
          <w:szCs w:val="24"/>
        </w:rPr>
        <w:t>1.7.5浙江省投资项目3.0数据对接</w:t>
      </w:r>
      <w:bookmarkEnd w:id="32"/>
      <w:bookmarkEnd w:id="33"/>
    </w:p>
    <w:p>
      <w:pPr>
        <w:ind w:firstLine="480" w:firstLineChars="200"/>
        <w:rPr>
          <w:rFonts w:hint="eastAsia" w:ascii="宋体" w:hAnsi="宋体" w:cs="宋体"/>
          <w:sz w:val="24"/>
        </w:rPr>
      </w:pPr>
      <w:r>
        <w:rPr>
          <w:rFonts w:hint="eastAsia" w:ascii="宋体" w:hAnsi="宋体" w:cs="宋体"/>
          <w:sz w:val="24"/>
        </w:rPr>
        <w:t>开发建设市不动产登记信息管理平台与市国土空间基础信息平台关于浙江省投资项目在线审批监管3.0平台中的项目信息的数据接口，将省投资项目3.0平台中与不动产登记相关的数据共享到市不动产登记信息管理平台中。</w:t>
      </w:r>
    </w:p>
    <w:p>
      <w:pPr>
        <w:pStyle w:val="6"/>
        <w:tabs>
          <w:tab w:val="left" w:pos="0"/>
        </w:tabs>
        <w:spacing w:before="98" w:after="98"/>
        <w:rPr>
          <w:rFonts w:hint="eastAsia" w:ascii="宋体" w:hAnsi="宋体" w:cs="宋体"/>
          <w:sz w:val="24"/>
          <w:szCs w:val="24"/>
        </w:rPr>
      </w:pPr>
      <w:bookmarkStart w:id="34" w:name="_Toc16736"/>
      <w:bookmarkStart w:id="35" w:name="_Toc47347006"/>
      <w:r>
        <w:rPr>
          <w:rFonts w:hint="eastAsia" w:ascii="宋体" w:hAnsi="宋体" w:cs="宋体"/>
          <w:sz w:val="24"/>
          <w:szCs w:val="24"/>
        </w:rPr>
        <w:t>1.7.6建设工程项目综合测绘数据对接</w:t>
      </w:r>
      <w:bookmarkEnd w:id="34"/>
      <w:bookmarkEnd w:id="35"/>
    </w:p>
    <w:p>
      <w:pPr>
        <w:ind w:firstLine="480" w:firstLineChars="200"/>
        <w:rPr>
          <w:rFonts w:hint="eastAsia" w:ascii="宋体" w:hAnsi="宋体" w:cs="宋体"/>
          <w:sz w:val="24"/>
        </w:rPr>
      </w:pPr>
      <w:r>
        <w:rPr>
          <w:rFonts w:hint="eastAsia" w:ascii="宋体" w:hAnsi="宋体" w:cs="宋体"/>
          <w:sz w:val="24"/>
        </w:rPr>
        <w:t xml:space="preserve">开发建设台州市不动产登记信息管理平台及其权籍调查子系统与“综合测绘”与“测验合一”平台的数据接口，将不动产登记需要的测算成果数据对接到不动产登记信息管理平台及其权籍调查子系统中。 </w:t>
      </w:r>
    </w:p>
    <w:p>
      <w:pPr>
        <w:pStyle w:val="6"/>
        <w:tabs>
          <w:tab w:val="left" w:pos="0"/>
        </w:tabs>
        <w:spacing w:before="98" w:after="98"/>
        <w:rPr>
          <w:rFonts w:hint="eastAsia" w:ascii="宋体" w:hAnsi="宋体" w:cs="宋体"/>
          <w:sz w:val="24"/>
          <w:szCs w:val="24"/>
        </w:rPr>
      </w:pPr>
      <w:bookmarkStart w:id="36" w:name="_Toc47347007"/>
      <w:bookmarkStart w:id="37" w:name="_Toc1402"/>
      <w:r>
        <w:rPr>
          <w:rFonts w:hint="eastAsia" w:ascii="宋体" w:hAnsi="宋体" w:cs="宋体"/>
          <w:sz w:val="24"/>
          <w:szCs w:val="24"/>
        </w:rPr>
        <w:t>1.7.7不动产登记数据对外部部门共享</w:t>
      </w:r>
      <w:bookmarkEnd w:id="36"/>
      <w:bookmarkEnd w:id="37"/>
    </w:p>
    <w:p>
      <w:pPr>
        <w:ind w:firstLine="480" w:firstLineChars="200"/>
        <w:rPr>
          <w:rFonts w:hint="eastAsia" w:ascii="宋体" w:hAnsi="宋体" w:cs="宋体"/>
          <w:sz w:val="24"/>
        </w:rPr>
      </w:pPr>
      <w:r>
        <w:rPr>
          <w:rFonts w:hint="eastAsia" w:ascii="宋体" w:hAnsi="宋体" w:cs="宋体"/>
          <w:sz w:val="24"/>
        </w:rPr>
        <w:t>开发建设数据接口，将台州市不动产登记信息管理平台中的部分不动产登记数据归集到市公共数据共享平台中，为台州市其他部门和单位（例如市教育局、市大数据管理中心、市行政服务中心、市城管局、法院、公积金管理中心等）提供不动产登记数据访问和利用服务，包括查验办事群众的不动产登记信息、不动产产权验证两项服务的数据接口。</w:t>
      </w:r>
      <w:bookmarkEnd w:id="4"/>
    </w:p>
    <w:p>
      <w:pPr>
        <w:pStyle w:val="2"/>
        <w:ind w:left="0" w:leftChars="0" w:firstLine="0" w:firstLineChars="0"/>
        <w:rPr>
          <w:rFonts w:hint="eastAsia" w:hAnsi="宋体" w:cs="宋体"/>
          <w:b/>
          <w:bCs/>
          <w:spacing w:val="0"/>
          <w:sz w:val="24"/>
        </w:rPr>
      </w:pPr>
      <w:r>
        <w:rPr>
          <w:rFonts w:hint="eastAsia" w:hAnsi="宋体" w:cs="宋体"/>
          <w:b/>
          <w:bCs/>
          <w:spacing w:val="0"/>
          <w:sz w:val="24"/>
        </w:rPr>
        <w:t>1.8第三方软件测评（包含安全可靠性测评）</w:t>
      </w:r>
    </w:p>
    <w:p>
      <w:pPr>
        <w:rPr>
          <w:rFonts w:hint="eastAsia" w:ascii="宋体" w:hAnsi="宋体" w:cs="宋体"/>
          <w:b/>
          <w:bCs/>
          <w:sz w:val="24"/>
        </w:rPr>
      </w:pPr>
    </w:p>
    <w:p>
      <w:pPr>
        <w:pStyle w:val="2"/>
        <w:ind w:left="0" w:leftChars="0" w:firstLine="0" w:firstLineChars="0"/>
        <w:rPr>
          <w:rFonts w:hAnsi="宋体" w:cs="宋体"/>
          <w:b/>
          <w:bCs/>
          <w:sz w:val="24"/>
        </w:rPr>
      </w:pPr>
      <w:r>
        <w:rPr>
          <w:rFonts w:hint="eastAsia" w:hAnsi="宋体" w:cs="宋体"/>
          <w:sz w:val="24"/>
        </w:rPr>
        <w:t>▲</w:t>
      </w:r>
      <w:r>
        <w:rPr>
          <w:rFonts w:hint="eastAsia" w:hAnsi="宋体" w:cs="宋体"/>
          <w:b/>
          <w:bCs/>
          <w:sz w:val="24"/>
        </w:rPr>
        <w:t>项目建设期：合同签订后15个月内。</w:t>
      </w:r>
    </w:p>
    <w:p>
      <w:pPr>
        <w:snapToGrid w:val="0"/>
        <w:spacing w:before="156" w:beforeLines="50" w:after="156" w:afterLines="50"/>
        <w:jc w:val="center"/>
        <w:rPr>
          <w:rFonts w:hint="eastAsia"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第三章  投标人须知</w:t>
      </w:r>
    </w:p>
    <w:p>
      <w:pPr>
        <w:snapToGrid w:val="0"/>
        <w:spacing w:before="156" w:beforeLines="50" w:after="156" w:afterLines="50"/>
        <w:ind w:left="238"/>
        <w:jc w:val="center"/>
        <w:outlineLvl w:val="1"/>
        <w:rPr>
          <w:rFonts w:hint="eastAsia" w:ascii="宋体" w:hAnsi="宋体" w:cs="宋体"/>
          <w:b/>
          <w:szCs w:val="28"/>
        </w:rPr>
      </w:pPr>
      <w:r>
        <w:rPr>
          <w:rFonts w:hint="eastAsia" w:ascii="宋体" w:hAnsi="宋体" w:cs="宋体"/>
          <w:b/>
          <w:szCs w:val="28"/>
        </w:rPr>
        <w:t>前 附 表</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200" w:hanging="1200" w:hangingChars="500"/>
              <w:rPr>
                <w:rFonts w:hint="eastAsia" w:ascii="宋体" w:hAnsi="宋体" w:cs="宋体"/>
                <w:sz w:val="24"/>
              </w:rPr>
            </w:pPr>
            <w:r>
              <w:rPr>
                <w:rFonts w:hint="eastAsia" w:ascii="宋体" w:hAnsi="宋体" w:cs="宋体"/>
                <w:sz w:val="24"/>
              </w:rPr>
              <w:t>项目名称：</w:t>
            </w:r>
            <w:r>
              <w:rPr>
                <w:rFonts w:hint="eastAsia" w:ascii="宋体" w:hAnsi="宋体" w:cs="宋体"/>
                <w:bCs/>
                <w:sz w:val="24"/>
                <w:u w:val="single"/>
              </w:rPr>
              <w:t>台州市不动产登记便利化协同应用项目（市级系统部分）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采购数量：详见第二章“主要技术规格及要求”</w:t>
            </w:r>
          </w:p>
          <w:p>
            <w:pPr>
              <w:snapToGrid w:val="0"/>
              <w:rPr>
                <w:rFonts w:hint="eastAsia" w:ascii="宋体" w:hAnsi="宋体" w:cs="宋体"/>
                <w:sz w:val="24"/>
              </w:rPr>
            </w:pPr>
            <w:r>
              <w:rPr>
                <w:rFonts w:hint="eastAsia" w:ascii="宋体" w:hAnsi="宋体" w:cs="宋体"/>
                <w:sz w:val="24"/>
              </w:rPr>
              <w:t>采购单位：</w:t>
            </w:r>
            <w:r>
              <w:rPr>
                <w:rFonts w:hint="eastAsia" w:ascii="宋体" w:hAnsi="宋体" w:cs="宋体"/>
                <w:bCs/>
                <w:sz w:val="24"/>
              </w:rPr>
              <w:t>台州市自然资源和规划局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投标报价及费用：1、本项目投标应以人民币报价；2、不论投标结果如何，投标人均应自行承担所有与投标有关的全部费用。</w:t>
            </w:r>
            <w:r>
              <w:rPr>
                <w:rFonts w:hint="eastAsia" w:ascii="宋体" w:hAnsi="宋体"/>
                <w:sz w:val="24"/>
              </w:rPr>
              <w:t>本项目招标代理服务费39000元由中标人支付，投标人应当在投标报价中综合考虑。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投标保证金：根据《浙江省财政厅关于明确政府采购保证金管理工作的通知》（浙财采监〔2019〕5号）相关规定，本项目不设置投标保证金。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现场踏勘：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演示时间及地点（如有）：无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sz w:val="24"/>
              </w:rPr>
              <w:t>答疑与澄清：</w:t>
            </w:r>
            <w:r>
              <w:rPr>
                <w:rFonts w:hint="eastAsia" w:ascii="宋体" w:hAnsi="宋体" w:cs="宋体"/>
                <w:sz w:val="24"/>
              </w:rPr>
              <w:t>供应商认为采购文件使自己的权益受到损害的，可以自获取磋商文件之日或者磋商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rPr>
                <w:rFonts w:hint="eastAsia" w:ascii="宋体" w:hAnsi="宋体" w:cs="宋体"/>
                <w:sz w:val="24"/>
              </w:rPr>
            </w:pPr>
            <w:r>
              <w:rPr>
                <w:rFonts w:hint="eastAsia" w:ascii="宋体" w:hAnsi="宋体" w:cs="宋体"/>
                <w:sz w:val="24"/>
              </w:rPr>
              <w:t>书面质疑接收人：徐瑜</w:t>
            </w:r>
          </w:p>
          <w:p>
            <w:pPr>
              <w:snapToGrid w:val="0"/>
              <w:rPr>
                <w:rFonts w:hint="eastAsia" w:ascii="宋体" w:hAnsi="宋体" w:cs="宋体"/>
                <w:sz w:val="24"/>
              </w:rPr>
            </w:pPr>
            <w:r>
              <w:rPr>
                <w:rFonts w:hint="eastAsia" w:ascii="宋体" w:hAnsi="宋体" w:cs="宋体"/>
                <w:sz w:val="24"/>
              </w:rPr>
              <w:t>联系电话：0576-88517786</w:t>
            </w:r>
          </w:p>
          <w:p>
            <w:pPr>
              <w:snapToGrid w:val="0"/>
              <w:rPr>
                <w:rFonts w:hint="eastAsia" w:ascii="宋体" w:hAnsi="宋体" w:cs="宋体"/>
                <w:sz w:val="24"/>
              </w:rPr>
            </w:pPr>
            <w:r>
              <w:rPr>
                <w:rFonts w:hint="eastAsia" w:ascii="宋体" w:hAnsi="宋体" w:cs="宋体"/>
                <w:sz w:val="24"/>
              </w:rPr>
              <w:t>书面质疑接收地址：浙江省台州市椒江区市府大道465号213室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b/>
                <w:bCs/>
                <w:sz w:val="24"/>
              </w:rPr>
            </w:pPr>
            <w:r>
              <w:rPr>
                <w:rFonts w:hint="eastAsia" w:ascii="宋体" w:hAnsi="宋体" w:cs="宋体"/>
                <w:b/>
                <w:bCs/>
                <w:sz w:val="24"/>
              </w:rPr>
              <w:t>投标文件形式：</w:t>
            </w:r>
          </w:p>
          <w:p>
            <w:pPr>
              <w:autoSpaceDE w:val="0"/>
              <w:autoSpaceDN w:val="0"/>
              <w:snapToGrid w:val="0"/>
              <w:textAlignment w:val="bottom"/>
              <w:rPr>
                <w:rFonts w:hint="eastAsia" w:ascii="宋体" w:hAnsi="宋体" w:cs="宋体"/>
                <w:b/>
                <w:bCs/>
                <w:sz w:val="24"/>
              </w:rPr>
            </w:pPr>
            <w:r>
              <w:rPr>
                <w:rFonts w:hint="eastAsia" w:ascii="宋体" w:hAnsi="宋体" w:cs="宋体"/>
                <w:b/>
                <w:bCs/>
                <w:sz w:val="24"/>
              </w:rPr>
              <w:t>本项目实行电子投标。</w:t>
            </w:r>
          </w:p>
          <w:p>
            <w:pPr>
              <w:autoSpaceDE w:val="0"/>
              <w:autoSpaceDN w:val="0"/>
              <w:snapToGrid w:val="0"/>
              <w:textAlignment w:val="bottom"/>
              <w:rPr>
                <w:rFonts w:hint="eastAsia" w:ascii="宋体" w:hAnsi="宋体" w:cs="宋体"/>
                <w:b/>
                <w:bCs/>
                <w:sz w:val="24"/>
              </w:rPr>
            </w:pPr>
            <w:r>
              <w:rPr>
                <w:rFonts w:hint="eastAsia" w:ascii="宋体" w:hAnsi="宋体" w:cs="宋体"/>
                <w:b/>
                <w:bCs/>
                <w:sz w:val="24"/>
              </w:rPr>
              <w:t>供应商应准备两种形式的投标文件：电子加密投标文件、以介质（U盘）存储的数据电文形式的备份投标文件。</w:t>
            </w:r>
          </w:p>
          <w:p>
            <w:pPr>
              <w:autoSpaceDE w:val="0"/>
              <w:autoSpaceDN w:val="0"/>
              <w:snapToGrid w:val="0"/>
              <w:textAlignment w:val="bottom"/>
              <w:rPr>
                <w:rFonts w:hint="eastAsia" w:ascii="宋体" w:hAnsi="宋体" w:cs="宋体"/>
                <w:b/>
                <w:bCs/>
                <w:sz w:val="24"/>
              </w:rPr>
            </w:pPr>
            <w:r>
              <w:rPr>
                <w:rFonts w:hint="eastAsia" w:ascii="宋体" w:hAnsi="宋体" w:cs="宋体"/>
                <w:b/>
                <w:bCs/>
                <w:sz w:val="24"/>
              </w:rPr>
              <w:t>（1）“电子加密投标文件”是指通过“政采云电子交易客户端”完成投标文件编制后生成并加密的数据电文形式的投标文件（后缀格式为.jmbs）</w:t>
            </w:r>
          </w:p>
          <w:p>
            <w:pPr>
              <w:autoSpaceDE w:val="0"/>
              <w:autoSpaceDN w:val="0"/>
              <w:snapToGrid w:val="0"/>
              <w:textAlignment w:val="bottom"/>
              <w:rPr>
                <w:rFonts w:hint="eastAsia" w:ascii="宋体" w:hAnsi="宋体" w:cs="宋体"/>
                <w:sz w:val="24"/>
              </w:rPr>
            </w:pPr>
            <w:r>
              <w:rPr>
                <w:rFonts w:hint="eastAsia" w:ascii="宋体" w:hAnsi="宋体" w:cs="宋体"/>
                <w:b/>
                <w:bCs/>
                <w:sz w:val="24"/>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sz w:val="24"/>
              </w:rPr>
            </w:pPr>
            <w:r>
              <w:rPr>
                <w:rFonts w:hint="eastAsia" w:ascii="宋体" w:hAnsi="宋体" w:cs="宋体"/>
                <w:sz w:val="24"/>
              </w:rPr>
              <w:t>投标截止时间及地点：</w:t>
            </w:r>
            <w:r>
              <w:rPr>
                <w:rFonts w:hint="eastAsia" w:ascii="宋体" w:hAnsi="宋体" w:cs="宋体"/>
                <w:sz w:val="24"/>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sz w:val="24"/>
              </w:rPr>
            </w:pPr>
            <w:r>
              <w:rPr>
                <w:rFonts w:hint="eastAsia" w:ascii="宋体" w:hAnsi="宋体" w:cs="宋体"/>
                <w:sz w:val="24"/>
              </w:rPr>
              <w:t>开标时间及地点：</w:t>
            </w:r>
            <w:r>
              <w:rPr>
                <w:rFonts w:hint="eastAsia" w:ascii="宋体" w:hAnsi="宋体" w:cs="宋体"/>
                <w:sz w:val="24"/>
                <w:u w:val="single"/>
              </w:rPr>
              <w:t>见招标公告；</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评标结果公示：评标结束后2天内，评标结果公示于发布公告的网站上。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中标公告及中标通知书：评标结束后5个工作日内，中标公告发布于上述媒体。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投标保证金退还：无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履约保证金或履约保函的收取及退还:</w:t>
            </w:r>
            <w:r>
              <w:rPr>
                <w:rFonts w:hint="eastAsia" w:ascii="宋体" w:hAnsi="宋体" w:cs="宋体"/>
                <w:sz w:val="21"/>
                <w:szCs w:val="21"/>
              </w:rPr>
              <w:t xml:space="preserve"> </w:t>
            </w:r>
            <w:r>
              <w:rPr>
                <w:rFonts w:hint="eastAsia" w:ascii="宋体" w:hAnsi="宋体" w:cs="宋体"/>
                <w:sz w:val="24"/>
              </w:rPr>
              <w:t>按合同总金额的</w:t>
            </w:r>
            <w:r>
              <w:rPr>
                <w:rFonts w:hint="eastAsia" w:ascii="宋体" w:hAnsi="宋体" w:cs="宋体"/>
                <w:sz w:val="24"/>
                <w:u w:val="single"/>
              </w:rPr>
              <w:t>5</w:t>
            </w:r>
            <w:r>
              <w:rPr>
                <w:rFonts w:hint="eastAsia" w:ascii="宋体" w:hAnsi="宋体" w:cs="宋体"/>
                <w:sz w:val="24"/>
              </w:rPr>
              <w:t>%计收（现金或银行保函的形式），合同履行完毕（竣工验收合格）后30日内无息退还。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付款方式：详见合同条款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1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投标文件递交要求：</w:t>
            </w:r>
          </w:p>
          <w:p>
            <w:pPr>
              <w:rPr>
                <w:rFonts w:hint="eastAsia" w:ascii="宋体" w:hAnsi="宋体" w:cs="宋体"/>
                <w:sz w:val="24"/>
              </w:rPr>
            </w:pPr>
            <w:r>
              <w:rPr>
                <w:rFonts w:hint="eastAsia" w:ascii="宋体" w:hAnsi="宋体" w:cs="宋体"/>
                <w:sz w:val="24"/>
              </w:rPr>
              <w:t>本项目实行</w:t>
            </w:r>
            <w:r>
              <w:rPr>
                <w:rFonts w:hint="eastAsia" w:ascii="宋体" w:hAnsi="宋体" w:cs="宋体"/>
                <w:b/>
                <w:bCs/>
                <w:sz w:val="24"/>
              </w:rPr>
              <w:t>电子投标</w:t>
            </w:r>
            <w:r>
              <w:rPr>
                <w:rFonts w:hint="eastAsia" w:ascii="宋体" w:hAnsi="宋体" w:cs="宋体"/>
                <w:sz w:val="24"/>
              </w:rPr>
              <w:t>，供应商应准备电子投标文件、以介质（U盘）存储的数据电文形式的备份投标文件二类：</w:t>
            </w:r>
          </w:p>
          <w:p>
            <w:pPr>
              <w:ind w:firstLine="480" w:firstLineChars="200"/>
              <w:rPr>
                <w:rFonts w:hint="eastAsia" w:ascii="宋体" w:hAnsi="宋体" w:cs="宋体"/>
                <w:sz w:val="24"/>
              </w:rPr>
            </w:pPr>
            <w:r>
              <w:rPr>
                <w:rFonts w:hint="eastAsia" w:ascii="宋体" w:hAnsi="宋体" w:cs="宋体"/>
                <w:sz w:val="24"/>
              </w:rPr>
              <w:t>1.电子投标文件，按政采云平台项目采购--电子招投标操作指南及本招标文件要求编制、递交。</w:t>
            </w:r>
          </w:p>
          <w:p>
            <w:pPr>
              <w:ind w:firstLine="480" w:firstLineChars="200"/>
              <w:rPr>
                <w:rFonts w:hint="eastAsia" w:ascii="宋体" w:hAnsi="宋体" w:cs="宋体"/>
                <w:sz w:val="24"/>
              </w:rPr>
            </w:pPr>
            <w:r>
              <w:rPr>
                <w:rFonts w:hint="eastAsia" w:ascii="宋体" w:hAnsi="宋体" w:cs="宋体"/>
                <w:sz w:val="24"/>
              </w:rPr>
              <w:t>2.以介质（U盘）存储的数据电文形式的备份投标文件，按政采云平台项目采购-电子招投标操作指南中上传的电子投标文件格式，以U盘形式提供。</w:t>
            </w:r>
          </w:p>
          <w:p>
            <w:pPr>
              <w:autoSpaceDE w:val="0"/>
              <w:autoSpaceDN w:val="0"/>
              <w:snapToGrid w:val="0"/>
              <w:ind w:firstLine="480" w:firstLineChars="200"/>
              <w:textAlignment w:val="bottom"/>
              <w:rPr>
                <w:rFonts w:hint="eastAsia" w:ascii="宋体" w:hAnsi="宋体" w:cs="宋体"/>
                <w:sz w:val="24"/>
              </w:rPr>
            </w:pPr>
            <w:r>
              <w:rPr>
                <w:rFonts w:hint="eastAsia" w:ascii="宋体" w:hAnsi="宋体" w:cs="宋体"/>
                <w:sz w:val="24"/>
              </w:rPr>
              <w:t>3.投标文件启用顺序和效力：投标文件的启用，按先后顺位分别为电子投标文件、以介质（U盘）存储的数据电文形式的备份投标文件。投标人的电子投标文件已按时解密的，备份投标文件自动失效。某位投标人的电子投标文件无法按时解密的，启用以介质（U盘）存储的数据电文形式的“备份投标文件”进行开评标。</w:t>
            </w:r>
          </w:p>
          <w:p>
            <w:pPr>
              <w:autoSpaceDE w:val="0"/>
              <w:autoSpaceDN w:val="0"/>
              <w:snapToGrid w:val="0"/>
              <w:ind w:firstLine="480" w:firstLineChars="200"/>
              <w:textAlignment w:val="bottom"/>
              <w:rPr>
                <w:rFonts w:hint="eastAsia" w:ascii="宋体" w:hAnsi="宋体" w:cs="宋体"/>
                <w:sz w:val="24"/>
              </w:rPr>
            </w:pPr>
            <w:r>
              <w:rPr>
                <w:rFonts w:hint="eastAsia" w:ascii="宋体" w:hAnsi="宋体" w:cs="宋体"/>
                <w:sz w:val="24"/>
              </w:rPr>
              <w:t>4.▲未传输递交电子投标文件的，投标无效。▲未按规定提供相应的备份投标文件，造成项目开评标活动无法进行下去的，投标无效。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21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22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b/>
                <w:color w:val="000000"/>
                <w:sz w:val="24"/>
              </w:rPr>
            </w:pPr>
            <w:r>
              <w:rPr>
                <w:rFonts w:hint="eastAsia" w:ascii="宋体" w:hAnsi="宋体" w:cs="宋体"/>
                <w:b/>
                <w:color w:val="000000"/>
                <w:sz w:val="24"/>
              </w:rPr>
              <w:t>本项目为电子招投标，无须提交任何纸质文件及资料</w:t>
            </w:r>
          </w:p>
        </w:tc>
      </w:tr>
    </w:tbl>
    <w:p>
      <w:pPr>
        <w:pStyle w:val="19"/>
        <w:snapToGrid w:val="0"/>
        <w:spacing w:before="156" w:after="156" w:line="360" w:lineRule="auto"/>
        <w:rPr>
          <w:rFonts w:hint="eastAsia" w:hAnsi="宋体" w:cs="宋体"/>
          <w:b/>
          <w:sz w:val="30"/>
          <w:szCs w:val="30"/>
        </w:rPr>
      </w:pPr>
      <w:r>
        <w:rPr>
          <w:rFonts w:hint="eastAsia" w:hAnsi="宋体" w:cs="宋体"/>
        </w:rPr>
        <w:br w:type="page"/>
      </w:r>
      <w:r>
        <w:rPr>
          <w:rFonts w:hint="eastAsia" w:hAnsi="宋体" w:cs="宋体"/>
          <w:b/>
          <w:sz w:val="30"/>
          <w:szCs w:val="30"/>
        </w:rPr>
        <w:t>一、总  则</w:t>
      </w:r>
    </w:p>
    <w:p>
      <w:pPr>
        <w:snapToGrid w:val="0"/>
        <w:spacing w:line="360" w:lineRule="auto"/>
        <w:ind w:firstLine="472" w:firstLineChars="196"/>
        <w:jc w:val="left"/>
        <w:outlineLvl w:val="1"/>
        <w:rPr>
          <w:rFonts w:hint="eastAsia" w:ascii="宋体" w:hAnsi="宋体" w:cs="宋体"/>
          <w:b/>
          <w:sz w:val="24"/>
          <w:szCs w:val="20"/>
        </w:rPr>
      </w:pPr>
      <w:r>
        <w:rPr>
          <w:rFonts w:hint="eastAsia" w:ascii="宋体" w:hAnsi="宋体" w:cs="宋体"/>
          <w:b/>
          <w:sz w:val="24"/>
        </w:rPr>
        <w:t>（一） 适用范围</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本招标文件适用于本项目的招标、投标、评标、定标、验收、合同履约、付款等行为（法律、法规另有规定的，从其规定）。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hint="eastAsia" w:ascii="宋体" w:hAnsi="宋体" w:cs="宋体"/>
          <w:b/>
          <w:sz w:val="24"/>
          <w:szCs w:val="20"/>
        </w:rPr>
      </w:pPr>
      <w:r>
        <w:rPr>
          <w:rFonts w:hint="eastAsia" w:ascii="宋体" w:hAnsi="宋体" w:cs="宋体"/>
          <w:b/>
          <w:sz w:val="24"/>
        </w:rPr>
        <w:t>（二）定义</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1.招标采购单位系指组织本次招标的代理机构（“采购人”）和采购单位。</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2.“投标人”系指向招标方提交投标文件的单位或个人。</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3.“产品”系指供方按招标文件规定，须向采购人提供的一切设备、保险、税金、备品备件、工具、手册及其它有关技术资料和材料。</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4.“服务”系指招标文件规定投标人须承担的安装、调试、技术协助、校准、培训、技术指导以及其他类似的义务。</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5.“项目”系指投标人按招标文件规定向采购人提供的产品和服务。</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6.“书面形式”包括信函、传真、电报等。</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7.“▲”系指实质性要求条款。</w:t>
      </w:r>
    </w:p>
    <w:p>
      <w:pPr>
        <w:snapToGrid w:val="0"/>
        <w:spacing w:before="156" w:beforeLines="50" w:line="360" w:lineRule="auto"/>
        <w:ind w:firstLine="472" w:firstLineChars="196"/>
        <w:jc w:val="left"/>
        <w:outlineLvl w:val="1"/>
        <w:rPr>
          <w:rFonts w:hint="eastAsia" w:ascii="宋体" w:hAnsi="宋体" w:cs="宋体"/>
          <w:b/>
          <w:sz w:val="24"/>
          <w:szCs w:val="20"/>
        </w:rPr>
      </w:pPr>
      <w:r>
        <w:rPr>
          <w:rFonts w:hint="eastAsia" w:ascii="宋体" w:hAnsi="宋体" w:cs="宋体"/>
          <w:b/>
          <w:sz w:val="24"/>
        </w:rPr>
        <w:t>（三）招标方式</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本次招标采用公开招标方式进行。</w:t>
      </w:r>
    </w:p>
    <w:p>
      <w:pPr>
        <w:snapToGrid w:val="0"/>
        <w:spacing w:before="156" w:beforeLines="50" w:line="360" w:lineRule="auto"/>
        <w:ind w:firstLine="472" w:firstLineChars="196"/>
        <w:jc w:val="left"/>
        <w:outlineLvl w:val="1"/>
        <w:rPr>
          <w:rFonts w:hint="eastAsia" w:ascii="宋体" w:hAnsi="宋体" w:cs="宋体"/>
          <w:b/>
          <w:sz w:val="24"/>
          <w:szCs w:val="20"/>
        </w:rPr>
      </w:pPr>
      <w:r>
        <w:rPr>
          <w:rFonts w:hint="eastAsia" w:ascii="宋体" w:hAnsi="宋体" w:cs="宋体"/>
          <w:b/>
          <w:sz w:val="24"/>
        </w:rPr>
        <w:t>（四）投标委托</w:t>
      </w:r>
    </w:p>
    <w:p>
      <w:pPr>
        <w:pStyle w:val="3"/>
        <w:snapToGrid w:val="0"/>
        <w:spacing w:line="360" w:lineRule="auto"/>
        <w:ind w:firstLine="464" w:firstLineChars="200"/>
        <w:jc w:val="left"/>
        <w:rPr>
          <w:rFonts w:hAnsi="宋体" w:cs="宋体"/>
          <w:sz w:val="24"/>
          <w:szCs w:val="24"/>
        </w:rPr>
      </w:pPr>
      <w:r>
        <w:rPr>
          <w:rFonts w:hAnsi="宋体" w:cs="宋体"/>
          <w:sz w:val="24"/>
          <w:szCs w:val="24"/>
        </w:rPr>
        <w:t>投标人代表须携带有效身份证件。如投标人代表不是法定代表人，须有法定代表人出具的授权委托书。</w:t>
      </w:r>
    </w:p>
    <w:p>
      <w:pPr>
        <w:snapToGrid w:val="0"/>
        <w:spacing w:before="156" w:beforeLines="50" w:line="360" w:lineRule="auto"/>
        <w:ind w:firstLine="472" w:firstLineChars="196"/>
        <w:jc w:val="left"/>
        <w:outlineLvl w:val="1"/>
        <w:rPr>
          <w:rFonts w:hint="eastAsia" w:ascii="宋体" w:hAnsi="宋体" w:cs="宋体"/>
          <w:b/>
          <w:sz w:val="24"/>
          <w:szCs w:val="20"/>
        </w:rPr>
      </w:pPr>
      <w:r>
        <w:rPr>
          <w:rFonts w:hint="eastAsia" w:ascii="宋体" w:hAnsi="宋体" w:cs="宋体"/>
          <w:b/>
          <w:sz w:val="24"/>
        </w:rPr>
        <w:t>（五）投标费用</w:t>
      </w:r>
    </w:p>
    <w:p>
      <w:pPr>
        <w:snapToGrid w:val="0"/>
        <w:spacing w:line="360" w:lineRule="auto"/>
        <w:ind w:firstLine="480" w:firstLineChars="200"/>
        <w:rPr>
          <w:rFonts w:hint="eastAsia" w:ascii="宋体" w:hAnsi="宋体" w:cs="宋体"/>
          <w:sz w:val="24"/>
        </w:rPr>
      </w:pPr>
      <w:r>
        <w:rPr>
          <w:rFonts w:hint="eastAsia" w:ascii="宋体" w:hAnsi="宋体" w:cs="宋体"/>
          <w:sz w:val="24"/>
        </w:rPr>
        <w:t>1）除业主要求或设计变更要求外不签署任何增加费用的联系单，可能增加的成本各投标人自行考虑并计入投标报价，中标后不予调整。</w:t>
      </w:r>
    </w:p>
    <w:p>
      <w:pPr>
        <w:snapToGrid w:val="0"/>
        <w:spacing w:line="360" w:lineRule="auto"/>
        <w:ind w:firstLine="480" w:firstLineChars="200"/>
        <w:rPr>
          <w:rFonts w:hint="eastAsia" w:ascii="宋体" w:hAnsi="宋体" w:cs="宋体"/>
          <w:sz w:val="24"/>
        </w:rPr>
      </w:pPr>
      <w:r>
        <w:rPr>
          <w:rFonts w:hint="eastAsia" w:ascii="宋体" w:hAnsi="宋体" w:cs="宋体"/>
          <w:sz w:val="24"/>
        </w:rPr>
        <w:t>2）不论投标结果如何，投标人均应自行承担所有与投标有关的全部费用。</w:t>
      </w:r>
    </w:p>
    <w:p>
      <w:pPr>
        <w:snapToGrid w:val="0"/>
        <w:spacing w:line="360" w:lineRule="auto"/>
        <w:ind w:firstLine="480" w:firstLineChars="200"/>
        <w:rPr>
          <w:rFonts w:hint="eastAsia" w:ascii="宋体" w:hAnsi="宋体" w:cs="宋体"/>
          <w:sz w:val="24"/>
        </w:rPr>
      </w:pPr>
      <w:r>
        <w:rPr>
          <w:rFonts w:hint="eastAsia" w:ascii="宋体" w:hAnsi="宋体" w:cs="宋体"/>
          <w:sz w:val="24"/>
        </w:rPr>
        <w:t>3）本项目招标代理费参照中华人民共和国国家发展计划委员会（计价格[2002]1980号）招标代理服务收费管理暂行办法计取招标代理费打6.8折记取39000元。由中标人支付，在领取中标通知书时付清。</w:t>
      </w:r>
    </w:p>
    <w:tbl>
      <w:tblPr>
        <w:tblStyle w:val="34"/>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1816"/>
        <w:gridCol w:w="199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13"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300" w:lineRule="auto"/>
              <w:rPr>
                <w:rFonts w:hint="eastAsia" w:ascii="宋体" w:hAnsi="宋体" w:cs="宋体"/>
                <w:sz w:val="24"/>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货物招标</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服务招标</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1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100以下</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1.5%</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1.5%</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100—500</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1.1%</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0.8%</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500-1000</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0.8%</w:t>
            </w:r>
          </w:p>
        </w:tc>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0.45%</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4"/>
              </w:rPr>
            </w:pPr>
            <w:r>
              <w:rPr>
                <w:rFonts w:hint="eastAsia" w:ascii="宋体" w:hAnsi="宋体" w:cs="宋体"/>
                <w:sz w:val="24"/>
              </w:rPr>
              <w:t>0.55%</w:t>
            </w:r>
          </w:p>
        </w:tc>
      </w:tr>
    </w:tbl>
    <w:p>
      <w:pPr>
        <w:snapToGrid w:val="0"/>
        <w:spacing w:line="360" w:lineRule="auto"/>
        <w:ind w:firstLine="480" w:firstLineChars="200"/>
        <w:rPr>
          <w:rFonts w:hint="eastAsia" w:ascii="宋体" w:hAnsi="宋体" w:cs="宋体"/>
          <w:sz w:val="24"/>
        </w:rPr>
      </w:pPr>
      <w:r>
        <w:rPr>
          <w:rFonts w:hint="eastAsia" w:ascii="宋体" w:hAnsi="宋体" w:cs="宋体"/>
          <w:sz w:val="24"/>
        </w:rPr>
        <w:t>4）投标人承诺同时授权如下：如中标单位未按时支付招标代理服务费，招标代理机构可以从投标保证金或在采购人的合同款中扣缴，采购人予以配合。</w:t>
      </w:r>
    </w:p>
    <w:p>
      <w:pPr>
        <w:snapToGrid w:val="0"/>
        <w:spacing w:before="156" w:beforeLines="50" w:line="360" w:lineRule="auto"/>
        <w:ind w:firstLine="472" w:firstLineChars="196"/>
        <w:jc w:val="left"/>
        <w:rPr>
          <w:rFonts w:hint="eastAsia" w:ascii="宋体" w:hAnsi="宋体" w:cs="宋体"/>
          <w:b/>
          <w:sz w:val="24"/>
          <w:szCs w:val="20"/>
        </w:rPr>
      </w:pPr>
      <w:r>
        <w:rPr>
          <w:rFonts w:hint="eastAsia" w:ascii="宋体" w:hAnsi="宋体" w:cs="宋体"/>
          <w:b/>
          <w:sz w:val="24"/>
        </w:rPr>
        <w:t>（六）联合体投标</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本项目不接受联合体投标。</w:t>
      </w:r>
    </w:p>
    <w:p>
      <w:pPr>
        <w:snapToGrid w:val="0"/>
        <w:spacing w:before="156" w:beforeLines="50" w:line="360" w:lineRule="auto"/>
        <w:ind w:firstLine="472" w:firstLineChars="196"/>
        <w:rPr>
          <w:rFonts w:hint="eastAsia" w:ascii="宋体" w:hAnsi="宋体" w:cs="宋体"/>
          <w:b/>
          <w:kern w:val="0"/>
          <w:sz w:val="24"/>
          <w:szCs w:val="20"/>
        </w:rPr>
      </w:pPr>
      <w:r>
        <w:rPr>
          <w:rFonts w:hint="eastAsia" w:ascii="宋体" w:hAnsi="宋体" w:cs="宋体"/>
          <w:b/>
          <w:sz w:val="24"/>
        </w:rPr>
        <w:t>（七）</w:t>
      </w:r>
      <w:r>
        <w:rPr>
          <w:rFonts w:hint="eastAsia" w:ascii="宋体" w:hAnsi="宋体" w:cs="宋体"/>
          <w:b/>
          <w:kern w:val="0"/>
          <w:sz w:val="24"/>
        </w:rPr>
        <w:t>转包与分包</w:t>
      </w:r>
    </w:p>
    <w:p>
      <w:pPr>
        <w:snapToGrid w:val="0"/>
        <w:spacing w:line="360" w:lineRule="auto"/>
        <w:ind w:firstLine="480" w:firstLineChars="200"/>
        <w:rPr>
          <w:rFonts w:hint="eastAsia" w:ascii="宋体" w:hAnsi="宋体" w:cs="宋体"/>
          <w:kern w:val="0"/>
          <w:sz w:val="24"/>
          <w:szCs w:val="20"/>
        </w:rPr>
      </w:pPr>
      <w:r>
        <w:rPr>
          <w:rFonts w:hint="eastAsia" w:ascii="宋体" w:hAnsi="宋体" w:cs="宋体"/>
          <w:kern w:val="0"/>
          <w:sz w:val="24"/>
        </w:rPr>
        <w:t>未经采购人同意，本项目不允许转包。投标人如果对于法律服务分包，需要在投标文件中进行说明。</w:t>
      </w:r>
    </w:p>
    <w:p>
      <w:pPr>
        <w:snapToGrid w:val="0"/>
        <w:spacing w:before="156" w:beforeLines="50" w:line="360" w:lineRule="auto"/>
        <w:ind w:firstLine="472" w:firstLineChars="196"/>
        <w:jc w:val="left"/>
        <w:outlineLvl w:val="1"/>
        <w:rPr>
          <w:rFonts w:hint="eastAsia" w:ascii="宋体" w:hAnsi="宋体" w:cs="宋体"/>
          <w:b/>
          <w:sz w:val="24"/>
        </w:rPr>
      </w:pPr>
      <w:r>
        <w:rPr>
          <w:rFonts w:hint="eastAsia" w:ascii="宋体" w:hAnsi="宋体" w:cs="宋体"/>
          <w:b/>
          <w:sz w:val="24"/>
        </w:rPr>
        <w:t>（八）特别说明：</w:t>
      </w:r>
    </w:p>
    <w:p>
      <w:pPr>
        <w:pStyle w:val="19"/>
        <w:snapToGrid w:val="0"/>
        <w:spacing w:beforeLines="0" w:afterLines="0" w:line="360" w:lineRule="auto"/>
        <w:ind w:left="3" w:leftChars="1" w:firstLine="480" w:firstLineChars="200"/>
        <w:rPr>
          <w:rFonts w:hint="eastAsia" w:hAnsi="宋体" w:cs="宋体"/>
        </w:rPr>
      </w:pPr>
      <w:r>
        <w:rPr>
          <w:rFonts w:hint="eastAsia" w:hAnsi="宋体" w:cs="宋体"/>
        </w:rPr>
        <w:t>▲1、投标人投标所使用的资格、信誉、荣誉、业绩与企业认证必须为本法人所拥有。投标人投标所使用的采购项目实施人员必须为本法人员工（或必须为本法人或控股公司正式员工）。</w:t>
      </w:r>
      <w:r>
        <w:rPr>
          <w:rFonts w:hint="eastAsia" w:hAnsi="宋体" w:cs="宋体"/>
          <w:b/>
          <w:bCs/>
        </w:rPr>
        <w:t>如投标人项目派遣人员为劳务派遣性质的，派遣人员的社保须由对应的劳务派遣公司缴纳，否则该项目派遣人员不予认可。</w:t>
      </w:r>
    </w:p>
    <w:p>
      <w:pPr>
        <w:pStyle w:val="19"/>
        <w:snapToGrid w:val="0"/>
        <w:spacing w:beforeLines="0" w:afterLines="0" w:line="360" w:lineRule="auto"/>
        <w:ind w:left="3" w:leftChars="1" w:firstLine="480" w:firstLineChars="200"/>
        <w:rPr>
          <w:rFonts w:hint="eastAsia" w:hAnsi="宋体" w:cs="宋体"/>
        </w:rPr>
      </w:pPr>
      <w:r>
        <w:rPr>
          <w:rFonts w:hint="eastAsia" w:hAnsi="宋体" w:cs="宋体"/>
        </w:rPr>
        <w:t>▲2、投标人应仔细阅读招标文件的所有内容，按照招标文件的要求提交投标文件，并对所提供的全部资料的真实性承担法律责任。</w:t>
      </w:r>
    </w:p>
    <w:p>
      <w:pPr>
        <w:pStyle w:val="19"/>
        <w:snapToGrid w:val="0"/>
        <w:spacing w:beforeLines="0" w:afterLines="0" w:line="360" w:lineRule="auto"/>
        <w:ind w:left="3" w:leftChars="1" w:firstLine="480" w:firstLineChars="200"/>
        <w:rPr>
          <w:rFonts w:hint="eastAsia" w:hAnsi="宋体" w:cs="宋体"/>
          <w:b/>
        </w:rPr>
      </w:pPr>
      <w:r>
        <w:rPr>
          <w:rFonts w:hint="eastAsia" w:hAnsi="宋体" w:cs="宋体"/>
        </w:rPr>
        <w:t>▲3、投标人在投标活动中提供任何虚假材料,其投标无效，并报监管部门查处；中标后发现的, 中标人须依照《政府采购货物和服务招标投标管理办法》第74条之规定处以中标金额1%的罚款，且民事赔偿并不免除违法投标人的行政与刑事责任。</w:t>
      </w:r>
    </w:p>
    <w:p>
      <w:pPr>
        <w:pStyle w:val="19"/>
        <w:snapToGrid w:val="0"/>
        <w:spacing w:beforeLines="0" w:afterLines="0" w:line="360" w:lineRule="auto"/>
        <w:ind w:firstLine="472" w:firstLineChars="196"/>
        <w:outlineLvl w:val="1"/>
        <w:rPr>
          <w:rFonts w:hint="eastAsia" w:hAnsi="宋体" w:cs="宋体"/>
          <w:b/>
          <w:bCs/>
        </w:rPr>
      </w:pPr>
      <w:r>
        <w:rPr>
          <w:rFonts w:hint="eastAsia" w:hAnsi="宋体" w:cs="宋体"/>
          <w:b/>
          <w:bCs/>
        </w:rPr>
        <w:t>（九）质疑和投诉</w:t>
      </w:r>
    </w:p>
    <w:p>
      <w:pPr>
        <w:pStyle w:val="19"/>
        <w:snapToGrid w:val="0"/>
        <w:spacing w:beforeLines="0" w:afterLines="0" w:line="360" w:lineRule="auto"/>
        <w:ind w:firstLine="480" w:firstLineChars="200"/>
        <w:rPr>
          <w:rFonts w:hint="eastAsia" w:hAnsi="宋体" w:cs="宋体"/>
          <w:bCs/>
        </w:rPr>
      </w:pPr>
      <w:r>
        <w:rPr>
          <w:rFonts w:hint="eastAsia" w:hAnsi="宋体" w:cs="宋体"/>
          <w:bCs/>
        </w:rPr>
        <w:t>1.投标人认为招标文件、招标过程或中标结果使自己的合法权益受到损害的，应当在知道或者应知其权益受到损害之日起七个工作日内，以书面形式向采购人、采购代理机构提出质疑。</w:t>
      </w:r>
      <w:r>
        <w:rPr>
          <w:rFonts w:hint="eastAsia" w:hAnsi="宋体" w:cs="宋体"/>
        </w:rPr>
        <w:t>投标人对招标采购单位的质疑答复不满意或者招标采购单位未在规定时间内作出答复的，可以在答复期满后十五个工作日内向同级采购监管部门投诉。</w:t>
      </w:r>
    </w:p>
    <w:p>
      <w:pPr>
        <w:pStyle w:val="19"/>
        <w:snapToGrid w:val="0"/>
        <w:spacing w:beforeLines="0" w:afterLines="0" w:line="360" w:lineRule="auto"/>
        <w:ind w:firstLine="480" w:firstLineChars="200"/>
        <w:rPr>
          <w:rFonts w:hint="eastAsia" w:hAnsi="宋体" w:cs="宋体"/>
          <w:bCs/>
        </w:rPr>
      </w:pPr>
      <w:r>
        <w:rPr>
          <w:rFonts w:hint="eastAsia" w:hAnsi="宋体" w:cs="宋体"/>
          <w:bC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9"/>
        <w:snapToGrid w:val="0"/>
        <w:spacing w:beforeLines="0" w:afterLines="0" w:line="360" w:lineRule="auto"/>
        <w:rPr>
          <w:rFonts w:hint="eastAsia" w:hAnsi="宋体" w:cs="宋体"/>
          <w:bCs/>
        </w:rPr>
      </w:pPr>
    </w:p>
    <w:p>
      <w:pPr>
        <w:pStyle w:val="19"/>
        <w:snapToGrid w:val="0"/>
        <w:spacing w:before="156" w:after="156" w:line="360" w:lineRule="auto"/>
        <w:rPr>
          <w:rFonts w:hint="eastAsia" w:hAnsi="宋体" w:cs="宋体"/>
          <w:b/>
          <w:sz w:val="30"/>
          <w:szCs w:val="30"/>
        </w:rPr>
      </w:pPr>
      <w:r>
        <w:rPr>
          <w:rFonts w:hint="eastAsia" w:hAnsi="宋体" w:cs="宋体"/>
          <w:b/>
          <w:sz w:val="30"/>
          <w:szCs w:val="30"/>
        </w:rPr>
        <w:t>二、招标文件</w:t>
      </w:r>
    </w:p>
    <w:p>
      <w:pPr>
        <w:snapToGrid w:val="0"/>
        <w:spacing w:line="360" w:lineRule="auto"/>
        <w:ind w:firstLine="472" w:firstLineChars="196"/>
        <w:jc w:val="left"/>
        <w:rPr>
          <w:rFonts w:hint="eastAsia" w:ascii="宋体" w:hAnsi="宋体" w:cs="宋体"/>
          <w:b/>
          <w:sz w:val="24"/>
          <w:szCs w:val="20"/>
        </w:rPr>
      </w:pPr>
      <w:r>
        <w:rPr>
          <w:rFonts w:hint="eastAsia" w:ascii="宋体" w:hAnsi="宋体" w:cs="宋体"/>
          <w:b/>
          <w:sz w:val="24"/>
        </w:rPr>
        <w:t>（一）招标文件的构成。本招标文件由以下部份组成：</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1.公开招标采购公告</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2.招标需求</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3.投标人须知</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4.评标办法及评分标准</w:t>
      </w:r>
    </w:p>
    <w:p>
      <w:pPr>
        <w:snapToGrid w:val="0"/>
        <w:spacing w:line="360" w:lineRule="auto"/>
        <w:ind w:firstLine="480" w:firstLineChars="200"/>
        <w:jc w:val="left"/>
        <w:rPr>
          <w:rFonts w:ascii="宋体" w:hAnsi="宋体" w:cs="宋体"/>
          <w:sz w:val="24"/>
          <w:szCs w:val="20"/>
        </w:rPr>
      </w:pPr>
      <w:r>
        <w:rPr>
          <w:rFonts w:hint="eastAsia" w:ascii="宋体" w:hAnsi="宋体" w:cs="宋体"/>
          <w:sz w:val="24"/>
        </w:rPr>
        <w:t>5.合同主要条款</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6.投标文件格式</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7.本项目招标文件的澄清、答复、修改、补充的内容</w:t>
      </w:r>
    </w:p>
    <w:p>
      <w:pPr>
        <w:snapToGrid w:val="0"/>
        <w:spacing w:before="156" w:beforeLines="50" w:line="360" w:lineRule="auto"/>
        <w:ind w:firstLine="472" w:firstLineChars="196"/>
        <w:jc w:val="left"/>
        <w:rPr>
          <w:rFonts w:hint="eastAsia" w:ascii="宋体" w:hAnsi="宋体" w:cs="宋体"/>
          <w:b/>
          <w:sz w:val="24"/>
          <w:szCs w:val="20"/>
        </w:rPr>
      </w:pPr>
      <w:r>
        <w:rPr>
          <w:rFonts w:hint="eastAsia" w:ascii="宋体" w:hAnsi="宋体" w:cs="宋体"/>
          <w:b/>
          <w:sz w:val="24"/>
        </w:rPr>
        <w:t>（二）投标人的风险</w:t>
      </w:r>
    </w:p>
    <w:p>
      <w:pPr>
        <w:snapToGrid w:val="0"/>
        <w:spacing w:line="360" w:lineRule="auto"/>
        <w:ind w:firstLine="480" w:firstLineChars="200"/>
        <w:jc w:val="left"/>
        <w:rPr>
          <w:rFonts w:hint="eastAsia" w:ascii="宋体" w:hAnsi="宋体" w:cs="宋体"/>
          <w:szCs w:val="20"/>
        </w:rPr>
      </w:pPr>
      <w:r>
        <w:rPr>
          <w:rFonts w:hint="eastAsia" w:ascii="宋体" w:hAnsi="宋体" w:cs="宋体"/>
          <w:sz w:val="24"/>
        </w:rPr>
        <w:t>投标人没有按照招标文件要求提供全部资料，或者投标人没有对招标文件在各方面作出实质性响应是投标人的风险，并可能导致其投标被拒绝。</w:t>
      </w:r>
    </w:p>
    <w:p>
      <w:pPr>
        <w:pStyle w:val="10"/>
        <w:widowControl w:val="0"/>
        <w:tabs>
          <w:tab w:val="clear" w:pos="454"/>
          <w:tab w:val="clear" w:pos="900"/>
        </w:tabs>
        <w:snapToGrid w:val="0"/>
        <w:spacing w:before="156" w:beforeLines="50" w:afterLines="0" w:line="360" w:lineRule="auto"/>
        <w:ind w:left="0" w:firstLine="472" w:firstLineChars="196"/>
        <w:rPr>
          <w:rFonts w:hint="eastAsia" w:ascii="宋体" w:hAnsi="宋体" w:cs="宋体"/>
          <w:b/>
          <w:szCs w:val="24"/>
        </w:rPr>
      </w:pPr>
      <w:r>
        <w:rPr>
          <w:rFonts w:hint="eastAsia" w:ascii="宋体" w:hAnsi="宋体" w:cs="宋体"/>
          <w:b/>
          <w:szCs w:val="24"/>
        </w:rPr>
        <w:t xml:space="preserve">（三）招标文件的澄清与修改 </w:t>
      </w:r>
    </w:p>
    <w:p>
      <w:pPr>
        <w:pStyle w:val="19"/>
        <w:snapToGrid w:val="0"/>
        <w:spacing w:beforeLines="0" w:afterLines="0" w:line="360" w:lineRule="auto"/>
        <w:ind w:firstLine="480" w:firstLineChars="200"/>
        <w:rPr>
          <w:rFonts w:hint="eastAsia" w:hAnsi="宋体" w:cs="宋体"/>
        </w:rPr>
      </w:pPr>
      <w:r>
        <w:rPr>
          <w:rFonts w:hint="eastAsia" w:hAnsi="宋体" w:cs="宋体"/>
        </w:rPr>
        <w:t>1.</w:t>
      </w:r>
      <w:r>
        <w:rPr>
          <w:rFonts w:hint="eastAsia" w:hAnsi="宋体" w:cs="宋体"/>
          <w:bCs/>
        </w:rPr>
        <w:t>投标人应认真阅读本招标文件，发现其中有误或有不合理要求的，投标人必须在前附表规定的时间内以书面形式要求招标采购单位澄清</w:t>
      </w:r>
      <w:r>
        <w:rPr>
          <w:rFonts w:hint="eastAsia" w:hAnsi="宋体" w:cs="宋体"/>
        </w:rPr>
        <w:t>。采购代理机构对已发出的招标文件进行必要澄清、答复、修改或补充的，应当在招标文件要求提交投标文件截止时间五日前，在公告信息发布媒体上发布更正公告，并以书面形式通知所有招标文件收受人。</w:t>
      </w:r>
    </w:p>
    <w:p>
      <w:pPr>
        <w:pStyle w:val="19"/>
        <w:snapToGrid w:val="0"/>
        <w:spacing w:beforeLines="0" w:afterLines="0" w:line="360" w:lineRule="auto"/>
        <w:ind w:firstLine="480" w:firstLineChars="200"/>
        <w:rPr>
          <w:rFonts w:hint="eastAsia" w:hAnsi="宋体" w:cs="宋体"/>
        </w:rPr>
      </w:pPr>
      <w:r>
        <w:rPr>
          <w:rFonts w:hint="eastAsia" w:hAnsi="宋体" w:cs="宋体"/>
        </w:rPr>
        <w:t>2.采购代理机构必须以书面形式答复投标人要求澄清的问题，并将不包含问题来源的答复书面通知所有购买招标文件的投标人；除书面答复以外的其他澄清方式及澄清内容均无效。</w:t>
      </w:r>
    </w:p>
    <w:p>
      <w:pPr>
        <w:pStyle w:val="19"/>
        <w:snapToGrid w:val="0"/>
        <w:spacing w:beforeLines="0" w:afterLines="0" w:line="360" w:lineRule="auto"/>
        <w:ind w:firstLine="480" w:firstLineChars="200"/>
        <w:rPr>
          <w:rFonts w:hint="eastAsia" w:hAnsi="宋体" w:cs="宋体"/>
        </w:rPr>
      </w:pPr>
      <w:r>
        <w:rPr>
          <w:rFonts w:hint="eastAsia" w:hAnsi="宋体" w:cs="宋体"/>
        </w:rPr>
        <w:t>3.招标文件澄清、答复、修改、补充的内容为招标文件的组成部分。当招标文件与招标文件的答复、澄清、修改、补充通知就同一内容的表述不一致时，以最后发出的书面文件为准。</w:t>
      </w:r>
    </w:p>
    <w:p>
      <w:pPr>
        <w:pStyle w:val="19"/>
        <w:snapToGrid w:val="0"/>
        <w:spacing w:beforeLines="0" w:afterLines="0" w:line="360" w:lineRule="auto"/>
        <w:ind w:firstLine="480" w:firstLineChars="200"/>
        <w:rPr>
          <w:rFonts w:hint="eastAsia" w:hAnsi="宋体" w:cs="宋体"/>
        </w:rPr>
      </w:pPr>
      <w:r>
        <w:rPr>
          <w:rFonts w:hint="eastAsia" w:hAnsi="宋体" w:cs="宋体"/>
        </w:rPr>
        <w:t>4.招标文件的澄清、答复、修改或补充都应该通过本代理机构以法定形式发布，采购人非通过本机构，不得擅自澄清、答复、修改或补充招标文件。</w:t>
      </w:r>
    </w:p>
    <w:p>
      <w:pPr>
        <w:pStyle w:val="19"/>
        <w:snapToGrid w:val="0"/>
        <w:spacing w:before="156" w:after="156" w:line="360" w:lineRule="auto"/>
        <w:rPr>
          <w:rFonts w:hint="eastAsia" w:hAnsi="宋体" w:cs="宋体"/>
          <w:b/>
          <w:sz w:val="30"/>
          <w:szCs w:val="30"/>
        </w:rPr>
      </w:pPr>
      <w:r>
        <w:rPr>
          <w:rFonts w:hint="eastAsia" w:hAnsi="宋体" w:cs="宋体"/>
          <w:b/>
          <w:sz w:val="30"/>
          <w:szCs w:val="30"/>
        </w:rPr>
        <w:t>三、投标文件的编制</w:t>
      </w:r>
    </w:p>
    <w:p>
      <w:pPr>
        <w:snapToGrid w:val="0"/>
        <w:spacing w:line="360" w:lineRule="auto"/>
        <w:ind w:firstLine="472" w:firstLineChars="196"/>
        <w:jc w:val="left"/>
        <w:outlineLvl w:val="0"/>
        <w:rPr>
          <w:rFonts w:hint="eastAsia" w:ascii="宋体" w:hAnsi="宋体" w:cs="宋体"/>
          <w:b/>
          <w:sz w:val="24"/>
        </w:rPr>
      </w:pPr>
      <w:r>
        <w:rPr>
          <w:rFonts w:hint="eastAsia" w:ascii="宋体" w:hAnsi="宋体" w:cs="宋体"/>
          <w:b/>
          <w:sz w:val="24"/>
        </w:rPr>
        <w:t>（一）</w:t>
      </w:r>
      <w:r>
        <w:rPr>
          <w:rFonts w:hint="eastAsia" w:ascii="宋体" w:hAnsi="宋体" w:cs="宋体"/>
          <w:b/>
          <w:sz w:val="24"/>
        </w:rPr>
        <w:tab/>
      </w:r>
      <w:r>
        <w:rPr>
          <w:rFonts w:hint="eastAsia" w:ascii="宋体" w:hAnsi="宋体" w:cs="宋体"/>
          <w:b/>
          <w:sz w:val="24"/>
        </w:rPr>
        <w:t>投标文件的要求</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 xml:space="preserve">  1、投标人应仔细阅读招标文件的所有内容，按照要求详细编制投标文件，并保证投标文件的正确性和真实性。</w:t>
      </w:r>
    </w:p>
    <w:p>
      <w:pPr>
        <w:snapToGrid w:val="0"/>
        <w:spacing w:line="360" w:lineRule="auto"/>
        <w:ind w:firstLine="470" w:firstLineChars="196"/>
        <w:jc w:val="left"/>
        <w:outlineLvl w:val="0"/>
        <w:rPr>
          <w:rFonts w:hint="eastAsia" w:ascii="宋体" w:hAnsi="宋体" w:cs="宋体"/>
          <w:sz w:val="24"/>
        </w:rPr>
      </w:pPr>
      <w:r>
        <w:rPr>
          <w:rFonts w:hint="eastAsia" w:ascii="宋体" w:hAnsi="宋体" w:cs="宋体"/>
          <w:sz w:val="24"/>
        </w:rPr>
        <w:t xml:space="preserve">  2、不按招标文件的要求提供的投标文件将被拒绝。</w:t>
      </w:r>
    </w:p>
    <w:p>
      <w:pPr>
        <w:snapToGrid w:val="0"/>
        <w:spacing w:line="360" w:lineRule="auto"/>
        <w:ind w:firstLine="472" w:firstLineChars="196"/>
        <w:jc w:val="left"/>
        <w:outlineLvl w:val="0"/>
        <w:rPr>
          <w:rFonts w:hint="eastAsia" w:ascii="宋体" w:hAnsi="宋体" w:cs="宋体"/>
          <w:b/>
          <w:sz w:val="24"/>
        </w:rPr>
      </w:pPr>
      <w:r>
        <w:rPr>
          <w:rFonts w:hint="eastAsia" w:ascii="宋体" w:hAnsi="宋体" w:cs="宋体"/>
          <w:b/>
          <w:sz w:val="24"/>
        </w:rPr>
        <w:t>（二）投标文件的组成</w:t>
      </w:r>
    </w:p>
    <w:p>
      <w:pPr>
        <w:snapToGrid w:val="0"/>
        <w:spacing w:line="360" w:lineRule="auto"/>
        <w:ind w:firstLine="472" w:firstLineChars="196"/>
        <w:jc w:val="left"/>
        <w:outlineLvl w:val="0"/>
        <w:rPr>
          <w:rFonts w:hint="eastAsia" w:ascii="宋体" w:hAnsi="宋体" w:cs="宋体"/>
          <w:b/>
          <w:sz w:val="24"/>
        </w:rPr>
      </w:pPr>
      <w:r>
        <w:rPr>
          <w:rFonts w:hint="eastAsia" w:ascii="宋体" w:hAnsi="宋体" w:cs="宋体"/>
          <w:b/>
          <w:sz w:val="24"/>
        </w:rPr>
        <w:t>投标人接到招标文件后，按照采购组织机构的要求提供所参与的投标文件：资格证明文件、商务与技术文件、报价文件。</w:t>
      </w:r>
      <w:r>
        <w:rPr>
          <w:rFonts w:hint="eastAsia" w:ascii="宋体" w:hAnsi="宋体" w:cs="宋体"/>
          <w:b/>
          <w:sz w:val="24"/>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autoSpaceDE w:val="0"/>
        <w:autoSpaceDN w:val="0"/>
        <w:adjustRightInd w:val="0"/>
        <w:spacing w:line="360" w:lineRule="auto"/>
        <w:ind w:left="480"/>
        <w:rPr>
          <w:rFonts w:hint="eastAsia" w:ascii="宋体" w:hAnsi="宋体" w:cs="宋体"/>
          <w:b/>
          <w:sz w:val="24"/>
        </w:rPr>
      </w:pPr>
      <w:r>
        <w:rPr>
          <w:rFonts w:hint="eastAsia" w:ascii="宋体" w:hAnsi="宋体" w:cs="宋体"/>
          <w:b/>
          <w:sz w:val="24"/>
        </w:rPr>
        <w:t>1、资格证明文件的组成：</w:t>
      </w:r>
    </w:p>
    <w:p>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1</w:t>
      </w:r>
      <w:r>
        <w:rPr>
          <w:rFonts w:hint="eastAsia" w:ascii="宋体" w:hAnsi="宋体" w:cs="宋体"/>
          <w:b/>
          <w:bCs/>
          <w:sz w:val="24"/>
          <w:lang w:val="zh-CN"/>
        </w:rPr>
        <w:t>）投标文件封面</w:t>
      </w:r>
      <w:r>
        <w:rPr>
          <w:rFonts w:hint="eastAsia" w:ascii="宋体" w:hAnsi="宋体" w:cs="宋体"/>
          <w:b/>
          <w:bCs/>
          <w:sz w:val="24"/>
        </w:rPr>
        <w:t>（格式见附件）</w:t>
      </w:r>
      <w:r>
        <w:rPr>
          <w:rFonts w:hint="eastAsia" w:ascii="宋体" w:hAnsi="宋体" w:cs="宋体"/>
          <w:b/>
          <w:bCs/>
          <w:sz w:val="24"/>
          <w:lang w:val="zh-CN"/>
        </w:rPr>
        <w:t>；</w:t>
      </w:r>
    </w:p>
    <w:p>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2</w:t>
      </w:r>
      <w:r>
        <w:rPr>
          <w:rFonts w:hint="eastAsia" w:ascii="宋体" w:hAnsi="宋体" w:cs="宋体"/>
          <w:b/>
          <w:bCs/>
          <w:sz w:val="24"/>
          <w:lang w:val="zh-CN"/>
        </w:rPr>
        <w:t>）法定代表人授权委托书</w:t>
      </w:r>
      <w:r>
        <w:rPr>
          <w:rFonts w:hint="eastAsia" w:ascii="宋体" w:hAnsi="宋体" w:cs="宋体"/>
          <w:b/>
          <w:bCs/>
          <w:sz w:val="24"/>
        </w:rPr>
        <w:t>（格式见附件）</w:t>
      </w:r>
      <w:r>
        <w:rPr>
          <w:rFonts w:hint="eastAsia" w:ascii="宋体" w:hAnsi="宋体" w:cs="宋体"/>
          <w:b/>
          <w:bCs/>
          <w:sz w:val="24"/>
          <w:lang w:val="zh-CN"/>
        </w:rPr>
        <w:t>；</w:t>
      </w:r>
    </w:p>
    <w:p>
      <w:pPr>
        <w:ind w:firstLine="482" w:firstLineChars="200"/>
        <w:rPr>
          <w:rFonts w:hint="eastAsia" w:ascii="宋体" w:hAnsi="宋体" w:cs="宋体"/>
          <w:b/>
          <w:bCs/>
          <w:sz w:val="24"/>
        </w:rPr>
      </w:pPr>
      <w:r>
        <w:rPr>
          <w:rFonts w:hint="eastAsia" w:ascii="宋体" w:hAnsi="宋体" w:cs="宋体"/>
          <w:b/>
          <w:bCs/>
          <w:sz w:val="24"/>
          <w:lang w:val="zh-CN"/>
        </w:rPr>
        <w:t>（</w:t>
      </w:r>
      <w:r>
        <w:rPr>
          <w:rFonts w:hint="eastAsia" w:ascii="宋体" w:hAnsi="宋体" w:cs="宋体"/>
          <w:b/>
          <w:bCs/>
          <w:sz w:val="24"/>
        </w:rPr>
        <w:t>3</w:t>
      </w:r>
      <w:r>
        <w:rPr>
          <w:rFonts w:hint="eastAsia" w:ascii="宋体" w:hAnsi="宋体" w:cs="宋体"/>
          <w:b/>
          <w:bCs/>
          <w:sz w:val="24"/>
          <w:lang w:val="zh-CN"/>
        </w:rPr>
        <w:t>）</w:t>
      </w:r>
      <w:r>
        <w:rPr>
          <w:rFonts w:hint="eastAsia" w:ascii="宋体" w:hAnsi="宋体" w:cs="宋体"/>
          <w:b/>
          <w:bCs/>
          <w:sz w:val="24"/>
        </w:rPr>
        <w:t>投标人须在投标文件中出具符合以下情况的证明材料扫描件（五选一）：</w:t>
      </w:r>
    </w:p>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如投标人是企业（包括合伙企业），提供在工商部门注册的有效“企业法人营业执照”或“营业执照”；</w:t>
      </w:r>
    </w:p>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如投标人是事业单位，提供有效的“事业单位法人证书”；</w:t>
      </w:r>
    </w:p>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如投标人是非企业专业服务机构的，提供执业许可证等证明文件；</w:t>
      </w:r>
    </w:p>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如投标人是个体工商户，提供有效的“个体工商户营业执照”；</w:t>
      </w:r>
    </w:p>
    <w:p>
      <w:pPr>
        <w:numPr>
          <w:ilvl w:val="0"/>
          <w:numId w:val="4"/>
        </w:numPr>
        <w:spacing w:line="360" w:lineRule="auto"/>
        <w:ind w:firstLine="482" w:firstLineChars="200"/>
        <w:rPr>
          <w:rFonts w:hint="eastAsia" w:ascii="宋体" w:hAnsi="宋体" w:cs="宋体"/>
          <w:b/>
          <w:bCs/>
          <w:sz w:val="24"/>
        </w:rPr>
      </w:pPr>
      <w:r>
        <w:rPr>
          <w:rFonts w:hint="eastAsia" w:ascii="宋体" w:hAnsi="宋体" w:cs="宋体"/>
          <w:b/>
          <w:bCs/>
          <w:sz w:val="24"/>
        </w:rPr>
        <w:t>如投标人是自然人，提供有效的自然人身份证明（居民身份证正反面或公安机关出具的临时居民身份证正反面或港澳台胞证或护照）。</w:t>
      </w:r>
    </w:p>
    <w:p>
      <w:pPr>
        <w:spacing w:line="360" w:lineRule="auto"/>
        <w:ind w:firstLine="482" w:firstLineChars="200"/>
        <w:rPr>
          <w:rFonts w:hint="eastAsia" w:ascii="宋体" w:hAnsi="宋体" w:cs="宋体"/>
          <w:b/>
          <w:bCs/>
          <w:sz w:val="24"/>
          <w:lang w:val="zh-CN"/>
        </w:rPr>
      </w:pPr>
      <w:r>
        <w:rPr>
          <w:rFonts w:hint="eastAsia" w:ascii="宋体" w:hAnsi="宋体" w:cs="宋体"/>
          <w:b/>
          <w:bCs/>
          <w:sz w:val="24"/>
        </w:rPr>
        <w:t>（4）投标人认为需要提供的其他文件和资料。</w:t>
      </w:r>
    </w:p>
    <w:p>
      <w:pPr>
        <w:autoSpaceDE w:val="0"/>
        <w:autoSpaceDN w:val="0"/>
        <w:adjustRightInd w:val="0"/>
        <w:spacing w:line="360" w:lineRule="auto"/>
        <w:ind w:left="480"/>
        <w:rPr>
          <w:rFonts w:hint="eastAsia" w:ascii="宋体" w:hAnsi="宋体" w:cs="宋体"/>
          <w:b/>
          <w:sz w:val="24"/>
        </w:rPr>
      </w:pPr>
    </w:p>
    <w:p>
      <w:pPr>
        <w:autoSpaceDE w:val="0"/>
        <w:autoSpaceDN w:val="0"/>
        <w:adjustRightInd w:val="0"/>
        <w:spacing w:line="360" w:lineRule="auto"/>
        <w:ind w:left="480"/>
        <w:rPr>
          <w:rFonts w:hint="eastAsia" w:ascii="宋体" w:hAnsi="宋体" w:cs="宋体"/>
          <w:b/>
          <w:sz w:val="24"/>
        </w:rPr>
      </w:pPr>
      <w:r>
        <w:rPr>
          <w:rFonts w:hint="eastAsia" w:ascii="宋体" w:hAnsi="宋体" w:cs="宋体"/>
          <w:b/>
          <w:sz w:val="24"/>
        </w:rPr>
        <w:t>2、商务与技术文件的组成：</w:t>
      </w:r>
    </w:p>
    <w:p>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1</w:t>
      </w:r>
      <w:r>
        <w:rPr>
          <w:rFonts w:hint="eastAsia" w:ascii="宋体" w:hAnsi="宋体" w:cs="宋体"/>
          <w:b/>
          <w:bCs/>
          <w:sz w:val="24"/>
          <w:lang w:val="zh-CN"/>
        </w:rPr>
        <w:t>）投标文件封面</w:t>
      </w:r>
      <w:r>
        <w:rPr>
          <w:rFonts w:hint="eastAsia" w:ascii="宋体" w:hAnsi="宋体" w:cs="宋体"/>
          <w:b/>
          <w:bCs/>
          <w:sz w:val="24"/>
        </w:rPr>
        <w:t>（格式见附件）</w:t>
      </w:r>
      <w:r>
        <w:rPr>
          <w:rFonts w:hint="eastAsia" w:ascii="宋体" w:hAnsi="宋体" w:cs="宋体"/>
          <w:b/>
          <w:bCs/>
          <w:sz w:val="24"/>
          <w:lang w:val="zh-CN"/>
        </w:rPr>
        <w:t>；</w:t>
      </w:r>
    </w:p>
    <w:p>
      <w:pPr>
        <w:spacing w:line="360" w:lineRule="auto"/>
        <w:ind w:firstLine="482" w:firstLineChars="200"/>
        <w:rPr>
          <w:rFonts w:hint="eastAsia" w:ascii="宋体" w:hAnsi="宋体" w:cs="宋体"/>
          <w:b/>
          <w:bCs/>
          <w:sz w:val="24"/>
        </w:rPr>
      </w:pPr>
      <w:r>
        <w:rPr>
          <w:rFonts w:hint="eastAsia" w:ascii="宋体" w:hAnsi="宋体" w:cs="宋体"/>
          <w:b/>
          <w:bCs/>
          <w:sz w:val="24"/>
        </w:rPr>
        <w:t>（2）各投标人根据自身对本项目的解读，按照本招标文件第四章“评标办法及评分标准”中商务与技术文件的打分内容，并结合第二章“招标需求”，由各投标人自行编制商务与技术文件，并装订成册；</w:t>
      </w:r>
    </w:p>
    <w:p>
      <w:pPr>
        <w:spacing w:line="360" w:lineRule="auto"/>
        <w:ind w:firstLine="482" w:firstLineChars="200"/>
        <w:rPr>
          <w:rFonts w:hint="eastAsia" w:ascii="宋体" w:hAnsi="宋体" w:cs="宋体"/>
          <w:b/>
          <w:bCs/>
          <w:sz w:val="24"/>
        </w:rPr>
      </w:pPr>
      <w:r>
        <w:rPr>
          <w:rFonts w:hint="eastAsia" w:ascii="宋体" w:hAnsi="宋体" w:cs="宋体"/>
          <w:b/>
          <w:bCs/>
          <w:sz w:val="24"/>
        </w:rPr>
        <w:t>（3）拟参与本项目的主要人员资格及简历（格式见附件，如有）；</w:t>
      </w:r>
    </w:p>
    <w:p>
      <w:pPr>
        <w:spacing w:line="360" w:lineRule="auto"/>
        <w:ind w:firstLine="482" w:firstLineChars="200"/>
        <w:rPr>
          <w:rFonts w:hint="eastAsia" w:ascii="宋体" w:hAnsi="宋体" w:cs="宋体"/>
          <w:b/>
          <w:bCs/>
          <w:sz w:val="24"/>
        </w:rPr>
      </w:pPr>
      <w:r>
        <w:rPr>
          <w:rFonts w:hint="eastAsia" w:ascii="宋体" w:hAnsi="宋体" w:cs="宋体"/>
          <w:b/>
          <w:bCs/>
          <w:sz w:val="24"/>
        </w:rPr>
        <w:t>（4）诚信投标承诺书（格式见附件）；</w:t>
      </w:r>
    </w:p>
    <w:p>
      <w:pPr>
        <w:spacing w:line="360" w:lineRule="auto"/>
        <w:ind w:firstLine="482" w:firstLineChars="200"/>
        <w:rPr>
          <w:rFonts w:hint="eastAsia" w:ascii="宋体" w:hAnsi="宋体" w:cs="宋体"/>
          <w:b/>
          <w:bCs/>
          <w:sz w:val="24"/>
        </w:rPr>
      </w:pPr>
      <w:r>
        <w:rPr>
          <w:rFonts w:hint="eastAsia" w:ascii="宋体" w:hAnsi="宋体" w:cs="宋体"/>
          <w:b/>
          <w:bCs/>
          <w:sz w:val="24"/>
        </w:rPr>
        <w:t>（5）投标人业绩一览表（格式见附件，如有）；</w:t>
      </w:r>
    </w:p>
    <w:p>
      <w:pPr>
        <w:spacing w:line="360" w:lineRule="auto"/>
        <w:ind w:firstLine="482" w:firstLineChars="200"/>
        <w:rPr>
          <w:rFonts w:hint="eastAsia" w:ascii="宋体" w:hAnsi="宋体" w:cs="宋体"/>
          <w:b/>
          <w:bCs/>
          <w:sz w:val="24"/>
        </w:rPr>
      </w:pPr>
      <w:r>
        <w:rPr>
          <w:rFonts w:hint="eastAsia" w:ascii="宋体" w:hAnsi="宋体" w:cs="宋体"/>
          <w:b/>
          <w:bCs/>
          <w:sz w:val="24"/>
        </w:rPr>
        <w:t>（6）投标人认为可以证明自身实力的其他相关材料。</w:t>
      </w:r>
    </w:p>
    <w:p>
      <w:pPr>
        <w:autoSpaceDE w:val="0"/>
        <w:autoSpaceDN w:val="0"/>
        <w:adjustRightInd w:val="0"/>
        <w:spacing w:line="360" w:lineRule="auto"/>
        <w:ind w:left="480"/>
        <w:rPr>
          <w:rFonts w:hint="eastAsia" w:ascii="宋体" w:hAnsi="宋体" w:cs="宋体"/>
          <w:b/>
          <w:sz w:val="24"/>
        </w:rPr>
      </w:pPr>
    </w:p>
    <w:p>
      <w:pPr>
        <w:autoSpaceDE w:val="0"/>
        <w:autoSpaceDN w:val="0"/>
        <w:adjustRightInd w:val="0"/>
        <w:spacing w:line="360" w:lineRule="auto"/>
        <w:ind w:left="480"/>
        <w:rPr>
          <w:rFonts w:hint="eastAsia" w:ascii="宋体" w:hAnsi="宋体" w:cs="宋体"/>
          <w:b/>
          <w:sz w:val="24"/>
        </w:rPr>
      </w:pPr>
      <w:r>
        <w:rPr>
          <w:rFonts w:hint="eastAsia" w:ascii="宋体" w:hAnsi="宋体" w:cs="宋体"/>
          <w:b/>
          <w:sz w:val="24"/>
        </w:rPr>
        <w:t>3、报价文件的组成</w:t>
      </w:r>
    </w:p>
    <w:p>
      <w:pPr>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1</w:t>
      </w:r>
      <w:r>
        <w:rPr>
          <w:rFonts w:hint="eastAsia" w:ascii="宋体" w:hAnsi="宋体" w:cs="宋体"/>
          <w:b/>
          <w:bCs/>
          <w:sz w:val="24"/>
          <w:lang w:val="zh-CN"/>
        </w:rPr>
        <w:t>）投标文件封面</w:t>
      </w:r>
      <w:r>
        <w:rPr>
          <w:rFonts w:hint="eastAsia" w:ascii="宋体" w:hAnsi="宋体" w:cs="宋体"/>
          <w:b/>
          <w:bCs/>
          <w:sz w:val="24"/>
        </w:rPr>
        <w:t>（格式见附件）</w:t>
      </w:r>
      <w:r>
        <w:rPr>
          <w:rFonts w:hint="eastAsia" w:ascii="宋体" w:hAnsi="宋体" w:cs="宋体"/>
          <w:b/>
          <w:bCs/>
          <w:sz w:val="24"/>
          <w:lang w:val="zh-CN"/>
        </w:rPr>
        <w:t>；</w:t>
      </w:r>
    </w:p>
    <w:p>
      <w:pPr>
        <w:spacing w:line="360" w:lineRule="auto"/>
        <w:ind w:firstLine="482" w:firstLineChars="200"/>
        <w:rPr>
          <w:rFonts w:hint="eastAsia" w:ascii="宋体" w:hAnsi="宋体" w:cs="宋体"/>
          <w:b/>
          <w:bCs/>
          <w:sz w:val="24"/>
          <w:lang w:val="zh-CN"/>
        </w:rPr>
      </w:pPr>
      <w:r>
        <w:rPr>
          <w:rFonts w:hint="eastAsia" w:ascii="宋体" w:hAnsi="宋体" w:cs="宋体"/>
          <w:b/>
          <w:bCs/>
          <w:sz w:val="24"/>
        </w:rPr>
        <w:t>（2）投标函（格式见附件）；</w:t>
      </w:r>
    </w:p>
    <w:p>
      <w:pPr>
        <w:spacing w:line="360" w:lineRule="auto"/>
        <w:ind w:firstLine="482" w:firstLineChars="200"/>
        <w:rPr>
          <w:rFonts w:hint="eastAsia" w:ascii="宋体" w:hAnsi="宋体" w:cs="宋体"/>
          <w:b/>
          <w:bCs/>
          <w:sz w:val="24"/>
        </w:rPr>
      </w:pPr>
      <w:r>
        <w:rPr>
          <w:rFonts w:hint="eastAsia" w:ascii="宋体" w:hAnsi="宋体" w:cs="宋体"/>
          <w:b/>
          <w:bCs/>
          <w:sz w:val="24"/>
        </w:rPr>
        <w:t>（3）报价文件由开标一览表（格式见附件）、报价明细表（格式见附件）、小微企业声明函（格式见附件，如有）、产品适用政府采购政策情况表（如有），国家企业信用信息公示系统——小微企业名录”页面查询结果（查询时间为投标前一周内，并加盖单位公章）（不符合小微企业要求的无需提供）以及投标人认为其他需要说明的内容组成。</w:t>
      </w:r>
    </w:p>
    <w:p>
      <w:pPr>
        <w:spacing w:line="360" w:lineRule="auto"/>
        <w:ind w:firstLine="482" w:firstLineChars="200"/>
        <w:rPr>
          <w:rFonts w:hint="eastAsia" w:ascii="宋体" w:hAnsi="宋体" w:cs="宋体"/>
          <w:b/>
          <w:bCs/>
          <w:sz w:val="24"/>
        </w:rPr>
      </w:pPr>
      <w:r>
        <w:rPr>
          <w:rFonts w:hint="eastAsia" w:ascii="宋体" w:hAnsi="宋体" w:cs="宋体"/>
          <w:b/>
          <w:bCs/>
          <w:sz w:val="24"/>
        </w:rPr>
        <w:t>（4）相关报价单需打印或用不退色的墨水填写，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2" w:firstLineChars="200"/>
        <w:rPr>
          <w:rFonts w:hint="eastAsia" w:ascii="宋体" w:hAnsi="宋体" w:cs="宋体"/>
        </w:rPr>
      </w:pPr>
      <w:r>
        <w:rPr>
          <w:rFonts w:hint="eastAsia" w:ascii="宋体" w:hAnsi="宋体" w:cs="宋体"/>
          <w:b/>
          <w:bCs/>
          <w:sz w:val="24"/>
        </w:rPr>
        <w:t>（5）报价文件格式应按招标文件中相关附表格式填写。</w:t>
      </w:r>
    </w:p>
    <w:p>
      <w:pPr>
        <w:pStyle w:val="29"/>
        <w:widowControl w:val="0"/>
        <w:spacing w:before="0" w:after="120" w:afterLines="0" w:line="360" w:lineRule="auto"/>
        <w:ind w:firstLine="480" w:firstLineChars="200"/>
        <w:rPr>
          <w:rFonts w:cs="宋体"/>
          <w:b/>
          <w:bCs/>
          <w:color w:val="auto"/>
        </w:rPr>
      </w:pPr>
      <w:r>
        <w:rPr>
          <w:rFonts w:cs="宋体"/>
          <w:color w:val="auto"/>
        </w:rPr>
        <w:t>▲</w:t>
      </w:r>
      <w:r>
        <w:rPr>
          <w:rFonts w:cs="宋体"/>
          <w:b/>
          <w:bCs/>
          <w:color w:val="auto"/>
        </w:rPr>
        <w:t>注：资格证明文件、商务与技术文件、报价文件封面必须由法定代表人签字或盖章或电子签章并加盖单位公章或电子签章，其余附件按招标文件要求格式签章。</w:t>
      </w:r>
    </w:p>
    <w:p>
      <w:pPr>
        <w:spacing w:line="360" w:lineRule="auto"/>
        <w:ind w:firstLine="472" w:firstLineChars="196"/>
        <w:rPr>
          <w:rFonts w:hint="eastAsia" w:ascii="宋体" w:hAnsi="宋体" w:cs="宋体"/>
          <w:b/>
          <w:sz w:val="24"/>
        </w:rPr>
      </w:pPr>
      <w:r>
        <w:rPr>
          <w:rFonts w:hint="eastAsia" w:ascii="宋体" w:hAnsi="宋体" w:cs="宋体"/>
          <w:b/>
          <w:sz w:val="24"/>
        </w:rPr>
        <w:t>（三）投标文件的语言及计量</w:t>
      </w:r>
    </w:p>
    <w:p>
      <w:pPr>
        <w:spacing w:line="360" w:lineRule="auto"/>
        <w:ind w:firstLine="480" w:firstLineChars="200"/>
        <w:rPr>
          <w:rFonts w:hint="eastAsia" w:ascii="宋体" w:hAnsi="宋体" w:cs="宋体"/>
          <w:sz w:val="24"/>
        </w:rPr>
      </w:pPr>
      <w:r>
        <w:rPr>
          <w:rFonts w:hint="eastAsia" w:ascii="宋体" w:hAnsi="宋体" w:cs="宋体"/>
          <w:sz w:val="24"/>
        </w:rPr>
        <w:t>1、投标文件以及投标人与采购人就有关投标事宜的所有来往函电，均应以中文汉语书写。除签名、盖章、专用名称等特殊情形外，以中文汉语以外的文字表述的投标文件视同未提供。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auto"/>
        <w:ind w:firstLine="472" w:firstLineChars="196"/>
        <w:jc w:val="left"/>
        <w:outlineLvl w:val="0"/>
        <w:rPr>
          <w:rFonts w:hint="eastAsia" w:ascii="宋体" w:hAnsi="宋体" w:cs="宋体"/>
          <w:b/>
          <w:sz w:val="24"/>
          <w:szCs w:val="20"/>
        </w:rPr>
      </w:pPr>
      <w:r>
        <w:rPr>
          <w:rFonts w:hint="eastAsia" w:ascii="宋体" w:hAnsi="宋体" w:cs="宋体"/>
          <w:b/>
          <w:sz w:val="24"/>
        </w:rPr>
        <w:t>（四）投标报价</w:t>
      </w:r>
    </w:p>
    <w:p>
      <w:pPr>
        <w:pStyle w:val="19"/>
        <w:snapToGrid w:val="0"/>
        <w:spacing w:beforeLines="0" w:afterLines="0" w:line="360" w:lineRule="auto"/>
        <w:ind w:firstLine="720" w:firstLineChars="300"/>
        <w:jc w:val="left"/>
        <w:rPr>
          <w:rFonts w:hint="eastAsia" w:hAnsi="宋体" w:cs="宋体"/>
        </w:rPr>
      </w:pPr>
      <w:r>
        <w:rPr>
          <w:rFonts w:hint="eastAsia" w:hAnsi="宋体" w:cs="宋体"/>
        </w:rPr>
        <w:t>1.投标报价应按招标文件中相关附表格式填写。</w:t>
      </w:r>
    </w:p>
    <w:p>
      <w:pPr>
        <w:pStyle w:val="19"/>
        <w:snapToGrid w:val="0"/>
        <w:spacing w:beforeLines="0" w:afterLines="0" w:line="360" w:lineRule="auto"/>
        <w:ind w:firstLine="480" w:firstLineChars="200"/>
        <w:jc w:val="left"/>
        <w:rPr>
          <w:rFonts w:hint="eastAsia" w:hAnsi="宋体" w:cs="宋体"/>
        </w:rPr>
      </w:pPr>
      <w:r>
        <w:rPr>
          <w:rFonts w:hint="eastAsia" w:hAnsi="宋体" w:cs="宋体"/>
        </w:rPr>
        <w:t>▲2.投标报价是履行合同的最终价格，应包含</w:t>
      </w:r>
      <w:r>
        <w:rPr>
          <w:rFonts w:hint="eastAsia" w:hAnsi="宋体" w:cs="宋体"/>
          <w:bCs/>
        </w:rPr>
        <w:t>测绘服务、软硬件设备、劳务、管理、材料、安装、安全文明、维护、措施费、风险费、保险、利润、规费、税金、工伤保险费、水电费、政策性文件规定、质保维护费及合同包含的所有风险、责任等所有费用。各投标人应根据招标人提供的技术资料、工程量清单，以及本工程实际情况和自身的综合实力，竞报投标报价。总报价以人民币元计。知识产权等由投标人在投标报价时综合考虑，以后不作任何调整。</w:t>
      </w:r>
    </w:p>
    <w:p>
      <w:pPr>
        <w:tabs>
          <w:tab w:val="left" w:pos="525"/>
        </w:tabs>
        <w:snapToGrid w:val="0"/>
        <w:spacing w:line="360" w:lineRule="auto"/>
        <w:ind w:firstLine="480" w:firstLineChars="200"/>
        <w:jc w:val="left"/>
        <w:rPr>
          <w:rFonts w:hint="eastAsia" w:ascii="宋体" w:hAnsi="宋体" w:cs="宋体"/>
          <w:sz w:val="24"/>
        </w:rPr>
      </w:pPr>
      <w:r>
        <w:rPr>
          <w:rFonts w:hint="eastAsia" w:ascii="宋体" w:hAnsi="宋体" w:cs="宋体"/>
          <w:sz w:val="24"/>
        </w:rPr>
        <w:t>▲3.投标文件只允许有一个报价，有选择的或有条件的报价将不予接受。</w:t>
      </w:r>
    </w:p>
    <w:p>
      <w:pPr>
        <w:pStyle w:val="10"/>
        <w:widowControl w:val="0"/>
        <w:tabs>
          <w:tab w:val="clear" w:pos="454"/>
          <w:tab w:val="clear" w:pos="900"/>
        </w:tabs>
        <w:snapToGrid w:val="0"/>
        <w:spacing w:before="156" w:beforeLines="50" w:afterLines="0" w:line="360" w:lineRule="auto"/>
        <w:ind w:left="0" w:firstLine="472" w:firstLineChars="196"/>
        <w:rPr>
          <w:rFonts w:hint="eastAsia" w:ascii="宋体" w:hAnsi="宋体" w:cs="宋体"/>
          <w:b/>
          <w:szCs w:val="24"/>
        </w:rPr>
      </w:pPr>
      <w:r>
        <w:rPr>
          <w:rFonts w:hint="eastAsia" w:ascii="宋体" w:hAnsi="宋体" w:cs="宋体"/>
          <w:b/>
          <w:szCs w:val="24"/>
        </w:rPr>
        <w:t>（五）投标文件的有效期</w:t>
      </w:r>
    </w:p>
    <w:p>
      <w:pPr>
        <w:pStyle w:val="10"/>
        <w:widowControl w:val="0"/>
        <w:tabs>
          <w:tab w:val="clear" w:pos="454"/>
          <w:tab w:val="clear" w:pos="900"/>
        </w:tabs>
        <w:snapToGrid w:val="0"/>
        <w:spacing w:afterLines="0" w:line="360" w:lineRule="auto"/>
        <w:ind w:left="0" w:firstLine="480" w:firstLineChars="200"/>
        <w:rPr>
          <w:rFonts w:hint="eastAsia" w:ascii="宋体" w:hAnsi="宋体" w:cs="宋体"/>
          <w:szCs w:val="24"/>
        </w:rPr>
      </w:pPr>
      <w:r>
        <w:rPr>
          <w:rFonts w:hint="eastAsia" w:ascii="宋体" w:hAnsi="宋体" w:cs="宋体"/>
          <w:szCs w:val="24"/>
        </w:rPr>
        <w:t>▲1.自投标截止日起</w:t>
      </w:r>
      <w:r>
        <w:rPr>
          <w:rFonts w:hint="eastAsia" w:ascii="宋体" w:hAnsi="宋体" w:cs="宋体"/>
          <w:szCs w:val="24"/>
          <w:u w:val="single"/>
        </w:rPr>
        <w:t xml:space="preserve"> 90</w:t>
      </w:r>
      <w:r>
        <w:rPr>
          <w:rFonts w:hint="eastAsia" w:ascii="宋体" w:hAnsi="宋体" w:cs="宋体"/>
          <w:szCs w:val="24"/>
        </w:rPr>
        <w:t>天投标文件应保持有效。中标人投标文件有效期延长至合同有效期。有效期不足的投标文件将被拒绝。</w:t>
      </w:r>
    </w:p>
    <w:p>
      <w:pPr>
        <w:pStyle w:val="10"/>
        <w:widowControl w:val="0"/>
        <w:tabs>
          <w:tab w:val="clear" w:pos="454"/>
          <w:tab w:val="clear" w:pos="900"/>
        </w:tabs>
        <w:snapToGrid w:val="0"/>
        <w:spacing w:afterLines="0" w:line="360" w:lineRule="auto"/>
        <w:ind w:left="0" w:firstLine="480" w:firstLineChars="200"/>
        <w:rPr>
          <w:rFonts w:hint="eastAsia" w:ascii="宋体" w:hAnsi="宋体" w:cs="宋体"/>
          <w:szCs w:val="24"/>
        </w:rPr>
      </w:pPr>
      <w:r>
        <w:rPr>
          <w:rFonts w:hint="eastAsia" w:ascii="宋体" w:hAnsi="宋体" w:cs="宋体"/>
          <w:szCs w:val="24"/>
        </w:rPr>
        <w:t>2.在特殊情况下，采购人可与投标人协商延长投标书的有效期，这种要求和答复均以书面形式进行。</w:t>
      </w:r>
    </w:p>
    <w:p>
      <w:pPr>
        <w:snapToGrid w:val="0"/>
        <w:spacing w:line="360" w:lineRule="auto"/>
        <w:ind w:firstLine="480" w:firstLineChars="200"/>
        <w:jc w:val="left"/>
        <w:outlineLvl w:val="0"/>
        <w:rPr>
          <w:rFonts w:hint="eastAsia" w:ascii="宋体" w:hAnsi="宋体" w:cs="宋体"/>
          <w:b/>
          <w:sz w:val="24"/>
          <w:szCs w:val="20"/>
        </w:rPr>
      </w:pPr>
      <w:r>
        <w:rPr>
          <w:rFonts w:hint="eastAsia" w:ascii="宋体" w:hAnsi="宋体" w:cs="宋体"/>
          <w:sz w:val="24"/>
        </w:rPr>
        <w:t>3.投标人可拒绝接受延期要求而不会导致投标保证金被没收。同意延长有效期的投标人需要相应延长投标保证金的有效期，但不能修改投标文件。</w:t>
      </w:r>
      <w:r>
        <w:rPr>
          <w:rFonts w:hint="eastAsia" w:ascii="宋体" w:hAnsi="宋体" w:cs="宋体"/>
          <w:b/>
          <w:sz w:val="24"/>
        </w:rPr>
        <w:t xml:space="preserve"> </w:t>
      </w:r>
    </w:p>
    <w:p>
      <w:pPr>
        <w:snapToGrid w:val="0"/>
        <w:spacing w:line="360" w:lineRule="auto"/>
        <w:ind w:firstLine="480" w:firstLineChars="200"/>
        <w:jc w:val="left"/>
        <w:outlineLvl w:val="0"/>
        <w:rPr>
          <w:rFonts w:hint="eastAsia" w:ascii="宋体" w:hAnsi="宋体" w:cs="宋体"/>
          <w:b/>
          <w:sz w:val="24"/>
        </w:rPr>
      </w:pPr>
      <w:r>
        <w:rPr>
          <w:rFonts w:hint="eastAsia" w:ascii="宋体" w:hAnsi="宋体" w:cs="宋体"/>
          <w:sz w:val="24"/>
        </w:rPr>
        <w:t>4.中标人的投标文件自开标之日起至合同履行完毕止均应保持有效。</w:t>
      </w:r>
    </w:p>
    <w:p>
      <w:pPr>
        <w:snapToGrid w:val="0"/>
        <w:spacing w:before="156" w:beforeLines="50" w:line="360" w:lineRule="auto"/>
        <w:ind w:firstLine="472" w:firstLineChars="196"/>
        <w:jc w:val="left"/>
        <w:outlineLvl w:val="0"/>
        <w:rPr>
          <w:rFonts w:hint="eastAsia" w:ascii="宋体" w:hAnsi="宋体" w:cs="宋体"/>
          <w:b/>
          <w:sz w:val="24"/>
          <w:szCs w:val="20"/>
        </w:rPr>
      </w:pPr>
      <w:r>
        <w:rPr>
          <w:rFonts w:hint="eastAsia" w:ascii="宋体" w:hAnsi="宋体" w:cs="宋体"/>
          <w:b/>
          <w:sz w:val="24"/>
        </w:rPr>
        <w:t>（六）投标保证金</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根据《浙江省财政厅关于明确政府采购保证金管理工作的通知》（浙财采监〔2019〕5号）相关规定，本项目不设置投标保证金。</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（七）投标文件的制作及递交要求</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1、投标文件的制作要求</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hint="eastAsia" w:ascii="宋体" w:hAnsi="宋体" w:cs="宋体"/>
          <w:sz w:val="24"/>
          <w:szCs w:val="32"/>
          <w:lang w:val="zh-CN"/>
        </w:rPr>
      </w:pPr>
      <w:r>
        <w:rPr>
          <w:rFonts w:hint="eastAsia" w:ascii="宋体" w:hAnsi="宋体" w:cs="宋体"/>
          <w:sz w:val="24"/>
          <w:szCs w:val="32"/>
        </w:rPr>
        <w:t>（2）投标人应对所提供的全部资料的真实性承担法律责任，</w:t>
      </w:r>
      <w:r>
        <w:rPr>
          <w:rFonts w:hint="eastAsia" w:ascii="宋体" w:hAnsi="宋体" w:cs="宋体"/>
          <w:sz w:val="24"/>
          <w:szCs w:val="32"/>
          <w:lang w:val="zh-CN"/>
        </w:rPr>
        <w:t>投标文件内容中有要求盖章或签字的地方，必须加盖投标人的公章以及法定代表人或授权委托代理人盖章或签字。</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（3）若投标人不按招标文件的要求提供资格审查材料，其风险由投标人自行承担。</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（4）与本次投标无关的内容请不要制作在内，确保投标文件有针对性、简洁明了。</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①投标文件的编制</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本项目实行电子投标，</w:t>
      </w:r>
      <w:r>
        <w:rPr>
          <w:rFonts w:hint="eastAsia" w:ascii="宋体" w:hAnsi="宋体" w:cs="宋体"/>
          <w:sz w:val="24"/>
        </w:rPr>
        <w:t>供应商应准备电子投标文件、以介质（U盘）存储的数据电文形式的备份投标文件两类</w:t>
      </w:r>
      <w:r>
        <w:rPr>
          <w:rFonts w:hint="eastAsia" w:ascii="宋体" w:hAnsi="宋体" w:cs="宋体"/>
          <w:sz w:val="24"/>
          <w:szCs w:val="32"/>
        </w:rPr>
        <w:t>：</w:t>
      </w:r>
    </w:p>
    <w:p>
      <w:pPr>
        <w:spacing w:line="360" w:lineRule="auto"/>
        <w:ind w:firstLine="480" w:firstLineChars="200"/>
        <w:rPr>
          <w:rFonts w:hint="eastAsia" w:ascii="宋体" w:hAnsi="宋体" w:cs="宋体"/>
          <w:sz w:val="24"/>
          <w:szCs w:val="32"/>
          <w:lang w:val="en-GB"/>
        </w:rPr>
      </w:pPr>
      <w:r>
        <w:rPr>
          <w:rFonts w:hint="eastAsia" w:ascii="宋体" w:hAnsi="宋体" w:cs="宋体"/>
          <w:sz w:val="24"/>
          <w:szCs w:val="32"/>
        </w:rPr>
        <w:t>（1）按政采云平台项目采购--电子招投标操作指南及本招标文件要求编制。</w:t>
      </w:r>
      <w:r>
        <w:rPr>
          <w:rFonts w:hint="eastAsia" w:ascii="宋体" w:hAnsi="宋体" w:cs="宋体"/>
          <w:sz w:val="24"/>
          <w:szCs w:val="32"/>
          <w:lang w:val="en-GB"/>
        </w:rPr>
        <w:t>投标人应通过“政采云电子交易客户端”，并按照本招标文件和“政府采购云平台”的要求编制并加密投标文件。</w:t>
      </w:r>
    </w:p>
    <w:p>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en-GB"/>
        </w:rPr>
        <w:t>1.</w:t>
      </w:r>
      <w:r>
        <w:rPr>
          <w:rFonts w:hint="eastAsia" w:ascii="宋体" w:hAnsi="宋体" w:cs="宋体"/>
          <w:sz w:val="24"/>
          <w:szCs w:val="32"/>
        </w:rPr>
        <w:t>1</w:t>
      </w:r>
      <w:r>
        <w:rPr>
          <w:rFonts w:hint="eastAsia" w:ascii="宋体" w:hAnsi="宋体" w:cs="宋体"/>
          <w:sz w:val="24"/>
          <w:szCs w:val="32"/>
          <w:lang w:val="en-GB"/>
        </w:rPr>
        <w:t>投标人应当按照本章节 “投标文件组成”规定的内容及顺序在“政采云电子交易客户端”编制投标文件。其中《</w:t>
      </w:r>
      <w:r>
        <w:rPr>
          <w:rFonts w:hint="eastAsia" w:ascii="宋体" w:hAnsi="宋体" w:cs="宋体"/>
          <w:sz w:val="24"/>
          <w:szCs w:val="32"/>
        </w:rPr>
        <w:t>资格证明文件</w:t>
      </w:r>
      <w:r>
        <w:rPr>
          <w:rFonts w:hint="eastAsia" w:ascii="宋体" w:hAnsi="宋体" w:cs="宋体"/>
          <w:sz w:val="24"/>
          <w:szCs w:val="32"/>
          <w:lang w:val="en-GB"/>
        </w:rPr>
        <w:t>》和《</w:t>
      </w:r>
      <w:r>
        <w:rPr>
          <w:rFonts w:hint="eastAsia" w:ascii="宋体" w:hAnsi="宋体" w:cs="宋体"/>
          <w:sz w:val="24"/>
          <w:szCs w:val="32"/>
        </w:rPr>
        <w:t>商务与技术文件</w:t>
      </w:r>
      <w:r>
        <w:rPr>
          <w:rFonts w:hint="eastAsia" w:ascii="宋体" w:hAnsi="宋体" w:cs="宋体"/>
          <w:sz w:val="24"/>
          <w:szCs w:val="32"/>
          <w:lang w:val="en-GB"/>
        </w:rPr>
        <w:t>》中不得出现本项目投标报价，如因投标人原因提前泄露投标报价，是投标人的责任。</w:t>
      </w:r>
    </w:p>
    <w:p>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zh-CN"/>
        </w:rPr>
        <w:t>1.</w:t>
      </w:r>
      <w:r>
        <w:rPr>
          <w:rFonts w:hint="eastAsia" w:ascii="宋体" w:hAnsi="宋体" w:cs="宋体"/>
          <w:sz w:val="24"/>
          <w:szCs w:val="32"/>
          <w:lang w:val="en-GB"/>
        </w:rPr>
        <w:t>2</w:t>
      </w:r>
      <w:r>
        <w:rPr>
          <w:rFonts w:hint="eastAsia" w:ascii="宋体" w:hAnsi="宋体" w:cs="宋体"/>
          <w:sz w:val="24"/>
          <w:szCs w:val="32"/>
          <w:lang w:val="zh-CN"/>
        </w:rPr>
        <w:t>投标文件分为</w:t>
      </w:r>
      <w:r>
        <w:rPr>
          <w:rFonts w:hint="eastAsia" w:ascii="宋体" w:hAnsi="宋体" w:cs="宋体"/>
          <w:sz w:val="24"/>
          <w:szCs w:val="32"/>
          <w:lang w:val="en-GB"/>
        </w:rPr>
        <w:t>资格证明文件、商务与技术文件、报价文件三部分</w:t>
      </w:r>
      <w:r>
        <w:rPr>
          <w:rFonts w:hint="eastAsia" w:ascii="宋体" w:hAnsi="宋体" w:cs="宋体"/>
          <w:sz w:val="24"/>
          <w:szCs w:val="32"/>
          <w:lang w:val="zh-CN"/>
        </w:rPr>
        <w:t>。各投标人在编制投标文件时请按照采购文件</w:t>
      </w:r>
      <w:r>
        <w:rPr>
          <w:rFonts w:hint="eastAsia" w:ascii="宋体" w:hAnsi="宋体" w:cs="宋体"/>
          <w:sz w:val="24"/>
          <w:szCs w:val="32"/>
        </w:rPr>
        <w:t>中</w:t>
      </w:r>
      <w:r>
        <w:rPr>
          <w:rFonts w:hint="eastAsia" w:ascii="宋体" w:hAnsi="宋体" w:cs="宋体"/>
          <w:b/>
          <w:bCs/>
          <w:sz w:val="24"/>
          <w:szCs w:val="32"/>
          <w:lang w:val="zh-CN"/>
        </w:rPr>
        <w:t>“</w:t>
      </w:r>
      <w:r>
        <w:rPr>
          <w:rFonts w:hint="eastAsia" w:ascii="宋体" w:hAnsi="宋体" w:cs="宋体"/>
          <w:b/>
          <w:bCs/>
          <w:sz w:val="24"/>
          <w:szCs w:val="32"/>
        </w:rPr>
        <w:t>投标文件的组成”</w:t>
      </w:r>
      <w:r>
        <w:rPr>
          <w:rFonts w:hint="eastAsia" w:ascii="宋体" w:hAnsi="宋体" w:cs="宋体"/>
          <w:sz w:val="24"/>
          <w:szCs w:val="32"/>
        </w:rPr>
        <w:t>的</w:t>
      </w:r>
      <w:r>
        <w:rPr>
          <w:rFonts w:hint="eastAsia" w:ascii="宋体" w:hAnsi="宋体" w:cs="宋体"/>
          <w:sz w:val="24"/>
          <w:szCs w:val="32"/>
          <w:lang w:val="zh-CN"/>
        </w:rPr>
        <w:t>格式进行，</w:t>
      </w:r>
      <w:r>
        <w:rPr>
          <w:rFonts w:hint="eastAsia" w:ascii="宋体" w:hAnsi="宋体" w:cs="宋体"/>
          <w:sz w:val="24"/>
          <w:szCs w:val="32"/>
          <w:lang w:val="en-GB"/>
        </w:rPr>
        <w:t>并按格式要求在指定位置根据要求进行签章，否则视为未提供，未提供格式的，请各投标人自行拟定格式，并加盖单位公章并由法定代表人或其授权委托代理人签署（签字或盖章），否则视为未提供。</w:t>
      </w:r>
    </w:p>
    <w:p>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en-GB"/>
        </w:rPr>
        <w:t>1.3《投标文件》内容不完整、</w:t>
      </w:r>
      <w:r>
        <w:rPr>
          <w:rFonts w:hint="eastAsia" w:ascii="宋体" w:hAnsi="宋体" w:cs="宋体"/>
          <w:sz w:val="24"/>
          <w:szCs w:val="32"/>
          <w:lang w:val="zh-CN"/>
        </w:rPr>
        <w:t>混乱的编排导致投标文件被误读或评标委员会查找不到有效文件是投标人的责任。</w:t>
      </w:r>
      <w:r>
        <w:rPr>
          <w:rFonts w:hint="eastAsia" w:ascii="宋体" w:hAnsi="宋体" w:cs="宋体"/>
          <w:sz w:val="24"/>
          <w:szCs w:val="32"/>
          <w:lang w:val="en-GB"/>
        </w:rPr>
        <w:t>《投标文件》因字迹潦草或表达不清所引起的后果由投标人负责，▲投标文件未按规定的格式编制的，投标无效。</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（2）以介质</w:t>
      </w:r>
      <w:r>
        <w:rPr>
          <w:rFonts w:hint="eastAsia" w:ascii="宋体" w:hAnsi="宋体" w:cs="宋体"/>
          <w:sz w:val="24"/>
        </w:rPr>
        <w:t>（U盘）</w:t>
      </w:r>
      <w:r>
        <w:rPr>
          <w:rFonts w:hint="eastAsia" w:ascii="宋体" w:hAnsi="宋体" w:cs="宋体"/>
          <w:sz w:val="24"/>
          <w:szCs w:val="32"/>
        </w:rPr>
        <w:t>存储的数据电文形式的备份投标文件，按政采云平台项目采购-电子招投标操作指南中上传的电子投标文件格式，以U盘形式提供。数量为1份。</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Ⅰ电子投标文件</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2.温馨提醒：CA签章上目前没有法人或授权委托代理人签字信息，需要投标人联系相应公司进行办理，或在投标文件中涉及到签字的位置线下签好字然后扫描或者拍照做成PDF的格式亦可。</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w:t>
      </w:r>
      <w:r>
        <w:rPr>
          <w:rFonts w:hint="eastAsia" w:ascii="宋体" w:hAnsi="宋体" w:cs="宋体"/>
          <w:b/>
          <w:bCs/>
          <w:sz w:val="24"/>
          <w:szCs w:val="32"/>
        </w:rPr>
        <w:t>以介质（U盘）存储的数据电文形式的备份投标文件</w:t>
      </w:r>
      <w:r>
        <w:rPr>
          <w:rFonts w:hint="eastAsia" w:ascii="宋体" w:hAnsi="宋体" w:cs="宋体"/>
          <w:sz w:val="24"/>
          <w:szCs w:val="32"/>
        </w:rPr>
        <w:t>，按政采云平台项目采购-电子招投标操作指南中上传的电子投标文件格式，以U盘形式提供。数量为1份。</w:t>
      </w:r>
    </w:p>
    <w:p>
      <w:pPr>
        <w:spacing w:line="360" w:lineRule="auto"/>
        <w:ind w:firstLine="482" w:firstLineChars="200"/>
        <w:rPr>
          <w:rFonts w:hint="eastAsia" w:ascii="宋体" w:hAnsi="宋体" w:cs="宋体"/>
          <w:b/>
          <w:bCs/>
          <w:sz w:val="24"/>
          <w:szCs w:val="32"/>
        </w:rPr>
      </w:pP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2、投标文件的递交要求</w:t>
      </w:r>
    </w:p>
    <w:p>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1</w:t>
      </w:r>
      <w:r>
        <w:rPr>
          <w:rFonts w:hint="eastAsia" w:ascii="宋体" w:hAnsi="宋体" w:cs="宋体"/>
          <w:sz w:val="24"/>
          <w:szCs w:val="32"/>
          <w:lang w:val="en-GB"/>
        </w:rPr>
        <w:t>）“投标文件”的上传、递交：见《前附表》。▲未传输递交电子投标文件的，投标无效。</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（2）以介质</w:t>
      </w:r>
      <w:r>
        <w:rPr>
          <w:rFonts w:hint="eastAsia" w:ascii="宋体" w:hAnsi="宋体" w:cs="宋体"/>
          <w:sz w:val="24"/>
        </w:rPr>
        <w:t>（U盘）</w:t>
      </w:r>
      <w:r>
        <w:rPr>
          <w:rFonts w:hint="eastAsia" w:ascii="宋体" w:hAnsi="宋体" w:cs="宋体"/>
          <w:sz w:val="24"/>
          <w:szCs w:val="32"/>
        </w:rPr>
        <w:t>存储的数据电文形式的备份投标文件必须在规定时间前送达或邮寄至</w:t>
      </w:r>
      <w:r>
        <w:rPr>
          <w:rFonts w:hint="eastAsia" w:ascii="宋体" w:hAnsi="宋体" w:cs="宋体"/>
          <w:sz w:val="24"/>
          <w:lang w:val="en-GB"/>
        </w:rPr>
        <w:t>公告规定的</w:t>
      </w:r>
      <w:r>
        <w:rPr>
          <w:rFonts w:hint="eastAsia" w:ascii="宋体" w:hAnsi="宋体" w:cs="宋体"/>
          <w:sz w:val="24"/>
          <w:szCs w:val="32"/>
        </w:rPr>
        <w:t>地点。备份投标文件在截止时间后提交，采购组织机构将拒绝接收。</w:t>
      </w:r>
      <w:r>
        <w:rPr>
          <w:rFonts w:hint="eastAsia" w:ascii="宋体" w:hAnsi="宋体" w:cs="宋体"/>
          <w:sz w:val="24"/>
          <w:lang w:val="en-GB"/>
        </w:rPr>
        <w:t>▲未按规定提供相应的备份投标文件，造成项目开评标活动无法进行下去的，投标无效。</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（3）如有特殊情况，采购组织机构延长截止时间和开标时间，采购组织机构和投标人的权利和义务将受到新的截止时间和开标时间的约束。</w:t>
      </w:r>
    </w:p>
    <w:p>
      <w:pPr>
        <w:spacing w:line="360" w:lineRule="auto"/>
        <w:ind w:firstLine="480" w:firstLineChars="200"/>
        <w:rPr>
          <w:rFonts w:hint="eastAsia"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4</w:t>
      </w:r>
      <w:r>
        <w:rPr>
          <w:rFonts w:hint="eastAsia" w:ascii="宋体" w:hAnsi="宋体" w:cs="宋体"/>
          <w:sz w:val="24"/>
          <w:szCs w:val="32"/>
          <w:lang w:val="en-GB"/>
        </w:rPr>
        <w:t>）投标文件的备选方案</w:t>
      </w:r>
    </w:p>
    <w:p>
      <w:pPr>
        <w:spacing w:line="360" w:lineRule="auto"/>
        <w:ind w:firstLine="480" w:firstLineChars="200"/>
        <w:rPr>
          <w:rFonts w:hint="eastAsia" w:ascii="宋体" w:hAnsi="宋体" w:cs="宋体"/>
          <w:sz w:val="24"/>
          <w:szCs w:val="32"/>
        </w:rPr>
      </w:pPr>
      <w:r>
        <w:rPr>
          <w:rFonts w:hint="eastAsia" w:ascii="宋体" w:hAnsi="宋体" w:cs="宋体"/>
          <w:sz w:val="24"/>
          <w:szCs w:val="32"/>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（八）投标文件的有效期</w:t>
      </w:r>
    </w:p>
    <w:p>
      <w:pPr>
        <w:spacing w:line="360" w:lineRule="auto"/>
        <w:ind w:firstLine="480" w:firstLineChars="200"/>
        <w:rPr>
          <w:rFonts w:hint="eastAsia"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自投标截止日起90天投标文件应保持有效。有效期不足的投标文件将被拒绝。</w:t>
      </w:r>
    </w:p>
    <w:p>
      <w:pPr>
        <w:spacing w:line="360" w:lineRule="auto"/>
        <w:ind w:firstLine="480" w:firstLineChars="200"/>
        <w:rPr>
          <w:rFonts w:hint="eastAsia"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在特殊情况下，采购人可与投标人协商延长投标文件的有效期，这种要求和答复均以书面形式进行。</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3.中标人的投标文件自开标之日起至合同履行完毕均应保持有效。</w:t>
      </w:r>
    </w:p>
    <w:p>
      <w:pPr>
        <w:pStyle w:val="19"/>
        <w:snapToGrid w:val="0"/>
        <w:spacing w:before="156" w:after="156" w:line="360" w:lineRule="auto"/>
        <w:rPr>
          <w:rFonts w:hint="eastAsia" w:hAnsi="宋体" w:cs="宋体"/>
          <w:b/>
          <w:sz w:val="30"/>
          <w:szCs w:val="30"/>
        </w:rPr>
      </w:pPr>
      <w:r>
        <w:rPr>
          <w:rFonts w:hint="eastAsia" w:hAnsi="宋体" w:cs="宋体"/>
          <w:b/>
          <w:sz w:val="30"/>
          <w:szCs w:val="30"/>
        </w:rPr>
        <w:t>四、开标</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（一）开标事项</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采购组织机构在“招标公告”规定的时间和地点公开开标，本次招标先评审资格证明和商务与技术文件，后公开并评审报价的办法实施。</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（1）电子交易平台发生故障而无法登录访问的；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（2）电子交易平台应用或数据库出现错误，不能进行正常操作的；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（3）电子交易平台发现严重安全漏洞，有潜在泄密危险的；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（4）病毒导致不能进行正常操作的；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（5）其他无法保证电子交易的公平、公正和安全的情况。</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出现前款规定情形，不影响采购公平、公正性的，采购组织机构可以待上述情形消除后继续组织电子交易活动；影响或可能影响采购公平、公正性的，应当重新采购。</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（二） 开标程序：</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1、开标会由招标项目负责人主持，主持人宣布开标会议开始；</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2、主持人介绍参加开标会的人员名单；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5、采购组织机构点击【开启标书信息】，开启标书成功后进入开标流程。</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6、</w:t>
      </w:r>
      <w:r>
        <w:rPr>
          <w:rFonts w:hint="eastAsia" w:ascii="宋体" w:hAnsi="宋体" w:cs="宋体"/>
          <w:sz w:val="24"/>
          <w:szCs w:val="32"/>
          <w:lang w:val="zh-CN"/>
        </w:rPr>
        <w:t>资格证明文件和商务与技术文件</w:t>
      </w:r>
      <w:r>
        <w:rPr>
          <w:rFonts w:hint="eastAsia" w:ascii="宋体" w:hAnsi="宋体" w:cs="宋体"/>
          <w:sz w:val="24"/>
          <w:szCs w:val="32"/>
        </w:rPr>
        <w:t>评审；</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9、报价文件评审；</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11、宣布综合得分结果及中标候选人名单；</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12、开标会议结束。</w:t>
      </w:r>
    </w:p>
    <w:p>
      <w:pPr>
        <w:pStyle w:val="19"/>
        <w:snapToGrid w:val="0"/>
        <w:spacing w:before="156" w:after="156" w:line="360" w:lineRule="auto"/>
        <w:rPr>
          <w:rFonts w:hint="eastAsia" w:hAnsi="宋体" w:cs="宋体"/>
          <w:b/>
          <w:sz w:val="30"/>
          <w:szCs w:val="30"/>
        </w:rPr>
      </w:pPr>
      <w:r>
        <w:rPr>
          <w:rFonts w:hint="eastAsia" w:hAnsi="宋体" w:cs="宋体"/>
          <w:b/>
          <w:sz w:val="30"/>
          <w:szCs w:val="30"/>
        </w:rPr>
        <w:t>五、评标</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本项目采用不公开方式评标，评标的依据为招标文件和投标文件。本项目采用电子评审方法，若因政采云平台原因无法读取或电子开评标无法正常进行，本次开标失败。</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（一）组建评标委员会</w:t>
      </w:r>
    </w:p>
    <w:p>
      <w:pPr>
        <w:spacing w:line="360" w:lineRule="auto"/>
        <w:ind w:firstLine="480" w:firstLineChars="200"/>
        <w:rPr>
          <w:rFonts w:hint="eastAsia" w:ascii="宋体" w:hAnsi="宋体" w:cs="宋体"/>
          <w:sz w:val="24"/>
        </w:rPr>
      </w:pPr>
      <w:r>
        <w:rPr>
          <w:rFonts w:hint="eastAsia" w:ascii="宋体" w:hAnsi="宋体" w:cs="宋体"/>
          <w:sz w:val="24"/>
        </w:rPr>
        <w:t>评标委员会由采购人代表和评审专家组成，成员人数为5人以上单数，其中评审专家不得少于成员总数的三分之二。</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（二）评标程序</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1、资格审查</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2、符合性审查</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3、综合比较与评价</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（3）评标时，评标委员会各成员应当独立对每个投标人的投标文件进行评价，并汇总每个投标人的得分。</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4、得分确认及评审报告编写</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（1）评标委员会对报价文件进行复核，对于系统计算出的价格分及总得分进行确认；</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（3）评标委员会按评标原则及得分情况编写评审报告。</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5、评价</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采购组织机构对评标委员会评审专家进行评价。</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（三）澄清问题的形式</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（四）错误修正</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投标文件报价出现前后不一致的，除招标文件另有规定外，按照下列规定修正：</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1、投标文件中开标一览表（报价表）内容与投标文件中相应内容不一致的，以开标一览表（报价表）为准；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2、大写金额和小写金额不一致的，以大写金额为准；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3、单价金额小数点或者百分比有明显错位的，以开标一览表的总价为准，并修改单价；</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4、总价金额与按单价汇总金额不一致的，以单价金额计算结果为准。</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（五）投标人存在下列情况之一的，投标无效：</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电子投标文件在指定页面无法定代表人盖章或签字、未在指定页面盖公章、在指定页面无被授权人签字、未提供法定代表人授权委托书、未提供投标函或者投标函格式不符合招标文件要求或填写项目不齐全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w:t>
      </w:r>
      <w:r>
        <w:rPr>
          <w:rFonts w:hint="eastAsia" w:ascii="宋体" w:hAnsi="宋体" w:cs="宋体"/>
          <w:sz w:val="24"/>
          <w:szCs w:val="32"/>
          <w:lang w:val="zh-CN"/>
        </w:rPr>
        <w:t>资格证明文件、商务与技术文件</w:t>
      </w:r>
      <w:r>
        <w:rPr>
          <w:rFonts w:hint="eastAsia" w:ascii="宋体" w:hAnsi="宋体" w:cs="宋体"/>
          <w:sz w:val="24"/>
          <w:szCs w:val="32"/>
        </w:rPr>
        <w:t>跟报价文件出现混装或在</w:t>
      </w:r>
      <w:r>
        <w:rPr>
          <w:rFonts w:hint="eastAsia" w:ascii="宋体" w:hAnsi="宋体" w:cs="宋体"/>
          <w:sz w:val="24"/>
          <w:szCs w:val="32"/>
          <w:lang w:val="zh-CN"/>
        </w:rPr>
        <w:t>资格证明文件、商务与技术文件</w:t>
      </w:r>
      <w:r>
        <w:rPr>
          <w:rFonts w:hint="eastAsia" w:ascii="宋体" w:hAnsi="宋体" w:cs="宋体"/>
          <w:sz w:val="24"/>
          <w:szCs w:val="32"/>
        </w:rPr>
        <w:t>中出现投标报价的，或者报价文件中报价的项目跟</w:t>
      </w:r>
      <w:r>
        <w:rPr>
          <w:rFonts w:hint="eastAsia" w:ascii="宋体" w:hAnsi="宋体" w:cs="宋体"/>
          <w:sz w:val="24"/>
          <w:szCs w:val="32"/>
          <w:lang w:val="zh-CN"/>
        </w:rPr>
        <w:t>资格证明文件、商务与技术文件</w:t>
      </w:r>
      <w:r>
        <w:rPr>
          <w:rFonts w:hint="eastAsia" w:ascii="宋体" w:hAnsi="宋体" w:cs="宋体"/>
          <w:sz w:val="24"/>
          <w:szCs w:val="32"/>
        </w:rPr>
        <w:t>中的投标项目出现重大偏差的。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3、不具备招标文件中规定的资格要求的。</w:t>
      </w:r>
      <w:r>
        <w:rPr>
          <w:rFonts w:hint="eastAsia" w:ascii="宋体" w:hAnsi="宋体" w:cs="宋体"/>
          <w:sz w:val="24"/>
          <w:szCs w:val="32"/>
        </w:rPr>
        <w:tab/>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4、投标文件含有采购人不能接受的附加条件的。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5、授权委托代理人未能出具身份证明或与法定代表人授权委托代理人身份不符的。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7、报价超过招标文件中规定的预算金额/最高限价。</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8、投标参数未如实填写，完全复制粘贴招标参数的。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9、投标文件提供虚假材料的。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10、投标人的电子投标文件无法按时解密的。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（1）不同投标人的投标文件由同一单位或者个人编制；不同投标人的投标文件,由同一台电脑编制；</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（2）不同投标人委托同一单位或者个人办理投标事宜；</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（3）不同投标人的投标文件载明的项目管理成员或者联系人员为同一人；</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（4）不同投标人的投标文件异常一致或者投标报价呈规律性差异；</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（5）不同投标人的投标文件相互混装。</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12、不符合法律、法规和招标文件中规定的其他实质性要求的（招标文件中打“▲”内容及被拒绝的条款）。</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13、未传输递交电子投标文件的或者未按规定提供相应的备份投标文件，造成项目开评标活动无法进行下去的。</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（六）有下列情况之一的，本次招标作为废标处理</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1、符合专业条件的投标人或者对招标文件作实质响应的投标人不足3家，评标委员会认定投标明显缺乏竞争的；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2、出现影响采购公正的违法、违规行为的；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3、评标委员会发现招标文件存在歧义、重大缺陷导致评标工作无法进行，或者招标文件内容违反国家有关强制性规定的； </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4、因重大变故，采购任务取消的；</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5、法律、法规和招标文件规定的其他导致评标结果无效的。</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（七）评标原则和评标办法</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2、评标办法。具体评标内容及评分标准等详见《第四章 评标方法及评分标准》。</w:t>
      </w:r>
    </w:p>
    <w:p>
      <w:pPr>
        <w:spacing w:line="360" w:lineRule="auto"/>
        <w:ind w:firstLine="482" w:firstLineChars="200"/>
        <w:rPr>
          <w:rFonts w:hint="eastAsia" w:ascii="宋体" w:hAnsi="宋体" w:cs="宋体"/>
          <w:b/>
          <w:bCs/>
          <w:sz w:val="24"/>
          <w:szCs w:val="32"/>
        </w:rPr>
      </w:pPr>
      <w:r>
        <w:rPr>
          <w:rFonts w:hint="eastAsia" w:ascii="宋体" w:hAnsi="宋体" w:cs="宋体"/>
          <w:b/>
          <w:bCs/>
          <w:sz w:val="24"/>
          <w:szCs w:val="32"/>
        </w:rPr>
        <w:t>（八）评标过程的监控</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本项目评标过程实行全程录音、录像监控，政府采购监管部门视情进行现场监督，投标人在评标过程中所进行的试图影响评标结果的不公正活动，可能导致其投标被拒绝。</w:t>
      </w:r>
    </w:p>
    <w:p>
      <w:pPr>
        <w:pStyle w:val="19"/>
        <w:snapToGrid w:val="0"/>
        <w:spacing w:beforeLines="0" w:afterLines="0" w:line="360" w:lineRule="auto"/>
        <w:rPr>
          <w:rFonts w:hint="eastAsia" w:hAnsi="宋体" w:cs="宋体"/>
          <w:b/>
          <w:sz w:val="30"/>
          <w:szCs w:val="30"/>
        </w:rPr>
      </w:pPr>
    </w:p>
    <w:p>
      <w:pPr>
        <w:pStyle w:val="19"/>
        <w:snapToGrid w:val="0"/>
        <w:spacing w:beforeLines="0" w:afterLines="0" w:line="360" w:lineRule="auto"/>
        <w:rPr>
          <w:rFonts w:hint="eastAsia" w:hAnsi="宋体" w:cs="宋体"/>
          <w:b/>
          <w:sz w:val="30"/>
          <w:szCs w:val="30"/>
        </w:rPr>
      </w:pPr>
      <w:r>
        <w:rPr>
          <w:rFonts w:hint="eastAsia" w:hAnsi="宋体" w:cs="宋体"/>
          <w:b/>
          <w:sz w:val="30"/>
          <w:szCs w:val="30"/>
        </w:rPr>
        <w:t>六、定标</w:t>
      </w:r>
    </w:p>
    <w:p>
      <w:pPr>
        <w:pStyle w:val="19"/>
        <w:snapToGrid w:val="0"/>
        <w:spacing w:beforeLines="0" w:afterLines="0" w:line="360" w:lineRule="auto"/>
        <w:ind w:firstLine="472" w:firstLineChars="196"/>
        <w:rPr>
          <w:rFonts w:hint="eastAsia" w:hAnsi="宋体" w:cs="宋体"/>
          <w:b/>
          <w:bCs/>
          <w:szCs w:val="20"/>
        </w:rPr>
      </w:pPr>
      <w:r>
        <w:rPr>
          <w:rFonts w:hint="eastAsia" w:hAnsi="宋体" w:cs="宋体"/>
          <w:b/>
          <w:bCs/>
        </w:rPr>
        <w:t>（一）确定中标人。</w:t>
      </w:r>
    </w:p>
    <w:p>
      <w:pPr>
        <w:snapToGrid w:val="0"/>
        <w:spacing w:line="360" w:lineRule="auto"/>
        <w:ind w:firstLine="480" w:firstLineChars="200"/>
        <w:rPr>
          <w:rFonts w:hint="eastAsia" w:ascii="宋体" w:hAnsi="宋体" w:cs="宋体"/>
          <w:sz w:val="24"/>
        </w:rPr>
      </w:pPr>
      <w:r>
        <w:rPr>
          <w:rFonts w:hint="eastAsia" w:ascii="宋体" w:hAnsi="宋体" w:cs="宋体"/>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19"/>
        <w:snapToGrid w:val="0"/>
        <w:spacing w:beforeLines="0" w:afterLines="0" w:line="360" w:lineRule="auto"/>
        <w:ind w:firstLine="472" w:firstLineChars="196"/>
        <w:rPr>
          <w:rFonts w:hint="eastAsia" w:hAnsi="宋体" w:cs="宋体"/>
          <w:b/>
          <w:bCs/>
        </w:rPr>
      </w:pPr>
    </w:p>
    <w:p>
      <w:pPr>
        <w:pStyle w:val="19"/>
        <w:snapToGrid w:val="0"/>
        <w:spacing w:beforeLines="0" w:afterLines="0" w:line="360" w:lineRule="auto"/>
        <w:rPr>
          <w:rFonts w:hint="eastAsia" w:hAnsi="宋体" w:cs="宋体"/>
          <w:b/>
          <w:sz w:val="30"/>
          <w:szCs w:val="30"/>
        </w:rPr>
      </w:pPr>
      <w:r>
        <w:rPr>
          <w:rFonts w:hint="eastAsia" w:hAnsi="宋体" w:cs="宋体"/>
          <w:b/>
          <w:sz w:val="30"/>
          <w:szCs w:val="30"/>
        </w:rPr>
        <w:t>七、合同授予</w:t>
      </w:r>
    </w:p>
    <w:p>
      <w:pPr>
        <w:snapToGrid w:val="0"/>
        <w:spacing w:line="360" w:lineRule="auto"/>
        <w:ind w:firstLine="472" w:firstLineChars="196"/>
        <w:rPr>
          <w:rFonts w:hint="eastAsia" w:ascii="宋体" w:hAnsi="宋体" w:cs="宋体"/>
          <w:b/>
          <w:bCs/>
          <w:sz w:val="24"/>
          <w:szCs w:val="20"/>
        </w:rPr>
      </w:pPr>
      <w:r>
        <w:rPr>
          <w:rFonts w:hint="eastAsia" w:ascii="宋体" w:hAnsi="宋体" w:cs="宋体"/>
          <w:b/>
          <w:bCs/>
          <w:sz w:val="24"/>
        </w:rPr>
        <w:t>（一）签订合同</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360" w:lineRule="auto"/>
        <w:ind w:firstLine="480" w:firstLineChars="200"/>
        <w:rPr>
          <w:rFonts w:hint="eastAsia" w:ascii="宋体" w:hAnsi="宋体" w:cs="宋体"/>
          <w:sz w:val="24"/>
        </w:rPr>
      </w:pPr>
      <w:r>
        <w:rPr>
          <w:rFonts w:hint="eastAsia" w:ascii="宋体" w:hAnsi="宋体" w:cs="宋体"/>
          <w:sz w:val="24"/>
        </w:rPr>
        <w:t>2.中标人拖延、拒签合同的,将被取消中标资格。</w:t>
      </w:r>
    </w:p>
    <w:p>
      <w:pPr>
        <w:pStyle w:val="19"/>
        <w:snapToGrid w:val="0"/>
        <w:spacing w:beforeLines="0" w:afterLines="0" w:line="360" w:lineRule="auto"/>
        <w:ind w:firstLine="472" w:firstLineChars="196"/>
        <w:rPr>
          <w:rFonts w:hint="eastAsia" w:hAnsi="宋体" w:cs="宋体"/>
          <w:b/>
        </w:rPr>
      </w:pPr>
      <w:r>
        <w:rPr>
          <w:rFonts w:hint="eastAsia" w:hAnsi="宋体" w:cs="宋体"/>
          <w:b/>
        </w:rPr>
        <w:t>（二）履约保证金</w:t>
      </w:r>
    </w:p>
    <w:p>
      <w:pPr>
        <w:pStyle w:val="19"/>
        <w:snapToGrid w:val="0"/>
        <w:spacing w:beforeLines="0" w:afterLines="0" w:line="360" w:lineRule="auto"/>
        <w:ind w:firstLine="480" w:firstLineChars="200"/>
        <w:rPr>
          <w:rFonts w:hint="eastAsia" w:hAnsi="宋体" w:cs="宋体"/>
        </w:rPr>
      </w:pPr>
      <w:r>
        <w:rPr>
          <w:rFonts w:hint="eastAsia" w:hAnsi="宋体" w:cs="宋体"/>
        </w:rPr>
        <w:t>1.签订合同前，中标人应按招标文件确定的履约保证金的金额，向采购人交纳履约保证金，否则，采购人将没收中标人的全部投标保证金。</w:t>
      </w:r>
    </w:p>
    <w:p>
      <w:pPr>
        <w:pStyle w:val="19"/>
        <w:snapToGrid w:val="0"/>
        <w:spacing w:beforeLines="0" w:afterLines="0" w:line="360" w:lineRule="auto"/>
        <w:ind w:firstLine="480" w:firstLineChars="200"/>
        <w:rPr>
          <w:rFonts w:hint="eastAsia" w:hAnsi="宋体" w:cs="宋体"/>
          <w:b/>
          <w:bCs/>
          <w:szCs w:val="20"/>
        </w:rPr>
      </w:pPr>
      <w:r>
        <w:rPr>
          <w:rFonts w:hint="eastAsia" w:hAnsi="宋体" w:cs="宋体"/>
        </w:rPr>
        <w:t>2.签订合同后，如中标人不按双方合同约定履约，则没收其全部履约保证金，履约保证金不足以赔偿损失的，按实际损失赔偿。</w:t>
      </w:r>
    </w:p>
    <w:p>
      <w:pPr>
        <w:pStyle w:val="19"/>
        <w:snapToGrid w:val="0"/>
        <w:spacing w:before="156" w:after="156" w:line="360" w:lineRule="auto"/>
        <w:ind w:firstLine="480" w:firstLineChars="200"/>
        <w:jc w:val="center"/>
        <w:rPr>
          <w:rFonts w:hint="eastAsia" w:hAnsi="宋体" w:cs="宋体"/>
          <w:b/>
          <w:sz w:val="30"/>
          <w:szCs w:val="30"/>
        </w:rPr>
      </w:pPr>
      <w:r>
        <w:rPr>
          <w:rFonts w:hint="eastAsia" w:hAnsi="宋体" w:cs="宋体"/>
        </w:rPr>
        <w:br w:type="page"/>
      </w:r>
      <w:r>
        <w:rPr>
          <w:rFonts w:hint="eastAsia" w:hAnsi="宋体" w:cs="宋体"/>
          <w:b/>
          <w:sz w:val="30"/>
          <w:szCs w:val="30"/>
        </w:rPr>
        <w:t>第四章  评标办法及评分标准</w:t>
      </w:r>
    </w:p>
    <w:p>
      <w:pPr>
        <w:spacing w:line="360" w:lineRule="auto"/>
        <w:ind w:firstLine="480" w:firstLineChars="200"/>
        <w:rPr>
          <w:rFonts w:hint="eastAsia" w:ascii="宋体" w:hAnsi="宋体" w:cs="宋体"/>
          <w:sz w:val="24"/>
        </w:rPr>
      </w:pPr>
      <w:r>
        <w:rPr>
          <w:rFonts w:hint="eastAsia" w:ascii="宋体" w:hAnsi="宋体" w:cs="宋体"/>
          <w:sz w:val="24"/>
        </w:rPr>
        <w:t>为公正、公平、科学地选择中标人，根据《中华人民共和国政府采购法》、《政府采购货物和服务招投标管理办法》等有关法律法规的规定，并结合本项目的实际，制定本办法。</w:t>
      </w:r>
    </w:p>
    <w:p>
      <w:pPr>
        <w:spacing w:line="360" w:lineRule="auto"/>
        <w:ind w:firstLine="480" w:firstLineChars="200"/>
        <w:rPr>
          <w:rFonts w:hint="eastAsia" w:ascii="宋体" w:hAnsi="宋体" w:cs="宋体"/>
          <w:sz w:val="24"/>
        </w:rPr>
      </w:pPr>
      <w:r>
        <w:rPr>
          <w:rFonts w:hint="eastAsia" w:ascii="宋体" w:hAnsi="宋体" w:cs="宋体"/>
          <w:sz w:val="24"/>
        </w:rPr>
        <w:t>采购组织机构将组织评标委员会，对投标人提供的投标文件进行综合评审。本项目原则上采用电子评审方法，若因政采云平台原因无法读取或电子开评标无法正常进行，采购代理机构将开启投标人递交的以介质（U盘）存储的数据电文形式的备份投标文件，以完成开、评标。</w:t>
      </w:r>
    </w:p>
    <w:p>
      <w:pPr>
        <w:spacing w:before="156" w:beforeLines="50" w:after="156" w:afterLines="50" w:line="360" w:lineRule="auto"/>
        <w:ind w:firstLine="472" w:firstLineChars="196"/>
        <w:rPr>
          <w:rFonts w:hint="eastAsia" w:ascii="宋体" w:hAnsi="宋体" w:cs="宋体"/>
          <w:b/>
          <w:sz w:val="24"/>
        </w:rPr>
      </w:pPr>
      <w:r>
        <w:rPr>
          <w:rFonts w:hint="eastAsia" w:ascii="宋体" w:hAnsi="宋体" w:cs="宋体"/>
          <w:b/>
          <w:sz w:val="24"/>
        </w:rPr>
        <w:t>一、总则</w:t>
      </w:r>
    </w:p>
    <w:p>
      <w:pPr>
        <w:spacing w:line="360" w:lineRule="auto"/>
        <w:ind w:left="238" w:leftChars="85" w:firstLine="240" w:firstLineChars="100"/>
        <w:rPr>
          <w:rFonts w:hint="eastAsia" w:ascii="宋体" w:hAnsi="宋体" w:cs="宋体"/>
          <w:bCs/>
          <w:sz w:val="24"/>
        </w:rPr>
      </w:pPr>
      <w:r>
        <w:rPr>
          <w:rFonts w:hint="eastAsia" w:ascii="宋体" w:hAnsi="宋体" w:cs="宋体"/>
          <w:sz w:val="24"/>
        </w:rPr>
        <w:t>本次评标采用综合评分法，</w:t>
      </w:r>
      <w:r>
        <w:rPr>
          <w:rFonts w:hint="eastAsia" w:ascii="宋体" w:hAnsi="宋体" w:cs="宋体"/>
          <w:b/>
          <w:sz w:val="24"/>
        </w:rPr>
        <w:t>总分均为100分，其中报价文件10分、商务与技术文件90分</w:t>
      </w:r>
      <w:r>
        <w:rPr>
          <w:rFonts w:hint="eastAsia" w:ascii="宋体" w:hAnsi="宋体" w:cs="宋体"/>
          <w:sz w:val="24"/>
        </w:rPr>
        <w:t>。</w:t>
      </w:r>
    </w:p>
    <w:p>
      <w:pPr>
        <w:spacing w:line="360" w:lineRule="auto"/>
        <w:ind w:firstLine="472" w:firstLineChars="197"/>
        <w:rPr>
          <w:rFonts w:hint="eastAsia" w:ascii="宋体" w:hAnsi="宋体" w:cs="宋体"/>
          <w:sz w:val="24"/>
        </w:rPr>
      </w:pPr>
      <w:r>
        <w:rPr>
          <w:rFonts w:hint="eastAsia" w:ascii="宋体" w:hAnsi="宋体" w:cs="宋体"/>
          <w:bCs/>
          <w:sz w:val="24"/>
        </w:rPr>
        <w:t>投标人的总得分＝商务与技术文件得分+报价文件得分。</w:t>
      </w:r>
    </w:p>
    <w:p>
      <w:pPr>
        <w:spacing w:before="156" w:beforeLines="50" w:after="156" w:afterLines="50" w:line="360" w:lineRule="auto"/>
        <w:ind w:firstLine="482" w:firstLineChars="200"/>
        <w:rPr>
          <w:rFonts w:hint="eastAsia" w:ascii="宋体" w:hAnsi="宋体" w:cs="宋体"/>
          <w:b/>
          <w:sz w:val="24"/>
        </w:rPr>
      </w:pPr>
      <w:r>
        <w:rPr>
          <w:rFonts w:hint="eastAsia" w:ascii="宋体" w:hAnsi="宋体" w:cs="宋体"/>
          <w:b/>
          <w:sz w:val="24"/>
        </w:rPr>
        <w:t>二、评标内容及标准</w:t>
      </w:r>
    </w:p>
    <w:p>
      <w:pPr>
        <w:spacing w:before="156" w:beforeLines="50" w:after="156" w:afterLines="50" w:line="360" w:lineRule="auto"/>
        <w:ind w:firstLine="482" w:firstLineChars="200"/>
        <w:rPr>
          <w:rFonts w:hint="eastAsia" w:ascii="宋体" w:hAnsi="宋体" w:cs="宋体"/>
          <w:b/>
          <w:sz w:val="24"/>
        </w:rPr>
      </w:pPr>
      <w:r>
        <w:rPr>
          <w:rFonts w:hint="eastAsia" w:ascii="宋体" w:hAnsi="宋体" w:cs="宋体"/>
          <w:b/>
          <w:sz w:val="24"/>
        </w:rPr>
        <w:t>（1）资格证明文件审查</w:t>
      </w:r>
    </w:p>
    <w:p>
      <w:pPr>
        <w:spacing w:before="156" w:beforeLines="50" w:after="156" w:afterLines="50" w:line="360" w:lineRule="auto"/>
        <w:ind w:firstLine="480" w:firstLineChars="200"/>
        <w:rPr>
          <w:rFonts w:hint="eastAsia" w:ascii="宋体" w:hAnsi="宋体" w:cs="宋体"/>
          <w:b/>
          <w:sz w:val="24"/>
        </w:rPr>
      </w:pPr>
      <w:r>
        <w:rPr>
          <w:rFonts w:hint="eastAsia" w:ascii="宋体" w:hAnsi="宋体" w:cs="宋体"/>
          <w:sz w:val="24"/>
        </w:rPr>
        <w:t>评标委员会按照招标文件载明的投标人资格条件对投标人进行审查，凡不符合资格审查中合格条件要求的，以无效标处理，不再进入后续阶段评标。</w:t>
      </w:r>
    </w:p>
    <w:p>
      <w:pPr>
        <w:spacing w:line="360" w:lineRule="auto"/>
        <w:ind w:left="638" w:leftChars="228"/>
        <w:rPr>
          <w:rFonts w:hint="eastAsia" w:ascii="宋体" w:hAnsi="宋体" w:cs="宋体"/>
          <w:bCs/>
          <w:spacing w:val="14"/>
          <w:sz w:val="24"/>
        </w:rPr>
      </w:pPr>
      <w:r>
        <w:rPr>
          <w:rFonts w:hint="eastAsia" w:ascii="宋体" w:hAnsi="宋体" w:cs="宋体"/>
          <w:b/>
          <w:sz w:val="24"/>
        </w:rPr>
        <w:t>（2）商务与技术文件评审（ 90分）</w:t>
      </w:r>
    </w:p>
    <w:p>
      <w:pPr>
        <w:autoSpaceDE w:val="0"/>
        <w:autoSpaceDN w:val="0"/>
        <w:adjustRightInd w:val="0"/>
        <w:spacing w:line="360" w:lineRule="auto"/>
        <w:jc w:val="left"/>
        <w:rPr>
          <w:rFonts w:hint="eastAsia" w:ascii="宋体" w:hAnsi="宋体" w:cs="宋体"/>
          <w:bCs/>
          <w:spacing w:val="-4"/>
          <w:sz w:val="21"/>
          <w:szCs w:val="21"/>
        </w:rPr>
      </w:pPr>
      <w:r>
        <w:rPr>
          <w:rFonts w:hint="eastAsia" w:ascii="宋体" w:hAnsi="宋体" w:cs="宋体"/>
          <w:sz w:val="24"/>
        </w:rPr>
        <w:t>评标委员会成员按商务与技术文件的评分标准，在确定的最终类别的分值范围内各自打分。商务与技术文件分按照评标委员会成员的评分结果取平均值，为投标人的商务与技术文件得分。（评委评分结果每项保留1位小数，第2位四舍五入；平均值小数点后保留2位，第3位四舍五入）</w:t>
      </w:r>
    </w:p>
    <w:tbl>
      <w:tblPr>
        <w:tblStyle w:val="3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28"/>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noWrap w:val="0"/>
            <w:vAlign w:val="center"/>
          </w:tcPr>
          <w:p>
            <w:pPr>
              <w:adjustRightInd w:val="0"/>
              <w:snapToGrid w:val="0"/>
              <w:jc w:val="center"/>
              <w:rPr>
                <w:rFonts w:ascii="宋体"/>
                <w:b/>
                <w:bCs/>
                <w:color w:val="000000"/>
                <w:sz w:val="21"/>
                <w:szCs w:val="21"/>
              </w:rPr>
            </w:pPr>
            <w:r>
              <w:rPr>
                <w:rFonts w:hint="eastAsia" w:ascii="宋体" w:hAnsi="宋体"/>
                <w:b/>
                <w:bCs/>
                <w:color w:val="000000"/>
                <w:sz w:val="21"/>
                <w:szCs w:val="21"/>
              </w:rPr>
              <w:t>序号</w:t>
            </w:r>
          </w:p>
        </w:tc>
        <w:tc>
          <w:tcPr>
            <w:tcW w:w="1128" w:type="dxa"/>
            <w:noWrap w:val="0"/>
            <w:vAlign w:val="center"/>
          </w:tcPr>
          <w:p>
            <w:pPr>
              <w:adjustRightInd w:val="0"/>
              <w:snapToGrid w:val="0"/>
              <w:jc w:val="center"/>
              <w:rPr>
                <w:rFonts w:ascii="宋体"/>
                <w:b/>
                <w:bCs/>
                <w:color w:val="000000"/>
                <w:sz w:val="21"/>
                <w:szCs w:val="21"/>
              </w:rPr>
            </w:pPr>
            <w:r>
              <w:rPr>
                <w:rFonts w:hint="eastAsia" w:ascii="宋体" w:hAnsi="宋体"/>
                <w:b/>
                <w:bCs/>
                <w:color w:val="000000"/>
                <w:sz w:val="21"/>
                <w:szCs w:val="21"/>
              </w:rPr>
              <w:t>评分因素</w:t>
            </w:r>
          </w:p>
        </w:tc>
        <w:tc>
          <w:tcPr>
            <w:tcW w:w="7841" w:type="dxa"/>
            <w:noWrap w:val="0"/>
            <w:vAlign w:val="center"/>
          </w:tcPr>
          <w:p>
            <w:pPr>
              <w:ind w:firstLine="2741" w:firstLineChars="1300"/>
              <w:rPr>
                <w:rFonts w:ascii="宋体"/>
                <w:b/>
                <w:bCs/>
                <w:color w:val="000000"/>
                <w:sz w:val="21"/>
                <w:szCs w:val="21"/>
              </w:rPr>
            </w:pPr>
            <w:r>
              <w:rPr>
                <w:rFonts w:hint="eastAsia" w:ascii="宋体" w:hAnsi="宋体"/>
                <w:b/>
                <w:bCs/>
                <w:color w:val="00000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758" w:type="dxa"/>
            <w:gridSpan w:val="3"/>
            <w:shd w:val="clear" w:color="auto" w:fill="548DD4"/>
            <w:noWrap w:val="0"/>
            <w:vAlign w:val="center"/>
          </w:tcPr>
          <w:p>
            <w:pPr>
              <w:tabs>
                <w:tab w:val="left" w:pos="5769"/>
              </w:tabs>
              <w:jc w:val="center"/>
              <w:rPr>
                <w:rFonts w:ascii="宋体"/>
                <w:color w:val="000000"/>
                <w:sz w:val="21"/>
                <w:szCs w:val="21"/>
              </w:rPr>
            </w:pPr>
            <w:r>
              <w:rPr>
                <w:rFonts w:ascii="宋体" w:hAnsi="宋体"/>
                <w:color w:val="000000"/>
                <w:sz w:val="21"/>
                <w:szCs w:val="21"/>
              </w:rPr>
              <w:t xml:space="preserve">   </w:t>
            </w:r>
            <w:r>
              <w:rPr>
                <w:rFonts w:ascii="宋体" w:hAnsi="宋体"/>
                <w:color w:val="FFFFFF"/>
                <w:sz w:val="21"/>
                <w:szCs w:val="21"/>
              </w:rPr>
              <w:t xml:space="preserve"> </w:t>
            </w:r>
            <w:r>
              <w:rPr>
                <w:rFonts w:ascii="宋体" w:hAnsi="宋体"/>
                <w:b/>
                <w:bCs/>
                <w:color w:val="FFFFFF"/>
                <w:sz w:val="21"/>
                <w:szCs w:val="21"/>
              </w:rPr>
              <w:t xml:space="preserve">  </w:t>
            </w:r>
            <w:r>
              <w:rPr>
                <w:rFonts w:hint="eastAsia" w:ascii="宋体" w:hAnsi="宋体"/>
                <w:b/>
                <w:bCs/>
                <w:color w:val="FFFFFF"/>
                <w:sz w:val="21"/>
                <w:szCs w:val="21"/>
              </w:rPr>
              <w:t>商务技术分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Merge w:val="restart"/>
            <w:noWrap w:val="0"/>
            <w:vAlign w:val="center"/>
          </w:tcPr>
          <w:p>
            <w:pPr>
              <w:adjustRightInd w:val="0"/>
              <w:snapToGrid w:val="0"/>
              <w:jc w:val="center"/>
              <w:rPr>
                <w:rFonts w:ascii="宋体"/>
                <w:color w:val="000000"/>
                <w:sz w:val="21"/>
                <w:szCs w:val="21"/>
              </w:rPr>
            </w:pPr>
            <w:r>
              <w:rPr>
                <w:rFonts w:ascii="宋体" w:hAnsi="宋体"/>
                <w:color w:val="000000"/>
                <w:sz w:val="21"/>
                <w:szCs w:val="21"/>
              </w:rPr>
              <w:t>1</w:t>
            </w:r>
          </w:p>
        </w:tc>
        <w:tc>
          <w:tcPr>
            <w:tcW w:w="1128" w:type="dxa"/>
            <w:vMerge w:val="restart"/>
            <w:noWrap w:val="0"/>
            <w:vAlign w:val="center"/>
          </w:tcPr>
          <w:p>
            <w:pPr>
              <w:adjustRightInd w:val="0"/>
              <w:snapToGrid w:val="0"/>
              <w:jc w:val="center"/>
              <w:rPr>
                <w:rFonts w:ascii="宋体"/>
                <w:color w:val="000000"/>
                <w:sz w:val="21"/>
                <w:szCs w:val="21"/>
              </w:rPr>
            </w:pPr>
            <w:r>
              <w:rPr>
                <w:rFonts w:hint="eastAsia" w:ascii="宋体" w:hAnsi="宋体"/>
                <w:color w:val="000000"/>
                <w:sz w:val="21"/>
                <w:szCs w:val="21"/>
              </w:rPr>
              <w:t>技术实施方案</w:t>
            </w:r>
          </w:p>
          <w:p>
            <w:pPr>
              <w:adjustRightInd w:val="0"/>
              <w:snapToGrid w:val="0"/>
              <w:jc w:val="cente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7分）</w:t>
            </w:r>
          </w:p>
        </w:tc>
        <w:tc>
          <w:tcPr>
            <w:tcW w:w="7841" w:type="dxa"/>
            <w:noWrap w:val="0"/>
            <w:vAlign w:val="center"/>
          </w:tcPr>
          <w:p>
            <w:pPr>
              <w:numPr>
                <w:ilvl w:val="0"/>
                <w:numId w:val="5"/>
              </w:numPr>
              <w:spacing w:line="420" w:lineRule="exact"/>
              <w:rPr>
                <w:rFonts w:hint="eastAsia" w:ascii="宋体" w:hAnsi="宋体" w:cs="宋体"/>
                <w:color w:val="000000"/>
                <w:sz w:val="21"/>
                <w:szCs w:val="21"/>
              </w:rPr>
            </w:pPr>
            <w:r>
              <w:rPr>
                <w:rFonts w:hint="eastAsia" w:ascii="宋体" w:hAnsi="宋体" w:cs="宋体"/>
                <w:color w:val="000000"/>
                <w:sz w:val="21"/>
                <w:szCs w:val="21"/>
              </w:rPr>
              <w:t>投标方案是否能正确理解本项目的建设需求等，考查投标人对</w:t>
            </w:r>
            <w:r>
              <w:rPr>
                <w:rFonts w:hint="eastAsia" w:ascii="宋体" w:hAnsi="宋体" w:cs="宋体"/>
                <w:sz w:val="21"/>
                <w:szCs w:val="21"/>
              </w:rPr>
              <w:t>本项目的</w:t>
            </w:r>
            <w:r>
              <w:rPr>
                <w:rFonts w:hint="eastAsia" w:ascii="宋体" w:hAnsi="宋体" w:cs="宋体"/>
                <w:color w:val="000000"/>
                <w:sz w:val="21"/>
                <w:szCs w:val="21"/>
              </w:rPr>
              <w:t>需求分析是否准确透彻、条理清晰。（6分）</w:t>
            </w:r>
          </w:p>
          <w:p>
            <w:pPr>
              <w:pStyle w:val="2"/>
              <w:ind w:left="0" w:leftChars="0" w:firstLine="0" w:firstLineChars="0"/>
              <w:rPr>
                <w:rFonts w:hint="default" w:ascii="Calibri" w:hAnsi="Calibri" w:eastAsia="宋体"/>
                <w:color w:val="000000"/>
                <w:sz w:val="21"/>
                <w:szCs w:val="21"/>
                <w:lang w:val="en-US" w:eastAsia="zh-CN"/>
              </w:rPr>
            </w:pPr>
            <w:r>
              <w:rPr>
                <w:rFonts w:hint="eastAsia" w:ascii="Calibri" w:hAnsi="Calibri"/>
                <w:color w:val="000000"/>
                <w:sz w:val="21"/>
                <w:szCs w:val="21"/>
                <w:lang w:val="en-US" w:eastAsia="zh-CN"/>
              </w:rPr>
              <w:t>针对采购需求（应用系统建设需求、数据库建设需求、数据共享建设需求中的子目录）进行分析，分析内容包含所有内容得满分6分，每缺一项扣1分，扣完为止。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89" w:type="dxa"/>
            <w:vMerge w:val="continue"/>
            <w:noWrap w:val="0"/>
            <w:vAlign w:val="center"/>
          </w:tcPr>
          <w:p>
            <w:pPr>
              <w:adjustRightInd w:val="0"/>
              <w:snapToGrid w:val="0"/>
              <w:rPr>
                <w:rFonts w:ascii="宋体"/>
                <w:color w:val="000000"/>
                <w:sz w:val="21"/>
                <w:szCs w:val="21"/>
              </w:rPr>
            </w:pPr>
          </w:p>
        </w:tc>
        <w:tc>
          <w:tcPr>
            <w:tcW w:w="1128" w:type="dxa"/>
            <w:vMerge w:val="continue"/>
            <w:noWrap w:val="0"/>
            <w:vAlign w:val="center"/>
          </w:tcPr>
          <w:p>
            <w:pPr>
              <w:adjustRightInd w:val="0"/>
              <w:snapToGrid w:val="0"/>
              <w:rPr>
                <w:rFonts w:ascii="宋体"/>
                <w:color w:val="000000"/>
                <w:sz w:val="21"/>
                <w:szCs w:val="21"/>
              </w:rPr>
            </w:pPr>
          </w:p>
        </w:tc>
        <w:tc>
          <w:tcPr>
            <w:tcW w:w="7841" w:type="dxa"/>
            <w:noWrap w:val="0"/>
            <w:vAlign w:val="center"/>
          </w:tcPr>
          <w:p>
            <w:pPr>
              <w:numPr>
                <w:ilvl w:val="0"/>
                <w:numId w:val="5"/>
              </w:numPr>
              <w:spacing w:line="420" w:lineRule="exact"/>
              <w:rPr>
                <w:rFonts w:hint="eastAsia" w:ascii="宋体" w:hAnsi="宋体" w:cs="宋体"/>
                <w:color w:val="000000"/>
                <w:sz w:val="21"/>
                <w:szCs w:val="21"/>
              </w:rPr>
            </w:pPr>
            <w:r>
              <w:rPr>
                <w:rFonts w:hint="eastAsia" w:ascii="宋体" w:hAnsi="宋体" w:cs="宋体"/>
                <w:color w:val="000000"/>
                <w:sz w:val="21"/>
                <w:szCs w:val="21"/>
              </w:rPr>
              <w:t>投标方案的建设方案与需求的吻合程度，包括方案设计的可行性和扩展性；详细建设内容是否结合了当前不动产系统的相关功能、准则等。（15分）</w:t>
            </w:r>
          </w:p>
          <w:p>
            <w:pPr>
              <w:spacing w:line="420" w:lineRule="exact"/>
              <w:rPr>
                <w:rFonts w:hint="eastAsia" w:ascii="Calibri" w:hAnsi="Calibri"/>
                <w:color w:val="000000"/>
                <w:sz w:val="21"/>
                <w:szCs w:val="21"/>
                <w:lang w:val="en-US" w:eastAsia="zh-CN"/>
              </w:rPr>
            </w:pPr>
            <w:r>
              <w:rPr>
                <w:rFonts w:hint="eastAsia" w:ascii="宋体" w:cs="宋体"/>
                <w:color w:val="000000"/>
                <w:sz w:val="21"/>
                <w:szCs w:val="21"/>
                <w:lang w:val="en-US" w:eastAsia="zh-CN"/>
              </w:rPr>
              <w:t>1）建设方案与采购需求</w:t>
            </w:r>
            <w:r>
              <w:rPr>
                <w:rFonts w:hint="eastAsia" w:ascii="Calibri" w:hAnsi="Calibri"/>
                <w:color w:val="000000"/>
                <w:sz w:val="21"/>
                <w:szCs w:val="21"/>
                <w:lang w:val="en-US" w:eastAsia="zh-CN"/>
              </w:rPr>
              <w:t>（应用系统建设需求、数据库建设需求、数据共享建设需求中的子目录）全部吻合得满分6分，每有一项不吻合扣1分，扣完为止；</w:t>
            </w:r>
          </w:p>
          <w:p>
            <w:pPr>
              <w:spacing w:line="420" w:lineRule="exact"/>
              <w:rPr>
                <w:rFonts w:hint="eastAsia" w:ascii="Calibri" w:hAnsi="Calibri"/>
                <w:color w:val="000000"/>
                <w:sz w:val="21"/>
                <w:szCs w:val="21"/>
                <w:lang w:val="en-US" w:eastAsia="zh-CN"/>
              </w:rPr>
            </w:pPr>
            <w:r>
              <w:rPr>
                <w:rFonts w:hint="eastAsia" w:ascii="Calibri" w:hAnsi="Calibri"/>
                <w:color w:val="000000"/>
                <w:sz w:val="21"/>
                <w:szCs w:val="21"/>
                <w:lang w:val="en-US" w:eastAsia="zh-CN"/>
              </w:rPr>
              <w:t>2）方案设计具有可行性和扩展性的得3分，否则不得分；</w:t>
            </w:r>
          </w:p>
          <w:p>
            <w:pPr>
              <w:spacing w:line="420" w:lineRule="exact"/>
              <w:rPr>
                <w:rFonts w:hint="default" w:ascii="宋体" w:eastAsia="宋体" w:cs="宋体"/>
                <w:color w:val="000000"/>
                <w:sz w:val="21"/>
                <w:szCs w:val="21"/>
                <w:lang w:val="en-US" w:eastAsia="zh-CN"/>
              </w:rPr>
            </w:pPr>
            <w:r>
              <w:rPr>
                <w:rFonts w:hint="eastAsia" w:ascii="Calibri" w:hAnsi="Calibri"/>
                <w:color w:val="000000"/>
                <w:sz w:val="21"/>
                <w:szCs w:val="21"/>
                <w:lang w:val="en-US" w:eastAsia="zh-CN"/>
              </w:rPr>
              <w:t>3）建设内容完全结合了当前不动产系统的相关功能、准则的得满分6分，每有一项不符合当前系统相关功能和准则的扣1分，扣完为止。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Merge w:val="continue"/>
            <w:noWrap w:val="0"/>
            <w:vAlign w:val="center"/>
          </w:tcPr>
          <w:p>
            <w:pPr>
              <w:adjustRightInd w:val="0"/>
              <w:snapToGrid w:val="0"/>
              <w:rPr>
                <w:rFonts w:ascii="宋体"/>
                <w:color w:val="000000"/>
                <w:sz w:val="21"/>
                <w:szCs w:val="21"/>
              </w:rPr>
            </w:pPr>
          </w:p>
        </w:tc>
        <w:tc>
          <w:tcPr>
            <w:tcW w:w="1128" w:type="dxa"/>
            <w:vMerge w:val="continue"/>
            <w:noWrap w:val="0"/>
            <w:vAlign w:val="center"/>
          </w:tcPr>
          <w:p>
            <w:pPr>
              <w:adjustRightInd w:val="0"/>
              <w:snapToGrid w:val="0"/>
              <w:rPr>
                <w:rFonts w:ascii="宋体"/>
                <w:color w:val="000000"/>
                <w:sz w:val="21"/>
                <w:szCs w:val="21"/>
              </w:rPr>
            </w:pPr>
          </w:p>
        </w:tc>
        <w:tc>
          <w:tcPr>
            <w:tcW w:w="7841" w:type="dxa"/>
            <w:noWrap w:val="0"/>
            <w:vAlign w:val="center"/>
          </w:tcPr>
          <w:p>
            <w:pPr>
              <w:numPr>
                <w:ilvl w:val="0"/>
                <w:numId w:val="5"/>
              </w:numPr>
              <w:spacing w:line="420" w:lineRule="exact"/>
              <w:rPr>
                <w:rFonts w:hint="eastAsia" w:ascii="宋体" w:hAnsi="宋体" w:cs="宋体"/>
                <w:color w:val="000000"/>
                <w:sz w:val="21"/>
                <w:szCs w:val="21"/>
              </w:rPr>
            </w:pPr>
            <w:r>
              <w:rPr>
                <w:rFonts w:hint="eastAsia" w:ascii="宋体" w:hAnsi="宋体" w:cs="宋体"/>
                <w:color w:val="000000"/>
                <w:sz w:val="21"/>
                <w:szCs w:val="21"/>
              </w:rPr>
              <w:t>投标人对本次项目的关键技术难点分析、风险分析和解决难题、规避风险措施的合理性和可操作性，根据投标文件描述酌情打分。（8分）</w:t>
            </w:r>
          </w:p>
          <w:p>
            <w:pPr>
              <w:spacing w:line="420" w:lineRule="exact"/>
              <w:rPr>
                <w:rFonts w:hint="default" w:ascii="宋体" w:eastAsia="宋体" w:cs="宋体"/>
                <w:color w:val="000000"/>
                <w:sz w:val="21"/>
                <w:szCs w:val="21"/>
                <w:lang w:val="en-US" w:eastAsia="zh-CN"/>
              </w:rPr>
            </w:pPr>
            <w:r>
              <w:rPr>
                <w:rFonts w:hint="eastAsia" w:ascii="宋体" w:hAnsi="宋体" w:cs="宋体"/>
                <w:color w:val="000000"/>
                <w:sz w:val="21"/>
                <w:szCs w:val="21"/>
                <w:lang w:val="en-US" w:eastAsia="zh-CN"/>
              </w:rPr>
              <w:t>每有一条合理的分析和可操作的措施得1分，最高得8分。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Merge w:val="continue"/>
            <w:noWrap w:val="0"/>
            <w:vAlign w:val="center"/>
          </w:tcPr>
          <w:p>
            <w:pPr>
              <w:adjustRightInd w:val="0"/>
              <w:snapToGrid w:val="0"/>
              <w:rPr>
                <w:rFonts w:ascii="宋体"/>
                <w:color w:val="000000"/>
                <w:sz w:val="21"/>
                <w:szCs w:val="21"/>
              </w:rPr>
            </w:pPr>
          </w:p>
        </w:tc>
        <w:tc>
          <w:tcPr>
            <w:tcW w:w="1128" w:type="dxa"/>
            <w:vMerge w:val="continue"/>
            <w:noWrap w:val="0"/>
            <w:vAlign w:val="center"/>
          </w:tcPr>
          <w:p>
            <w:pPr>
              <w:adjustRightInd w:val="0"/>
              <w:snapToGrid w:val="0"/>
              <w:rPr>
                <w:rFonts w:ascii="宋体"/>
                <w:color w:val="000000"/>
                <w:sz w:val="21"/>
                <w:szCs w:val="21"/>
              </w:rPr>
            </w:pPr>
          </w:p>
        </w:tc>
        <w:tc>
          <w:tcPr>
            <w:tcW w:w="7841" w:type="dxa"/>
            <w:noWrap w:val="0"/>
            <w:vAlign w:val="center"/>
          </w:tcPr>
          <w:p>
            <w:pPr>
              <w:numPr>
                <w:ilvl w:val="0"/>
                <w:numId w:val="5"/>
              </w:numPr>
              <w:spacing w:line="420" w:lineRule="exact"/>
              <w:rPr>
                <w:rFonts w:hint="eastAsia" w:ascii="宋体" w:hAnsi="宋体" w:cs="宋体"/>
                <w:color w:val="000000"/>
                <w:sz w:val="21"/>
                <w:szCs w:val="21"/>
              </w:rPr>
            </w:pPr>
            <w:r>
              <w:rPr>
                <w:rFonts w:hint="eastAsia" w:ascii="宋体" w:hAnsi="宋体" w:cs="宋体"/>
                <w:color w:val="000000"/>
                <w:sz w:val="21"/>
                <w:szCs w:val="21"/>
              </w:rPr>
              <w:t>投标方案是否提出合理可操作的与当前系统的衔接方案。（5分）</w:t>
            </w:r>
          </w:p>
          <w:p>
            <w:pPr>
              <w:spacing w:line="420" w:lineRule="exact"/>
              <w:rPr>
                <w:rFonts w:ascii="宋体" w:cs="宋体"/>
                <w:color w:val="000000"/>
                <w:sz w:val="21"/>
                <w:szCs w:val="21"/>
              </w:rPr>
            </w:pPr>
            <w:r>
              <w:rPr>
                <w:rFonts w:hint="eastAsia" w:ascii="宋体" w:hAnsi="宋体" w:cs="宋体"/>
                <w:color w:val="000000"/>
                <w:sz w:val="21"/>
                <w:szCs w:val="21"/>
                <w:lang w:val="en-US" w:eastAsia="zh-CN"/>
              </w:rPr>
              <w:t>每有一条合理可操作的衔接方案得1分，最高得5分。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89" w:type="dxa"/>
            <w:vMerge w:val="continue"/>
            <w:noWrap w:val="0"/>
            <w:vAlign w:val="center"/>
          </w:tcPr>
          <w:p>
            <w:pPr>
              <w:adjustRightInd w:val="0"/>
              <w:snapToGrid w:val="0"/>
              <w:rPr>
                <w:rFonts w:ascii="宋体"/>
                <w:color w:val="000000"/>
                <w:sz w:val="21"/>
                <w:szCs w:val="21"/>
              </w:rPr>
            </w:pPr>
          </w:p>
        </w:tc>
        <w:tc>
          <w:tcPr>
            <w:tcW w:w="1128" w:type="dxa"/>
            <w:vMerge w:val="continue"/>
            <w:noWrap w:val="0"/>
            <w:vAlign w:val="center"/>
          </w:tcPr>
          <w:p>
            <w:pPr>
              <w:adjustRightInd w:val="0"/>
              <w:snapToGrid w:val="0"/>
              <w:rPr>
                <w:rFonts w:ascii="宋体"/>
                <w:color w:val="000000"/>
                <w:sz w:val="21"/>
                <w:szCs w:val="21"/>
              </w:rPr>
            </w:pPr>
          </w:p>
        </w:tc>
        <w:tc>
          <w:tcPr>
            <w:tcW w:w="7841" w:type="dxa"/>
            <w:noWrap w:val="0"/>
            <w:vAlign w:val="center"/>
          </w:tcPr>
          <w:p>
            <w:pPr>
              <w:numPr>
                <w:ilvl w:val="0"/>
                <w:numId w:val="5"/>
              </w:numPr>
              <w:spacing w:line="420" w:lineRule="exact"/>
              <w:rPr>
                <w:rFonts w:hint="eastAsia" w:ascii="宋体" w:hAnsi="宋体" w:cs="宋体"/>
                <w:color w:val="000000"/>
                <w:sz w:val="21"/>
                <w:szCs w:val="21"/>
              </w:rPr>
            </w:pPr>
            <w:r>
              <w:rPr>
                <w:rFonts w:hint="eastAsia" w:ascii="宋体" w:hAnsi="宋体" w:cs="宋体"/>
                <w:color w:val="000000"/>
                <w:sz w:val="21"/>
                <w:szCs w:val="21"/>
              </w:rPr>
              <w:t>投标方案是否提出合理可操作的与当前数据共享的衔接方案。（5分）</w:t>
            </w:r>
          </w:p>
          <w:p>
            <w:pPr>
              <w:spacing w:line="420" w:lineRule="exact"/>
              <w:rPr>
                <w:rFonts w:ascii="宋体" w:cs="宋体"/>
                <w:color w:val="000000"/>
                <w:sz w:val="21"/>
                <w:szCs w:val="21"/>
              </w:rPr>
            </w:pPr>
            <w:r>
              <w:rPr>
                <w:rFonts w:hint="eastAsia" w:ascii="宋体" w:hAnsi="宋体" w:cs="宋体"/>
                <w:color w:val="000000"/>
                <w:sz w:val="21"/>
                <w:szCs w:val="21"/>
                <w:lang w:val="en-US" w:eastAsia="zh-CN"/>
              </w:rPr>
              <w:t>每有一条合理可操作的衔接方案得1分，最高得5分。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9" w:type="dxa"/>
            <w:vMerge w:val="continue"/>
            <w:noWrap w:val="0"/>
            <w:vAlign w:val="center"/>
          </w:tcPr>
          <w:p>
            <w:pPr>
              <w:adjustRightInd w:val="0"/>
              <w:snapToGrid w:val="0"/>
              <w:rPr>
                <w:rFonts w:ascii="宋体"/>
                <w:color w:val="000000"/>
                <w:sz w:val="21"/>
                <w:szCs w:val="21"/>
              </w:rPr>
            </w:pPr>
          </w:p>
        </w:tc>
        <w:tc>
          <w:tcPr>
            <w:tcW w:w="1128" w:type="dxa"/>
            <w:vMerge w:val="continue"/>
            <w:noWrap w:val="0"/>
            <w:vAlign w:val="center"/>
          </w:tcPr>
          <w:p>
            <w:pPr>
              <w:adjustRightInd w:val="0"/>
              <w:snapToGrid w:val="0"/>
              <w:rPr>
                <w:rFonts w:ascii="宋体"/>
                <w:color w:val="000000"/>
                <w:sz w:val="21"/>
                <w:szCs w:val="21"/>
              </w:rPr>
            </w:pPr>
          </w:p>
        </w:tc>
        <w:tc>
          <w:tcPr>
            <w:tcW w:w="7841" w:type="dxa"/>
            <w:noWrap w:val="0"/>
            <w:vAlign w:val="center"/>
          </w:tcPr>
          <w:p>
            <w:pPr>
              <w:numPr>
                <w:ilvl w:val="0"/>
                <w:numId w:val="6"/>
              </w:numPr>
              <w:spacing w:line="420" w:lineRule="exact"/>
              <w:rPr>
                <w:rFonts w:hint="eastAsia" w:ascii="宋体" w:hAnsi="宋体" w:cs="宋体"/>
                <w:color w:val="000000"/>
                <w:sz w:val="21"/>
                <w:szCs w:val="21"/>
              </w:rPr>
            </w:pPr>
            <w:r>
              <w:rPr>
                <w:rFonts w:hint="eastAsia" w:ascii="宋体" w:hAnsi="宋体" w:cs="宋体"/>
                <w:color w:val="000000"/>
                <w:sz w:val="21"/>
                <w:szCs w:val="21"/>
              </w:rPr>
              <w:t>投标人在技术实施中具有的独到优势。（8分）</w:t>
            </w:r>
          </w:p>
          <w:p>
            <w:pPr>
              <w:spacing w:line="420" w:lineRule="exact"/>
              <w:rPr>
                <w:rFonts w:ascii="宋体" w:cs="宋体"/>
                <w:color w:val="000000"/>
                <w:sz w:val="21"/>
                <w:szCs w:val="21"/>
              </w:rPr>
            </w:pPr>
            <w:r>
              <w:rPr>
                <w:rFonts w:hint="eastAsia" w:ascii="宋体" w:hAnsi="宋体" w:cs="宋体"/>
                <w:color w:val="000000"/>
                <w:sz w:val="21"/>
                <w:szCs w:val="21"/>
                <w:lang w:val="en-US" w:eastAsia="zh-CN"/>
              </w:rPr>
              <w:t>每有一项独到优势得1分，最高得8分。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restart"/>
            <w:noWrap w:val="0"/>
            <w:vAlign w:val="center"/>
          </w:tcPr>
          <w:p>
            <w:pPr>
              <w:adjustRightInd w:val="0"/>
              <w:snapToGrid w:val="0"/>
              <w:jc w:val="center"/>
              <w:rPr>
                <w:rFonts w:ascii="宋体"/>
                <w:color w:val="000000"/>
                <w:sz w:val="21"/>
                <w:szCs w:val="21"/>
              </w:rPr>
            </w:pPr>
            <w:r>
              <w:rPr>
                <w:rFonts w:ascii="宋体" w:hAnsi="宋体"/>
                <w:color w:val="000000"/>
                <w:sz w:val="21"/>
                <w:szCs w:val="21"/>
              </w:rPr>
              <w:t>2</w:t>
            </w:r>
          </w:p>
        </w:tc>
        <w:tc>
          <w:tcPr>
            <w:tcW w:w="1128" w:type="dxa"/>
            <w:vMerge w:val="restart"/>
            <w:noWrap w:val="0"/>
            <w:vAlign w:val="center"/>
          </w:tcPr>
          <w:p>
            <w:pPr>
              <w:adjustRightInd w:val="0"/>
              <w:snapToGrid w:val="0"/>
              <w:jc w:val="center"/>
              <w:rPr>
                <w:rFonts w:ascii="宋体" w:cs="宋体"/>
                <w:color w:val="000000"/>
                <w:sz w:val="21"/>
                <w:szCs w:val="21"/>
              </w:rPr>
            </w:pPr>
            <w:r>
              <w:rPr>
                <w:rFonts w:hint="eastAsia" w:ascii="宋体" w:hAnsi="宋体" w:cs="宋体"/>
                <w:color w:val="000000"/>
                <w:sz w:val="21"/>
                <w:szCs w:val="21"/>
              </w:rPr>
              <w:t>组织实施方案</w:t>
            </w:r>
          </w:p>
          <w:p>
            <w:pPr>
              <w:adjustRightInd w:val="0"/>
              <w:snapToGrid w:val="0"/>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9</w:t>
            </w:r>
            <w:r>
              <w:rPr>
                <w:rFonts w:hint="eastAsia" w:ascii="宋体" w:hAnsi="宋体" w:cs="宋体"/>
                <w:color w:val="000000"/>
                <w:sz w:val="21"/>
                <w:szCs w:val="21"/>
              </w:rPr>
              <w:t>分）</w:t>
            </w:r>
          </w:p>
        </w:tc>
        <w:tc>
          <w:tcPr>
            <w:tcW w:w="7841" w:type="dxa"/>
            <w:noWrap w:val="0"/>
            <w:vAlign w:val="center"/>
          </w:tcPr>
          <w:p>
            <w:pPr>
              <w:numPr>
                <w:ilvl w:val="0"/>
                <w:numId w:val="7"/>
              </w:numPr>
              <w:spacing w:line="420" w:lineRule="exact"/>
              <w:rPr>
                <w:rFonts w:hint="eastAsia" w:ascii="宋体" w:hAnsi="宋体" w:cs="宋体"/>
                <w:color w:val="000000"/>
                <w:sz w:val="21"/>
                <w:szCs w:val="21"/>
              </w:rPr>
            </w:pPr>
            <w:r>
              <w:rPr>
                <w:rFonts w:hint="eastAsia" w:ascii="宋体" w:hAnsi="宋体" w:cs="宋体"/>
                <w:color w:val="000000"/>
                <w:sz w:val="21"/>
                <w:szCs w:val="21"/>
              </w:rPr>
              <w:t>根据投标人项目组织实施方案的科学性、合理性、规范性和可操作性，包括需求调研、工作程序和步骤、系统部署、与当前台州市不动产登记系统衔接的实施方案等内容进行打分。（</w:t>
            </w:r>
            <w:r>
              <w:rPr>
                <w:rFonts w:hint="eastAsia" w:ascii="宋体" w:hAnsi="宋体" w:cs="宋体"/>
                <w:color w:val="000000"/>
                <w:sz w:val="21"/>
                <w:szCs w:val="21"/>
                <w:lang w:val="en-US" w:eastAsia="zh-CN"/>
              </w:rPr>
              <w:t>4</w:t>
            </w:r>
            <w:r>
              <w:rPr>
                <w:rFonts w:hint="eastAsia" w:ascii="宋体" w:hAnsi="宋体" w:cs="宋体"/>
                <w:color w:val="000000"/>
                <w:sz w:val="21"/>
                <w:szCs w:val="21"/>
              </w:rPr>
              <w:t>分）</w:t>
            </w:r>
          </w:p>
          <w:p>
            <w:pPr>
              <w:spacing w:line="420" w:lineRule="exact"/>
              <w:rPr>
                <w:rFonts w:hint="default" w:ascii="宋体" w:eastAsia="宋体" w:cs="宋体"/>
                <w:color w:val="000000"/>
                <w:sz w:val="21"/>
                <w:szCs w:val="21"/>
                <w:lang w:val="en-US" w:eastAsia="zh-CN"/>
              </w:rPr>
            </w:pPr>
            <w:r>
              <w:rPr>
                <w:rFonts w:hint="eastAsia" w:ascii="宋体" w:cs="宋体"/>
                <w:color w:val="000000"/>
                <w:sz w:val="21"/>
                <w:szCs w:val="21"/>
                <w:lang w:val="en-US" w:eastAsia="zh-CN"/>
              </w:rPr>
              <w:t>方案包括</w:t>
            </w:r>
            <w:r>
              <w:rPr>
                <w:rFonts w:hint="eastAsia" w:ascii="宋体" w:hAnsi="宋体" w:cs="宋体"/>
                <w:color w:val="000000"/>
                <w:sz w:val="21"/>
                <w:szCs w:val="21"/>
              </w:rPr>
              <w:t>需求调研、工作程序和步骤、系统部署、与当前台州市不动产登记系统衔接的实施方案</w:t>
            </w:r>
            <w:r>
              <w:rPr>
                <w:rFonts w:hint="eastAsia" w:ascii="宋体" w:hAnsi="宋体" w:cs="宋体"/>
                <w:color w:val="000000"/>
                <w:sz w:val="21"/>
                <w:szCs w:val="21"/>
                <w:lang w:val="en-US" w:eastAsia="zh-CN"/>
              </w:rPr>
              <w:t>且</w:t>
            </w:r>
            <w:r>
              <w:rPr>
                <w:rFonts w:hint="eastAsia" w:ascii="宋体" w:hAnsi="宋体" w:cs="宋体"/>
                <w:color w:val="000000"/>
                <w:sz w:val="21"/>
                <w:szCs w:val="21"/>
              </w:rPr>
              <w:t>科学合理规范可操作</w:t>
            </w:r>
            <w:r>
              <w:rPr>
                <w:rFonts w:hint="eastAsia" w:ascii="宋体" w:hAnsi="宋体" w:cs="宋体"/>
                <w:color w:val="000000"/>
                <w:sz w:val="21"/>
                <w:szCs w:val="21"/>
                <w:lang w:val="en-US" w:eastAsia="zh-CN"/>
              </w:rPr>
              <w:t>得满分4分，每缺一项或该项内容不</w:t>
            </w:r>
            <w:r>
              <w:rPr>
                <w:rFonts w:hint="eastAsia" w:ascii="宋体" w:hAnsi="宋体" w:cs="宋体"/>
                <w:color w:val="000000"/>
                <w:sz w:val="21"/>
                <w:szCs w:val="21"/>
              </w:rPr>
              <w:t>科学合理规范可操作</w:t>
            </w:r>
            <w:r>
              <w:rPr>
                <w:rFonts w:hint="eastAsia" w:ascii="宋体" w:hAnsi="宋体" w:cs="宋体"/>
                <w:color w:val="000000"/>
                <w:sz w:val="21"/>
                <w:szCs w:val="21"/>
                <w:lang w:val="en-US" w:eastAsia="zh-CN"/>
              </w:rPr>
              <w:t>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9" w:type="dxa"/>
            <w:vMerge w:val="continue"/>
            <w:noWrap w:val="0"/>
            <w:vAlign w:val="center"/>
          </w:tcPr>
          <w:p>
            <w:pPr>
              <w:adjustRightInd w:val="0"/>
              <w:snapToGrid w:val="0"/>
              <w:jc w:val="center"/>
              <w:rPr>
                <w:rFonts w:ascii="宋体"/>
                <w:color w:val="000000"/>
                <w:sz w:val="21"/>
                <w:szCs w:val="21"/>
              </w:rPr>
            </w:pPr>
          </w:p>
        </w:tc>
        <w:tc>
          <w:tcPr>
            <w:tcW w:w="1128" w:type="dxa"/>
            <w:vMerge w:val="continue"/>
            <w:noWrap w:val="0"/>
            <w:vAlign w:val="center"/>
          </w:tcPr>
          <w:p>
            <w:pPr>
              <w:adjustRightInd w:val="0"/>
              <w:snapToGrid w:val="0"/>
              <w:rPr>
                <w:rFonts w:ascii="宋体" w:cs="宋体"/>
                <w:color w:val="000000"/>
                <w:sz w:val="21"/>
                <w:szCs w:val="21"/>
              </w:rPr>
            </w:pPr>
          </w:p>
        </w:tc>
        <w:tc>
          <w:tcPr>
            <w:tcW w:w="7841" w:type="dxa"/>
            <w:noWrap w:val="0"/>
            <w:vAlign w:val="center"/>
          </w:tcPr>
          <w:p>
            <w:pPr>
              <w:numPr>
                <w:ilvl w:val="0"/>
                <w:numId w:val="7"/>
              </w:numPr>
              <w:spacing w:line="420" w:lineRule="exact"/>
              <w:rPr>
                <w:rFonts w:hint="eastAsia" w:ascii="宋体" w:hAnsi="宋体" w:cs="宋体"/>
                <w:color w:val="000000"/>
                <w:sz w:val="21"/>
                <w:szCs w:val="21"/>
              </w:rPr>
            </w:pPr>
            <w:r>
              <w:rPr>
                <w:rFonts w:hint="eastAsia" w:ascii="宋体" w:hAnsi="宋体" w:cs="宋体"/>
                <w:color w:val="000000"/>
                <w:sz w:val="21"/>
                <w:szCs w:val="21"/>
              </w:rPr>
              <w:t>根据投标人的组织机构、实施场所、工作时间进度表、管理和协调方法、关键步骤的思路和要点等内容进行打分。（</w:t>
            </w:r>
            <w:r>
              <w:rPr>
                <w:rFonts w:hint="eastAsia" w:ascii="宋体" w:hAnsi="宋体" w:cs="宋体"/>
                <w:color w:val="000000"/>
                <w:sz w:val="21"/>
                <w:szCs w:val="21"/>
                <w:lang w:val="en-US" w:eastAsia="zh-CN"/>
              </w:rPr>
              <w:t>5</w:t>
            </w:r>
            <w:r>
              <w:rPr>
                <w:rFonts w:hint="eastAsia" w:ascii="宋体" w:hAnsi="宋体" w:cs="宋体"/>
                <w:color w:val="000000"/>
                <w:sz w:val="21"/>
                <w:szCs w:val="21"/>
              </w:rPr>
              <w:t>分）</w:t>
            </w:r>
          </w:p>
          <w:p>
            <w:pPr>
              <w:spacing w:line="42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方案内容包括</w:t>
            </w:r>
            <w:r>
              <w:rPr>
                <w:rFonts w:hint="eastAsia" w:ascii="宋体" w:hAnsi="宋体" w:cs="宋体"/>
                <w:color w:val="000000"/>
                <w:sz w:val="21"/>
                <w:szCs w:val="21"/>
              </w:rPr>
              <w:t>组织机构、实施场所、工作时间进度表、管理和协调方法、关键步骤</w:t>
            </w:r>
            <w:r>
              <w:rPr>
                <w:rFonts w:hint="eastAsia" w:ascii="宋体" w:hAnsi="宋体" w:cs="宋体"/>
                <w:color w:val="000000"/>
                <w:sz w:val="21"/>
                <w:szCs w:val="21"/>
                <w:lang w:val="en-US" w:eastAsia="zh-CN"/>
              </w:rPr>
              <w:t>且思路和要点明确清晰得满分5分，每缺一项或该项内容思路和要点不明确清晰扣1分，扣完为止。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noWrap w:val="0"/>
            <w:vAlign w:val="center"/>
          </w:tcPr>
          <w:p>
            <w:pPr>
              <w:adjustRightInd w:val="0"/>
              <w:snapToGrid w:val="0"/>
              <w:jc w:val="center"/>
              <w:rPr>
                <w:rFonts w:ascii="宋体"/>
                <w:color w:val="000000"/>
                <w:sz w:val="21"/>
                <w:szCs w:val="21"/>
              </w:rPr>
            </w:pPr>
            <w:r>
              <w:rPr>
                <w:rFonts w:ascii="宋体" w:hAnsi="宋体"/>
                <w:color w:val="000000"/>
                <w:sz w:val="21"/>
                <w:szCs w:val="21"/>
              </w:rPr>
              <w:t>3</w:t>
            </w:r>
          </w:p>
        </w:tc>
        <w:tc>
          <w:tcPr>
            <w:tcW w:w="1128" w:type="dxa"/>
            <w:noWrap w:val="0"/>
            <w:vAlign w:val="center"/>
          </w:tcPr>
          <w:p>
            <w:pPr>
              <w:spacing w:line="420" w:lineRule="exact"/>
              <w:jc w:val="center"/>
              <w:rPr>
                <w:rFonts w:ascii="宋体"/>
                <w:color w:val="000000"/>
                <w:sz w:val="21"/>
                <w:szCs w:val="21"/>
              </w:rPr>
            </w:pPr>
            <w:r>
              <w:rPr>
                <w:rFonts w:hint="eastAsia" w:ascii="宋体" w:hAnsi="宋体"/>
                <w:color w:val="000000"/>
                <w:sz w:val="21"/>
                <w:szCs w:val="21"/>
              </w:rPr>
              <w:t>项目人员设备配置</w:t>
            </w:r>
          </w:p>
          <w:p>
            <w:pPr>
              <w:spacing w:line="420" w:lineRule="exact"/>
              <w:jc w:val="cente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10</w:t>
            </w:r>
            <w:r>
              <w:rPr>
                <w:rFonts w:hint="eastAsia" w:ascii="宋体" w:hAnsi="宋体"/>
                <w:color w:val="000000"/>
                <w:sz w:val="21"/>
                <w:szCs w:val="21"/>
              </w:rPr>
              <w:t>分）</w:t>
            </w:r>
          </w:p>
        </w:tc>
        <w:tc>
          <w:tcPr>
            <w:tcW w:w="7841" w:type="dxa"/>
            <w:noWrap w:val="0"/>
            <w:vAlign w:val="center"/>
          </w:tcPr>
          <w:p>
            <w:pPr>
              <w:spacing w:line="420" w:lineRule="exac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）参与本项目的技术人员具有</w:t>
            </w:r>
            <w:r>
              <w:rPr>
                <w:rFonts w:ascii="宋体" w:hAnsi="宋体"/>
                <w:color w:val="000000"/>
                <w:sz w:val="21"/>
                <w:szCs w:val="21"/>
              </w:rPr>
              <w:t>3</w:t>
            </w:r>
            <w:r>
              <w:rPr>
                <w:rFonts w:hint="eastAsia" w:ascii="宋体" w:hAnsi="宋体"/>
                <w:color w:val="000000"/>
                <w:sz w:val="21"/>
                <w:szCs w:val="21"/>
              </w:rPr>
              <w:t>个中级及以上技术职称的，得</w:t>
            </w:r>
            <w:r>
              <w:rPr>
                <w:rFonts w:ascii="宋体" w:hAnsi="宋体"/>
                <w:color w:val="000000"/>
                <w:sz w:val="21"/>
                <w:szCs w:val="21"/>
              </w:rPr>
              <w:t>1</w:t>
            </w:r>
            <w:r>
              <w:rPr>
                <w:rFonts w:hint="eastAsia" w:ascii="宋体" w:hAnsi="宋体"/>
                <w:color w:val="000000"/>
                <w:sz w:val="21"/>
                <w:szCs w:val="21"/>
              </w:rPr>
              <w:t>分。</w:t>
            </w:r>
          </w:p>
          <w:p>
            <w:pPr>
              <w:spacing w:line="420" w:lineRule="exac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）项目技术人员中有参与过土地登记或房屋登记相关的国家级数据库标准或技术规范编制</w:t>
            </w:r>
            <w:r>
              <w:rPr>
                <w:rFonts w:ascii="宋体"/>
                <w:color w:val="000000"/>
                <w:sz w:val="21"/>
                <w:szCs w:val="21"/>
              </w:rPr>
              <w:t>,</w:t>
            </w:r>
            <w:r>
              <w:rPr>
                <w:rFonts w:hint="eastAsia" w:ascii="宋体" w:hAnsi="宋体"/>
                <w:color w:val="000000"/>
                <w:sz w:val="21"/>
                <w:szCs w:val="21"/>
              </w:rPr>
              <w:t>且同时具有高级工程师证书的，得</w:t>
            </w:r>
            <w:r>
              <w:rPr>
                <w:rFonts w:ascii="宋体" w:hAnsi="宋体"/>
                <w:color w:val="000000"/>
                <w:sz w:val="21"/>
                <w:szCs w:val="21"/>
              </w:rPr>
              <w:t>3</w:t>
            </w:r>
            <w:r>
              <w:rPr>
                <w:rFonts w:hint="eastAsia" w:ascii="宋体" w:hAnsi="宋体"/>
                <w:color w:val="000000"/>
                <w:sz w:val="21"/>
                <w:szCs w:val="21"/>
              </w:rPr>
              <w:t>分。</w:t>
            </w:r>
          </w:p>
          <w:p>
            <w:pPr>
              <w:spacing w:line="420" w:lineRule="exac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）项目技术人员同时具有高级工程师和高级项目经理证书的得</w:t>
            </w:r>
            <w:r>
              <w:rPr>
                <w:rFonts w:ascii="宋体" w:hAnsi="宋体"/>
                <w:color w:val="000000"/>
                <w:sz w:val="21"/>
                <w:szCs w:val="21"/>
              </w:rPr>
              <w:t>2</w:t>
            </w:r>
            <w:r>
              <w:rPr>
                <w:rFonts w:hint="eastAsia" w:ascii="宋体" w:hAnsi="宋体"/>
                <w:color w:val="000000"/>
                <w:sz w:val="21"/>
                <w:szCs w:val="21"/>
              </w:rPr>
              <w:t>分；</w:t>
            </w:r>
          </w:p>
          <w:p>
            <w:pPr>
              <w:spacing w:line="420" w:lineRule="exac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）项目组核心成员具有</w:t>
            </w:r>
            <w:r>
              <w:rPr>
                <w:rFonts w:ascii="宋体" w:hAnsi="宋体"/>
                <w:color w:val="000000"/>
                <w:sz w:val="21"/>
                <w:szCs w:val="21"/>
              </w:rPr>
              <w:t>PMP</w:t>
            </w:r>
            <w:r>
              <w:rPr>
                <w:rFonts w:hint="eastAsia" w:ascii="宋体" w:hAnsi="宋体"/>
                <w:color w:val="000000"/>
                <w:sz w:val="21"/>
                <w:szCs w:val="21"/>
              </w:rPr>
              <w:t>项目管理证书的，得</w:t>
            </w:r>
            <w:r>
              <w:rPr>
                <w:rFonts w:ascii="宋体" w:hAnsi="宋体"/>
                <w:color w:val="000000"/>
                <w:sz w:val="21"/>
                <w:szCs w:val="21"/>
              </w:rPr>
              <w:t>2</w:t>
            </w:r>
            <w:r>
              <w:rPr>
                <w:rFonts w:hint="eastAsia" w:ascii="宋体" w:hAnsi="宋体"/>
                <w:color w:val="000000"/>
                <w:sz w:val="21"/>
                <w:szCs w:val="21"/>
              </w:rPr>
              <w:t>分；</w:t>
            </w:r>
          </w:p>
          <w:p>
            <w:pPr>
              <w:spacing w:line="420" w:lineRule="exac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）参与本项目的质量管理成员具有质量管理体系（</w:t>
            </w:r>
            <w:r>
              <w:rPr>
                <w:rFonts w:ascii="宋体" w:hAnsi="宋体"/>
                <w:color w:val="000000"/>
                <w:sz w:val="21"/>
                <w:szCs w:val="21"/>
              </w:rPr>
              <w:t>QMS</w:t>
            </w:r>
            <w:r>
              <w:rPr>
                <w:rFonts w:hint="eastAsia" w:ascii="宋体" w:hAnsi="宋体"/>
                <w:color w:val="000000"/>
                <w:sz w:val="21"/>
                <w:szCs w:val="21"/>
              </w:rPr>
              <w:t>）审核员证书的，得</w:t>
            </w:r>
            <w:r>
              <w:rPr>
                <w:rFonts w:ascii="宋体" w:hAnsi="宋体"/>
                <w:color w:val="000000"/>
                <w:sz w:val="21"/>
                <w:szCs w:val="21"/>
              </w:rPr>
              <w:t>2</w:t>
            </w:r>
            <w:r>
              <w:rPr>
                <w:rFonts w:hint="eastAsia" w:ascii="宋体" w:hAnsi="宋体"/>
                <w:color w:val="000000"/>
                <w:sz w:val="21"/>
                <w:szCs w:val="21"/>
              </w:rPr>
              <w:t>分。</w:t>
            </w:r>
          </w:p>
          <w:p>
            <w:pPr>
              <w:spacing w:line="420" w:lineRule="exact"/>
              <w:rPr>
                <w:rFonts w:ascii="宋体"/>
                <w:b/>
                <w:color w:val="000000"/>
                <w:sz w:val="21"/>
                <w:szCs w:val="21"/>
              </w:rPr>
            </w:pPr>
            <w:r>
              <w:rPr>
                <w:rFonts w:hint="eastAsia" w:ascii="宋体" w:hAnsi="宋体"/>
                <w:b/>
                <w:color w:val="000000"/>
                <w:sz w:val="21"/>
                <w:szCs w:val="21"/>
              </w:rPr>
              <w:t>注：以上需提供相关证书材料原件彩色扫描件。（不发实体证书的提供网页查询截图）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89" w:type="dxa"/>
            <w:noWrap w:val="0"/>
            <w:vAlign w:val="center"/>
          </w:tcPr>
          <w:p>
            <w:pPr>
              <w:adjustRightInd w:val="0"/>
              <w:snapToGrid w:val="0"/>
              <w:jc w:val="center"/>
              <w:rPr>
                <w:rFonts w:ascii="宋体"/>
                <w:color w:val="000000"/>
                <w:sz w:val="21"/>
                <w:szCs w:val="21"/>
              </w:rPr>
            </w:pPr>
            <w:r>
              <w:rPr>
                <w:rFonts w:ascii="宋体" w:hAnsi="宋体"/>
                <w:color w:val="000000"/>
                <w:sz w:val="21"/>
                <w:szCs w:val="21"/>
              </w:rPr>
              <w:t>4</w:t>
            </w:r>
          </w:p>
        </w:tc>
        <w:tc>
          <w:tcPr>
            <w:tcW w:w="1128" w:type="dxa"/>
            <w:noWrap w:val="0"/>
            <w:vAlign w:val="center"/>
          </w:tcPr>
          <w:p>
            <w:pPr>
              <w:adjustRightInd w:val="0"/>
              <w:snapToGrid w:val="0"/>
              <w:spacing w:line="420" w:lineRule="exact"/>
              <w:rPr>
                <w:rFonts w:ascii="宋体"/>
                <w:color w:val="000000"/>
                <w:sz w:val="21"/>
                <w:szCs w:val="21"/>
              </w:rPr>
            </w:pPr>
            <w:r>
              <w:rPr>
                <w:rFonts w:hint="eastAsia" w:ascii="宋体" w:hAnsi="宋体"/>
                <w:color w:val="000000"/>
                <w:sz w:val="21"/>
                <w:szCs w:val="21"/>
              </w:rPr>
              <w:t>服务承诺</w:t>
            </w:r>
          </w:p>
          <w:p>
            <w:pPr>
              <w:adjustRightInd w:val="0"/>
              <w:snapToGrid w:val="0"/>
              <w:spacing w:line="420" w:lineRule="exac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分）</w:t>
            </w:r>
          </w:p>
        </w:tc>
        <w:tc>
          <w:tcPr>
            <w:tcW w:w="7841" w:type="dxa"/>
            <w:noWrap w:val="0"/>
            <w:vAlign w:val="center"/>
          </w:tcPr>
          <w:p>
            <w:pPr>
              <w:adjustRightInd w:val="0"/>
              <w:snapToGrid w:val="0"/>
              <w:spacing w:line="420" w:lineRule="exact"/>
              <w:rPr>
                <w:rFonts w:hint="eastAsia" w:ascii="宋体" w:hAnsi="宋体"/>
                <w:color w:val="000000"/>
                <w:sz w:val="21"/>
                <w:szCs w:val="21"/>
              </w:rPr>
            </w:pPr>
            <w:r>
              <w:rPr>
                <w:rFonts w:hint="eastAsia" w:ascii="宋体" w:hAnsi="宋体"/>
                <w:color w:val="000000"/>
                <w:sz w:val="21"/>
                <w:szCs w:val="21"/>
              </w:rPr>
              <w:t>根据投标人对技术服务、售后服务的具体内容和措施的描述进行打分。</w:t>
            </w:r>
          </w:p>
          <w:p>
            <w:pPr>
              <w:adjustRightInd w:val="0"/>
              <w:snapToGrid w:val="0"/>
              <w:spacing w:line="42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每有一条合理可行的服务和措施得1分，最高得5分。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Merge w:val="restart"/>
            <w:noWrap w:val="0"/>
            <w:vAlign w:val="center"/>
          </w:tcPr>
          <w:p>
            <w:pPr>
              <w:adjustRightInd w:val="0"/>
              <w:snapToGrid w:val="0"/>
              <w:jc w:val="center"/>
              <w:rPr>
                <w:rFonts w:ascii="宋体"/>
                <w:color w:val="000000"/>
                <w:sz w:val="21"/>
                <w:szCs w:val="21"/>
              </w:rPr>
            </w:pPr>
            <w:r>
              <w:rPr>
                <w:rFonts w:ascii="宋体" w:hAnsi="宋体"/>
                <w:color w:val="000000"/>
                <w:sz w:val="21"/>
                <w:szCs w:val="21"/>
              </w:rPr>
              <w:t>5</w:t>
            </w:r>
          </w:p>
        </w:tc>
        <w:tc>
          <w:tcPr>
            <w:tcW w:w="1128" w:type="dxa"/>
            <w:vMerge w:val="restart"/>
            <w:noWrap w:val="0"/>
            <w:vAlign w:val="center"/>
          </w:tcPr>
          <w:p>
            <w:pPr>
              <w:adjustRightInd w:val="0"/>
              <w:snapToGrid w:val="0"/>
              <w:jc w:val="center"/>
              <w:rPr>
                <w:rFonts w:ascii="宋体"/>
                <w:color w:val="000000"/>
                <w:sz w:val="21"/>
                <w:szCs w:val="21"/>
              </w:rPr>
            </w:pPr>
            <w:r>
              <w:rPr>
                <w:rFonts w:hint="eastAsia" w:ascii="宋体" w:hAnsi="宋体"/>
                <w:color w:val="000000"/>
                <w:sz w:val="21"/>
                <w:szCs w:val="21"/>
              </w:rPr>
              <w:t>供应商实力（</w:t>
            </w:r>
            <w:r>
              <w:rPr>
                <w:rFonts w:ascii="宋体" w:hAnsi="宋体"/>
                <w:color w:val="000000"/>
                <w:sz w:val="21"/>
                <w:szCs w:val="21"/>
              </w:rPr>
              <w:t>10</w:t>
            </w:r>
            <w:r>
              <w:rPr>
                <w:rFonts w:hint="eastAsia" w:ascii="宋体" w:hAnsi="宋体"/>
                <w:color w:val="000000"/>
                <w:sz w:val="21"/>
                <w:szCs w:val="21"/>
              </w:rPr>
              <w:t>分）</w:t>
            </w:r>
          </w:p>
        </w:tc>
        <w:tc>
          <w:tcPr>
            <w:tcW w:w="7841" w:type="dxa"/>
            <w:noWrap w:val="0"/>
            <w:vAlign w:val="center"/>
          </w:tcPr>
          <w:p>
            <w:pPr>
              <w:numPr>
                <w:ilvl w:val="0"/>
                <w:numId w:val="8"/>
              </w:numPr>
              <w:spacing w:line="420" w:lineRule="exact"/>
              <w:rPr>
                <w:rFonts w:ascii="宋体"/>
                <w:color w:val="000000"/>
                <w:sz w:val="21"/>
                <w:szCs w:val="21"/>
              </w:rPr>
            </w:pPr>
            <w:r>
              <w:rPr>
                <w:rFonts w:hint="eastAsia" w:ascii="宋体" w:hAnsi="宋体" w:cs="宋体"/>
                <w:color w:val="000000"/>
                <w:kern w:val="1"/>
                <w:sz w:val="21"/>
                <w:szCs w:val="21"/>
              </w:rPr>
              <w:t>投标人连续三年以上</w:t>
            </w:r>
            <w:r>
              <w:rPr>
                <w:rFonts w:ascii="宋体" w:hAnsi="宋体" w:cs="宋体"/>
                <w:color w:val="000000"/>
                <w:kern w:val="1"/>
                <w:sz w:val="21"/>
                <w:szCs w:val="21"/>
              </w:rPr>
              <w:t>(</w:t>
            </w:r>
            <w:r>
              <w:rPr>
                <w:rFonts w:hint="eastAsia" w:ascii="宋体" w:hAnsi="宋体" w:cs="宋体"/>
                <w:color w:val="000000"/>
                <w:kern w:val="1"/>
                <w:sz w:val="21"/>
                <w:szCs w:val="21"/>
              </w:rPr>
              <w:t>含三年</w:t>
            </w:r>
            <w:r>
              <w:rPr>
                <w:rFonts w:ascii="宋体" w:hAnsi="宋体" w:cs="宋体"/>
                <w:color w:val="000000"/>
                <w:kern w:val="1"/>
                <w:sz w:val="21"/>
                <w:szCs w:val="21"/>
              </w:rPr>
              <w:t>)</w:t>
            </w:r>
            <w:r>
              <w:rPr>
                <w:rFonts w:hint="eastAsia" w:ascii="宋体" w:hAnsi="宋体" w:cs="宋体"/>
                <w:color w:val="000000"/>
                <w:kern w:val="1"/>
                <w:sz w:val="21"/>
                <w:szCs w:val="21"/>
              </w:rPr>
              <w:t>六年以下被评为</w:t>
            </w:r>
            <w:r>
              <w:rPr>
                <w:rFonts w:ascii="宋体" w:hAnsi="宋体" w:cs="宋体"/>
                <w:color w:val="000000"/>
                <w:kern w:val="1"/>
                <w:sz w:val="21"/>
                <w:szCs w:val="21"/>
              </w:rPr>
              <w:t xml:space="preserve"> </w:t>
            </w:r>
            <w:r>
              <w:rPr>
                <w:rFonts w:hint="eastAsia" w:ascii="宋体" w:hAnsi="宋体" w:cs="宋体"/>
                <w:color w:val="000000"/>
                <w:kern w:val="1"/>
                <w:sz w:val="21"/>
                <w:szCs w:val="21"/>
              </w:rPr>
              <w:t>“守合同重信用企业”得</w:t>
            </w:r>
            <w:r>
              <w:rPr>
                <w:rFonts w:ascii="宋体" w:hAnsi="宋体" w:cs="宋体"/>
                <w:color w:val="000000"/>
                <w:kern w:val="1"/>
                <w:sz w:val="21"/>
                <w:szCs w:val="21"/>
              </w:rPr>
              <w:t>1</w:t>
            </w:r>
            <w:r>
              <w:rPr>
                <w:rFonts w:hint="eastAsia" w:ascii="宋体" w:hAnsi="宋体" w:cs="宋体"/>
                <w:color w:val="000000"/>
                <w:kern w:val="1"/>
                <w:sz w:val="21"/>
                <w:szCs w:val="21"/>
              </w:rPr>
              <w:t>分，连续六年或六年以上被评为</w:t>
            </w:r>
            <w:r>
              <w:rPr>
                <w:rFonts w:ascii="宋体" w:hAnsi="宋体" w:cs="宋体"/>
                <w:color w:val="000000"/>
                <w:kern w:val="1"/>
                <w:sz w:val="21"/>
                <w:szCs w:val="21"/>
              </w:rPr>
              <w:t xml:space="preserve"> </w:t>
            </w:r>
            <w:r>
              <w:rPr>
                <w:rFonts w:hint="eastAsia" w:ascii="宋体" w:hAnsi="宋体" w:cs="宋体"/>
                <w:color w:val="000000"/>
                <w:kern w:val="1"/>
                <w:sz w:val="21"/>
                <w:szCs w:val="21"/>
              </w:rPr>
              <w:t>“守合同重信用企业”的加</w:t>
            </w:r>
            <w:r>
              <w:rPr>
                <w:rFonts w:ascii="宋体" w:hAnsi="宋体" w:cs="宋体"/>
                <w:color w:val="000000"/>
                <w:kern w:val="1"/>
                <w:sz w:val="21"/>
                <w:szCs w:val="21"/>
              </w:rPr>
              <w:t>1</w:t>
            </w:r>
            <w:r>
              <w:rPr>
                <w:rFonts w:hint="eastAsia" w:ascii="宋体" w:hAnsi="宋体" w:cs="宋体"/>
                <w:color w:val="000000"/>
                <w:kern w:val="1"/>
                <w:sz w:val="21"/>
                <w:szCs w:val="21"/>
              </w:rPr>
              <w:t>分；信用级别为</w:t>
            </w:r>
            <w:r>
              <w:rPr>
                <w:rFonts w:ascii="宋体" w:hAnsi="宋体" w:cs="宋体"/>
                <w:color w:val="000000"/>
                <w:kern w:val="1"/>
                <w:sz w:val="21"/>
                <w:szCs w:val="21"/>
              </w:rPr>
              <w:t>AAA</w:t>
            </w:r>
            <w:r>
              <w:rPr>
                <w:rFonts w:hint="eastAsia" w:ascii="宋体" w:hAnsi="宋体" w:cs="宋体"/>
                <w:color w:val="000000"/>
                <w:kern w:val="1"/>
                <w:sz w:val="21"/>
                <w:szCs w:val="21"/>
              </w:rPr>
              <w:t>级的得</w:t>
            </w:r>
            <w:r>
              <w:rPr>
                <w:rFonts w:ascii="宋体" w:hAnsi="宋体" w:cs="宋体"/>
                <w:color w:val="000000"/>
                <w:kern w:val="1"/>
                <w:sz w:val="21"/>
                <w:szCs w:val="21"/>
              </w:rPr>
              <w:t>1</w:t>
            </w:r>
            <w:r>
              <w:rPr>
                <w:rFonts w:hint="eastAsia" w:ascii="宋体" w:hAnsi="宋体" w:cs="宋体"/>
                <w:color w:val="000000"/>
                <w:kern w:val="1"/>
                <w:sz w:val="21"/>
                <w:szCs w:val="21"/>
              </w:rPr>
              <w:t>分；此项最高得分</w:t>
            </w:r>
            <w:r>
              <w:rPr>
                <w:rFonts w:ascii="宋体" w:hAnsi="宋体" w:cs="宋体"/>
                <w:color w:val="000000"/>
                <w:kern w:val="1"/>
                <w:sz w:val="21"/>
                <w:szCs w:val="21"/>
              </w:rPr>
              <w:t>3</w:t>
            </w:r>
            <w:r>
              <w:rPr>
                <w:rFonts w:hint="eastAsia" w:ascii="宋体" w:hAnsi="宋体" w:cs="宋体"/>
                <w:color w:val="000000"/>
                <w:kern w:val="1"/>
                <w:sz w:val="21"/>
                <w:szCs w:val="21"/>
              </w:rPr>
              <w:t>分</w:t>
            </w:r>
            <w:r>
              <w:rPr>
                <w:rFonts w:ascii="宋体" w:hAnsi="宋体"/>
                <w:color w:val="000000"/>
                <w:sz w:val="21"/>
                <w:szCs w:val="21"/>
              </w:rPr>
              <w:t xml:space="preserve"> </w:t>
            </w:r>
            <w:r>
              <w:rPr>
                <w:rFonts w:hint="eastAsia" w:ascii="宋体" w:hAnsi="宋体"/>
                <w:color w:val="000000"/>
                <w:sz w:val="21"/>
                <w:szCs w:val="21"/>
              </w:rPr>
              <w:t>。</w:t>
            </w:r>
          </w:p>
          <w:p>
            <w:pPr>
              <w:spacing w:line="420" w:lineRule="exact"/>
              <w:rPr>
                <w:rFonts w:ascii="宋体" w:cs="宋体"/>
                <w:color w:val="000000"/>
                <w:sz w:val="21"/>
                <w:szCs w:val="21"/>
              </w:rPr>
            </w:pPr>
            <w:r>
              <w:rPr>
                <w:rFonts w:hint="eastAsia" w:ascii="宋体" w:hAnsi="宋体"/>
                <w:b/>
                <w:color w:val="000000"/>
                <w:sz w:val="21"/>
                <w:szCs w:val="21"/>
              </w:rPr>
              <w:t>注：需提供相关证书材料原件彩色扫描件。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Merge w:val="continue"/>
            <w:noWrap w:val="0"/>
            <w:vAlign w:val="center"/>
          </w:tcPr>
          <w:p>
            <w:pPr>
              <w:adjustRightInd w:val="0"/>
              <w:snapToGrid w:val="0"/>
              <w:jc w:val="center"/>
              <w:rPr>
                <w:rFonts w:ascii="宋体"/>
                <w:color w:val="000000"/>
                <w:sz w:val="21"/>
                <w:szCs w:val="21"/>
              </w:rPr>
            </w:pPr>
          </w:p>
        </w:tc>
        <w:tc>
          <w:tcPr>
            <w:tcW w:w="1128" w:type="dxa"/>
            <w:vMerge w:val="continue"/>
            <w:noWrap w:val="0"/>
            <w:vAlign w:val="center"/>
          </w:tcPr>
          <w:p>
            <w:pPr>
              <w:adjustRightInd w:val="0"/>
              <w:snapToGrid w:val="0"/>
              <w:rPr>
                <w:rFonts w:ascii="宋体"/>
                <w:color w:val="000000"/>
                <w:sz w:val="21"/>
                <w:szCs w:val="21"/>
              </w:rPr>
            </w:pPr>
          </w:p>
        </w:tc>
        <w:tc>
          <w:tcPr>
            <w:tcW w:w="7841" w:type="dxa"/>
            <w:noWrap w:val="0"/>
            <w:vAlign w:val="center"/>
          </w:tcPr>
          <w:p>
            <w:pPr>
              <w:spacing w:line="420" w:lineRule="exac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）投标人具有</w:t>
            </w:r>
            <w:r>
              <w:rPr>
                <w:rFonts w:ascii="宋体" w:hAnsi="宋体"/>
                <w:color w:val="000000"/>
                <w:sz w:val="21"/>
                <w:szCs w:val="21"/>
              </w:rPr>
              <w:t>ISO9001</w:t>
            </w:r>
            <w:r>
              <w:rPr>
                <w:rFonts w:hint="eastAsia" w:ascii="宋体" w:hAnsi="宋体"/>
                <w:color w:val="000000"/>
                <w:sz w:val="21"/>
                <w:szCs w:val="21"/>
              </w:rPr>
              <w:t>质量管理体系</w:t>
            </w:r>
            <w:r>
              <w:rPr>
                <w:rFonts w:hint="eastAsia" w:ascii="宋体" w:hAnsi="宋体" w:cs="宋体"/>
                <w:color w:val="000000"/>
                <w:sz w:val="21"/>
                <w:szCs w:val="21"/>
              </w:rPr>
              <w:t>认证</w:t>
            </w:r>
            <w:r>
              <w:rPr>
                <w:rFonts w:hint="eastAsia" w:ascii="宋体" w:hAnsi="宋体"/>
                <w:color w:val="000000"/>
                <w:sz w:val="21"/>
                <w:szCs w:val="21"/>
              </w:rPr>
              <w:t>证书、</w:t>
            </w:r>
            <w:r>
              <w:rPr>
                <w:rFonts w:ascii="宋体" w:hAnsi="宋体" w:cs="宋体"/>
                <w:color w:val="000000"/>
                <w:sz w:val="21"/>
                <w:szCs w:val="21"/>
              </w:rPr>
              <w:t>ISO 27001</w:t>
            </w:r>
            <w:r>
              <w:rPr>
                <w:rFonts w:hint="eastAsia" w:ascii="宋体" w:hAnsi="宋体" w:cs="宋体"/>
                <w:color w:val="000000"/>
                <w:sz w:val="21"/>
                <w:szCs w:val="21"/>
              </w:rPr>
              <w:t>信息安全管理体系认证证书</w:t>
            </w:r>
            <w:r>
              <w:rPr>
                <w:rFonts w:hint="eastAsia" w:ascii="宋体" w:hAnsi="宋体"/>
                <w:color w:val="000000"/>
                <w:sz w:val="21"/>
                <w:szCs w:val="21"/>
              </w:rPr>
              <w:t>、</w:t>
            </w:r>
            <w:r>
              <w:rPr>
                <w:rFonts w:ascii="宋体" w:hAnsi="宋体" w:cs="宋体"/>
                <w:color w:val="000000"/>
                <w:sz w:val="21"/>
                <w:szCs w:val="21"/>
              </w:rPr>
              <w:t>ISO 20000 IT</w:t>
            </w:r>
            <w:r>
              <w:rPr>
                <w:rFonts w:hint="eastAsia" w:ascii="宋体" w:hAnsi="宋体" w:cs="宋体"/>
                <w:color w:val="000000"/>
                <w:sz w:val="21"/>
                <w:szCs w:val="21"/>
              </w:rPr>
              <w:t>服务管理体系认证证书的，每项得</w:t>
            </w:r>
            <w:r>
              <w:rPr>
                <w:rFonts w:ascii="宋体" w:hAnsi="宋体" w:cs="宋体"/>
                <w:color w:val="000000"/>
                <w:sz w:val="21"/>
                <w:szCs w:val="21"/>
              </w:rPr>
              <w:t>1</w:t>
            </w:r>
            <w:r>
              <w:rPr>
                <w:rFonts w:hint="eastAsia" w:ascii="宋体" w:hAnsi="宋体" w:cs="宋体"/>
                <w:color w:val="000000"/>
                <w:sz w:val="21"/>
                <w:szCs w:val="21"/>
              </w:rPr>
              <w:t>分，最高</w:t>
            </w:r>
            <w:r>
              <w:rPr>
                <w:rFonts w:hint="eastAsia" w:ascii="宋体" w:hAnsi="宋体"/>
                <w:color w:val="000000"/>
                <w:sz w:val="21"/>
                <w:szCs w:val="21"/>
              </w:rPr>
              <w:t>得</w:t>
            </w:r>
            <w:r>
              <w:rPr>
                <w:rFonts w:ascii="宋体" w:hAnsi="宋体"/>
                <w:color w:val="000000"/>
                <w:sz w:val="21"/>
                <w:szCs w:val="21"/>
              </w:rPr>
              <w:t>3</w:t>
            </w:r>
            <w:r>
              <w:rPr>
                <w:rFonts w:hint="eastAsia" w:ascii="宋体" w:hAnsi="宋体"/>
                <w:color w:val="000000"/>
                <w:sz w:val="21"/>
                <w:szCs w:val="21"/>
              </w:rPr>
              <w:t>分。</w:t>
            </w:r>
          </w:p>
          <w:p>
            <w:pPr>
              <w:spacing w:line="420" w:lineRule="exact"/>
              <w:rPr>
                <w:rFonts w:ascii="宋体"/>
                <w:color w:val="000000"/>
                <w:sz w:val="21"/>
                <w:szCs w:val="21"/>
              </w:rPr>
            </w:pPr>
            <w:r>
              <w:rPr>
                <w:rFonts w:hint="eastAsia" w:ascii="宋体" w:hAnsi="宋体"/>
                <w:b/>
                <w:color w:val="000000"/>
                <w:sz w:val="21"/>
                <w:szCs w:val="21"/>
              </w:rPr>
              <w:t>注：需提供相关证书材料原件彩色扫描件。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89" w:type="dxa"/>
            <w:vMerge w:val="continue"/>
            <w:noWrap w:val="0"/>
            <w:vAlign w:val="center"/>
          </w:tcPr>
          <w:p>
            <w:pPr>
              <w:adjustRightInd w:val="0"/>
              <w:snapToGrid w:val="0"/>
              <w:jc w:val="center"/>
              <w:rPr>
                <w:rFonts w:ascii="宋体"/>
                <w:color w:val="000000"/>
                <w:sz w:val="21"/>
                <w:szCs w:val="21"/>
              </w:rPr>
            </w:pPr>
          </w:p>
        </w:tc>
        <w:tc>
          <w:tcPr>
            <w:tcW w:w="1128" w:type="dxa"/>
            <w:vMerge w:val="continue"/>
            <w:noWrap w:val="0"/>
            <w:vAlign w:val="center"/>
          </w:tcPr>
          <w:p>
            <w:pPr>
              <w:adjustRightInd w:val="0"/>
              <w:snapToGrid w:val="0"/>
              <w:rPr>
                <w:rFonts w:ascii="宋体"/>
                <w:color w:val="000000"/>
                <w:sz w:val="21"/>
                <w:szCs w:val="21"/>
              </w:rPr>
            </w:pPr>
          </w:p>
        </w:tc>
        <w:tc>
          <w:tcPr>
            <w:tcW w:w="7841" w:type="dxa"/>
            <w:noWrap w:val="0"/>
            <w:vAlign w:val="center"/>
          </w:tcPr>
          <w:p>
            <w:pPr>
              <w:spacing w:line="420" w:lineRule="exac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）投标人具有与不动产登记相关（不动产登记管理软件、不动产数据迁移软件、测绘成果管理软件、档案扫描管理软件、房地产开发项目管理、房地产交易查询服务管理等）的软件著作权证书的，一个得</w:t>
            </w:r>
            <w:r>
              <w:rPr>
                <w:rFonts w:ascii="宋体" w:hAnsi="宋体"/>
                <w:color w:val="000000"/>
                <w:sz w:val="21"/>
                <w:szCs w:val="21"/>
              </w:rPr>
              <w:t>1</w:t>
            </w:r>
            <w:r>
              <w:rPr>
                <w:rFonts w:hint="eastAsia" w:ascii="宋体" w:hAnsi="宋体"/>
                <w:color w:val="000000"/>
                <w:sz w:val="21"/>
                <w:szCs w:val="21"/>
              </w:rPr>
              <w:t>分，最高得</w:t>
            </w:r>
            <w:r>
              <w:rPr>
                <w:rFonts w:ascii="宋体" w:hAnsi="宋体"/>
                <w:color w:val="000000"/>
                <w:sz w:val="21"/>
                <w:szCs w:val="21"/>
              </w:rPr>
              <w:t>4</w:t>
            </w:r>
            <w:r>
              <w:rPr>
                <w:rFonts w:hint="eastAsia" w:ascii="宋体" w:hAnsi="宋体"/>
                <w:color w:val="000000"/>
                <w:sz w:val="21"/>
                <w:szCs w:val="21"/>
              </w:rPr>
              <w:t>分。</w:t>
            </w:r>
          </w:p>
          <w:p>
            <w:pPr>
              <w:rPr>
                <w:color w:val="000000"/>
                <w:sz w:val="21"/>
                <w:szCs w:val="21"/>
              </w:rPr>
            </w:pPr>
            <w:r>
              <w:rPr>
                <w:rFonts w:hint="eastAsia" w:ascii="宋体" w:hAnsi="宋体"/>
                <w:b/>
                <w:color w:val="000000"/>
                <w:sz w:val="21"/>
                <w:szCs w:val="21"/>
              </w:rPr>
              <w:t>注：需提供相关证书材料原件彩色扫描件。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789" w:type="dxa"/>
            <w:vMerge w:val="restart"/>
            <w:noWrap w:val="0"/>
            <w:vAlign w:val="center"/>
          </w:tcPr>
          <w:p>
            <w:pPr>
              <w:adjustRightInd w:val="0"/>
              <w:snapToGrid w:val="0"/>
              <w:jc w:val="center"/>
              <w:rPr>
                <w:rFonts w:ascii="宋体"/>
                <w:color w:val="000000"/>
                <w:sz w:val="21"/>
                <w:szCs w:val="21"/>
              </w:rPr>
            </w:pPr>
            <w:r>
              <w:rPr>
                <w:rFonts w:ascii="宋体" w:hAnsi="宋体"/>
                <w:color w:val="000000"/>
                <w:sz w:val="21"/>
                <w:szCs w:val="21"/>
              </w:rPr>
              <w:t>6</w:t>
            </w:r>
          </w:p>
        </w:tc>
        <w:tc>
          <w:tcPr>
            <w:tcW w:w="1128" w:type="dxa"/>
            <w:vMerge w:val="restart"/>
            <w:noWrap w:val="0"/>
            <w:vAlign w:val="center"/>
          </w:tcPr>
          <w:p>
            <w:pPr>
              <w:adjustRightInd w:val="0"/>
              <w:snapToGrid w:val="0"/>
              <w:jc w:val="center"/>
              <w:rPr>
                <w:rFonts w:ascii="宋体" w:cs="宋体"/>
                <w:color w:val="000000"/>
                <w:sz w:val="21"/>
                <w:szCs w:val="21"/>
              </w:rPr>
            </w:pPr>
            <w:r>
              <w:rPr>
                <w:rFonts w:hint="eastAsia" w:ascii="宋体" w:hAnsi="宋体" w:cs="宋体"/>
                <w:color w:val="000000"/>
                <w:sz w:val="21"/>
                <w:szCs w:val="21"/>
              </w:rPr>
              <w:t>类似项目业绩</w:t>
            </w:r>
          </w:p>
          <w:p>
            <w:pPr>
              <w:adjustRightInd w:val="0"/>
              <w:snapToGrid w:val="0"/>
              <w:jc w:val="center"/>
              <w:rPr>
                <w:rFonts w:ascii="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9</w:t>
            </w:r>
            <w:r>
              <w:rPr>
                <w:rFonts w:hint="eastAsia" w:ascii="宋体" w:hAnsi="宋体" w:cs="宋体"/>
                <w:color w:val="000000"/>
                <w:sz w:val="21"/>
                <w:szCs w:val="21"/>
              </w:rPr>
              <w:t>分）</w:t>
            </w:r>
          </w:p>
        </w:tc>
        <w:tc>
          <w:tcPr>
            <w:tcW w:w="7841" w:type="dxa"/>
            <w:noWrap w:val="0"/>
            <w:vAlign w:val="center"/>
          </w:tcPr>
          <w:p>
            <w:pPr>
              <w:pStyle w:val="67"/>
              <w:spacing w:line="420" w:lineRule="exact"/>
              <w:ind w:firstLine="0" w:firstLineChars="0"/>
              <w:rPr>
                <w:rFonts w:ascii="宋体" w:cs="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）投标人承担过地级市及以上不动产登记系统平台建设项目的，</w:t>
            </w:r>
            <w:r>
              <w:rPr>
                <w:rFonts w:hint="eastAsia" w:ascii="宋体" w:hAnsi="宋体" w:cs="宋体"/>
                <w:color w:val="000000"/>
                <w:sz w:val="21"/>
                <w:szCs w:val="21"/>
              </w:rPr>
              <w:t>得</w:t>
            </w:r>
            <w:r>
              <w:rPr>
                <w:rFonts w:ascii="宋体" w:hAnsi="宋体" w:cs="宋体"/>
                <w:color w:val="000000"/>
                <w:sz w:val="21"/>
                <w:szCs w:val="21"/>
              </w:rPr>
              <w:t>2</w:t>
            </w:r>
            <w:r>
              <w:rPr>
                <w:rFonts w:hint="eastAsia" w:ascii="宋体" w:hAnsi="宋体" w:cs="宋体"/>
                <w:color w:val="000000"/>
                <w:sz w:val="21"/>
                <w:szCs w:val="21"/>
              </w:rPr>
              <w:t>分</w:t>
            </w:r>
            <w:r>
              <w:rPr>
                <w:rFonts w:hint="eastAsia" w:ascii="宋体" w:hAnsi="宋体"/>
                <w:color w:val="000000"/>
                <w:sz w:val="21"/>
                <w:szCs w:val="21"/>
              </w:rPr>
              <w:t>；</w:t>
            </w:r>
          </w:p>
          <w:p>
            <w:pPr>
              <w:pStyle w:val="67"/>
              <w:spacing w:line="420" w:lineRule="exact"/>
              <w:ind w:firstLine="0" w:firstLineChars="0"/>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）投标人承担过合同不小于</w:t>
            </w:r>
            <w:r>
              <w:rPr>
                <w:rFonts w:ascii="宋体" w:hAnsi="宋体"/>
                <w:color w:val="000000"/>
                <w:sz w:val="21"/>
                <w:szCs w:val="21"/>
              </w:rPr>
              <w:t>150</w:t>
            </w:r>
            <w:r>
              <w:rPr>
                <w:rFonts w:hint="eastAsia" w:ascii="宋体" w:hAnsi="宋体"/>
                <w:color w:val="000000"/>
                <w:sz w:val="21"/>
                <w:szCs w:val="21"/>
              </w:rPr>
              <w:t>万的不动产登记数据整合项目，且已通过验收的，</w:t>
            </w:r>
            <w:r>
              <w:rPr>
                <w:rFonts w:hint="eastAsia" w:ascii="宋体" w:hAnsi="宋体" w:cs="宋体"/>
                <w:color w:val="000000"/>
                <w:sz w:val="21"/>
                <w:szCs w:val="21"/>
              </w:rPr>
              <w:t>一个的得</w:t>
            </w:r>
            <w:r>
              <w:rPr>
                <w:rFonts w:ascii="宋体" w:hAnsi="宋体" w:cs="宋体"/>
                <w:color w:val="000000"/>
                <w:sz w:val="21"/>
                <w:szCs w:val="21"/>
              </w:rPr>
              <w:t>1</w:t>
            </w:r>
            <w:r>
              <w:rPr>
                <w:rFonts w:hint="eastAsia" w:ascii="宋体" w:hAnsi="宋体" w:cs="宋体"/>
                <w:color w:val="000000"/>
                <w:sz w:val="21"/>
                <w:szCs w:val="21"/>
              </w:rPr>
              <w:t>分，每增加一个加</w:t>
            </w:r>
            <w:r>
              <w:rPr>
                <w:rFonts w:ascii="宋体" w:hAnsi="宋体" w:cs="宋体"/>
                <w:color w:val="000000"/>
                <w:sz w:val="21"/>
                <w:szCs w:val="21"/>
              </w:rPr>
              <w:t>1</w:t>
            </w:r>
            <w:r>
              <w:rPr>
                <w:rFonts w:hint="eastAsia" w:ascii="宋体" w:hAnsi="宋体" w:cs="宋体"/>
                <w:color w:val="000000"/>
                <w:sz w:val="21"/>
                <w:szCs w:val="21"/>
              </w:rPr>
              <w:t>分，最高得</w:t>
            </w:r>
            <w:r>
              <w:rPr>
                <w:rFonts w:ascii="宋体" w:hAnsi="宋体" w:cs="宋体"/>
                <w:color w:val="000000"/>
                <w:sz w:val="21"/>
                <w:szCs w:val="21"/>
              </w:rPr>
              <w:t>3</w:t>
            </w:r>
            <w:r>
              <w:rPr>
                <w:rFonts w:hint="eastAsia" w:ascii="宋体" w:hAnsi="宋体" w:cs="宋体"/>
                <w:color w:val="000000"/>
                <w:sz w:val="21"/>
                <w:szCs w:val="21"/>
              </w:rPr>
              <w:t>分</w:t>
            </w:r>
            <w:r>
              <w:rPr>
                <w:rFonts w:hint="eastAsia" w:ascii="宋体" w:hAnsi="宋体"/>
                <w:color w:val="000000"/>
                <w:sz w:val="21"/>
                <w:szCs w:val="21"/>
              </w:rPr>
              <w:t>。</w:t>
            </w:r>
          </w:p>
          <w:p>
            <w:pPr>
              <w:pStyle w:val="67"/>
              <w:spacing w:line="420" w:lineRule="exact"/>
              <w:ind w:firstLine="0" w:firstLineChars="0"/>
              <w:rPr>
                <w:rFonts w:ascii="宋体" w:cs="宋体"/>
                <w:color w:val="000000"/>
                <w:sz w:val="21"/>
                <w:szCs w:val="21"/>
              </w:rPr>
            </w:pPr>
            <w:r>
              <w:rPr>
                <w:rFonts w:hint="eastAsia" w:ascii="宋体" w:hAnsi="宋体"/>
                <w:b/>
                <w:color w:val="000000"/>
                <w:sz w:val="21"/>
                <w:szCs w:val="21"/>
              </w:rPr>
              <w:t>注：以上需提供合同原件彩色扫描件、验收证明材料原件彩色扫描件。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789" w:type="dxa"/>
            <w:vMerge w:val="continue"/>
            <w:noWrap w:val="0"/>
            <w:vAlign w:val="center"/>
          </w:tcPr>
          <w:p>
            <w:pPr>
              <w:adjustRightInd w:val="0"/>
              <w:snapToGrid w:val="0"/>
              <w:jc w:val="center"/>
              <w:rPr>
                <w:rFonts w:ascii="宋体"/>
                <w:color w:val="000000"/>
                <w:sz w:val="21"/>
                <w:szCs w:val="21"/>
              </w:rPr>
            </w:pPr>
          </w:p>
        </w:tc>
        <w:tc>
          <w:tcPr>
            <w:tcW w:w="1128" w:type="dxa"/>
            <w:vMerge w:val="continue"/>
            <w:noWrap w:val="0"/>
            <w:vAlign w:val="center"/>
          </w:tcPr>
          <w:p>
            <w:pPr>
              <w:adjustRightInd w:val="0"/>
              <w:snapToGrid w:val="0"/>
              <w:rPr>
                <w:rFonts w:ascii="宋体" w:cs="宋体"/>
                <w:color w:val="000000"/>
                <w:sz w:val="21"/>
                <w:szCs w:val="21"/>
              </w:rPr>
            </w:pPr>
          </w:p>
        </w:tc>
        <w:tc>
          <w:tcPr>
            <w:tcW w:w="7841" w:type="dxa"/>
            <w:noWrap w:val="0"/>
            <w:vAlign w:val="center"/>
          </w:tcPr>
          <w:p>
            <w:pPr>
              <w:pStyle w:val="67"/>
              <w:spacing w:line="420" w:lineRule="exact"/>
              <w:ind w:firstLine="0" w:firstLineChars="0"/>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）投标人承担过土地登记（所有权或使用权）、房屋登记等不动产登记相关的国家级数据库标准或技术规范编制的每个得</w:t>
            </w:r>
            <w:r>
              <w:rPr>
                <w:rFonts w:ascii="宋体" w:hAnsi="宋体"/>
                <w:color w:val="000000"/>
                <w:sz w:val="21"/>
                <w:szCs w:val="21"/>
              </w:rPr>
              <w:t>2</w:t>
            </w:r>
            <w:r>
              <w:rPr>
                <w:rFonts w:hint="eastAsia" w:ascii="宋体" w:hAnsi="宋体"/>
                <w:color w:val="000000"/>
                <w:sz w:val="21"/>
                <w:szCs w:val="21"/>
              </w:rPr>
              <w:t>分，最高</w:t>
            </w:r>
            <w:r>
              <w:rPr>
                <w:rFonts w:ascii="宋体" w:hAnsi="宋体"/>
                <w:color w:val="000000"/>
                <w:sz w:val="21"/>
                <w:szCs w:val="21"/>
              </w:rPr>
              <w:t>4</w:t>
            </w:r>
            <w:r>
              <w:rPr>
                <w:rFonts w:hint="eastAsia" w:ascii="宋体" w:hAnsi="宋体"/>
                <w:color w:val="000000"/>
                <w:sz w:val="21"/>
                <w:szCs w:val="21"/>
              </w:rPr>
              <w:t>分。</w:t>
            </w:r>
          </w:p>
          <w:p>
            <w:pPr>
              <w:pStyle w:val="67"/>
              <w:spacing w:line="420" w:lineRule="exact"/>
              <w:ind w:firstLine="0" w:firstLineChars="0"/>
              <w:rPr>
                <w:rFonts w:ascii="宋体"/>
                <w:b/>
                <w:color w:val="000000"/>
                <w:sz w:val="21"/>
                <w:szCs w:val="21"/>
              </w:rPr>
            </w:pPr>
            <w:r>
              <w:rPr>
                <w:rFonts w:hint="eastAsia" w:ascii="宋体" w:hAnsi="宋体"/>
                <w:b/>
                <w:color w:val="000000"/>
                <w:sz w:val="21"/>
                <w:szCs w:val="21"/>
              </w:rPr>
              <w:t>注</w:t>
            </w:r>
            <w:r>
              <w:rPr>
                <w:rFonts w:ascii="宋体" w:hAnsi="宋体"/>
                <w:b/>
                <w:color w:val="000000"/>
                <w:sz w:val="21"/>
                <w:szCs w:val="21"/>
              </w:rPr>
              <w:t>;</w:t>
            </w:r>
            <w:r>
              <w:rPr>
                <w:rFonts w:hint="eastAsia" w:ascii="宋体" w:hAnsi="宋体"/>
                <w:b/>
                <w:color w:val="000000"/>
                <w:sz w:val="21"/>
                <w:szCs w:val="21"/>
              </w:rPr>
              <w:t>须提供参与编制的技术规范或标准的前言与封面原件彩色扫描件，否则不得分。</w:t>
            </w:r>
          </w:p>
        </w:tc>
      </w:tr>
    </w:tbl>
    <w:p>
      <w:pPr>
        <w:autoSpaceDE w:val="0"/>
        <w:autoSpaceDN w:val="0"/>
        <w:adjustRightInd w:val="0"/>
        <w:spacing w:line="360" w:lineRule="auto"/>
        <w:jc w:val="left"/>
        <w:rPr>
          <w:rFonts w:hint="eastAsia" w:ascii="宋体" w:hAnsi="宋体" w:cs="宋体"/>
          <w:bCs/>
          <w:spacing w:val="-4"/>
          <w:sz w:val="21"/>
          <w:szCs w:val="21"/>
        </w:rPr>
      </w:pPr>
    </w:p>
    <w:p>
      <w:pPr>
        <w:adjustRightInd w:val="0"/>
        <w:jc w:val="left"/>
        <w:rPr>
          <w:rFonts w:hint="eastAsia" w:ascii="宋体" w:hAnsi="宋体" w:cs="宋体"/>
          <w:b/>
          <w:color w:val="0D0D0D"/>
          <w:kern w:val="0"/>
          <w:sz w:val="22"/>
          <w:szCs w:val="22"/>
        </w:rPr>
      </w:pPr>
      <w:r>
        <w:rPr>
          <w:rFonts w:hint="eastAsia" w:ascii="宋体" w:hAnsi="宋体" w:cs="宋体"/>
          <w:b/>
          <w:kern w:val="0"/>
          <w:sz w:val="22"/>
          <w:szCs w:val="22"/>
        </w:rPr>
        <w:t>注：商务与技术文件内容缺项的，该项得0分。</w:t>
      </w:r>
    </w:p>
    <w:p>
      <w:pPr>
        <w:spacing w:line="360" w:lineRule="auto"/>
        <w:rPr>
          <w:rFonts w:hint="eastAsia" w:ascii="宋体" w:hAnsi="宋体" w:cs="宋体"/>
          <w:b/>
          <w:color w:val="0D0D0D"/>
          <w:sz w:val="24"/>
        </w:rPr>
      </w:pPr>
    </w:p>
    <w:p>
      <w:pPr>
        <w:spacing w:line="360" w:lineRule="auto"/>
        <w:rPr>
          <w:rFonts w:hint="eastAsia" w:ascii="宋体" w:hAnsi="宋体" w:cs="宋体"/>
          <w:b/>
          <w:color w:val="0D0D0D"/>
          <w:sz w:val="24"/>
        </w:rPr>
      </w:pPr>
      <w:r>
        <w:rPr>
          <w:rFonts w:hint="eastAsia" w:ascii="宋体" w:hAnsi="宋体" w:cs="宋体"/>
          <w:b/>
          <w:color w:val="0D0D0D"/>
          <w:sz w:val="24"/>
        </w:rPr>
        <w:t>（3）报价文件评定分值为10分。（以下除注明外，计算结果小数点后保留2位，第3位四舍五入）。</w:t>
      </w:r>
    </w:p>
    <w:p>
      <w:pPr>
        <w:spacing w:line="360" w:lineRule="auto"/>
        <w:ind w:firstLine="472" w:firstLineChars="196"/>
        <w:rPr>
          <w:rFonts w:hint="eastAsia" w:ascii="宋体" w:hAnsi="宋体" w:cs="宋体"/>
          <w:b/>
          <w:sz w:val="24"/>
        </w:rPr>
      </w:pPr>
      <w:r>
        <w:rPr>
          <w:rFonts w:hint="eastAsia" w:ascii="宋体" w:hAnsi="宋体" w:cs="宋体"/>
          <w:b/>
          <w:color w:val="0D0D0D"/>
          <w:sz w:val="24"/>
        </w:rPr>
        <w:t>本项目采购人设有报价上限，上限价为7322000元，投标</w:t>
      </w:r>
      <w:r>
        <w:rPr>
          <w:rFonts w:hint="eastAsia" w:ascii="宋体" w:hAnsi="宋体" w:cs="宋体"/>
          <w:b/>
          <w:sz w:val="24"/>
        </w:rPr>
        <w:t>报价高于上限价的，作无效标处理。当所有投标人的投标报价均高于上限价的，本项目重新招标。</w:t>
      </w:r>
    </w:p>
    <w:p>
      <w:pPr>
        <w:spacing w:line="360" w:lineRule="auto"/>
        <w:ind w:firstLine="472" w:firstLineChars="196"/>
        <w:rPr>
          <w:rFonts w:hint="eastAsia" w:ascii="宋体" w:hAnsi="宋体" w:cs="宋体"/>
          <w:b/>
          <w:sz w:val="24"/>
        </w:rPr>
      </w:pPr>
      <w:r>
        <w:rPr>
          <w:rFonts w:hint="eastAsia" w:ascii="宋体" w:hAnsi="宋体" w:cs="宋体"/>
          <w:b/>
          <w:sz w:val="24"/>
        </w:rPr>
        <w:t>如小微企业参与投标的，按照国家政府采购项目的政策，本项目对小微企业投标的投标报价给予6%的减少，用减少后的投标报价参于报价评审。（小型和微型企业需提供《小微企业声明函》及当地小型和微型企业行政主管部门的确认意见及相关依据。确认意见如无明确有效期，则须在投标截止1年内。）</w:t>
      </w:r>
    </w:p>
    <w:p>
      <w:pPr>
        <w:spacing w:line="360" w:lineRule="auto"/>
        <w:ind w:firstLine="472" w:firstLineChars="196"/>
        <w:rPr>
          <w:rFonts w:hint="eastAsia" w:ascii="宋体" w:hAnsi="宋体" w:cs="宋体"/>
          <w:b/>
          <w:sz w:val="24"/>
        </w:rPr>
      </w:pPr>
      <w:r>
        <w:rPr>
          <w:rFonts w:hint="eastAsia" w:ascii="宋体" w:hAnsi="宋体" w:cs="宋体"/>
          <w:b/>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投标报价得分采用低价优先法计算，即在有效报价中，满足招标文件要求且投标价格最低的投标报价为评标基准价，其报价得满分</w:t>
      </w:r>
      <w:r>
        <w:rPr>
          <w:rFonts w:hint="eastAsia" w:ascii="宋体" w:hAnsi="宋体" w:cs="宋体"/>
          <w:sz w:val="24"/>
        </w:rPr>
        <w:t>10</w:t>
      </w:r>
      <w:r>
        <w:rPr>
          <w:rFonts w:hint="eastAsia" w:ascii="宋体" w:hAnsi="宋体" w:cs="宋体"/>
          <w:sz w:val="24"/>
          <w:lang w:val="zh-CN"/>
        </w:rPr>
        <w:t>分。其他投标人的投标报价得分按下列公式计算（小数点后保留2位，第3位四舍五入）：</w:t>
      </w:r>
    </w:p>
    <w:p>
      <w:pPr>
        <w:spacing w:line="360" w:lineRule="auto"/>
        <w:ind w:left="420"/>
        <w:rPr>
          <w:rFonts w:hint="eastAsia" w:ascii="宋体" w:hAnsi="宋体" w:cs="宋体"/>
          <w:sz w:val="24"/>
        </w:rPr>
      </w:pPr>
      <w:r>
        <w:rPr>
          <w:rFonts w:hint="eastAsia" w:ascii="宋体" w:hAnsi="宋体" w:cs="宋体"/>
          <w:sz w:val="24"/>
        </w:rPr>
        <w:t>投标报价得分=(评标基准价／投标报价)×10%×100。</w:t>
      </w:r>
    </w:p>
    <w:p>
      <w:pPr>
        <w:spacing w:line="360" w:lineRule="auto"/>
        <w:ind w:left="420"/>
        <w:rPr>
          <w:rFonts w:hint="eastAsia" w:ascii="宋体" w:hAnsi="宋体" w:cs="宋体"/>
          <w:b/>
          <w:bCs/>
          <w:sz w:val="24"/>
        </w:rPr>
      </w:pPr>
      <w:r>
        <w:rPr>
          <w:rFonts w:hint="eastAsia" w:ascii="宋体" w:hAnsi="宋体" w:cs="宋体"/>
          <w:b/>
          <w:bCs/>
          <w:sz w:val="24"/>
        </w:rPr>
        <w:t>（4）总得分的统计及中标候选人的确定。</w:t>
      </w:r>
    </w:p>
    <w:p>
      <w:pPr>
        <w:spacing w:line="360" w:lineRule="auto"/>
        <w:ind w:left="420"/>
        <w:rPr>
          <w:rFonts w:hint="eastAsia" w:ascii="宋体" w:hAnsi="宋体" w:cs="宋体"/>
          <w:bCs/>
          <w:sz w:val="24"/>
        </w:rPr>
      </w:pPr>
      <w:r>
        <w:rPr>
          <w:rFonts w:hint="eastAsia" w:ascii="宋体" w:hAnsi="宋体" w:cs="宋体"/>
          <w:b/>
          <w:sz w:val="24"/>
        </w:rPr>
        <w:t>评标总得分的确定：</w:t>
      </w:r>
    </w:p>
    <w:p>
      <w:pPr>
        <w:spacing w:line="360" w:lineRule="auto"/>
        <w:ind w:left="420"/>
        <w:rPr>
          <w:rFonts w:hint="eastAsia" w:ascii="宋体" w:hAnsi="宋体" w:cs="宋体"/>
          <w:bCs/>
          <w:sz w:val="24"/>
        </w:rPr>
      </w:pPr>
      <w:r>
        <w:rPr>
          <w:rFonts w:hint="eastAsia" w:ascii="宋体" w:hAnsi="宋体" w:cs="宋体"/>
          <w:bCs/>
          <w:sz w:val="24"/>
        </w:rPr>
        <w:t>投标人的总得分＝商务与技术文件得分+报价文件得分。</w:t>
      </w:r>
    </w:p>
    <w:p>
      <w:pPr>
        <w:spacing w:line="360" w:lineRule="auto"/>
        <w:ind w:left="420"/>
        <w:rPr>
          <w:rFonts w:hint="eastAsia" w:ascii="宋体" w:hAnsi="宋体" w:cs="宋体"/>
          <w:b/>
          <w:sz w:val="24"/>
        </w:rPr>
      </w:pPr>
      <w:r>
        <w:rPr>
          <w:rFonts w:hint="eastAsia" w:ascii="宋体" w:hAnsi="宋体" w:cs="宋体"/>
          <w:b/>
          <w:sz w:val="24"/>
        </w:rPr>
        <w:t>中标候选人的确定：</w:t>
      </w:r>
    </w:p>
    <w:p>
      <w:pPr>
        <w:adjustRightInd w:val="0"/>
        <w:spacing w:line="360" w:lineRule="auto"/>
        <w:ind w:firstLine="720" w:firstLineChars="300"/>
        <w:rPr>
          <w:rFonts w:hint="eastAsia" w:ascii="宋体" w:hAnsi="宋体" w:cs="宋体"/>
          <w:sz w:val="32"/>
        </w:rPr>
      </w:pPr>
      <w:r>
        <w:rPr>
          <w:rFonts w:hint="eastAsia" w:ascii="宋体" w:hAnsi="宋体" w:cs="宋体"/>
          <w:bCs/>
          <w:sz w:val="24"/>
        </w:rPr>
        <w:t>中标候选人的排名次序按投标人总得分从高到低顺序排列，即总得分最高者为第一中标候选人，次高的为第二中标候选人。若出现总得分相同时，按商务与技术文件得分由高到低顺序排列；若以上均相同的，则抽签确定。</w:t>
      </w:r>
    </w:p>
    <w:p>
      <w:pPr>
        <w:adjustRightInd w:val="0"/>
        <w:spacing w:line="360" w:lineRule="auto"/>
        <w:ind w:firstLine="960" w:firstLineChars="300"/>
        <w:rPr>
          <w:rFonts w:hint="eastAsia" w:ascii="宋体" w:hAnsi="宋体" w:cs="宋体"/>
          <w:sz w:val="32"/>
        </w:rPr>
      </w:pPr>
    </w:p>
    <w:p>
      <w:pPr>
        <w:pStyle w:val="4"/>
        <w:jc w:val="center"/>
        <w:rPr>
          <w:rFonts w:ascii="宋体" w:hAnsi="宋体"/>
        </w:rPr>
      </w:pPr>
      <w:r>
        <w:rPr>
          <w:rFonts w:hint="eastAsia" w:ascii="宋体" w:hAnsi="宋体" w:cs="宋体"/>
          <w:sz w:val="32"/>
        </w:rPr>
        <w:br w:type="page"/>
      </w:r>
      <w:r>
        <w:rPr>
          <w:rFonts w:hint="eastAsia" w:ascii="宋体" w:hAnsi="宋体" w:cs="宋体"/>
          <w:sz w:val="32"/>
        </w:rPr>
        <w:t xml:space="preserve">第五章 </w:t>
      </w:r>
      <w:bookmarkStart w:id="38" w:name="_Toc51757572"/>
      <w:bookmarkStart w:id="39" w:name="_Toc48647098"/>
      <w:r>
        <w:rPr>
          <w:rFonts w:ascii="宋体" w:hAnsi="宋体"/>
        </w:rPr>
        <w:t>合同格式（供参考）</w:t>
      </w:r>
      <w:bookmarkEnd w:id="38"/>
      <w:bookmarkEnd w:id="39"/>
    </w:p>
    <w:p>
      <w:pPr>
        <w:pStyle w:val="19"/>
        <w:snapToGrid w:val="0"/>
        <w:spacing w:before="156" w:after="156" w:line="360" w:lineRule="auto"/>
        <w:jc w:val="center"/>
        <w:rPr>
          <w:rFonts w:hAnsi="宋体"/>
          <w:b/>
          <w:color w:val="000000"/>
          <w:sz w:val="36"/>
          <w:szCs w:val="36"/>
        </w:rPr>
      </w:pPr>
      <w:bookmarkStart w:id="40" w:name="_Toc25404_WPSOffice_Level2"/>
      <w:bookmarkStart w:id="41" w:name="_Toc5091_WPSOffice_Level2"/>
      <w:bookmarkStart w:id="42" w:name="_Toc13485_WPSOffice_Level2"/>
      <w:r>
        <w:rPr>
          <w:rFonts w:hint="eastAsia" w:hAnsi="宋体"/>
          <w:b/>
          <w:color w:val="000000"/>
          <w:sz w:val="36"/>
          <w:szCs w:val="36"/>
        </w:rPr>
        <w:t>浙江省政府采购合同主要条款指引</w:t>
      </w:r>
      <w:bookmarkEnd w:id="40"/>
      <w:bookmarkEnd w:id="41"/>
      <w:bookmarkEnd w:id="42"/>
    </w:p>
    <w:p>
      <w:pPr>
        <w:snapToGrid w:val="0"/>
        <w:spacing w:line="360" w:lineRule="auto"/>
        <w:jc w:val="center"/>
        <w:rPr>
          <w:rFonts w:ascii="宋体" w:hAnsi="宋体"/>
          <w:b/>
          <w:bCs/>
          <w:sz w:val="32"/>
          <w:szCs w:val="32"/>
        </w:rPr>
      </w:pPr>
      <w:bookmarkStart w:id="43" w:name="_Toc11444"/>
      <w:r>
        <w:rPr>
          <w:rFonts w:hint="eastAsia" w:ascii="宋体" w:hAnsi="宋体"/>
          <w:b/>
          <w:bCs/>
          <w:sz w:val="32"/>
          <w:szCs w:val="32"/>
        </w:rPr>
        <w:t>（此稿为合同样本，最终定稿待双方协商后定）</w:t>
      </w:r>
      <w:bookmarkEnd w:id="43"/>
    </w:p>
    <w:p>
      <w:pPr>
        <w:tabs>
          <w:tab w:val="left" w:pos="8280"/>
        </w:tabs>
        <w:autoSpaceDE w:val="0"/>
        <w:autoSpaceDN w:val="0"/>
        <w:adjustRightInd w:val="0"/>
        <w:snapToGrid w:val="0"/>
        <w:spacing w:line="360" w:lineRule="auto"/>
        <w:ind w:right="25" w:firstLine="480" w:firstLineChars="200"/>
        <w:rPr>
          <w:rFonts w:ascii="宋体" w:hAnsi="宋体" w:cs="宋体"/>
          <w:color w:val="000000"/>
          <w:sz w:val="24"/>
        </w:rPr>
      </w:pPr>
      <w:r>
        <w:rPr>
          <w:rFonts w:hint="eastAsia" w:ascii="宋体" w:hAnsi="宋体" w:cs="宋体"/>
          <w:color w:val="000000"/>
          <w:sz w:val="24"/>
        </w:rPr>
        <w:t>以下为成交后签定本项目合同的通用条款，成交供应商不得提出实质性的修改，关于专用条款将由采购人与成交供应商结合本项目具体情况协商后签订。</w:t>
      </w:r>
    </w:p>
    <w:p>
      <w:pPr>
        <w:tabs>
          <w:tab w:val="left" w:pos="8280"/>
        </w:tabs>
        <w:autoSpaceDE w:val="0"/>
        <w:autoSpaceDN w:val="0"/>
        <w:adjustRightInd w:val="0"/>
        <w:snapToGrid w:val="0"/>
        <w:spacing w:line="360" w:lineRule="auto"/>
        <w:ind w:right="25" w:firstLine="480" w:firstLineChars="200"/>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tabs>
          <w:tab w:val="left" w:pos="8280"/>
        </w:tabs>
        <w:autoSpaceDE w:val="0"/>
        <w:autoSpaceDN w:val="0"/>
        <w:adjustRightInd w:val="0"/>
        <w:snapToGrid w:val="0"/>
        <w:spacing w:line="360" w:lineRule="auto"/>
        <w:ind w:right="25" w:firstLine="480" w:firstLineChars="200"/>
        <w:rPr>
          <w:rFonts w:ascii="宋体" w:hAnsi="宋体" w:cs="宋体"/>
          <w:color w:val="000000"/>
          <w:sz w:val="24"/>
        </w:rPr>
      </w:pPr>
      <w:r>
        <w:rPr>
          <w:rFonts w:hint="eastAsia" w:ascii="宋体" w:hAnsi="宋体" w:cs="宋体"/>
          <w:color w:val="000000"/>
          <w:sz w:val="24"/>
        </w:rPr>
        <w:t>项目编号：</w:t>
      </w:r>
      <w:r>
        <w:rPr>
          <w:rFonts w:hint="eastAsia" w:ascii="宋体" w:hAnsi="宋体" w:cs="宋体"/>
          <w:color w:val="000000"/>
          <w:sz w:val="24"/>
          <w:u w:val="single"/>
        </w:rPr>
        <w:t xml:space="preserve">                </w:t>
      </w:r>
    </w:p>
    <w:p>
      <w:pPr>
        <w:tabs>
          <w:tab w:val="left" w:pos="8280"/>
        </w:tabs>
        <w:autoSpaceDE w:val="0"/>
        <w:autoSpaceDN w:val="0"/>
        <w:adjustRightInd w:val="0"/>
        <w:snapToGrid w:val="0"/>
        <w:spacing w:line="360" w:lineRule="auto"/>
        <w:ind w:right="25" w:firstLine="480" w:firstLineChars="200"/>
        <w:rPr>
          <w:rFonts w:ascii="宋体" w:hAnsi="宋体" w:cs="宋体"/>
          <w:color w:val="000000"/>
          <w:sz w:val="24"/>
        </w:rPr>
      </w:pPr>
      <w:r>
        <w:rPr>
          <w:rFonts w:hint="eastAsia" w:ascii="宋体" w:hAnsi="宋体" w:cs="宋体"/>
          <w:color w:val="000000"/>
          <w:sz w:val="24"/>
        </w:rPr>
        <w:t>甲    方：</w:t>
      </w:r>
      <w:r>
        <w:rPr>
          <w:rFonts w:hint="eastAsia" w:ascii="宋体" w:hAnsi="宋体" w:cs="宋体"/>
          <w:color w:val="000000"/>
          <w:kern w:val="0"/>
          <w:sz w:val="24"/>
          <w:u w:val="single"/>
        </w:rPr>
        <w:t xml:space="preserve">                             </w:t>
      </w:r>
    </w:p>
    <w:p>
      <w:pPr>
        <w:tabs>
          <w:tab w:val="left" w:pos="8280"/>
        </w:tabs>
        <w:autoSpaceDE w:val="0"/>
        <w:autoSpaceDN w:val="0"/>
        <w:adjustRightInd w:val="0"/>
        <w:snapToGrid w:val="0"/>
        <w:spacing w:line="360" w:lineRule="auto"/>
        <w:ind w:right="25" w:firstLine="480" w:firstLineChars="200"/>
        <w:rPr>
          <w:rFonts w:ascii="宋体" w:hAnsi="宋体" w:cs="宋体"/>
          <w:color w:val="000000"/>
          <w:sz w:val="24"/>
        </w:rPr>
      </w:pPr>
      <w:r>
        <w:rPr>
          <w:rFonts w:hint="eastAsia" w:ascii="宋体" w:hAnsi="宋体" w:cs="宋体"/>
          <w:color w:val="000000"/>
          <w:sz w:val="24"/>
        </w:rPr>
        <w:t>乙    方：</w:t>
      </w:r>
      <w:r>
        <w:rPr>
          <w:rFonts w:hint="eastAsia" w:ascii="宋体" w:hAnsi="宋体" w:cs="宋体"/>
          <w:color w:val="000000"/>
          <w:sz w:val="24"/>
          <w:u w:val="single"/>
        </w:rPr>
        <w:t xml:space="preserve">                              </w:t>
      </w:r>
    </w:p>
    <w:p>
      <w:pPr>
        <w:tabs>
          <w:tab w:val="left" w:pos="8280"/>
        </w:tabs>
        <w:autoSpaceDE w:val="0"/>
        <w:autoSpaceDN w:val="0"/>
        <w:adjustRightInd w:val="0"/>
        <w:snapToGrid w:val="0"/>
        <w:spacing w:line="360" w:lineRule="auto"/>
        <w:ind w:right="25" w:firstLine="480" w:firstLineChars="200"/>
        <w:rPr>
          <w:rFonts w:ascii="宋体" w:hAnsi="宋体" w:cs="宋体"/>
          <w:color w:val="000000"/>
          <w:sz w:val="24"/>
        </w:rPr>
      </w:pPr>
      <w:r>
        <w:rPr>
          <w:rFonts w:hint="eastAsia" w:ascii="宋体" w:hAnsi="宋体" w:cs="宋体"/>
          <w:color w:val="000000"/>
          <w:sz w:val="24"/>
        </w:rPr>
        <w:t>甲、乙双方根据</w:t>
      </w:r>
      <w:r>
        <w:rPr>
          <w:rFonts w:hint="eastAsia" w:ascii="宋体" w:hAnsi="宋体" w:cs="宋体"/>
          <w:color w:val="000000"/>
          <w:sz w:val="24"/>
          <w:u w:val="single"/>
        </w:rPr>
        <w:t xml:space="preserve">                                    </w:t>
      </w:r>
      <w:r>
        <w:rPr>
          <w:rFonts w:hint="eastAsia" w:ascii="宋体" w:hAnsi="宋体" w:cs="宋体"/>
          <w:color w:val="000000"/>
          <w:sz w:val="24"/>
        </w:rPr>
        <w:t>招标的结果，签署本合同。</w:t>
      </w:r>
    </w:p>
    <w:p>
      <w:pPr>
        <w:snapToGrid w:val="0"/>
        <w:spacing w:line="360" w:lineRule="auto"/>
        <w:ind w:firstLine="200"/>
        <w:rPr>
          <w:rFonts w:ascii="宋体" w:hAnsi="宋体" w:cs="宋体"/>
          <w:color w:val="000000"/>
          <w:sz w:val="24"/>
          <w:lang w:val="zh-CN"/>
        </w:rPr>
      </w:pPr>
      <w:r>
        <w:rPr>
          <w:rFonts w:hint="eastAsia" w:ascii="宋体" w:hAnsi="宋体" w:cs="宋体"/>
          <w:color w:val="000000"/>
          <w:sz w:val="24"/>
          <w:lang w:val="zh-CN"/>
        </w:rPr>
        <w:t xml:space="preserve">一、合同文件： </w:t>
      </w:r>
    </w:p>
    <w:p>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1.合同条款。2.中标通知书。3.更正补充文件。4.招标文件。5.中标供应商投标文件。6.其他。</w:t>
      </w:r>
    </w:p>
    <w:p>
      <w:pPr>
        <w:pStyle w:val="19"/>
        <w:snapToGrid w:val="0"/>
        <w:spacing w:before="156" w:after="156" w:line="360" w:lineRule="auto"/>
        <w:ind w:firstLine="480" w:firstLineChars="200"/>
        <w:rPr>
          <w:rFonts w:hAnsi="宋体" w:cs="宋体"/>
          <w:color w:val="000000"/>
          <w:lang w:val="zh-CN"/>
        </w:rPr>
      </w:pPr>
      <w:r>
        <w:rPr>
          <w:rFonts w:hint="eastAsia" w:hAnsi="宋体" w:cs="宋体"/>
          <w:color w:val="000000"/>
          <w:lang w:val="zh-CN"/>
        </w:rPr>
        <w:t>上述所指合同文件应认为是互相补充和解释的，但是有模棱两可或互相矛盾之处，以其所列内容顺序为准。</w:t>
      </w:r>
    </w:p>
    <w:p>
      <w:pPr>
        <w:pStyle w:val="19"/>
        <w:snapToGrid w:val="0"/>
        <w:spacing w:before="156" w:after="156" w:line="360" w:lineRule="auto"/>
        <w:ind w:firstLine="200"/>
        <w:rPr>
          <w:rFonts w:hAnsi="宋体" w:cs="宋体"/>
          <w:b/>
          <w:color w:val="000000"/>
        </w:rPr>
      </w:pPr>
      <w:r>
        <w:rPr>
          <w:rFonts w:hint="eastAsia" w:hAnsi="宋体" w:cs="宋体"/>
          <w:b/>
          <w:color w:val="000000"/>
        </w:rPr>
        <w:t>二、项目内容：</w:t>
      </w:r>
    </w:p>
    <w:p>
      <w:pPr>
        <w:pStyle w:val="19"/>
        <w:snapToGrid w:val="0"/>
        <w:spacing w:before="156" w:after="156" w:line="360" w:lineRule="auto"/>
        <w:ind w:firstLine="200"/>
        <w:rPr>
          <w:rFonts w:hAnsi="宋体" w:cs="宋体"/>
          <w:b/>
          <w:color w:val="000000"/>
        </w:rPr>
      </w:pPr>
      <w:r>
        <w:rPr>
          <w:rFonts w:hint="eastAsia" w:hAnsi="宋体" w:cs="宋体"/>
          <w:b/>
          <w:color w:val="000000"/>
        </w:rPr>
        <w:t>三、合同金额</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 xml:space="preserve"> 本合同金额为（大写）：____________________________________元（￥_______________元）人民币。</w:t>
      </w:r>
    </w:p>
    <w:p>
      <w:pPr>
        <w:pStyle w:val="19"/>
        <w:snapToGrid w:val="0"/>
        <w:spacing w:before="156" w:after="156" w:line="360" w:lineRule="auto"/>
        <w:ind w:firstLine="200"/>
        <w:rPr>
          <w:rFonts w:hAnsi="宋体" w:cs="宋体"/>
          <w:b/>
          <w:color w:val="000000"/>
        </w:rPr>
      </w:pPr>
      <w:r>
        <w:rPr>
          <w:rFonts w:hint="eastAsia" w:hAnsi="宋体" w:cs="宋体"/>
          <w:b/>
          <w:color w:val="000000"/>
        </w:rPr>
        <w:t>四、技术资料</w:t>
      </w:r>
    </w:p>
    <w:p>
      <w:pPr>
        <w:pStyle w:val="19"/>
        <w:snapToGrid w:val="0"/>
        <w:spacing w:before="156" w:after="156" w:line="360" w:lineRule="auto"/>
        <w:ind w:left="638" w:leftChars="228" w:firstLine="69" w:firstLineChars="29"/>
        <w:rPr>
          <w:rFonts w:hAnsi="宋体" w:cs="宋体"/>
          <w:color w:val="000000"/>
        </w:rPr>
      </w:pPr>
      <w:r>
        <w:rPr>
          <w:rFonts w:hint="eastAsia" w:hAnsi="宋体" w:cs="宋体"/>
          <w:color w:val="000000"/>
        </w:rPr>
        <w:t>1.乙方应按招标文件规定的时间向甲方提供使用货物的有关技术资料。</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9"/>
        <w:snapToGrid w:val="0"/>
        <w:spacing w:before="156" w:after="156" w:line="360" w:lineRule="auto"/>
        <w:ind w:left="412" w:hanging="412" w:hangingChars="171"/>
        <w:rPr>
          <w:rFonts w:hAnsi="宋体" w:cs="宋体"/>
          <w:b/>
          <w:color w:val="000000"/>
        </w:rPr>
      </w:pPr>
      <w:r>
        <w:rPr>
          <w:rFonts w:hint="eastAsia" w:hAnsi="宋体" w:cs="宋体"/>
          <w:b/>
          <w:color w:val="000000"/>
        </w:rPr>
        <w:t>五、知识产权</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1.乙方应保证所提供的货物或其任何一部分均不会侵犯任何第三方的知识产权。</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2.若侵犯,由乙方赔偿甲方因此遭受的损失（包括但不限于应对及追偿过程中所支付的律师费、差旅费、诉讼费、保全费、鉴定费、评估费等）。</w:t>
      </w:r>
    </w:p>
    <w:p>
      <w:pPr>
        <w:pStyle w:val="19"/>
        <w:snapToGrid w:val="0"/>
        <w:spacing w:before="156" w:after="156" w:line="360" w:lineRule="auto"/>
        <w:ind w:firstLine="200"/>
        <w:rPr>
          <w:rFonts w:hAnsi="宋体" w:cs="宋体"/>
          <w:color w:val="000000"/>
          <w:u w:val="single"/>
        </w:rPr>
      </w:pPr>
      <w:r>
        <w:rPr>
          <w:rFonts w:hint="eastAsia" w:hAnsi="宋体" w:cs="宋体"/>
          <w:b/>
          <w:color w:val="000000"/>
        </w:rPr>
        <w:t>六、产权担保</w:t>
      </w:r>
    </w:p>
    <w:p>
      <w:pPr>
        <w:pStyle w:val="19"/>
        <w:snapToGrid w:val="0"/>
        <w:spacing w:before="156" w:after="156" w:line="360" w:lineRule="auto"/>
        <w:ind w:firstLine="480" w:firstLineChars="200"/>
        <w:rPr>
          <w:rFonts w:hAnsi="宋体" w:cs="宋体"/>
          <w:color w:val="000000"/>
          <w:u w:val="single"/>
        </w:rPr>
      </w:pPr>
      <w:r>
        <w:rPr>
          <w:rFonts w:hint="eastAsia" w:hAnsi="宋体" w:cs="宋体"/>
          <w:color w:val="000000"/>
        </w:rPr>
        <w:t>乙方保证所交付的货物的所有权完全属于乙方且无任何抵押、查封等产权瑕疵。</w:t>
      </w:r>
    </w:p>
    <w:p>
      <w:pPr>
        <w:pStyle w:val="19"/>
        <w:snapToGrid w:val="0"/>
        <w:spacing w:before="156" w:after="156" w:line="360" w:lineRule="auto"/>
        <w:ind w:left="410" w:hanging="410" w:hangingChars="170"/>
        <w:rPr>
          <w:rFonts w:hAnsi="宋体" w:cs="宋体"/>
          <w:b/>
          <w:color w:val="000000"/>
        </w:rPr>
      </w:pPr>
      <w:r>
        <w:rPr>
          <w:rFonts w:hint="eastAsia" w:hAnsi="宋体" w:cs="宋体"/>
          <w:b/>
          <w:color w:val="000000"/>
        </w:rPr>
        <w:t>七、履约保证金</w:t>
      </w:r>
    </w:p>
    <w:p>
      <w:pPr>
        <w:tabs>
          <w:tab w:val="left" w:pos="1418"/>
        </w:tabs>
        <w:autoSpaceDE w:val="0"/>
        <w:autoSpaceDN w:val="0"/>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本项目履约保证金为合同金额的_5_%。</w:t>
      </w:r>
    </w:p>
    <w:p>
      <w:pPr>
        <w:pStyle w:val="19"/>
        <w:snapToGrid w:val="0"/>
        <w:spacing w:before="156" w:after="156" w:line="360" w:lineRule="auto"/>
        <w:ind w:left="410" w:hanging="410" w:hangingChars="170"/>
        <w:rPr>
          <w:rFonts w:hAnsi="宋体" w:cs="宋体"/>
          <w:b/>
          <w:color w:val="000000"/>
        </w:rPr>
      </w:pPr>
      <w:r>
        <w:rPr>
          <w:rFonts w:hint="eastAsia" w:hAnsi="宋体" w:cs="宋体"/>
          <w:b/>
          <w:color w:val="000000"/>
        </w:rPr>
        <w:t>八、转包或分包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1.允许分包部分。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2.除非得到甲方的书面同意，乙方不得将本合同范围的货物全部或部分分包给他人供应；</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3.如有转让和未经甲方同意的分包行为，甲方有权解除合同，没收履约保证金并追究乙方的违约责任。</w:t>
      </w:r>
    </w:p>
    <w:p>
      <w:pPr>
        <w:pStyle w:val="19"/>
        <w:snapToGrid w:val="0"/>
        <w:spacing w:before="156" w:after="156" w:line="360" w:lineRule="auto"/>
        <w:ind w:firstLine="200"/>
        <w:rPr>
          <w:rFonts w:hAnsi="宋体" w:cs="宋体"/>
          <w:color w:val="000000"/>
        </w:rPr>
      </w:pPr>
      <w:r>
        <w:rPr>
          <w:rFonts w:hint="eastAsia" w:hAnsi="宋体" w:cs="宋体"/>
          <w:b/>
          <w:color w:val="000000"/>
        </w:rPr>
        <w:t>九、质保期</w:t>
      </w:r>
    </w:p>
    <w:p>
      <w:pPr>
        <w:pStyle w:val="19"/>
        <w:snapToGrid w:val="0"/>
        <w:spacing w:before="156" w:after="156" w:line="360" w:lineRule="auto"/>
        <w:ind w:left="638" w:leftChars="228" w:firstLine="69" w:firstLineChars="29"/>
        <w:rPr>
          <w:rFonts w:hAnsi="宋体" w:cs="宋体"/>
          <w:color w:val="000000"/>
        </w:rPr>
      </w:pPr>
      <w:r>
        <w:rPr>
          <w:rFonts w:hint="eastAsia" w:hAnsi="宋体" w:cs="宋体"/>
          <w:bCs/>
          <w:color w:val="000000"/>
        </w:rPr>
        <w:t>1. 质保期2年。</w:t>
      </w:r>
      <w:r>
        <w:rPr>
          <w:rFonts w:hint="eastAsia" w:hAnsi="宋体" w:cs="宋体"/>
          <w:color w:val="000000"/>
        </w:rPr>
        <w:t>（自交货验收合格之日起计）</w:t>
      </w:r>
    </w:p>
    <w:p>
      <w:pPr>
        <w:pStyle w:val="19"/>
        <w:snapToGrid w:val="0"/>
        <w:spacing w:before="156" w:after="156" w:line="360" w:lineRule="auto"/>
        <w:ind w:firstLine="200"/>
        <w:rPr>
          <w:rFonts w:hAnsi="宋体" w:cs="宋体"/>
          <w:b/>
          <w:color w:val="000000"/>
        </w:rPr>
      </w:pPr>
      <w:r>
        <w:rPr>
          <w:rFonts w:hint="eastAsia" w:hAnsi="宋体" w:cs="宋体"/>
          <w:b/>
          <w:color w:val="000000"/>
        </w:rPr>
        <w:t>十、交货期、交货方式及交货地点</w:t>
      </w:r>
    </w:p>
    <w:p>
      <w:pPr>
        <w:pStyle w:val="19"/>
        <w:snapToGrid w:val="0"/>
        <w:spacing w:before="156" w:after="156" w:line="360" w:lineRule="auto"/>
        <w:ind w:firstLine="480" w:firstLineChars="200"/>
        <w:rPr>
          <w:rFonts w:hAnsi="宋体" w:cs="宋体"/>
          <w:bCs/>
          <w:color w:val="000000"/>
        </w:rPr>
      </w:pPr>
      <w:r>
        <w:rPr>
          <w:rFonts w:hint="eastAsia" w:hAnsi="宋体" w:cs="宋体"/>
          <w:bCs/>
          <w:color w:val="000000"/>
        </w:rPr>
        <w:t>1. 施工期：合同签订后15个月内。</w:t>
      </w:r>
    </w:p>
    <w:p>
      <w:pPr>
        <w:pStyle w:val="19"/>
        <w:snapToGrid w:val="0"/>
        <w:spacing w:before="156" w:after="156" w:line="360" w:lineRule="auto"/>
        <w:ind w:firstLine="480" w:firstLineChars="200"/>
        <w:rPr>
          <w:rFonts w:hAnsi="宋体" w:cs="宋体"/>
          <w:bCs/>
          <w:color w:val="000000"/>
        </w:rPr>
      </w:pPr>
      <w:r>
        <w:rPr>
          <w:rFonts w:hint="eastAsia" w:hAnsi="宋体" w:cs="宋体"/>
          <w:bCs/>
          <w:color w:val="000000"/>
        </w:rPr>
        <w:t>2. 交货方式：</w:t>
      </w:r>
    </w:p>
    <w:p>
      <w:pPr>
        <w:pStyle w:val="19"/>
        <w:snapToGrid w:val="0"/>
        <w:spacing w:before="156" w:after="156" w:line="360" w:lineRule="auto"/>
        <w:ind w:firstLine="480" w:firstLineChars="200"/>
        <w:rPr>
          <w:rFonts w:hAnsi="宋体" w:cs="宋体"/>
          <w:b/>
          <w:color w:val="000000"/>
        </w:rPr>
      </w:pPr>
      <w:r>
        <w:rPr>
          <w:rFonts w:hint="eastAsia" w:hAnsi="宋体" w:cs="宋体"/>
          <w:bCs/>
          <w:color w:val="000000"/>
        </w:rPr>
        <w:t>3. 交货地点：</w:t>
      </w:r>
    </w:p>
    <w:p>
      <w:pPr>
        <w:pStyle w:val="19"/>
        <w:snapToGrid w:val="0"/>
        <w:spacing w:before="156" w:after="156" w:line="360" w:lineRule="auto"/>
        <w:ind w:firstLine="200"/>
        <w:rPr>
          <w:rFonts w:hAnsi="宋体" w:cs="宋体"/>
          <w:b/>
          <w:color w:val="000000"/>
        </w:rPr>
      </w:pPr>
      <w:r>
        <w:rPr>
          <w:rFonts w:hint="eastAsia" w:hAnsi="宋体" w:cs="宋体"/>
          <w:b/>
          <w:color w:val="000000"/>
        </w:rPr>
        <w:t>十一、货款支付</w:t>
      </w:r>
    </w:p>
    <w:p>
      <w:pPr>
        <w:pStyle w:val="72"/>
        <w:snapToGrid w:val="0"/>
        <w:ind w:firstLine="200"/>
        <w:rPr>
          <w:rFonts w:hint="eastAsia" w:ascii="宋体" w:hAnsi="宋体"/>
          <w:szCs w:val="24"/>
        </w:rPr>
      </w:pPr>
      <w:r>
        <w:rPr>
          <w:rFonts w:hint="eastAsia" w:ascii="宋体" w:hAnsi="宋体"/>
          <w:szCs w:val="24"/>
        </w:rPr>
        <w:t xml:space="preserve">1. </w:t>
      </w:r>
      <w:r>
        <w:rPr>
          <w:rFonts w:hint="eastAsia" w:ascii="宋体" w:hAnsi="宋体"/>
          <w:bCs/>
          <w:color w:val="000000"/>
        </w:rPr>
        <w:t>付款方式：</w:t>
      </w:r>
      <w:r>
        <w:rPr>
          <w:rFonts w:hint="eastAsia" w:ascii="宋体" w:hAnsi="宋体" w:cs="Times New Roman"/>
          <w:color w:val="0D0D0D"/>
          <w:szCs w:val="24"/>
        </w:rPr>
        <w:t>合同签订后甲方支付总价的30%；完成系统初步功能框架搭建10个工作日内支付合同金额的15%；项目调试完毕，初验合格整体试运行正常后一个月内支付合同金额的35%，试运行满三个月终验合格后一个月内支付合同总价的20%，发票应随付款进度及时提供。</w:t>
      </w:r>
    </w:p>
    <w:p>
      <w:pPr>
        <w:pStyle w:val="19"/>
        <w:snapToGrid w:val="0"/>
        <w:spacing w:before="156" w:after="156" w:line="360" w:lineRule="auto"/>
        <w:ind w:firstLine="480" w:firstLineChars="200"/>
        <w:rPr>
          <w:rFonts w:hAnsi="宋体" w:cs="宋体"/>
          <w:color w:val="000000"/>
        </w:rPr>
      </w:pPr>
      <w:r>
        <w:rPr>
          <w:rFonts w:hint="eastAsia" w:hAnsi="宋体" w:cs="宋体"/>
          <w:color w:val="000000"/>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200"/>
        <w:rPr>
          <w:rFonts w:ascii="宋体" w:hAnsi="宋体" w:cs="宋体"/>
          <w:b/>
          <w:color w:val="000000"/>
          <w:sz w:val="24"/>
        </w:rPr>
      </w:pPr>
      <w:r>
        <w:rPr>
          <w:rFonts w:hint="eastAsia" w:ascii="宋体" w:hAnsi="宋体" w:cs="宋体"/>
          <w:b/>
          <w:color w:val="000000"/>
          <w:sz w:val="24"/>
        </w:rPr>
        <w:t>十二、税费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本合同执行中相关的一切税费均由乙方负担。</w:t>
      </w:r>
    </w:p>
    <w:p>
      <w:pPr>
        <w:pStyle w:val="19"/>
        <w:snapToGrid w:val="0"/>
        <w:spacing w:before="156" w:after="156" w:line="360" w:lineRule="auto"/>
        <w:ind w:left="412" w:hanging="412" w:hangingChars="171"/>
        <w:rPr>
          <w:rFonts w:hAnsi="宋体" w:cs="宋体"/>
          <w:color w:val="000000"/>
        </w:rPr>
      </w:pPr>
      <w:r>
        <w:rPr>
          <w:rFonts w:hint="eastAsia" w:hAnsi="宋体" w:cs="宋体"/>
          <w:b/>
          <w:color w:val="000000"/>
        </w:rPr>
        <w:t>十三、质量保证及售后服务</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1. 乙方应按招标文件规定的货物性能、技术要求、质量标准向甲方提供未经使用的全新产品。</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2. 乙方提供的货物在质保期内因货物本身的质量问题发生故障，乙方应负责免费更换。对达不到技术要求者，根据实际情况，经双方协商，可按以下办法处理：</w:t>
      </w:r>
    </w:p>
    <w:p>
      <w:pPr>
        <w:pStyle w:val="19"/>
        <w:snapToGrid w:val="0"/>
        <w:spacing w:before="156" w:after="156" w:line="360" w:lineRule="auto"/>
        <w:ind w:firstLine="240" w:firstLineChars="100"/>
        <w:rPr>
          <w:rFonts w:hAnsi="宋体" w:cs="宋体"/>
          <w:color w:val="000000"/>
        </w:rPr>
      </w:pPr>
      <w:r>
        <w:rPr>
          <w:rFonts w:hint="eastAsia" w:hAnsi="宋体" w:cs="宋体"/>
          <w:color w:val="000000"/>
        </w:rPr>
        <w:t>（1）更换：由乙方承担所发生的全部费用。</w:t>
      </w:r>
    </w:p>
    <w:p>
      <w:pPr>
        <w:pStyle w:val="19"/>
        <w:snapToGrid w:val="0"/>
        <w:spacing w:before="156" w:after="156" w:line="360" w:lineRule="auto"/>
        <w:ind w:firstLine="240" w:firstLineChars="100"/>
        <w:rPr>
          <w:rFonts w:hAnsi="宋体" w:cs="宋体"/>
          <w:color w:val="000000"/>
        </w:rPr>
      </w:pPr>
      <w:r>
        <w:rPr>
          <w:rFonts w:hint="eastAsia" w:hAnsi="宋体" w:cs="宋体"/>
          <w:color w:val="000000"/>
        </w:rPr>
        <w:t>（2）贬值处理：由甲乙双方合议定价。</w:t>
      </w:r>
    </w:p>
    <w:p>
      <w:pPr>
        <w:pStyle w:val="19"/>
        <w:snapToGrid w:val="0"/>
        <w:spacing w:before="156" w:after="156" w:line="360" w:lineRule="auto"/>
        <w:ind w:firstLine="240" w:firstLineChars="100"/>
        <w:rPr>
          <w:rFonts w:hAnsi="宋体" w:cs="宋体"/>
          <w:color w:val="000000"/>
        </w:rPr>
      </w:pPr>
      <w:r>
        <w:rPr>
          <w:rFonts w:hint="eastAsia" w:hAnsi="宋体" w:cs="宋体"/>
          <w:color w:val="000000"/>
        </w:rPr>
        <w:t>（3）退货处理：乙方应退还甲方支付的合同款，同时应承担该货物的直接费用（运输、保险、检验、货款利息及银行手续费等）。</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3. 如在使用过程中发生质量问题，乙方在接到甲方通知后在小时内到达甲方现场。</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4. 在质保期内，乙方应对货物出现的质量及安全问题负责处理解决并承担一切费用。</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5.上述的货物免费保修期为2年，因人为因素出现的故障不在免费保修范围内。超过保修期的机器设备，终生维修，维修时只收部件成本费。</w:t>
      </w:r>
    </w:p>
    <w:p>
      <w:pPr>
        <w:pStyle w:val="19"/>
        <w:snapToGrid w:val="0"/>
        <w:spacing w:before="156" w:after="156" w:line="360" w:lineRule="auto"/>
        <w:ind w:firstLine="200"/>
        <w:rPr>
          <w:rFonts w:hAnsi="宋体" w:cs="宋体"/>
          <w:b/>
          <w:color w:val="000000"/>
        </w:rPr>
      </w:pPr>
      <w:r>
        <w:rPr>
          <w:rFonts w:hint="eastAsia" w:hAnsi="宋体" w:cs="宋体"/>
          <w:b/>
          <w:color w:val="000000"/>
        </w:rPr>
        <w:t>十四、调试和验收</w:t>
      </w:r>
    </w:p>
    <w:p>
      <w:pPr>
        <w:pStyle w:val="19"/>
        <w:snapToGrid w:val="0"/>
        <w:spacing w:before="156" w:after="156" w:line="360" w:lineRule="auto"/>
        <w:ind w:firstLine="360" w:firstLineChars="150"/>
        <w:rPr>
          <w:rFonts w:hAnsi="宋体" w:cs="宋体"/>
          <w:color w:val="000000"/>
        </w:rPr>
      </w:pPr>
      <w:r>
        <w:rPr>
          <w:rFonts w:hint="eastAsia" w:hAnsi="宋体" w:cs="宋体"/>
          <w:color w:val="000000"/>
        </w:rPr>
        <w:t>1. 乙方负责仪器设备从安装、调试、试运行到验收合格前的全部运行维护工作,所有费用包括在合同总价中，在验收合格前，业主不负责仪器的运行维护。</w:t>
      </w:r>
    </w:p>
    <w:p>
      <w:pPr>
        <w:pStyle w:val="19"/>
        <w:snapToGrid w:val="0"/>
        <w:spacing w:before="156" w:after="156" w:line="360" w:lineRule="auto"/>
        <w:ind w:firstLine="360" w:firstLineChars="150"/>
        <w:rPr>
          <w:rFonts w:hAnsi="宋体" w:cs="宋体"/>
          <w:color w:val="000000"/>
        </w:rPr>
      </w:pPr>
      <w:r>
        <w:rPr>
          <w:rFonts w:hint="eastAsia" w:hAnsi="宋体" w:cs="宋体"/>
          <w:color w:val="000000"/>
        </w:rPr>
        <w:t>2.按照相关技术规范具备验收条件后，乙方以书面形式向业主提交验收报告及验收申请，业主审核同意后组织验收组进行。业主只接收验收合格的设备。</w:t>
      </w:r>
    </w:p>
    <w:p>
      <w:pPr>
        <w:pStyle w:val="19"/>
        <w:snapToGrid w:val="0"/>
        <w:spacing w:before="156" w:after="156" w:line="360" w:lineRule="auto"/>
        <w:ind w:firstLine="200"/>
        <w:rPr>
          <w:rFonts w:hAnsi="宋体" w:cs="宋体"/>
          <w:b/>
          <w:color w:val="000000"/>
        </w:rPr>
      </w:pPr>
      <w:r>
        <w:rPr>
          <w:rFonts w:hint="eastAsia" w:hAnsi="宋体" w:cs="宋体"/>
          <w:b/>
          <w:color w:val="000000"/>
        </w:rPr>
        <w:t>十五、货物包装、发运及运输</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1. 乙方应在货物发运前对其进行满足运输距离、防潮、防震、防锈和防破损装卸等要求包装，以保证货物安全运达甲方指定地点。</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2. 使用说明书、质量检验证明书、随配附件和工具以及清单一并附于货物内。</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3. 乙方在货物发运手续办理完毕后24小时内或货到甲方48小时前通知甲方，以准备接货。</w:t>
      </w:r>
    </w:p>
    <w:p>
      <w:pPr>
        <w:pStyle w:val="19"/>
        <w:snapToGrid w:val="0"/>
        <w:spacing w:before="156" w:after="156" w:line="360" w:lineRule="auto"/>
        <w:ind w:left="638" w:leftChars="228" w:firstLine="200"/>
        <w:rPr>
          <w:rFonts w:hAnsi="宋体" w:cs="宋体"/>
          <w:color w:val="000000"/>
        </w:rPr>
      </w:pPr>
      <w:r>
        <w:rPr>
          <w:rFonts w:hint="eastAsia" w:hAnsi="宋体" w:cs="宋体"/>
          <w:color w:val="000000"/>
        </w:rPr>
        <w:t>4. 货物在交付甲方前发生的风险均由乙方负责。</w:t>
      </w:r>
    </w:p>
    <w:p>
      <w:pPr>
        <w:pStyle w:val="19"/>
        <w:snapToGrid w:val="0"/>
        <w:spacing w:before="156" w:after="156" w:line="360" w:lineRule="auto"/>
        <w:ind w:right="26" w:firstLine="200"/>
        <w:rPr>
          <w:rFonts w:hAnsi="宋体" w:cs="宋体"/>
          <w:color w:val="000000"/>
        </w:rPr>
      </w:pPr>
      <w:r>
        <w:rPr>
          <w:rFonts w:hint="eastAsia" w:hAnsi="宋体" w:cs="宋体"/>
          <w:color w:val="000000"/>
        </w:rPr>
        <w:t>5. 货物在规定的交付期限内由乙方送达甲方指定的地点视为交付，乙方同时需通知甲方货物已送达。</w:t>
      </w:r>
    </w:p>
    <w:p>
      <w:pPr>
        <w:pStyle w:val="19"/>
        <w:snapToGrid w:val="0"/>
        <w:spacing w:before="156" w:after="156" w:line="360" w:lineRule="auto"/>
        <w:ind w:firstLine="200"/>
        <w:rPr>
          <w:rFonts w:hAnsi="宋体" w:cs="宋体"/>
          <w:b/>
          <w:color w:val="000000"/>
        </w:rPr>
      </w:pPr>
      <w:r>
        <w:rPr>
          <w:rFonts w:hint="eastAsia" w:hAnsi="宋体" w:cs="宋体"/>
          <w:b/>
          <w:color w:val="000000"/>
        </w:rPr>
        <w:t>十六、违约责任</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1. 甲方无正当理由拒收货物的，甲方向乙方偿付拒收货款总值的</w:t>
      </w:r>
      <w:r>
        <w:rPr>
          <w:rFonts w:hint="eastAsia" w:hAnsi="宋体" w:cs="宋体"/>
          <w:color w:val="000000"/>
          <w:u w:val="single"/>
        </w:rPr>
        <w:t>百分之五</w:t>
      </w:r>
      <w:r>
        <w:rPr>
          <w:rFonts w:hint="eastAsia" w:hAnsi="宋体" w:cs="宋体"/>
          <w:color w:val="000000"/>
        </w:rPr>
        <w:t>违约金。</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2. 甲方无故逾期验收和办理货款支付手续的,甲方应按逾期付款总额每日</w:t>
      </w:r>
      <w:r>
        <w:rPr>
          <w:rFonts w:hint="eastAsia" w:hAnsi="宋体" w:cs="宋体"/>
          <w:color w:val="000000"/>
          <w:u w:val="single"/>
        </w:rPr>
        <w:t>万分之五</w:t>
      </w:r>
      <w:r>
        <w:rPr>
          <w:rFonts w:hint="eastAsia" w:hAnsi="宋体" w:cs="宋体"/>
          <w:color w:val="000000"/>
        </w:rPr>
        <w:t>向乙方支付违约金。</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3. 乙方逾期交付货物的，乙方应按逾期交货总额每日</w:t>
      </w:r>
      <w:r>
        <w:rPr>
          <w:rFonts w:hint="eastAsia" w:hAnsi="宋体" w:cs="宋体"/>
          <w:color w:val="000000"/>
          <w:u w:val="single"/>
        </w:rPr>
        <w:t>千分之六</w:t>
      </w:r>
      <w:r>
        <w:rPr>
          <w:rFonts w:hint="eastAsia" w:hAnsi="宋体" w:cs="宋体"/>
          <w:color w:val="000000"/>
        </w:rPr>
        <w:t>向甲方支付违约金，由甲方从待付货款中扣除。逾期超过约定日期</w:t>
      </w:r>
      <w:r>
        <w:rPr>
          <w:rFonts w:hint="eastAsia" w:hAnsi="宋体" w:cs="宋体"/>
          <w:color w:val="000000"/>
          <w:u w:val="single"/>
        </w:rPr>
        <w:t>10</w:t>
      </w:r>
      <w:r>
        <w:rPr>
          <w:rFonts w:hint="eastAsia" w:hAnsi="宋体" w:cs="宋体"/>
          <w:color w:val="000000"/>
        </w:rPr>
        <w:t>个工作日不能交货的，甲方可解除本合同。乙方因逾期交货或因其他违约行为导致甲方解除合同的，乙方应向甲方支付合同总值</w:t>
      </w:r>
      <w:r>
        <w:rPr>
          <w:rFonts w:hint="eastAsia" w:hAnsi="宋体" w:cs="宋体"/>
          <w:color w:val="000000"/>
          <w:u w:val="single"/>
        </w:rPr>
        <w:t>5%</w:t>
      </w:r>
      <w:r>
        <w:rPr>
          <w:rFonts w:hint="eastAsia" w:hAnsi="宋体" w:cs="宋体"/>
          <w:color w:val="000000"/>
        </w:rPr>
        <w:t xml:space="preserve">的违约金，如造成甲方损失超过违约金的，超出部分由乙方继续承担赔偿责任。 </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5.若发生纠纷，由违约方赔偿守约方因纠纷所支付的费用（包括但不限于律师费、差旅费、诉讼费、保全费、鉴定费、评估费等）</w:t>
      </w:r>
    </w:p>
    <w:p>
      <w:pPr>
        <w:pStyle w:val="19"/>
        <w:snapToGrid w:val="0"/>
        <w:spacing w:before="156" w:after="156" w:line="360" w:lineRule="auto"/>
        <w:ind w:firstLine="200"/>
        <w:rPr>
          <w:rFonts w:hAnsi="宋体" w:cs="宋体"/>
          <w:b/>
          <w:color w:val="000000"/>
        </w:rPr>
      </w:pPr>
      <w:r>
        <w:rPr>
          <w:rFonts w:hint="eastAsia" w:hAnsi="宋体" w:cs="宋体"/>
          <w:b/>
          <w:color w:val="000000"/>
        </w:rPr>
        <w:t>十七、不可抗力事件处理</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1.在合同有效期内，任何一方因不可抗力事件导致不能履行合同，则合同履行期可延长，其延长期与不可抗力影响期相同。</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2.不可抗力事件发生后，应立即通知对方，并寄送有关权威机构出具的证明。</w:t>
      </w:r>
    </w:p>
    <w:p>
      <w:pPr>
        <w:pStyle w:val="19"/>
        <w:snapToGrid w:val="0"/>
        <w:spacing w:before="156" w:after="156" w:line="360" w:lineRule="auto"/>
        <w:ind w:firstLine="480" w:firstLineChars="200"/>
        <w:rPr>
          <w:rFonts w:hAnsi="宋体" w:cs="宋体"/>
          <w:color w:val="000000"/>
        </w:rPr>
      </w:pPr>
      <w:r>
        <w:rPr>
          <w:rFonts w:hint="eastAsia" w:hAnsi="宋体" w:cs="宋体"/>
          <w:color w:val="000000"/>
        </w:rPr>
        <w:t>3.不可抗力事件延续120天以上，双方应通过友好协商，确定是否继续履行合同。</w:t>
      </w:r>
    </w:p>
    <w:p>
      <w:pPr>
        <w:pStyle w:val="19"/>
        <w:snapToGrid w:val="0"/>
        <w:spacing w:before="156" w:after="156" w:line="360" w:lineRule="auto"/>
        <w:ind w:firstLine="200"/>
        <w:rPr>
          <w:rFonts w:hAnsi="宋体" w:cs="宋体"/>
          <w:b/>
          <w:color w:val="000000"/>
        </w:rPr>
      </w:pPr>
      <w:r>
        <w:rPr>
          <w:rFonts w:hint="eastAsia" w:hAnsi="宋体" w:cs="宋体"/>
          <w:b/>
          <w:color w:val="000000"/>
        </w:rPr>
        <w:t>十八、解决争议的方法</w:t>
      </w:r>
    </w:p>
    <w:p>
      <w:pPr>
        <w:pStyle w:val="19"/>
        <w:snapToGrid w:val="0"/>
        <w:spacing w:before="156" w:after="156" w:line="360" w:lineRule="auto"/>
        <w:ind w:firstLine="480" w:firstLineChars="200"/>
        <w:jc w:val="left"/>
        <w:rPr>
          <w:rFonts w:hAnsi="宋体" w:cs="宋体"/>
          <w:color w:val="000000"/>
        </w:rPr>
      </w:pPr>
      <w:r>
        <w:rPr>
          <w:rFonts w:hint="eastAsia" w:hAnsi="宋体" w:cs="宋体"/>
          <w:color w:val="000000"/>
        </w:rPr>
        <w:t>1.如双方在履行合同时发生纠纷，应协商解决；协商不成时，可提请政府采购管理部门调解；调解不成的通过以下方式解决（两种解决方式只能择其一）：</w:t>
      </w:r>
      <w:r>
        <w:rPr>
          <w:rFonts w:hint="eastAsia" w:hAnsi="宋体" w:cs="宋体"/>
          <w:color w:val="000000"/>
        </w:rPr>
        <w:br w:type="textWrapping"/>
      </w:r>
      <w:r>
        <w:rPr>
          <w:rFonts w:hint="eastAsia" w:hAnsi="宋体" w:cs="宋体"/>
          <w:color w:val="000000"/>
        </w:rPr>
        <w:t xml:space="preserve">  （1）提交台州仲裁委员会仲裁。</w:t>
      </w:r>
      <w:r>
        <w:rPr>
          <w:rFonts w:hint="eastAsia" w:hAnsi="宋体" w:cs="宋体"/>
          <w:color w:val="000000"/>
        </w:rPr>
        <w:br w:type="textWrapping"/>
      </w:r>
      <w:r>
        <w:rPr>
          <w:rFonts w:hint="eastAsia" w:hAnsi="宋体" w:cs="宋体"/>
          <w:color w:val="000000"/>
        </w:rPr>
        <w:t xml:space="preserve">  （2）依法向甲方所在地人民法院提起诉讼。</w:t>
      </w:r>
    </w:p>
    <w:p>
      <w:pPr>
        <w:pStyle w:val="19"/>
        <w:tabs>
          <w:tab w:val="left" w:pos="5790"/>
        </w:tabs>
        <w:snapToGrid w:val="0"/>
        <w:spacing w:before="156" w:after="156" w:line="360" w:lineRule="auto"/>
        <w:ind w:firstLine="200"/>
        <w:rPr>
          <w:rFonts w:hAnsi="宋体" w:cs="宋体"/>
          <w:b/>
          <w:color w:val="000000"/>
        </w:rPr>
      </w:pPr>
      <w:r>
        <w:rPr>
          <w:rFonts w:hint="eastAsia" w:hAnsi="宋体" w:cs="宋体"/>
          <w:b/>
          <w:color w:val="000000"/>
        </w:rPr>
        <w:t>十九、合同生效及其它</w:t>
      </w:r>
      <w:r>
        <w:rPr>
          <w:rFonts w:hint="eastAsia" w:hAnsi="宋体" w:cs="宋体"/>
          <w:b/>
          <w:color w:val="000000"/>
        </w:rPr>
        <w:tab/>
      </w:r>
    </w:p>
    <w:p>
      <w:pPr>
        <w:pStyle w:val="15"/>
        <w:snapToGrid w:val="0"/>
        <w:spacing w:after="0" w:line="360" w:lineRule="auto"/>
        <w:ind w:right="-88" w:firstLine="480" w:firstLineChars="200"/>
        <w:rPr>
          <w:rFonts w:ascii="宋体" w:hAnsi="宋体" w:cs="宋体"/>
          <w:color w:val="000000"/>
          <w:sz w:val="24"/>
        </w:rPr>
      </w:pPr>
      <w:r>
        <w:rPr>
          <w:rFonts w:hint="eastAsia" w:ascii="宋体" w:hAnsi="宋体" w:cs="宋体"/>
          <w:color w:val="000000"/>
          <w:sz w:val="24"/>
        </w:rPr>
        <w:t>1.合同经双方法定代表人或授权代表签字并加盖单位公章后生效。</w:t>
      </w:r>
    </w:p>
    <w:p>
      <w:pPr>
        <w:pStyle w:val="15"/>
        <w:snapToGrid w:val="0"/>
        <w:spacing w:after="0" w:line="360" w:lineRule="auto"/>
        <w:ind w:right="-88" w:firstLine="480" w:firstLineChars="200"/>
        <w:rPr>
          <w:rFonts w:ascii="宋体" w:hAnsi="宋体" w:cs="宋体"/>
          <w:color w:val="000000"/>
          <w:sz w:val="24"/>
        </w:rPr>
      </w:pPr>
      <w:r>
        <w:rPr>
          <w:rFonts w:hint="eastAsia" w:ascii="宋体" w:hAnsi="宋体" w:cs="宋体"/>
          <w:color w:val="000000"/>
          <w:sz w:val="24"/>
        </w:rPr>
        <w:t>2.本合同未尽事宜，遵照《合同法》有关条文执行。</w:t>
      </w:r>
    </w:p>
    <w:p>
      <w:pPr>
        <w:pStyle w:val="15"/>
        <w:snapToGrid w:val="0"/>
        <w:spacing w:after="0" w:line="360" w:lineRule="auto"/>
        <w:ind w:right="-88" w:firstLine="480" w:firstLineChars="200"/>
        <w:rPr>
          <w:rFonts w:ascii="宋体" w:hAnsi="宋体" w:cs="宋体"/>
          <w:color w:val="000000"/>
          <w:sz w:val="24"/>
        </w:rPr>
      </w:pPr>
      <w:r>
        <w:rPr>
          <w:rFonts w:hint="eastAsia" w:ascii="宋体" w:hAnsi="宋体" w:cs="宋体"/>
          <w:color w:val="000000"/>
          <w:sz w:val="24"/>
        </w:rPr>
        <w:t>3.本合同一式陆份。甲、乙双方各执贰份，采购组织机构及同级人民政府财政部门各执一份。本项目未尽事宜以招标文件、投标文件及澄清文件等为准。</w:t>
      </w:r>
    </w:p>
    <w:p>
      <w:pPr>
        <w:pStyle w:val="15"/>
        <w:spacing w:line="360" w:lineRule="auto"/>
        <w:ind w:right="-88" w:firstLine="480" w:firstLineChars="200"/>
        <w:rPr>
          <w:rFonts w:ascii="宋体" w:hAnsi="宋体" w:cs="宋体"/>
          <w:color w:val="000000"/>
          <w:sz w:val="24"/>
        </w:rPr>
      </w:pPr>
    </w:p>
    <w:p>
      <w:pPr>
        <w:pStyle w:val="15"/>
        <w:spacing w:line="360" w:lineRule="auto"/>
        <w:ind w:right="-88" w:firstLine="480" w:firstLineChars="200"/>
        <w:rPr>
          <w:rFonts w:ascii="宋体" w:hAnsi="宋体" w:cs="宋体"/>
          <w:color w:val="000000"/>
          <w:sz w:val="24"/>
        </w:rPr>
      </w:pPr>
    </w:p>
    <w:p>
      <w:pPr>
        <w:snapToGrid w:val="0"/>
        <w:spacing w:line="360" w:lineRule="auto"/>
        <w:rPr>
          <w:rFonts w:ascii="宋体" w:hAnsi="宋体" w:cs="宋体"/>
          <w:color w:val="000000"/>
          <w:sz w:val="24"/>
        </w:rPr>
      </w:pPr>
      <w:r>
        <w:rPr>
          <w:rFonts w:hint="eastAsia" w:ascii="宋体" w:hAnsi="宋体" w:cs="宋体"/>
          <w:color w:val="000000"/>
          <w:sz w:val="24"/>
        </w:rPr>
        <w:t>甲    方：                            乙    方：</w:t>
      </w:r>
    </w:p>
    <w:p>
      <w:pPr>
        <w:snapToGrid w:val="0"/>
        <w:spacing w:line="360" w:lineRule="auto"/>
        <w:rPr>
          <w:rFonts w:ascii="宋体" w:hAnsi="宋体" w:cs="宋体"/>
          <w:color w:val="000000"/>
          <w:sz w:val="24"/>
        </w:rPr>
      </w:pPr>
      <w:r>
        <w:rPr>
          <w:rFonts w:hint="eastAsia" w:ascii="宋体" w:hAnsi="宋体" w:cs="宋体"/>
          <w:color w:val="000000"/>
          <w:sz w:val="24"/>
        </w:rPr>
        <w:t xml:space="preserve">签字盖章：                            签字盖章： </w:t>
      </w:r>
    </w:p>
    <w:p>
      <w:pPr>
        <w:snapToGrid w:val="0"/>
        <w:spacing w:line="360" w:lineRule="auto"/>
        <w:rPr>
          <w:rFonts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rPr>
          <w:rFonts w:ascii="宋体" w:hAnsi="宋体" w:cs="宋体"/>
          <w:color w:val="000000"/>
          <w:sz w:val="24"/>
        </w:rPr>
      </w:pPr>
      <w:r>
        <w:rPr>
          <w:rFonts w:hint="eastAsia" w:ascii="宋体" w:hAnsi="宋体" w:cs="宋体"/>
          <w:color w:val="000000"/>
          <w:sz w:val="24"/>
        </w:rPr>
        <w:t xml:space="preserve">银行账号：                            银行账号： </w:t>
      </w:r>
    </w:p>
    <w:p>
      <w:pPr>
        <w:snapToGrid w:val="0"/>
        <w:spacing w:line="360" w:lineRule="auto"/>
        <w:rPr>
          <w:rFonts w:ascii="宋体" w:hAnsi="宋体" w:cs="宋体"/>
          <w:color w:val="000000"/>
          <w:sz w:val="24"/>
        </w:rPr>
      </w:pPr>
      <w:r>
        <w:rPr>
          <w:rFonts w:hint="eastAsia" w:ascii="宋体" w:hAnsi="宋体" w:cs="宋体"/>
          <w:color w:val="000000"/>
          <w:sz w:val="24"/>
        </w:rPr>
        <w:t>日    期：                            日    期：</w:t>
      </w:r>
    </w:p>
    <w:p>
      <w:pPr>
        <w:rPr>
          <w:rFonts w:ascii="宋体" w:hAnsi="宋体" w:cs="宋体"/>
          <w:color w:val="000000"/>
          <w:sz w:val="24"/>
        </w:rPr>
      </w:pPr>
      <w:r>
        <w:rPr>
          <w:rFonts w:ascii="宋体" w:hAnsi="宋体" w:cs="宋体"/>
          <w:color w:val="000000"/>
          <w:sz w:val="24"/>
        </w:rPr>
        <w:br w:type="page"/>
      </w:r>
    </w:p>
    <w:p>
      <w:pPr>
        <w:spacing w:before="312" w:beforeLines="100" w:after="312" w:afterLines="100" w:line="580" w:lineRule="exact"/>
        <w:jc w:val="center"/>
        <w:rPr>
          <w:rFonts w:ascii="宋体" w:hAnsi="宋体" w:cs="宋体"/>
          <w:b/>
          <w:sz w:val="36"/>
          <w:szCs w:val="36"/>
        </w:rPr>
      </w:pPr>
      <w:r>
        <w:rPr>
          <w:rFonts w:hint="eastAsia" w:ascii="宋体" w:hAnsi="宋体" w:cs="宋体"/>
          <w:b/>
          <w:sz w:val="36"/>
          <w:szCs w:val="36"/>
        </w:rPr>
        <w:t xml:space="preserve"> 网络与信息安全保密协议</w:t>
      </w:r>
    </w:p>
    <w:p>
      <w:pPr>
        <w:autoSpaceDE w:val="0"/>
        <w:autoSpaceDN w:val="0"/>
        <w:adjustRightInd w:val="0"/>
        <w:snapToGrid w:val="0"/>
        <w:spacing w:before="312" w:beforeLines="100" w:line="540" w:lineRule="exact"/>
        <w:rPr>
          <w:rFonts w:ascii="宋体" w:hAnsi="宋体" w:cs="宋体"/>
          <w:sz w:val="24"/>
        </w:rPr>
      </w:pPr>
      <w:r>
        <w:rPr>
          <w:rFonts w:hint="eastAsia" w:ascii="宋体" w:hAnsi="宋体" w:cs="宋体"/>
          <w:sz w:val="24"/>
        </w:rPr>
        <w:t>甲方：</w:t>
      </w:r>
      <w:r>
        <w:rPr>
          <w:rFonts w:hint="eastAsia" w:ascii="宋体" w:hAnsi="宋体" w:cs="宋体"/>
          <w:sz w:val="24"/>
          <w:u w:val="single"/>
        </w:rPr>
        <w:t xml:space="preserve">                    </w:t>
      </w:r>
    </w:p>
    <w:p>
      <w:pPr>
        <w:autoSpaceDE w:val="0"/>
        <w:autoSpaceDN w:val="0"/>
        <w:adjustRightInd w:val="0"/>
        <w:snapToGrid w:val="0"/>
        <w:spacing w:after="312" w:afterLines="100" w:line="540" w:lineRule="exact"/>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为切实保障网络和信息安全保密，根据《中华人民共和国保守国家秘密法》和有关法律、法规之规定，为确保甲方所涉及的国家秘密和**工作秘密的网络与信息安全，双方同意签订如下保密协议：</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一、保密范围</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1、乙方为甲方提供技术咨询、技术服务、系统建设而了解、掌握的甲方信息网络系统的拓扑结构、安全保密措施、各项参数等，以及甲方场地环境、硬件、软件、电子信息和所有资料内容（以上简称专有信息）。</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二、保密责任</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2、乙方须确定项目开发与维护的专门人员，并将有关人员情况报甲方备案并须通过甲方审查和书面确认。其中，对涉密数据加载运行后承担系统维护的人员，甲乙双方须按照各自职责进行更为严格的审查。</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3、乙方须在签订本保密协议后，才可使用甲方提供的有关专有信息开展相关工作。</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4、乙方须与参加项目的有关人员签订《保密协议》，经常对有关人员进行保密教育，监督个人履约情况；未经甲方书面确认，乙方不得随意增减、更换有关技术人员。</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5、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6、建设涉密信息系统，乙方须具有国家保密工作部门核发的《资质证书》，制定甲方认可的安全保密管理方案，并采用适当的安全保密技术和措施对涉密系统进行集成。</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7、对项目实施过程中乙方出现的不符合保密规定的问题，甲方有责任及时指出，并督促乙方纠正。</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8、甲方向乙方提供的所有资料，仅供项目小组人员参考使用，乙方须严守资料中所涉及秘密，妥善保管，不得遗失、复制。乙方发现保密范围内的有关事项已经泄露或可能泄露时应当报告甲方，并及时采取补救措施。</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9、当甲方以书面形式要求乙方交回专有信息时，乙方应当立即交回所有书面的或其他形式的专有信息以及所有描述和概括该专有信息的文件资料，不能以任何形式保留或擅自处理。</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10、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11、乙方不得在任何场合介绍和演示甲方产品项目的任何信息。</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三、违约责任</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12、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四、保密期限</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13、本协议双方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五、附则</w:t>
      </w:r>
    </w:p>
    <w:p>
      <w:pPr>
        <w:autoSpaceDE w:val="0"/>
        <w:autoSpaceDN w:val="0"/>
        <w:adjustRightInd w:val="0"/>
        <w:snapToGrid w:val="0"/>
        <w:spacing w:line="540" w:lineRule="exact"/>
        <w:ind w:firstLine="480" w:firstLineChars="200"/>
        <w:rPr>
          <w:rFonts w:ascii="宋体" w:hAnsi="宋体" w:cs="宋体"/>
          <w:sz w:val="24"/>
        </w:rPr>
      </w:pPr>
      <w:r>
        <w:rPr>
          <w:rFonts w:hint="eastAsia" w:ascii="宋体" w:hAnsi="宋体" w:cs="宋体"/>
          <w:sz w:val="24"/>
        </w:rPr>
        <w:t>14、本协议是合同有效组成部分。</w:t>
      </w:r>
    </w:p>
    <w:p>
      <w:pPr>
        <w:rPr>
          <w:rFonts w:ascii="宋体" w:hAnsi="宋体" w:cs="宋体"/>
          <w:sz w:val="24"/>
        </w:rPr>
      </w:pPr>
      <w:r>
        <w:rPr>
          <w:rFonts w:hint="eastAsia" w:ascii="宋体" w:hAnsi="宋体" w:cs="宋体"/>
          <w:sz w:val="24"/>
        </w:rPr>
        <w:br w:type="page"/>
      </w:r>
    </w:p>
    <w:p>
      <w:pPr>
        <w:autoSpaceDE w:val="0"/>
        <w:autoSpaceDN w:val="0"/>
        <w:spacing w:line="360" w:lineRule="exact"/>
        <w:ind w:firstLine="877" w:firstLineChars="273"/>
        <w:jc w:val="center"/>
        <w:rPr>
          <w:rFonts w:hint="eastAsia" w:ascii="宋体" w:hAnsi="宋体" w:cs="宋体"/>
          <w:b/>
          <w:sz w:val="32"/>
          <w:szCs w:val="32"/>
        </w:rPr>
      </w:pPr>
      <w:r>
        <w:rPr>
          <w:rFonts w:hint="eastAsia" w:ascii="宋体" w:hAnsi="宋体" w:cs="宋体"/>
          <w:b/>
          <w:sz w:val="32"/>
          <w:szCs w:val="32"/>
        </w:rPr>
        <w:t>第六章　投标文件格式</w:t>
      </w: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sectPr>
          <w:footerReference r:id="rId3" w:type="default"/>
          <w:pgSz w:w="11906" w:h="16838"/>
          <w:pgMar w:top="1247" w:right="1361" w:bottom="1247" w:left="1361" w:header="851" w:footer="851" w:gutter="0"/>
          <w:cols w:space="720" w:num="1"/>
          <w:docGrid w:type="lines" w:linePitch="312" w:charSpace="0"/>
        </w:sectPr>
      </w:pPr>
    </w:p>
    <w:p>
      <w:pPr>
        <w:snapToGrid w:val="0"/>
        <w:spacing w:before="50" w:after="156" w:afterLines="50"/>
        <w:jc w:val="left"/>
        <w:rPr>
          <w:rFonts w:hint="eastAsia" w:ascii="宋体" w:hAnsi="宋体" w:cs="宋体"/>
          <w:sz w:val="24"/>
          <w:szCs w:val="20"/>
        </w:rPr>
      </w:pPr>
      <w:r>
        <w:rPr>
          <w:rFonts w:hint="eastAsia" w:ascii="宋体" w:hAnsi="宋体" w:cs="宋体"/>
          <w:sz w:val="24"/>
        </w:rPr>
        <w:t>附件1、投标文件封面：</w:t>
      </w:r>
    </w:p>
    <w:p>
      <w:pPr>
        <w:spacing w:line="360" w:lineRule="auto"/>
        <w:rPr>
          <w:rFonts w:hint="eastAsia" w:ascii="宋体" w:hAnsi="宋体" w:cs="宋体"/>
          <w:b/>
          <w:sz w:val="30"/>
          <w:szCs w:val="30"/>
        </w:rPr>
      </w:pPr>
    </w:p>
    <w:p>
      <w:pPr>
        <w:spacing w:line="360" w:lineRule="auto"/>
        <w:jc w:val="center"/>
        <w:rPr>
          <w:rFonts w:hint="eastAsia" w:ascii="宋体" w:hAnsi="宋体" w:cs="宋体"/>
          <w:spacing w:val="40"/>
          <w:sz w:val="36"/>
          <w:szCs w:val="36"/>
        </w:rPr>
      </w:pPr>
      <w:r>
        <w:rPr>
          <w:rFonts w:hint="eastAsia" w:ascii="宋体" w:hAnsi="宋体" w:cs="宋体"/>
          <w:spacing w:val="40"/>
          <w:sz w:val="36"/>
          <w:szCs w:val="36"/>
        </w:rPr>
        <w:t>台州市不动产登记便利化协同应用项目（市级系统部分）</w:t>
      </w: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r>
        <w:rPr>
          <w:rFonts w:hint="eastAsia" w:ascii="宋体" w:hAnsi="宋体" w:cs="宋体"/>
          <w:sz w:val="36"/>
          <w:szCs w:val="36"/>
        </w:rPr>
        <w:t>项目编号：台财采确[2020]    号</w:t>
      </w:r>
    </w:p>
    <w:p>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hint="eastAsia" w:ascii="宋体" w:hAnsi="宋体" w:cs="宋体"/>
          <w:sz w:val="84"/>
          <w:szCs w:val="84"/>
        </w:rPr>
      </w:pPr>
      <w:r>
        <w:rPr>
          <w:rFonts w:hint="eastAsia" w:ascii="宋体" w:hAnsi="宋体" w:cs="宋体"/>
          <w:sz w:val="84"/>
          <w:szCs w:val="84"/>
          <w:lang w:val="zh-CN"/>
        </w:rPr>
        <w:t>文</w:t>
      </w:r>
    </w:p>
    <w:p>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件</w:t>
      </w:r>
    </w:p>
    <w:p>
      <w:pPr>
        <w:autoSpaceDE w:val="0"/>
        <w:autoSpaceDN w:val="0"/>
        <w:adjustRightInd w:val="0"/>
        <w:spacing w:line="360" w:lineRule="auto"/>
        <w:jc w:val="center"/>
        <w:rPr>
          <w:rFonts w:hint="eastAsia" w:ascii="宋体" w:hAnsi="宋体" w:cs="宋体"/>
          <w:b/>
          <w:bCs/>
          <w:spacing w:val="40"/>
          <w:szCs w:val="28"/>
        </w:rPr>
      </w:pPr>
      <w:r>
        <w:rPr>
          <w:rFonts w:hint="eastAsia" w:ascii="宋体" w:hAnsi="宋体" w:cs="宋体"/>
          <w:b/>
          <w:bCs/>
          <w:szCs w:val="28"/>
          <w:lang w:val="zh-CN"/>
        </w:rPr>
        <w:t>（资格证明文件</w:t>
      </w:r>
      <w:r>
        <w:rPr>
          <w:rFonts w:hint="eastAsia" w:ascii="宋体" w:hAnsi="宋体" w:cs="宋体"/>
          <w:b/>
          <w:bCs/>
          <w:szCs w:val="28"/>
        </w:rPr>
        <w:t>/</w:t>
      </w:r>
      <w:r>
        <w:rPr>
          <w:rFonts w:hint="eastAsia" w:ascii="宋体" w:hAnsi="宋体" w:cs="宋体"/>
          <w:b/>
          <w:bCs/>
          <w:szCs w:val="28"/>
          <w:lang w:val="zh-CN"/>
        </w:rPr>
        <w:t>商务与技术文件</w:t>
      </w:r>
      <w:r>
        <w:rPr>
          <w:rFonts w:hint="eastAsia" w:ascii="宋体" w:hAnsi="宋体" w:cs="宋体"/>
          <w:b/>
          <w:bCs/>
          <w:szCs w:val="28"/>
        </w:rPr>
        <w:t>/</w:t>
      </w:r>
      <w:r>
        <w:rPr>
          <w:rFonts w:hint="eastAsia" w:ascii="宋体" w:hAnsi="宋体" w:cs="宋体"/>
          <w:b/>
          <w:bCs/>
          <w:szCs w:val="28"/>
          <w:lang w:val="zh-CN"/>
        </w:rPr>
        <w:t>报价文件</w:t>
      </w:r>
      <w:r>
        <w:rPr>
          <w:rFonts w:hint="eastAsia" w:ascii="宋体" w:hAnsi="宋体" w:cs="宋体"/>
          <w:b/>
          <w:bCs/>
          <w:spacing w:val="40"/>
          <w:szCs w:val="28"/>
        </w:rPr>
        <w:t>）</w:t>
      </w:r>
    </w:p>
    <w:p>
      <w:pPr>
        <w:autoSpaceDE w:val="0"/>
        <w:autoSpaceDN w:val="0"/>
        <w:adjustRightInd w:val="0"/>
        <w:spacing w:line="360" w:lineRule="auto"/>
        <w:rPr>
          <w:rFonts w:hint="eastAsia" w:ascii="宋体" w:hAnsi="宋体" w:cs="宋体"/>
          <w:sz w:val="36"/>
          <w:szCs w:val="36"/>
        </w:rPr>
      </w:pPr>
    </w:p>
    <w:p>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投标人全称（公章）：</w:t>
      </w:r>
    </w:p>
    <w:p>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法定代表人（签字或盖章）：</w:t>
      </w:r>
    </w:p>
    <w:p>
      <w:pPr>
        <w:autoSpaceDE w:val="0"/>
        <w:autoSpaceDN w:val="0"/>
        <w:adjustRightInd w:val="0"/>
        <w:spacing w:line="360" w:lineRule="auto"/>
        <w:rPr>
          <w:rFonts w:hint="eastAsia" w:ascii="宋体" w:hAnsi="宋体" w:cs="宋体"/>
          <w:sz w:val="36"/>
          <w:szCs w:val="36"/>
        </w:rPr>
      </w:pPr>
      <w:r>
        <w:rPr>
          <w:rFonts w:hint="eastAsia" w:ascii="宋体" w:hAnsi="宋体" w:cs="宋体"/>
          <w:sz w:val="36"/>
          <w:szCs w:val="36"/>
        </w:rPr>
        <w:t>时间：</w:t>
      </w: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rPr>
      </w:pPr>
    </w:p>
    <w:p>
      <w:pPr>
        <w:snapToGrid w:val="0"/>
        <w:spacing w:before="50" w:after="156" w:afterLines="50"/>
        <w:jc w:val="left"/>
        <w:rPr>
          <w:rFonts w:hint="eastAsia" w:ascii="宋体" w:hAnsi="宋体" w:cs="宋体"/>
          <w:sz w:val="24"/>
          <w:szCs w:val="20"/>
        </w:rPr>
      </w:pPr>
      <w:r>
        <w:rPr>
          <w:rFonts w:hint="eastAsia" w:ascii="宋体" w:hAnsi="宋体" w:cs="宋体"/>
          <w:sz w:val="24"/>
        </w:rPr>
        <w:t>附件2、法定代表人授权委托书格式：</w:t>
      </w:r>
    </w:p>
    <w:p>
      <w:pPr>
        <w:spacing w:line="360" w:lineRule="auto"/>
        <w:jc w:val="center"/>
        <w:rPr>
          <w:rFonts w:hint="eastAsia" w:ascii="宋体" w:hAnsi="宋体" w:cs="宋体"/>
          <w:b/>
        </w:rPr>
      </w:pPr>
      <w:r>
        <w:rPr>
          <w:rFonts w:hint="eastAsia" w:ascii="宋体" w:hAnsi="宋体" w:cs="宋体"/>
          <w:b/>
        </w:rPr>
        <w:t>法定代表人授权委托书</w:t>
      </w:r>
    </w:p>
    <w:p>
      <w:pPr>
        <w:spacing w:line="360" w:lineRule="auto"/>
        <w:jc w:val="left"/>
        <w:rPr>
          <w:rFonts w:hint="eastAsia" w:ascii="宋体" w:hAnsi="宋体" w:cs="宋体"/>
          <w:sz w:val="24"/>
          <w:szCs w:val="32"/>
        </w:rPr>
      </w:pPr>
      <w:r>
        <w:rPr>
          <w:rFonts w:hint="eastAsia" w:ascii="宋体" w:hAnsi="宋体" w:cs="宋体"/>
          <w:sz w:val="24"/>
          <w:szCs w:val="32"/>
          <w:u w:val="single"/>
        </w:rPr>
        <w:t xml:space="preserve">                     </w:t>
      </w:r>
      <w:r>
        <w:rPr>
          <w:rFonts w:hint="eastAsia" w:ascii="宋体" w:hAnsi="宋体" w:cs="宋体"/>
          <w:sz w:val="24"/>
          <w:szCs w:val="32"/>
        </w:rPr>
        <w:t>（采购代理机构名称）：</w:t>
      </w:r>
    </w:p>
    <w:p>
      <w:pPr>
        <w:spacing w:line="360" w:lineRule="auto"/>
        <w:ind w:firstLine="480" w:firstLineChars="200"/>
        <w:rPr>
          <w:rFonts w:hint="eastAsia" w:ascii="宋体" w:hAnsi="宋体" w:cs="宋体"/>
          <w:sz w:val="24"/>
          <w:szCs w:val="32"/>
        </w:rPr>
      </w:pPr>
      <w:r>
        <w:rPr>
          <w:rFonts w:hint="eastAsia" w:ascii="宋体" w:hAnsi="宋体" w:cs="宋体"/>
          <w:sz w:val="24"/>
          <w:szCs w:val="32"/>
          <w:u w:val="single"/>
        </w:rPr>
        <w:t>（投标人全称）</w:t>
      </w:r>
      <w:r>
        <w:rPr>
          <w:rFonts w:hint="eastAsia" w:ascii="宋体" w:hAnsi="宋体" w:cs="宋体"/>
          <w:sz w:val="24"/>
          <w:szCs w:val="32"/>
        </w:rPr>
        <w:t>法定代表人（或营业执照中单位负责人）</w:t>
      </w:r>
      <w:r>
        <w:rPr>
          <w:rFonts w:hint="eastAsia" w:ascii="宋体" w:hAnsi="宋体" w:cs="宋体"/>
          <w:sz w:val="24"/>
          <w:szCs w:val="32"/>
          <w:u w:val="single"/>
        </w:rPr>
        <w:tab/>
      </w:r>
      <w:r>
        <w:rPr>
          <w:rFonts w:hint="eastAsia" w:ascii="宋体" w:hAnsi="宋体" w:cs="宋体"/>
          <w:sz w:val="24"/>
          <w:szCs w:val="32"/>
          <w:u w:val="single"/>
        </w:rPr>
        <w:t xml:space="preserve">（法定代表人或营业执照中单位负责人姓名） </w:t>
      </w:r>
      <w:r>
        <w:rPr>
          <w:rFonts w:hint="eastAsia" w:ascii="宋体" w:hAnsi="宋体" w:cs="宋体"/>
          <w:sz w:val="24"/>
          <w:szCs w:val="32"/>
        </w:rPr>
        <w:t>授权</w:t>
      </w:r>
      <w:r>
        <w:rPr>
          <w:rFonts w:hint="eastAsia" w:ascii="宋体" w:hAnsi="宋体" w:cs="宋体"/>
          <w:sz w:val="24"/>
          <w:szCs w:val="32"/>
          <w:u w:val="single"/>
        </w:rPr>
        <w:t xml:space="preserve"> （授权委托代理人姓名） </w:t>
      </w:r>
      <w:r>
        <w:rPr>
          <w:rFonts w:hint="eastAsia" w:ascii="宋体" w:hAnsi="宋体" w:cs="宋体"/>
          <w:sz w:val="24"/>
          <w:szCs w:val="32"/>
        </w:rPr>
        <w:t>为授权委托代理人，参加贵单位组织的</w:t>
      </w:r>
      <w:r>
        <w:rPr>
          <w:rFonts w:hint="eastAsia" w:ascii="宋体" w:hAnsi="宋体" w:cs="宋体"/>
          <w:sz w:val="24"/>
          <w:szCs w:val="32"/>
          <w:u w:val="single"/>
        </w:rPr>
        <w:t xml:space="preserve">                     </w:t>
      </w:r>
      <w:r>
        <w:rPr>
          <w:rFonts w:hint="eastAsia" w:ascii="宋体" w:hAnsi="宋体" w:cs="宋体"/>
          <w:sz w:val="24"/>
          <w:szCs w:val="32"/>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宋体" w:hAnsi="宋体" w:cs="宋体"/>
          <w:sz w:val="24"/>
          <w:szCs w:val="32"/>
        </w:rPr>
      </w:pPr>
      <w:r>
        <w:rPr>
          <w:rFonts w:hint="eastAsia" w:ascii="宋体" w:hAnsi="宋体" w:cs="宋体"/>
          <w:sz w:val="24"/>
          <w:szCs w:val="32"/>
        </w:rPr>
        <w:t>授权委托代理人无转委托权，特此委托。</w:t>
      </w: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sz w:val="24"/>
          <w:szCs w:val="32"/>
        </w:rPr>
      </w:pPr>
      <w:r>
        <w:rPr>
          <w:rFonts w:hint="eastAsia" w:ascii="宋体" w:hAnsi="宋体" w:cs="宋体"/>
          <w:sz w:val="24"/>
          <w:szCs w:val="32"/>
        </w:rPr>
        <w:t>法定代表人签字或盖章：</w:t>
      </w: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sz w:val="24"/>
          <w:szCs w:val="32"/>
        </w:rPr>
      </w:pPr>
      <w:r>
        <w:rPr>
          <w:rFonts w:hint="eastAsia" w:ascii="宋体" w:hAnsi="宋体" w:cs="宋体"/>
          <w:sz w:val="24"/>
          <w:szCs w:val="32"/>
        </w:rPr>
        <w:t xml:space="preserve">投标人全称（公章）：                      </w:t>
      </w: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pPr>
        <w:spacing w:line="360" w:lineRule="auto"/>
        <w:ind w:firstLine="480" w:firstLineChars="200"/>
        <w:rPr>
          <w:rFonts w:hint="eastAsia" w:ascii="宋体" w:hAnsi="宋体" w:cs="宋体"/>
          <w:sz w:val="24"/>
          <w:szCs w:val="32"/>
        </w:rPr>
      </w:pPr>
    </w:p>
    <w:p>
      <w:pPr>
        <w:spacing w:line="360" w:lineRule="auto"/>
        <w:rPr>
          <w:rFonts w:hint="eastAsia" w:ascii="宋体" w:hAnsi="宋体" w:cs="宋体"/>
          <w:b/>
          <w:bCs/>
          <w:sz w:val="24"/>
          <w:szCs w:val="32"/>
        </w:rPr>
      </w:pPr>
      <w:r>
        <w:rPr>
          <w:rFonts w:hint="eastAsia" w:ascii="宋体" w:hAnsi="宋体" w:cs="宋体"/>
          <w:b/>
          <w:bCs/>
          <w:sz w:val="24"/>
          <w:szCs w:val="32"/>
        </w:rPr>
        <w:t>附：</w:t>
      </w:r>
    </w:p>
    <w:tbl>
      <w:tblPr>
        <w:tblStyle w:val="3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hint="eastAsia" w:ascii="宋体" w:hAnsi="宋体" w:cs="宋体"/>
                <w:b/>
                <w:sz w:val="24"/>
              </w:rPr>
            </w:pPr>
            <w:r>
              <w:rPr>
                <w:rFonts w:hint="eastAsia" w:ascii="宋体" w:hAnsi="宋体" w:cs="宋体"/>
                <w:b/>
                <w:sz w:val="24"/>
              </w:rPr>
              <w:t>法定代表身份证复印件粘帖处</w:t>
            </w:r>
          </w:p>
        </w:tc>
      </w:tr>
    </w:tbl>
    <w:p>
      <w:pPr>
        <w:spacing w:line="360" w:lineRule="auto"/>
        <w:rPr>
          <w:rFonts w:hint="eastAsia" w:ascii="宋体" w:hAnsi="宋体" w:cs="宋体"/>
          <w:sz w:val="24"/>
          <w:szCs w:val="32"/>
        </w:rPr>
      </w:pPr>
      <w:r>
        <w:rPr>
          <w:rFonts w:hint="eastAsia" w:ascii="宋体" w:hAnsi="宋体" w:cs="宋体"/>
          <w:sz w:val="24"/>
          <w:szCs w:val="32"/>
        </w:rPr>
        <w:t>法定代表人姓名：</w:t>
      </w:r>
    </w:p>
    <w:p>
      <w:pPr>
        <w:spacing w:line="360" w:lineRule="auto"/>
        <w:rPr>
          <w:rFonts w:hint="eastAsia" w:ascii="宋体" w:hAnsi="宋体" w:cs="宋体"/>
          <w:sz w:val="24"/>
          <w:szCs w:val="32"/>
        </w:rPr>
      </w:pPr>
      <w:r>
        <w:rPr>
          <w:rFonts w:hint="eastAsia" w:ascii="宋体" w:hAnsi="宋体" w:cs="宋体"/>
          <w:sz w:val="24"/>
          <w:szCs w:val="32"/>
        </w:rPr>
        <w:t>传真：</w:t>
      </w:r>
    </w:p>
    <w:p>
      <w:pPr>
        <w:spacing w:line="360" w:lineRule="auto"/>
        <w:rPr>
          <w:rFonts w:hint="eastAsia" w:ascii="宋体" w:hAnsi="宋体" w:cs="宋体"/>
          <w:sz w:val="24"/>
          <w:szCs w:val="32"/>
        </w:rPr>
      </w:pPr>
      <w:r>
        <w:rPr>
          <w:rFonts w:hint="eastAsia" w:ascii="宋体" w:hAnsi="宋体" w:cs="宋体"/>
          <w:sz w:val="24"/>
          <w:szCs w:val="32"/>
        </w:rPr>
        <w:t>手机：</w:t>
      </w:r>
    </w:p>
    <w:p>
      <w:pPr>
        <w:spacing w:line="360" w:lineRule="auto"/>
        <w:rPr>
          <w:rFonts w:hint="eastAsia" w:ascii="宋体" w:hAnsi="宋体" w:cs="宋体"/>
          <w:sz w:val="24"/>
          <w:szCs w:val="32"/>
        </w:rPr>
      </w:pPr>
      <w:r>
        <w:rPr>
          <w:rFonts w:hint="eastAsia" w:ascii="宋体" w:hAnsi="宋体" w:cs="宋体"/>
          <w:sz w:val="24"/>
          <w:szCs w:val="32"/>
        </w:rPr>
        <w:t>详细通讯地址：</w:t>
      </w:r>
    </w:p>
    <w:p>
      <w:pPr>
        <w:spacing w:line="360" w:lineRule="auto"/>
        <w:rPr>
          <w:rFonts w:hint="eastAsia" w:ascii="宋体" w:hAnsi="宋体" w:cs="宋体"/>
          <w:sz w:val="24"/>
          <w:szCs w:val="32"/>
        </w:rPr>
      </w:pPr>
      <w:r>
        <w:rPr>
          <w:rFonts w:hint="eastAsia" w:ascii="宋体" w:hAnsi="宋体" w:cs="宋体"/>
          <w:sz w:val="24"/>
          <w:szCs w:val="32"/>
        </w:rPr>
        <w:t>邮政编码：</w:t>
      </w:r>
    </w:p>
    <w:p>
      <w:pPr>
        <w:spacing w:line="360" w:lineRule="auto"/>
        <w:rPr>
          <w:rFonts w:hint="eastAsia" w:ascii="宋体" w:hAnsi="宋体" w:cs="宋体"/>
          <w:b/>
          <w:sz w:val="24"/>
        </w:rPr>
      </w:pPr>
    </w:p>
    <w:tbl>
      <w:tblPr>
        <w:tblStyle w:val="3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pPr>
              <w:spacing w:line="360" w:lineRule="auto"/>
              <w:jc w:val="center"/>
              <w:rPr>
                <w:rFonts w:hint="eastAsia" w:ascii="宋体" w:hAnsi="宋体" w:cs="宋体"/>
                <w:b/>
                <w:sz w:val="24"/>
              </w:rPr>
            </w:pPr>
            <w:r>
              <w:rPr>
                <w:rFonts w:hint="eastAsia" w:ascii="宋体" w:hAnsi="宋体" w:cs="宋体"/>
                <w:b/>
                <w:sz w:val="24"/>
              </w:rPr>
              <w:t>授权委托代理人身份证复印件粘帖处</w:t>
            </w:r>
          </w:p>
        </w:tc>
      </w:tr>
    </w:tbl>
    <w:p>
      <w:pPr>
        <w:spacing w:line="360" w:lineRule="auto"/>
        <w:rPr>
          <w:rFonts w:hint="eastAsia" w:ascii="宋体" w:hAnsi="宋体" w:cs="宋体"/>
          <w:sz w:val="24"/>
          <w:szCs w:val="32"/>
        </w:rPr>
      </w:pPr>
      <w:r>
        <w:rPr>
          <w:rFonts w:hint="eastAsia" w:ascii="宋体" w:hAnsi="宋体" w:cs="宋体"/>
          <w:sz w:val="24"/>
          <w:szCs w:val="32"/>
        </w:rPr>
        <w:t>授权委托代理人姓名：</w:t>
      </w:r>
    </w:p>
    <w:p>
      <w:pPr>
        <w:spacing w:line="360" w:lineRule="auto"/>
        <w:rPr>
          <w:rFonts w:hint="eastAsia" w:ascii="宋体" w:hAnsi="宋体" w:cs="宋体"/>
          <w:sz w:val="24"/>
          <w:szCs w:val="32"/>
        </w:rPr>
      </w:pPr>
      <w:r>
        <w:rPr>
          <w:rFonts w:hint="eastAsia" w:ascii="宋体" w:hAnsi="宋体" w:cs="宋体"/>
          <w:sz w:val="24"/>
          <w:szCs w:val="32"/>
        </w:rPr>
        <w:t>职务：</w:t>
      </w:r>
    </w:p>
    <w:p>
      <w:pPr>
        <w:spacing w:line="360" w:lineRule="auto"/>
        <w:rPr>
          <w:rFonts w:hint="eastAsia" w:ascii="宋体" w:hAnsi="宋体" w:cs="宋体"/>
          <w:sz w:val="24"/>
          <w:szCs w:val="32"/>
        </w:rPr>
      </w:pPr>
      <w:r>
        <w:rPr>
          <w:rFonts w:hint="eastAsia" w:ascii="宋体" w:hAnsi="宋体" w:cs="宋体"/>
          <w:sz w:val="24"/>
          <w:szCs w:val="32"/>
        </w:rPr>
        <w:t>传真：</w:t>
      </w:r>
    </w:p>
    <w:p>
      <w:pPr>
        <w:spacing w:line="360" w:lineRule="auto"/>
        <w:rPr>
          <w:rFonts w:hint="eastAsia" w:ascii="宋体" w:hAnsi="宋体" w:cs="宋体"/>
          <w:sz w:val="24"/>
          <w:szCs w:val="32"/>
        </w:rPr>
      </w:pPr>
      <w:r>
        <w:rPr>
          <w:rFonts w:hint="eastAsia" w:ascii="宋体" w:hAnsi="宋体" w:cs="宋体"/>
          <w:sz w:val="24"/>
          <w:szCs w:val="32"/>
        </w:rPr>
        <w:t>手机：</w:t>
      </w:r>
    </w:p>
    <w:p>
      <w:pPr>
        <w:spacing w:line="360" w:lineRule="auto"/>
        <w:rPr>
          <w:rFonts w:hint="eastAsia" w:ascii="宋体" w:hAnsi="宋体" w:cs="宋体"/>
          <w:sz w:val="24"/>
          <w:szCs w:val="32"/>
        </w:rPr>
      </w:pPr>
      <w:r>
        <w:rPr>
          <w:rFonts w:hint="eastAsia" w:ascii="宋体" w:hAnsi="宋体" w:cs="宋体"/>
          <w:sz w:val="24"/>
          <w:szCs w:val="32"/>
        </w:rPr>
        <w:t>详细通讯地址：</w:t>
      </w:r>
    </w:p>
    <w:p>
      <w:pPr>
        <w:spacing w:line="360" w:lineRule="auto"/>
        <w:rPr>
          <w:rFonts w:hint="eastAsia" w:ascii="宋体" w:hAnsi="宋体" w:cs="宋体"/>
          <w:sz w:val="24"/>
          <w:szCs w:val="32"/>
        </w:rPr>
      </w:pPr>
      <w:r>
        <w:rPr>
          <w:rFonts w:hint="eastAsia" w:ascii="宋体" w:hAnsi="宋体" w:cs="宋体"/>
          <w:sz w:val="24"/>
          <w:szCs w:val="32"/>
        </w:rPr>
        <w:t>邮政编码：</w:t>
      </w:r>
    </w:p>
    <w:p>
      <w:pPr>
        <w:pStyle w:val="19"/>
        <w:snapToGrid w:val="0"/>
        <w:spacing w:before="295" w:beforeLines="0" w:after="295" w:afterLines="0" w:line="240" w:lineRule="auto"/>
        <w:rPr>
          <w:rFonts w:hint="eastAsia" w:hAnsi="宋体" w:cs="宋体"/>
        </w:rPr>
        <w:sectPr>
          <w:pgSz w:w="11906" w:h="16838"/>
          <w:pgMar w:top="1247" w:right="1361" w:bottom="1247" w:left="1361" w:header="851" w:footer="851" w:gutter="0"/>
          <w:cols w:space="720" w:num="1"/>
          <w:docGrid w:type="lines" w:linePitch="312" w:charSpace="0"/>
        </w:sectPr>
      </w:pPr>
    </w:p>
    <w:p>
      <w:pPr>
        <w:snapToGrid w:val="0"/>
        <w:spacing w:before="50"/>
        <w:jc w:val="left"/>
        <w:rPr>
          <w:rFonts w:hAnsi="宋体"/>
          <w:b/>
        </w:rPr>
      </w:pPr>
      <w:r>
        <w:rPr>
          <w:rFonts w:hint="eastAsia" w:ascii="宋体" w:hAnsi="宋体"/>
          <w:sz w:val="24"/>
        </w:rPr>
        <w:t>附件3、投标函：</w:t>
      </w:r>
    </w:p>
    <w:p>
      <w:pPr>
        <w:pStyle w:val="19"/>
        <w:spacing w:before="120" w:after="120" w:line="360" w:lineRule="auto"/>
        <w:ind w:firstLine="562"/>
        <w:jc w:val="center"/>
        <w:rPr>
          <w:rFonts w:hint="eastAsia" w:hAnsi="宋体" w:cs="宋体"/>
          <w:b/>
          <w:sz w:val="28"/>
          <w:szCs w:val="28"/>
        </w:rPr>
      </w:pPr>
      <w:r>
        <w:rPr>
          <w:rFonts w:hint="eastAsia" w:hAnsi="宋体" w:cs="宋体"/>
          <w:b/>
          <w:sz w:val="28"/>
          <w:szCs w:val="28"/>
        </w:rPr>
        <w:t>投标函</w:t>
      </w:r>
    </w:p>
    <w:p>
      <w:pPr>
        <w:pStyle w:val="19"/>
        <w:spacing w:before="120" w:after="120" w:line="360" w:lineRule="auto"/>
        <w:ind w:firstLine="560"/>
        <w:rPr>
          <w:rFonts w:hint="eastAsia" w:hAnsi="宋体" w:cs="宋体"/>
          <w:u w:val="single"/>
        </w:rPr>
      </w:pPr>
      <w:r>
        <w:rPr>
          <w:rFonts w:hint="eastAsia" w:hAnsi="宋体" w:cs="宋体"/>
          <w:snapToGrid w:val="0"/>
          <w:kern w:val="0"/>
          <w:u w:val="single"/>
        </w:rPr>
        <w:t xml:space="preserve">                      </w:t>
      </w:r>
      <w:r>
        <w:rPr>
          <w:rFonts w:hint="eastAsia" w:hAnsi="宋体" w:cs="宋体"/>
        </w:rPr>
        <w:t>：</w:t>
      </w:r>
    </w:p>
    <w:p>
      <w:pPr>
        <w:pStyle w:val="19"/>
        <w:spacing w:before="120" w:after="120" w:line="420" w:lineRule="exact"/>
        <w:ind w:firstLine="480" w:firstLineChars="200"/>
        <w:rPr>
          <w:rFonts w:hint="eastAsia" w:hAnsi="宋体" w:cs="宋体"/>
        </w:rPr>
      </w:pPr>
      <w:r>
        <w:rPr>
          <w:rFonts w:hint="eastAsia" w:hAnsi="宋体" w:cs="宋体"/>
          <w:u w:val="single"/>
        </w:rPr>
        <w:t xml:space="preserve">                                       </w:t>
      </w:r>
      <w:r>
        <w:rPr>
          <w:rFonts w:hint="eastAsia" w:hAnsi="宋体" w:cs="宋体"/>
        </w:rPr>
        <w:t xml:space="preserve"> (投标人名称)授权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(职务、职称)为全权代表，参加贵方组织的</w:t>
      </w:r>
      <w:r>
        <w:rPr>
          <w:rFonts w:hint="eastAsia" w:hAnsi="宋体" w:cs="宋体"/>
          <w:u w:val="single"/>
        </w:rPr>
        <w:t xml:space="preserve">                       </w:t>
      </w:r>
      <w:r>
        <w:rPr>
          <w:rFonts w:hint="eastAsia" w:hAnsi="宋体" w:cs="宋体"/>
        </w:rPr>
        <w:t>项目 (采购编号：</w:t>
      </w:r>
      <w:r>
        <w:rPr>
          <w:rFonts w:hAnsi="宋体" w:cs="宋体"/>
          <w:bCs/>
        </w:rPr>
        <w:t>台财采确[2020]</w:t>
      </w:r>
      <w:r>
        <w:rPr>
          <w:rFonts w:hint="eastAsia" w:hAnsi="宋体" w:cs="宋体"/>
          <w:bCs/>
        </w:rPr>
        <w:t xml:space="preserve">    </w:t>
      </w:r>
      <w:r>
        <w:rPr>
          <w:rFonts w:hAnsi="宋体" w:cs="宋体"/>
          <w:bCs/>
        </w:rPr>
        <w:t>号</w:t>
      </w:r>
      <w:r>
        <w:rPr>
          <w:rFonts w:hint="eastAsia" w:hAnsi="宋体" w:cs="宋体"/>
        </w:rPr>
        <w:t>)的有关活动，并对此项目进行投标。为此：</w:t>
      </w:r>
    </w:p>
    <w:p>
      <w:pPr>
        <w:pStyle w:val="19"/>
        <w:spacing w:before="120" w:after="120" w:line="420" w:lineRule="exact"/>
        <w:ind w:firstLine="480" w:firstLineChars="200"/>
        <w:rPr>
          <w:rFonts w:hint="eastAsia" w:hAnsi="宋体" w:cs="宋体"/>
        </w:rPr>
      </w:pPr>
      <w:r>
        <w:rPr>
          <w:rFonts w:hint="eastAsia" w:hAnsi="宋体" w:cs="宋体"/>
        </w:rPr>
        <w:t>1、我方同意在投标人编制和提交投标文件须知规定的开标日期起遵守本投标书中的承诺且在投标有效期满之前均具有约束力。</w:t>
      </w:r>
    </w:p>
    <w:p>
      <w:pPr>
        <w:pStyle w:val="19"/>
        <w:spacing w:before="120" w:after="120" w:line="420" w:lineRule="exact"/>
        <w:ind w:firstLine="480" w:firstLineChars="200"/>
        <w:rPr>
          <w:rFonts w:hint="eastAsia" w:hAnsi="宋体" w:cs="宋体"/>
        </w:rPr>
      </w:pPr>
      <w:r>
        <w:rPr>
          <w:rFonts w:hint="eastAsia" w:hAnsi="宋体" w:cs="宋体"/>
        </w:rPr>
        <w:t>2、我方承诺已经具备《中华人民共和国政府采购法》中规定的参加政府采购活动的投标人应当具备的条件：</w:t>
      </w:r>
    </w:p>
    <w:p>
      <w:pPr>
        <w:pStyle w:val="19"/>
        <w:spacing w:before="120" w:after="120" w:line="420" w:lineRule="exact"/>
        <w:ind w:firstLine="480" w:firstLineChars="200"/>
        <w:rPr>
          <w:rFonts w:hint="eastAsia" w:hAnsi="宋体" w:cs="宋体"/>
        </w:rPr>
      </w:pPr>
      <w:r>
        <w:rPr>
          <w:rFonts w:hint="eastAsia" w:hAnsi="宋体" w:cs="宋体"/>
        </w:rPr>
        <w:t>(1)具有独立承担民事责任的能力；</w:t>
      </w:r>
    </w:p>
    <w:p>
      <w:pPr>
        <w:pStyle w:val="19"/>
        <w:spacing w:before="120" w:after="120" w:line="420" w:lineRule="exact"/>
        <w:ind w:firstLine="480" w:firstLineChars="200"/>
        <w:rPr>
          <w:rFonts w:hint="eastAsia" w:hAnsi="宋体" w:cs="宋体"/>
        </w:rPr>
      </w:pPr>
      <w:r>
        <w:rPr>
          <w:rFonts w:hint="eastAsia" w:hAnsi="宋体" w:cs="宋体"/>
        </w:rPr>
        <w:t>(2)遵守国家法律、行政法规，具有良好的信誉和商业道德；</w:t>
      </w:r>
    </w:p>
    <w:p>
      <w:pPr>
        <w:pStyle w:val="19"/>
        <w:spacing w:before="120" w:after="120" w:line="420" w:lineRule="exact"/>
        <w:ind w:firstLine="480" w:firstLineChars="200"/>
        <w:rPr>
          <w:rFonts w:hint="eastAsia" w:hAnsi="宋体" w:cs="宋体"/>
        </w:rPr>
      </w:pPr>
      <w:r>
        <w:rPr>
          <w:rFonts w:hint="eastAsia" w:hAnsi="宋体" w:cs="宋体"/>
        </w:rPr>
        <w:t>(3)具有履行合同的能力和良好的履行合同记录；</w:t>
      </w:r>
    </w:p>
    <w:p>
      <w:pPr>
        <w:pStyle w:val="19"/>
        <w:spacing w:before="120" w:after="120" w:line="420" w:lineRule="exact"/>
        <w:ind w:firstLine="480" w:firstLineChars="200"/>
        <w:rPr>
          <w:rFonts w:hint="eastAsia" w:hAnsi="宋体" w:cs="宋体"/>
        </w:rPr>
      </w:pPr>
      <w:r>
        <w:rPr>
          <w:rFonts w:hint="eastAsia" w:hAnsi="宋体" w:cs="宋体"/>
        </w:rPr>
        <w:t>(4)良好的资金、财务状况；</w:t>
      </w:r>
    </w:p>
    <w:p>
      <w:pPr>
        <w:pStyle w:val="19"/>
        <w:spacing w:before="120" w:after="120" w:line="420" w:lineRule="exact"/>
        <w:ind w:firstLine="480" w:firstLineChars="200"/>
        <w:rPr>
          <w:rFonts w:hint="eastAsia" w:hAnsi="宋体" w:cs="宋体"/>
        </w:rPr>
      </w:pPr>
      <w:r>
        <w:rPr>
          <w:rFonts w:hint="eastAsia" w:hAnsi="宋体" w:cs="宋体"/>
        </w:rPr>
        <w:t>(5)没有违反政府采购法规、政策的记录；</w:t>
      </w:r>
    </w:p>
    <w:p>
      <w:pPr>
        <w:pStyle w:val="19"/>
        <w:spacing w:before="120" w:after="120" w:line="420" w:lineRule="exact"/>
        <w:ind w:firstLine="480" w:firstLineChars="200"/>
        <w:rPr>
          <w:rFonts w:hint="eastAsia" w:hAnsi="宋体" w:cs="宋体"/>
        </w:rPr>
      </w:pPr>
      <w:r>
        <w:rPr>
          <w:rFonts w:hint="eastAsia" w:hAnsi="宋体" w:cs="宋体"/>
        </w:rPr>
        <w:t>(6)没有发生重大经济纠纷和走私犯罪记录。</w:t>
      </w:r>
    </w:p>
    <w:p>
      <w:pPr>
        <w:pStyle w:val="19"/>
        <w:spacing w:before="120" w:after="120" w:line="420" w:lineRule="exact"/>
        <w:ind w:firstLine="480" w:firstLineChars="200"/>
        <w:rPr>
          <w:rFonts w:hint="eastAsia" w:hAnsi="宋体" w:cs="宋体"/>
        </w:rPr>
      </w:pPr>
      <w:r>
        <w:rPr>
          <w:rFonts w:hint="eastAsia" w:hAnsi="宋体" w:cs="宋体"/>
        </w:rPr>
        <w:t>3、提供编制和提交投标文件须知规定的全部投标文件，包括一份电子加密标书（后缀格式为.jmbs），一份备份标书文件（后缀格式为.bfbs）。具体内容为：</w:t>
      </w:r>
    </w:p>
    <w:p>
      <w:pPr>
        <w:pStyle w:val="19"/>
        <w:spacing w:before="120" w:after="120" w:line="420" w:lineRule="exact"/>
        <w:ind w:firstLine="480" w:firstLineChars="200"/>
        <w:rPr>
          <w:rFonts w:hint="eastAsia" w:hAnsi="宋体" w:cs="宋体"/>
        </w:rPr>
      </w:pPr>
      <w:r>
        <w:rPr>
          <w:rFonts w:hint="eastAsia" w:hAnsi="宋体" w:cs="宋体"/>
        </w:rPr>
        <w:t>(1)资格响应文件、商务技术响应文件、报价响应文件(2)报价文件；</w:t>
      </w:r>
    </w:p>
    <w:p>
      <w:pPr>
        <w:pStyle w:val="19"/>
        <w:spacing w:before="120" w:after="120" w:line="420" w:lineRule="exact"/>
        <w:ind w:firstLine="480" w:firstLineChars="200"/>
        <w:rPr>
          <w:rFonts w:hint="eastAsia" w:hAnsi="宋体" w:cs="宋体"/>
        </w:rPr>
      </w:pPr>
      <w:r>
        <w:rPr>
          <w:rFonts w:hint="eastAsia" w:hAnsi="宋体" w:cs="宋体"/>
        </w:rPr>
        <w:t>(2)编制和提交投标文件须知要求投标人提交的全部文件；</w:t>
      </w:r>
    </w:p>
    <w:p>
      <w:pPr>
        <w:pStyle w:val="19"/>
        <w:spacing w:before="120" w:after="120" w:line="420" w:lineRule="exact"/>
        <w:ind w:firstLine="480" w:firstLineChars="200"/>
        <w:rPr>
          <w:rFonts w:hint="eastAsia" w:hAnsi="宋体" w:cs="宋体"/>
        </w:rPr>
      </w:pPr>
      <w:r>
        <w:rPr>
          <w:rFonts w:hint="eastAsia" w:hAnsi="宋体" w:cs="宋体"/>
        </w:rPr>
        <w:t>(3)按采购文件要求提供和交付的货物和服务的投标报价详见开标一览表；</w:t>
      </w:r>
    </w:p>
    <w:p>
      <w:pPr>
        <w:pStyle w:val="19"/>
        <w:spacing w:before="120" w:after="120" w:line="420" w:lineRule="exact"/>
        <w:ind w:firstLine="480" w:firstLineChars="200"/>
        <w:rPr>
          <w:rFonts w:hint="eastAsia" w:hAnsi="宋体" w:cs="宋体"/>
        </w:rPr>
      </w:pPr>
      <w:r>
        <w:rPr>
          <w:rFonts w:hint="eastAsia" w:hAnsi="宋体" w:cs="宋体"/>
        </w:rPr>
        <w:t>(4)保证忠实地执行双方所签订的合同，并承担合同规定的责任和义务；</w:t>
      </w:r>
    </w:p>
    <w:p>
      <w:pPr>
        <w:pStyle w:val="19"/>
        <w:spacing w:before="120" w:after="120" w:line="420" w:lineRule="exact"/>
        <w:ind w:firstLine="480" w:firstLineChars="200"/>
        <w:rPr>
          <w:rFonts w:hint="eastAsia" w:hAnsi="宋体" w:cs="宋体"/>
        </w:rPr>
      </w:pPr>
      <w:r>
        <w:rPr>
          <w:rFonts w:hint="eastAsia" w:hAnsi="宋体" w:cs="宋体"/>
        </w:rPr>
        <w:t>(5)保证遵守采购文件中的其他有关规定。</w:t>
      </w:r>
    </w:p>
    <w:p>
      <w:pPr>
        <w:pStyle w:val="19"/>
        <w:spacing w:before="120" w:after="120" w:line="420" w:lineRule="exact"/>
        <w:ind w:firstLine="480" w:firstLineChars="200"/>
        <w:rPr>
          <w:rFonts w:hint="eastAsia" w:hAnsi="宋体" w:cs="宋体"/>
        </w:rPr>
      </w:pPr>
      <w:r>
        <w:rPr>
          <w:rFonts w:hint="eastAsia" w:hAnsi="宋体" w:cs="宋体"/>
        </w:rPr>
        <w:t>4、我方完全理解贵方不一定要接受最低价的投标。</w:t>
      </w:r>
    </w:p>
    <w:p>
      <w:pPr>
        <w:pStyle w:val="19"/>
        <w:spacing w:before="120" w:after="120" w:line="420" w:lineRule="exact"/>
        <w:ind w:firstLine="480" w:firstLineChars="200"/>
        <w:rPr>
          <w:rFonts w:hint="eastAsia" w:hAnsi="宋体" w:cs="宋体"/>
        </w:rPr>
      </w:pPr>
      <w:r>
        <w:rPr>
          <w:rFonts w:hint="eastAsia" w:hAnsi="宋体" w:cs="宋体"/>
        </w:rPr>
        <w:t>5、我方愿意向贵方提供任何与该项投标有关的数据、情况和技术资料。若贵方需要，我方愿意提供我方作出的一切承诺的证明材料。</w:t>
      </w:r>
    </w:p>
    <w:p>
      <w:pPr>
        <w:pStyle w:val="19"/>
        <w:spacing w:before="120" w:after="120" w:line="420" w:lineRule="exact"/>
        <w:ind w:firstLine="480" w:firstLineChars="200"/>
        <w:rPr>
          <w:rFonts w:hint="eastAsia" w:hAnsi="宋体" w:cs="宋体"/>
        </w:rPr>
      </w:pPr>
      <w:r>
        <w:rPr>
          <w:rFonts w:hint="eastAsia" w:hAnsi="宋体" w:cs="宋体"/>
        </w:rPr>
        <w:t>6、我方已详细审核全部采购文件，包括采购文件修改书(如果有)、参考资料及有关附件，确认无误。</w:t>
      </w:r>
    </w:p>
    <w:p>
      <w:pPr>
        <w:pStyle w:val="19"/>
        <w:spacing w:before="120" w:after="120" w:line="420" w:lineRule="exact"/>
        <w:ind w:firstLine="480" w:firstLineChars="200"/>
        <w:rPr>
          <w:rFonts w:hint="eastAsia" w:hAnsi="宋体" w:cs="宋体"/>
        </w:rPr>
      </w:pPr>
      <w:r>
        <w:rPr>
          <w:rFonts w:hint="eastAsia" w:hAnsi="宋体" w:cs="宋体"/>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9"/>
        <w:spacing w:before="120" w:after="120" w:line="420" w:lineRule="exact"/>
        <w:ind w:firstLine="480" w:firstLineChars="200"/>
        <w:rPr>
          <w:rFonts w:hint="eastAsia" w:hAnsi="宋体" w:cs="宋体"/>
        </w:rPr>
      </w:pPr>
      <w:r>
        <w:rPr>
          <w:rFonts w:hint="eastAsia" w:hAnsi="宋体" w:cs="宋体"/>
        </w:rPr>
        <w:t>a)提供虚假材料谋取中标、成交的；</w:t>
      </w:r>
    </w:p>
    <w:p>
      <w:pPr>
        <w:pStyle w:val="19"/>
        <w:spacing w:before="120" w:after="120" w:line="420" w:lineRule="exact"/>
        <w:ind w:firstLine="480" w:firstLineChars="200"/>
        <w:rPr>
          <w:rFonts w:hint="eastAsia" w:hAnsi="宋体" w:cs="宋体"/>
        </w:rPr>
      </w:pPr>
      <w:r>
        <w:rPr>
          <w:rFonts w:hint="eastAsia" w:hAnsi="宋体" w:cs="宋体"/>
        </w:rPr>
        <w:t>b)采取不正当手段诋毁、排挤其他投标人的；</w:t>
      </w:r>
    </w:p>
    <w:p>
      <w:pPr>
        <w:pStyle w:val="19"/>
        <w:spacing w:before="120" w:after="120" w:line="420" w:lineRule="exact"/>
        <w:ind w:firstLine="480" w:firstLineChars="200"/>
        <w:rPr>
          <w:rFonts w:hint="eastAsia" w:hAnsi="宋体" w:cs="宋体"/>
        </w:rPr>
      </w:pPr>
      <w:r>
        <w:rPr>
          <w:rFonts w:hint="eastAsia" w:hAnsi="宋体" w:cs="宋体"/>
        </w:rPr>
        <w:t>c)与采购人、其它投标人或者采购代理机构恶意串通的；</w:t>
      </w:r>
    </w:p>
    <w:p>
      <w:pPr>
        <w:pStyle w:val="19"/>
        <w:spacing w:before="120" w:after="120" w:line="420" w:lineRule="exact"/>
        <w:ind w:firstLine="480" w:firstLineChars="200"/>
        <w:rPr>
          <w:rFonts w:hint="eastAsia" w:hAnsi="宋体" w:cs="宋体"/>
        </w:rPr>
      </w:pPr>
      <w:r>
        <w:rPr>
          <w:rFonts w:hint="eastAsia" w:hAnsi="宋体" w:cs="宋体"/>
        </w:rPr>
        <w:t>d)向采购人、采购代理机构行贿或者提供其他不正当利益的；</w:t>
      </w:r>
    </w:p>
    <w:p>
      <w:pPr>
        <w:pStyle w:val="19"/>
        <w:spacing w:before="120" w:after="120" w:line="420" w:lineRule="exact"/>
        <w:ind w:firstLine="480" w:firstLineChars="200"/>
        <w:rPr>
          <w:rFonts w:hint="eastAsia" w:hAnsi="宋体" w:cs="宋体"/>
        </w:rPr>
      </w:pPr>
      <w:r>
        <w:rPr>
          <w:rFonts w:hint="eastAsia" w:hAnsi="宋体" w:cs="宋体"/>
        </w:rPr>
        <w:t>e)在招标采购过程中与采购人进行协商谈判的；</w:t>
      </w:r>
    </w:p>
    <w:p>
      <w:pPr>
        <w:pStyle w:val="19"/>
        <w:spacing w:before="120" w:after="120" w:line="420" w:lineRule="exact"/>
        <w:ind w:firstLine="480" w:firstLineChars="200"/>
        <w:rPr>
          <w:rFonts w:hint="eastAsia" w:hAnsi="宋体" w:cs="宋体"/>
        </w:rPr>
      </w:pPr>
      <w:r>
        <w:rPr>
          <w:rFonts w:hint="eastAsia" w:hAnsi="宋体" w:cs="宋体"/>
        </w:rPr>
        <w:t>f)拒绝有关部门监督检查或提供虚假情况的。</w:t>
      </w:r>
    </w:p>
    <w:p>
      <w:pPr>
        <w:pStyle w:val="19"/>
        <w:spacing w:before="120" w:after="120" w:line="420" w:lineRule="exact"/>
        <w:ind w:firstLine="480" w:firstLineChars="200"/>
        <w:rPr>
          <w:rFonts w:hint="eastAsia" w:hAnsi="宋体" w:cs="宋体"/>
        </w:rPr>
      </w:pPr>
      <w:r>
        <w:rPr>
          <w:rFonts w:hint="eastAsia" w:hAnsi="宋体" w:cs="宋体"/>
        </w:rPr>
        <w:t>投标人有前款第a)至e)项情形之一的，中标、成交无效。</w:t>
      </w:r>
    </w:p>
    <w:p>
      <w:pPr>
        <w:pStyle w:val="19"/>
        <w:spacing w:before="120" w:after="120" w:line="420" w:lineRule="exact"/>
        <w:ind w:firstLine="480" w:firstLineChars="200"/>
        <w:rPr>
          <w:rFonts w:hint="eastAsia" w:hAnsi="宋体" w:cs="宋体"/>
        </w:rPr>
      </w:pPr>
    </w:p>
    <w:p>
      <w:pPr>
        <w:pStyle w:val="19"/>
        <w:spacing w:before="120" w:after="120" w:line="420" w:lineRule="exact"/>
        <w:ind w:firstLine="480" w:firstLineChars="200"/>
        <w:rPr>
          <w:rFonts w:hint="eastAsia" w:hAnsi="宋体" w:cs="宋体"/>
        </w:rPr>
      </w:pPr>
    </w:p>
    <w:p>
      <w:pPr>
        <w:pStyle w:val="19"/>
        <w:spacing w:before="120" w:after="120" w:line="420" w:lineRule="exact"/>
        <w:ind w:firstLine="480" w:firstLineChars="200"/>
        <w:rPr>
          <w:rFonts w:hint="eastAsia" w:hAnsi="宋体" w:cs="宋体"/>
        </w:rPr>
      </w:pPr>
      <w:r>
        <w:rPr>
          <w:rFonts w:hint="eastAsia" w:hAnsi="宋体" w:cs="宋体"/>
        </w:rPr>
        <w:t>投标人（电子签章）：</w:t>
      </w:r>
      <w:r>
        <w:rPr>
          <w:rFonts w:hint="eastAsia" w:hAnsi="宋体" w:cs="宋体"/>
          <w:u w:val="single"/>
        </w:rPr>
        <w:t xml:space="preserve">                      </w:t>
      </w:r>
      <w:r>
        <w:rPr>
          <w:rFonts w:hint="eastAsia" w:hAnsi="宋体" w:cs="宋体"/>
        </w:rPr>
        <w:t xml:space="preserve"> </w:t>
      </w:r>
    </w:p>
    <w:p>
      <w:pPr>
        <w:pStyle w:val="19"/>
        <w:spacing w:before="120" w:after="120" w:line="420" w:lineRule="exact"/>
        <w:ind w:firstLine="480" w:firstLineChars="200"/>
        <w:rPr>
          <w:rFonts w:hint="eastAsia" w:hAnsi="宋体" w:cs="宋体"/>
        </w:rPr>
      </w:pPr>
      <w:r>
        <w:rPr>
          <w:rFonts w:hint="eastAsia" w:hAnsi="宋体" w:cs="宋体"/>
        </w:rPr>
        <w:t>联系人：</w:t>
      </w:r>
      <w:r>
        <w:rPr>
          <w:rFonts w:hint="eastAsia" w:hAnsi="宋体" w:cs="宋体"/>
          <w:u w:val="single"/>
        </w:rPr>
        <w:t xml:space="preserve">                       </w:t>
      </w:r>
      <w:r>
        <w:rPr>
          <w:rFonts w:hint="eastAsia" w:hAnsi="宋体" w:cs="宋体"/>
        </w:rPr>
        <w:t xml:space="preserve">    联系电话</w:t>
      </w:r>
      <w:r>
        <w:rPr>
          <w:rFonts w:hint="eastAsia" w:hAnsi="宋体" w:cs="宋体"/>
          <w:u w:val="single"/>
        </w:rPr>
        <w:t xml:space="preserve">：                 </w:t>
      </w:r>
    </w:p>
    <w:p>
      <w:pPr>
        <w:pStyle w:val="19"/>
        <w:spacing w:before="120" w:after="120" w:line="420" w:lineRule="exact"/>
        <w:ind w:firstLine="480" w:firstLineChars="200"/>
        <w:rPr>
          <w:rFonts w:hint="eastAsia" w:hAnsi="宋体" w:cs="宋体"/>
        </w:rPr>
      </w:pPr>
      <w:r>
        <w:rPr>
          <w:rFonts w:hint="eastAsia" w:hAnsi="宋体" w:cs="宋体"/>
        </w:rPr>
        <w:t>联系地址：</w:t>
      </w:r>
      <w:r>
        <w:rPr>
          <w:rFonts w:hint="eastAsia" w:hAnsi="宋体" w:cs="宋体"/>
          <w:u w:val="single"/>
        </w:rPr>
        <w:t xml:space="preserve">                     </w:t>
      </w:r>
      <w:r>
        <w:rPr>
          <w:rFonts w:hint="eastAsia" w:hAnsi="宋体" w:cs="宋体"/>
        </w:rPr>
        <w:t xml:space="preserve">                               </w:t>
      </w:r>
    </w:p>
    <w:p>
      <w:pPr>
        <w:pStyle w:val="19"/>
        <w:spacing w:before="120" w:after="120" w:line="420" w:lineRule="exact"/>
        <w:ind w:firstLine="480" w:firstLineChars="200"/>
        <w:rPr>
          <w:rFonts w:hint="eastAsia" w:hAnsi="宋体" w:cs="宋体"/>
        </w:rPr>
      </w:pPr>
      <w:r>
        <w:rPr>
          <w:rFonts w:hint="eastAsia" w:hAnsi="宋体" w:cs="宋体"/>
        </w:rPr>
        <w:t>邮政编码：</w:t>
      </w:r>
      <w:r>
        <w:rPr>
          <w:rFonts w:hint="eastAsia" w:hAnsi="宋体" w:cs="宋体"/>
          <w:u w:val="single"/>
        </w:rPr>
        <w:t xml:space="preserve">                     </w:t>
      </w:r>
      <w:r>
        <w:rPr>
          <w:rFonts w:hint="eastAsia" w:hAnsi="宋体" w:cs="宋体"/>
        </w:rPr>
        <w:t>传真号码</w:t>
      </w:r>
      <w:r>
        <w:rPr>
          <w:rFonts w:hint="eastAsia" w:hAnsi="宋体" w:cs="宋体"/>
          <w:u w:val="single"/>
        </w:rPr>
        <w:t xml:space="preserve">：                     </w:t>
      </w:r>
    </w:p>
    <w:p>
      <w:pPr>
        <w:snapToGrid w:val="0"/>
        <w:spacing w:before="50" w:after="50"/>
        <w:rPr>
          <w:rFonts w:ascii="宋体" w:hAnsi="宋体" w:cs="宋体"/>
          <w:sz w:val="24"/>
        </w:rPr>
        <w:sectPr>
          <w:headerReference r:id="rId4" w:type="default"/>
          <w:footerReference r:id="rId5" w:type="default"/>
          <w:footerReference r:id="rId6" w:type="even"/>
          <w:pgSz w:w="11907" w:h="16840"/>
          <w:pgMar w:top="1361" w:right="1247" w:bottom="1247" w:left="1304" w:header="851" w:footer="992" w:gutter="0"/>
          <w:pgNumType w:start="33"/>
          <w:cols w:space="720" w:num="1"/>
          <w:docGrid w:linePitch="312" w:charSpace="0"/>
        </w:sectPr>
      </w:pPr>
      <w:r>
        <w:rPr>
          <w:rFonts w:hint="eastAsia"/>
        </w:rPr>
        <w:t xml:space="preserve">  日期：       年     月     日</w:t>
      </w:r>
    </w:p>
    <w:p>
      <w:pPr>
        <w:snapToGrid w:val="0"/>
        <w:spacing w:before="50" w:after="50"/>
        <w:rPr>
          <w:rFonts w:hint="eastAsia" w:ascii="宋体" w:hAnsi="宋体" w:cs="宋体"/>
          <w:b/>
          <w:sz w:val="24"/>
          <w:szCs w:val="20"/>
        </w:rPr>
      </w:pPr>
      <w:r>
        <w:rPr>
          <w:rFonts w:hint="eastAsia" w:ascii="宋体" w:hAnsi="宋体" w:cs="宋体"/>
          <w:sz w:val="24"/>
        </w:rPr>
        <w:t>附件4、</w:t>
      </w:r>
      <w:r>
        <w:rPr>
          <w:rFonts w:hint="eastAsia" w:ascii="宋体" w:hAnsi="宋体" w:cs="宋体"/>
          <w:b/>
          <w:sz w:val="24"/>
        </w:rPr>
        <w:t>开标一览表</w:t>
      </w:r>
    </w:p>
    <w:p>
      <w:pPr>
        <w:spacing w:line="360" w:lineRule="atLeast"/>
        <w:jc w:val="center"/>
        <w:rPr>
          <w:rFonts w:hint="eastAsia" w:ascii="宋体" w:hAnsi="宋体" w:cs="宋体"/>
          <w:b/>
          <w:bCs/>
          <w:sz w:val="30"/>
          <w:szCs w:val="30"/>
        </w:rPr>
      </w:pPr>
      <w:r>
        <w:rPr>
          <w:rFonts w:hint="eastAsia" w:ascii="宋体" w:hAnsi="宋体" w:cs="宋体"/>
          <w:b/>
          <w:bCs/>
          <w:sz w:val="30"/>
          <w:szCs w:val="30"/>
        </w:rPr>
        <w:t>台州市不动产登记便利化协同应用项目（市级系统部分）</w:t>
      </w:r>
    </w:p>
    <w:p>
      <w:pPr>
        <w:spacing w:line="360" w:lineRule="atLeast"/>
        <w:ind w:left="641" w:leftChars="229" w:firstLine="2870" w:firstLineChars="953"/>
        <w:rPr>
          <w:rFonts w:ascii="宋体"/>
          <w:b/>
          <w:bCs/>
          <w:sz w:val="24"/>
        </w:rPr>
      </w:pPr>
      <w:r>
        <w:rPr>
          <w:rFonts w:hint="eastAsia" w:ascii="宋体" w:hAnsi="宋体" w:cs="宋体"/>
          <w:b/>
          <w:bCs/>
          <w:sz w:val="30"/>
          <w:szCs w:val="30"/>
        </w:rPr>
        <w:t>开标一览表</w:t>
      </w:r>
    </w:p>
    <w:p>
      <w:pPr>
        <w:snapToGrid w:val="0"/>
        <w:spacing w:before="50" w:after="50"/>
        <w:jc w:val="left"/>
        <w:rPr>
          <w:rFonts w:hint="eastAsia" w:ascii="Arial" w:hAnsi="Arial" w:cs="Arial"/>
          <w:sz w:val="24"/>
        </w:rPr>
      </w:pPr>
      <w:r>
        <w:rPr>
          <w:rFonts w:hint="eastAsia" w:ascii="Arial" w:hAnsi="Arial" w:cs="宋体"/>
          <w:sz w:val="24"/>
        </w:rPr>
        <w:t>致：台州市自然资源和规划局</w:t>
      </w:r>
    </w:p>
    <w:p>
      <w:pPr>
        <w:snapToGrid w:val="0"/>
        <w:ind w:firstLine="480" w:firstLineChars="200"/>
        <w:jc w:val="left"/>
        <w:rPr>
          <w:rFonts w:ascii="新宋体" w:hAnsi="新宋体" w:eastAsia="新宋体"/>
          <w:sz w:val="22"/>
          <w:szCs w:val="22"/>
        </w:rPr>
      </w:pPr>
      <w:r>
        <w:rPr>
          <w:rFonts w:hint="eastAsia" w:ascii="Arial" w:hAnsi="Arial" w:cs="宋体"/>
          <w:sz w:val="24"/>
        </w:rPr>
        <w:t>经研究，我们决定参加你单位的</w:t>
      </w:r>
      <w:r>
        <w:rPr>
          <w:rFonts w:hint="eastAsia" w:ascii="Arial" w:hAnsi="Arial" w:cs="宋体"/>
          <w:sz w:val="24"/>
          <w:u w:val="single"/>
        </w:rPr>
        <w:t>台州市不动产登记便利化协同应用项目（市级系统部分）</w:t>
      </w:r>
      <w:r>
        <w:rPr>
          <w:rFonts w:hint="eastAsia" w:ascii="Arial" w:hAnsi="Arial" w:cs="宋体"/>
          <w:sz w:val="24"/>
        </w:rPr>
        <w:t>的招标采购活动并提交投标文件。为此，我方郑重声明以下诸点，并负法律责任。</w:t>
      </w:r>
    </w:p>
    <w:p>
      <w:pPr>
        <w:pStyle w:val="3"/>
        <w:adjustRightInd w:val="0"/>
        <w:snapToGrid w:val="0"/>
        <w:spacing w:line="240" w:lineRule="auto"/>
        <w:rPr>
          <w:rFonts w:ascii="Arial" w:hAnsi="Arial" w:cs="Arial"/>
          <w:sz w:val="24"/>
          <w:szCs w:val="24"/>
        </w:rPr>
      </w:pPr>
      <w:r>
        <w:rPr>
          <w:rFonts w:ascii="Arial" w:hAnsi="Arial" w:cs="Arial"/>
          <w:sz w:val="24"/>
          <w:szCs w:val="24"/>
        </w:rPr>
        <w:t>1</w:t>
      </w:r>
      <w:r>
        <w:rPr>
          <w:rFonts w:hint="eastAsia" w:ascii="Arial" w:hAnsi="Arial"/>
          <w:sz w:val="24"/>
          <w:szCs w:val="24"/>
        </w:rPr>
        <w:t>、如果我们的招标文件被接受，我们将履行招标文件中规定的每一项要求，并按我们投标文件中的承诺按期、按质、按量提供服务。</w:t>
      </w:r>
    </w:p>
    <w:p>
      <w:pPr>
        <w:pStyle w:val="3"/>
        <w:adjustRightInd w:val="0"/>
        <w:snapToGrid w:val="0"/>
        <w:spacing w:line="240" w:lineRule="auto"/>
        <w:ind w:firstLine="299" w:firstLineChars="129"/>
        <w:rPr>
          <w:rFonts w:ascii="Arial" w:hAnsi="Arial" w:cs="Arial"/>
          <w:sz w:val="24"/>
          <w:szCs w:val="24"/>
        </w:rPr>
      </w:pPr>
      <w:r>
        <w:rPr>
          <w:rFonts w:ascii="Arial" w:hAnsi="Arial" w:cs="Arial"/>
          <w:sz w:val="24"/>
          <w:szCs w:val="24"/>
        </w:rPr>
        <w:t>2</w:t>
      </w:r>
      <w:r>
        <w:rPr>
          <w:rFonts w:hint="eastAsia" w:ascii="Arial" w:hAnsi="Arial"/>
          <w:sz w:val="24"/>
          <w:szCs w:val="24"/>
        </w:rPr>
        <w:t>、我们同意按采购文件规定遵守采购人有关采购的各项规定。</w:t>
      </w:r>
    </w:p>
    <w:p>
      <w:pPr>
        <w:pStyle w:val="3"/>
        <w:adjustRightInd w:val="0"/>
        <w:snapToGrid w:val="0"/>
        <w:spacing w:line="240" w:lineRule="auto"/>
        <w:ind w:firstLine="290" w:firstLineChars="125"/>
        <w:rPr>
          <w:rFonts w:ascii="Arial" w:hAnsi="Arial" w:cs="Arial"/>
          <w:sz w:val="24"/>
          <w:szCs w:val="24"/>
        </w:rPr>
      </w:pPr>
      <w:r>
        <w:rPr>
          <w:rFonts w:ascii="Arial" w:hAnsi="Arial" w:cs="Arial"/>
          <w:sz w:val="24"/>
          <w:szCs w:val="24"/>
        </w:rPr>
        <w:t>3</w:t>
      </w:r>
      <w:r>
        <w:rPr>
          <w:rFonts w:hint="eastAsia" w:ascii="Arial" w:hAnsi="Arial"/>
          <w:sz w:val="24"/>
          <w:szCs w:val="24"/>
        </w:rPr>
        <w:t>、我方同意提供按照贵方可能要求的与投标有关的一切数据或资料，我方若未成为成交投标人，采购人有权不做任何解释。</w:t>
      </w:r>
    </w:p>
    <w:p>
      <w:pPr>
        <w:ind w:firstLine="360" w:firstLineChars="150"/>
        <w:rPr>
          <w:rFonts w:ascii="楷体_GB2312" w:eastAsia="楷体_GB2312"/>
          <w:b/>
          <w:bCs/>
        </w:rPr>
      </w:pPr>
      <w:r>
        <w:rPr>
          <w:rFonts w:ascii="Arial" w:hAnsi="Arial" w:cs="Arial"/>
          <w:sz w:val="24"/>
        </w:rPr>
        <w:t>4</w:t>
      </w:r>
      <w:r>
        <w:rPr>
          <w:rFonts w:hint="eastAsia" w:ascii="Arial" w:hAnsi="Arial" w:cs="宋体"/>
          <w:sz w:val="24"/>
        </w:rPr>
        <w:t>、我方如果中标，将保证履行招标文件以及招标文件修改书（如有）中的全部责任和义务，按质、按量、按期完成《合同书》中的全部任务。</w:t>
      </w:r>
    </w:p>
    <w:p>
      <w:pPr>
        <w:ind w:firstLine="360" w:firstLineChars="150"/>
        <w:rPr>
          <w:rFonts w:ascii="Arial" w:hAnsi="Arial" w:cs="Arial"/>
          <w:sz w:val="24"/>
        </w:rPr>
      </w:pPr>
    </w:p>
    <w:p>
      <w:pPr>
        <w:jc w:val="center"/>
        <w:rPr>
          <w:rFonts w:hint="eastAsia" w:ascii="楷体_GB2312" w:eastAsia="楷体_GB2312"/>
          <w:b/>
          <w:bCs/>
          <w:sz w:val="24"/>
        </w:rPr>
      </w:pPr>
      <w:r>
        <w:rPr>
          <w:rFonts w:hint="eastAsia" w:ascii="宋体" w:hAnsi="宋体" w:eastAsia="楷体_GB2312" w:cs="宋体"/>
          <w:b/>
          <w:bCs/>
          <w:sz w:val="24"/>
        </w:rPr>
        <w:t>台州市不动产登记便利化协同应用项目（市级系统部分）</w:t>
      </w:r>
    </w:p>
    <w:tbl>
      <w:tblPr>
        <w:tblStyle w:val="34"/>
        <w:tblW w:w="9572" w:type="dxa"/>
        <w:tblInd w:w="-106" w:type="dxa"/>
        <w:tblLayout w:type="fixed"/>
        <w:tblCellMar>
          <w:top w:w="0" w:type="dxa"/>
          <w:left w:w="108" w:type="dxa"/>
          <w:bottom w:w="0" w:type="dxa"/>
          <w:right w:w="108" w:type="dxa"/>
        </w:tblCellMar>
      </w:tblPr>
      <w:tblGrid>
        <w:gridCol w:w="1242"/>
        <w:gridCol w:w="1935"/>
        <w:gridCol w:w="6395"/>
      </w:tblGrid>
      <w:tr>
        <w:tblPrEx>
          <w:tblCellMar>
            <w:top w:w="0" w:type="dxa"/>
            <w:left w:w="108" w:type="dxa"/>
            <w:bottom w:w="0" w:type="dxa"/>
            <w:right w:w="108" w:type="dxa"/>
          </w:tblCellMar>
        </w:tblPrEx>
        <w:trPr>
          <w:trHeight w:val="63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rPr>
            </w:pPr>
            <w:r>
              <w:rPr>
                <w:rFonts w:hint="eastAsia" w:ascii="宋体" w:hAnsi="宋体" w:cs="宋体"/>
                <w:kern w:val="0"/>
                <w:sz w:val="24"/>
              </w:rPr>
              <w:t>序号</w:t>
            </w:r>
          </w:p>
        </w:tc>
        <w:tc>
          <w:tcPr>
            <w:tcW w:w="8330"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ascii="宋体"/>
                <w:kern w:val="0"/>
                <w:sz w:val="24"/>
              </w:rPr>
            </w:pPr>
            <w:r>
              <w:rPr>
                <w:rFonts w:hint="eastAsia" w:ascii="宋体" w:hAnsi="宋体" w:cs="宋体"/>
                <w:kern w:val="0"/>
                <w:sz w:val="24"/>
              </w:rPr>
              <w:t>名称</w:t>
            </w:r>
          </w:p>
        </w:tc>
      </w:tr>
      <w:tr>
        <w:tblPrEx>
          <w:tblCellMar>
            <w:top w:w="0" w:type="dxa"/>
            <w:left w:w="108" w:type="dxa"/>
            <w:bottom w:w="0" w:type="dxa"/>
            <w:right w:w="108" w:type="dxa"/>
          </w:tblCellMar>
        </w:tblPrEx>
        <w:trPr>
          <w:trHeight w:val="553"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kern w:val="0"/>
                <w:sz w:val="24"/>
              </w:rPr>
            </w:pPr>
            <w:r>
              <w:rPr>
                <w:rFonts w:ascii="宋体" w:hAnsi="宋体" w:cs="宋体"/>
                <w:kern w:val="0"/>
                <w:sz w:val="24"/>
              </w:rPr>
              <w:t>1</w:t>
            </w:r>
          </w:p>
        </w:tc>
        <w:tc>
          <w:tcPr>
            <w:tcW w:w="8330"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ascii="宋体"/>
                <w:kern w:val="0"/>
                <w:sz w:val="24"/>
              </w:rPr>
            </w:pPr>
            <w:r>
              <w:rPr>
                <w:rFonts w:hint="eastAsia" w:ascii="宋体" w:hAnsi="宋体" w:cs="宋体"/>
                <w:kern w:val="0"/>
                <w:sz w:val="24"/>
              </w:rPr>
              <w:t>台州市不动产登记便利化协同应用项目（市级系统部分）</w:t>
            </w:r>
          </w:p>
        </w:tc>
      </w:tr>
      <w:tr>
        <w:tblPrEx>
          <w:tblCellMar>
            <w:top w:w="0" w:type="dxa"/>
            <w:left w:w="108" w:type="dxa"/>
            <w:bottom w:w="0" w:type="dxa"/>
            <w:right w:w="108" w:type="dxa"/>
          </w:tblCellMar>
        </w:tblPrEx>
        <w:trPr>
          <w:trHeight w:val="34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2</w:t>
            </w:r>
          </w:p>
        </w:tc>
        <w:tc>
          <w:tcPr>
            <w:tcW w:w="193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施工期</w:t>
            </w:r>
          </w:p>
        </w:tc>
        <w:tc>
          <w:tcPr>
            <w:tcW w:w="639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月</w:t>
            </w:r>
          </w:p>
        </w:tc>
      </w:tr>
      <w:tr>
        <w:tblPrEx>
          <w:tblCellMar>
            <w:top w:w="0" w:type="dxa"/>
            <w:left w:w="108" w:type="dxa"/>
            <w:bottom w:w="0" w:type="dxa"/>
            <w:right w:w="108" w:type="dxa"/>
          </w:tblCellMar>
        </w:tblPrEx>
        <w:trPr>
          <w:trHeight w:val="34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3</w:t>
            </w:r>
          </w:p>
        </w:tc>
        <w:tc>
          <w:tcPr>
            <w:tcW w:w="193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质保期</w:t>
            </w:r>
          </w:p>
        </w:tc>
        <w:tc>
          <w:tcPr>
            <w:tcW w:w="639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年</w:t>
            </w:r>
          </w:p>
        </w:tc>
      </w:tr>
      <w:tr>
        <w:tblPrEx>
          <w:tblCellMar>
            <w:top w:w="0" w:type="dxa"/>
            <w:left w:w="108" w:type="dxa"/>
            <w:bottom w:w="0" w:type="dxa"/>
            <w:right w:w="108" w:type="dxa"/>
          </w:tblCellMar>
        </w:tblPrEx>
        <w:trPr>
          <w:trHeight w:val="34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4</w:t>
            </w:r>
          </w:p>
        </w:tc>
        <w:tc>
          <w:tcPr>
            <w:tcW w:w="193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质量等级</w:t>
            </w:r>
          </w:p>
        </w:tc>
        <w:tc>
          <w:tcPr>
            <w:tcW w:w="639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符合要求</w:t>
            </w:r>
          </w:p>
        </w:tc>
      </w:tr>
      <w:tr>
        <w:tblPrEx>
          <w:tblCellMar>
            <w:top w:w="0" w:type="dxa"/>
            <w:left w:w="108" w:type="dxa"/>
            <w:bottom w:w="0" w:type="dxa"/>
            <w:right w:w="108" w:type="dxa"/>
          </w:tblCellMar>
        </w:tblPrEx>
        <w:trPr>
          <w:trHeight w:val="68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5</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投标总报价</w:t>
            </w:r>
          </w:p>
        </w:tc>
        <w:tc>
          <w:tcPr>
            <w:tcW w:w="639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rPr>
              <w:t>元整，</w:t>
            </w:r>
          </w:p>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（小写）：</w:t>
            </w:r>
            <w:r>
              <w:rPr>
                <w:rFonts w:hint="eastAsia" w:ascii="宋体" w:hAnsi="宋体" w:cs="宋体"/>
                <w:kern w:val="0"/>
                <w:sz w:val="24"/>
                <w:u w:val="single"/>
              </w:rPr>
              <w:t xml:space="preserve">              </w:t>
            </w:r>
            <w:r>
              <w:rPr>
                <w:rFonts w:hint="eastAsia" w:ascii="宋体" w:hAnsi="宋体" w:cs="宋体"/>
                <w:kern w:val="0"/>
                <w:sz w:val="24"/>
              </w:rPr>
              <w:t>元。</w:t>
            </w:r>
          </w:p>
        </w:tc>
      </w:tr>
      <w:tr>
        <w:tblPrEx>
          <w:tblCellMar>
            <w:top w:w="0" w:type="dxa"/>
            <w:left w:w="108" w:type="dxa"/>
            <w:bottom w:w="0" w:type="dxa"/>
            <w:right w:w="108" w:type="dxa"/>
          </w:tblCellMar>
        </w:tblPrEx>
        <w:trPr>
          <w:trHeight w:val="707" w:hRule="atLeast"/>
        </w:trPr>
        <w:tc>
          <w:tcPr>
            <w:tcW w:w="957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宋体" w:hAnsi="宋体" w:cs="宋体"/>
                <w:kern w:val="0"/>
                <w:sz w:val="24"/>
              </w:rPr>
            </w:pPr>
            <w:r>
              <w:rPr>
                <w:rFonts w:hint="eastAsia" w:ascii="宋体" w:hAnsi="宋体" w:cs="宋体"/>
                <w:kern w:val="0"/>
                <w:sz w:val="24"/>
              </w:rPr>
              <w:t>备注：</w:t>
            </w:r>
          </w:p>
        </w:tc>
      </w:tr>
    </w:tbl>
    <w:p>
      <w:pPr>
        <w:spacing w:line="320" w:lineRule="exact"/>
        <w:ind w:left="420"/>
        <w:rPr>
          <w:rFonts w:ascii="宋体"/>
          <w:sz w:val="24"/>
        </w:rPr>
      </w:pPr>
    </w:p>
    <w:p>
      <w:pPr>
        <w:spacing w:line="320" w:lineRule="exact"/>
        <w:rPr>
          <w:rFonts w:hint="eastAsia" w:ascii="宋体" w:hAnsi="宋体" w:cs="宋体"/>
          <w:sz w:val="24"/>
        </w:rPr>
      </w:pPr>
      <w:r>
        <w:rPr>
          <w:rFonts w:hint="eastAsia" w:ascii="宋体" w:hAnsi="宋体" w:cs="宋体"/>
          <w:sz w:val="24"/>
        </w:rPr>
        <w:t>投标人（盖章）：</w:t>
      </w:r>
    </w:p>
    <w:p>
      <w:pPr>
        <w:spacing w:line="320" w:lineRule="exact"/>
        <w:rPr>
          <w:rFonts w:hint="eastAsia" w:ascii="宋体" w:hAnsi="宋体" w:cs="宋体"/>
          <w:sz w:val="24"/>
        </w:rPr>
      </w:pPr>
    </w:p>
    <w:p>
      <w:pPr>
        <w:spacing w:line="320" w:lineRule="exact"/>
        <w:rPr>
          <w:rFonts w:hint="eastAsia" w:ascii="宋体" w:hAnsi="宋体" w:cs="宋体"/>
          <w:sz w:val="24"/>
        </w:rPr>
      </w:pPr>
      <w:r>
        <w:rPr>
          <w:rFonts w:hint="eastAsia" w:ascii="宋体" w:hAnsi="宋体" w:cs="宋体"/>
          <w:sz w:val="24"/>
        </w:rPr>
        <w:t xml:space="preserve">法定代表人（签字或盖章）：  </w:t>
      </w:r>
    </w:p>
    <w:p>
      <w:pPr>
        <w:spacing w:line="320" w:lineRule="exact"/>
        <w:rPr>
          <w:rFonts w:hint="eastAsia" w:ascii="宋体" w:hAnsi="宋体" w:cs="宋体"/>
          <w:sz w:val="24"/>
        </w:rPr>
      </w:pPr>
    </w:p>
    <w:p>
      <w:pPr>
        <w:spacing w:line="320" w:lineRule="exact"/>
        <w:rPr>
          <w:rFonts w:ascii="宋体"/>
          <w:sz w:val="24"/>
        </w:rPr>
      </w:pPr>
      <w:r>
        <w:rPr>
          <w:rFonts w:hint="eastAsia" w:ascii="宋体" w:hAnsi="宋体" w:cs="宋体"/>
          <w:sz w:val="24"/>
        </w:rPr>
        <w:t>日期：</w:t>
      </w:r>
    </w:p>
    <w:p>
      <w:pPr>
        <w:autoSpaceDE w:val="0"/>
        <w:autoSpaceDN w:val="0"/>
        <w:snapToGrid w:val="0"/>
        <w:spacing w:before="50" w:after="50" w:line="360" w:lineRule="auto"/>
        <w:jc w:val="left"/>
        <w:rPr>
          <w:rFonts w:hint="eastAsia" w:ascii="宋体" w:hAnsi="宋体"/>
          <w:color w:val="000000"/>
          <w:sz w:val="24"/>
        </w:rPr>
      </w:pPr>
    </w:p>
    <w:p>
      <w:pPr>
        <w:autoSpaceDE w:val="0"/>
        <w:autoSpaceDN w:val="0"/>
        <w:snapToGrid w:val="0"/>
        <w:spacing w:before="50" w:after="50" w:line="360" w:lineRule="auto"/>
        <w:jc w:val="left"/>
        <w:rPr>
          <w:rFonts w:ascii="宋体" w:hAnsi="宋体"/>
          <w:color w:val="000000"/>
          <w:sz w:val="24"/>
        </w:rPr>
      </w:pPr>
      <w:r>
        <w:rPr>
          <w:rFonts w:hint="eastAsia" w:ascii="宋体" w:hAnsi="宋体"/>
          <w:color w:val="000000"/>
          <w:sz w:val="24"/>
        </w:rPr>
        <w:t>说明：</w:t>
      </w:r>
    </w:p>
    <w:p>
      <w:pPr>
        <w:autoSpaceDE w:val="0"/>
        <w:autoSpaceDN w:val="0"/>
        <w:snapToGrid w:val="0"/>
        <w:spacing w:before="50" w:after="50" w:line="360" w:lineRule="auto"/>
        <w:jc w:val="left"/>
        <w:rPr>
          <w:rFonts w:ascii="宋体" w:hAnsi="宋体"/>
          <w:color w:val="000000"/>
          <w:sz w:val="24"/>
        </w:rPr>
      </w:pPr>
      <w:r>
        <w:rPr>
          <w:rFonts w:hint="eastAsia" w:ascii="宋体" w:hAnsi="宋体"/>
          <w:color w:val="000000"/>
          <w:sz w:val="24"/>
        </w:rPr>
        <w:t xml:space="preserve"> 1、报价一经涂改，应在涂改处加盖单位公章或者由法定代表人或授权委托人签字或盖章，否则其投标作无效标处理；</w:t>
      </w:r>
    </w:p>
    <w:p>
      <w:pPr>
        <w:rPr>
          <w:rFonts w:ascii="宋体" w:hAnsi="宋体"/>
          <w:color w:val="000000"/>
          <w:sz w:val="24"/>
        </w:rPr>
      </w:pPr>
      <w:r>
        <w:rPr>
          <w:rFonts w:hint="eastAsia" w:ascii="宋体" w:hAnsi="宋体"/>
          <w:color w:val="000000"/>
          <w:sz w:val="24"/>
        </w:rPr>
        <w:t>项目费用包括项目实施所需的工时费、服务费、运输费、安装调试费、购买及制作标书费、税费及其他一切费用。</w:t>
      </w:r>
    </w:p>
    <w:p>
      <w:pPr>
        <w:spacing w:line="320" w:lineRule="exact"/>
        <w:rPr>
          <w:rFonts w:hint="eastAsia" w:ascii="宋体" w:hAnsi="宋体" w:cs="宋体"/>
          <w:sz w:val="24"/>
        </w:rPr>
      </w:pPr>
    </w:p>
    <w:p>
      <w:pPr>
        <w:spacing w:line="320" w:lineRule="exact"/>
        <w:rPr>
          <w:rFonts w:hint="eastAsia" w:ascii="宋体" w:hAnsi="宋体" w:cs="宋体"/>
          <w:sz w:val="24"/>
        </w:rPr>
      </w:pPr>
    </w:p>
    <w:p>
      <w:pPr>
        <w:pStyle w:val="6"/>
        <w:ind w:left="720" w:hanging="720"/>
        <w:rPr>
          <w:rFonts w:ascii="宋体" w:hAnsi="宋体"/>
        </w:rPr>
      </w:pPr>
      <w:bookmarkStart w:id="44" w:name="_Toc7737_WPSOffice_Level2"/>
      <w:bookmarkStart w:id="45" w:name="_Toc48647113"/>
      <w:bookmarkStart w:id="46" w:name="_Toc27854_WPSOffice_Level2"/>
      <w:r>
        <w:rPr>
          <w:rFonts w:hint="eastAsia" w:ascii="宋体" w:hAnsi="宋体" w:cs="宋体"/>
          <w:b w:val="0"/>
          <w:bCs w:val="0"/>
          <w:sz w:val="24"/>
        </w:rPr>
        <w:t>附件5、</w:t>
      </w:r>
      <w:r>
        <w:rPr>
          <w:rFonts w:hint="eastAsia" w:ascii="宋体" w:hAnsi="宋体" w:cs="宋体"/>
          <w:sz w:val="24"/>
        </w:rPr>
        <w:t>报价明细表</w:t>
      </w:r>
      <w:bookmarkEnd w:id="44"/>
      <w:bookmarkEnd w:id="45"/>
      <w:bookmarkEnd w:id="46"/>
    </w:p>
    <w:tbl>
      <w:tblPr>
        <w:tblStyle w:val="34"/>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
                <w:color w:val="000000"/>
                <w:sz w:val="24"/>
              </w:rPr>
            </w:pPr>
            <w:r>
              <w:rPr>
                <w:rFonts w:hint="eastAsia" w:ascii="宋体" w:hAnsi="宋体" w:cs="宋体"/>
                <w:b/>
                <w:color w:val="000000"/>
                <w:sz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rPr>
                <w:rFonts w:ascii="宋体" w:hAnsi="宋体" w:cs="宋体"/>
                <w:b/>
                <w:color w:val="000000"/>
                <w:sz w:val="24"/>
              </w:rPr>
            </w:pPr>
            <w:r>
              <w:rPr>
                <w:rFonts w:hint="eastAsia" w:ascii="宋体" w:hAnsi="宋体" w:cs="宋体"/>
                <w:b/>
                <w:color w:val="000000"/>
                <w:sz w:val="24"/>
              </w:rPr>
              <w:t>报价项目</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60" w:lineRule="auto"/>
              <w:ind w:right="25"/>
              <w:jc w:val="center"/>
              <w:rPr>
                <w:rFonts w:ascii="宋体" w:hAnsi="宋体" w:cs="宋体"/>
                <w:b/>
                <w:color w:val="000000"/>
                <w:sz w:val="24"/>
              </w:rPr>
            </w:pPr>
            <w:r>
              <w:rPr>
                <w:rFonts w:hint="eastAsia" w:ascii="宋体" w:hAnsi="宋体" w:cs="宋体"/>
                <w:b/>
                <w:color w:val="000000"/>
                <w:sz w:val="24"/>
              </w:rPr>
              <w:t>品牌、产地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
              <w:jc w:val="center"/>
              <w:rPr>
                <w:rFonts w:ascii="宋体" w:hAnsi="宋体" w:cs="宋体"/>
                <w:b/>
                <w:color w:val="000000"/>
                <w:sz w:val="24"/>
              </w:rPr>
            </w:pPr>
            <w:r>
              <w:rPr>
                <w:rFonts w:hint="eastAsia" w:ascii="宋体" w:hAnsi="宋体" w:cs="宋体"/>
                <w:b/>
                <w:color w:val="000000"/>
                <w:sz w:val="24"/>
              </w:rPr>
              <w:t>型号规格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52"/>
              <w:jc w:val="center"/>
              <w:rPr>
                <w:rFonts w:ascii="宋体" w:hAnsi="宋体" w:cs="宋体"/>
                <w:b/>
                <w:color w:val="000000"/>
                <w:sz w:val="24"/>
              </w:rPr>
            </w:pPr>
            <w:r>
              <w:rPr>
                <w:rFonts w:hint="eastAsia" w:ascii="宋体" w:hAnsi="宋体" w:cs="宋体"/>
                <w:b/>
                <w:color w:val="000000"/>
                <w:sz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000000"/>
                <w:sz w:val="24"/>
              </w:rPr>
            </w:pPr>
            <w:r>
              <w:rPr>
                <w:rFonts w:hint="eastAsia" w:ascii="宋体" w:hAnsi="宋体" w:cs="宋体"/>
                <w:b/>
                <w:color w:val="000000"/>
                <w:sz w:val="24"/>
              </w:rPr>
              <w:t>单价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000000"/>
                <w:sz w:val="24"/>
              </w:rPr>
            </w:pPr>
            <w:r>
              <w:rPr>
                <w:rFonts w:hint="eastAsia" w:ascii="宋体" w:hAnsi="宋体" w:cs="宋体"/>
                <w:b/>
                <w:color w:val="000000"/>
                <w:sz w:val="24"/>
              </w:rPr>
              <w:t>小计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000000"/>
                <w:sz w:val="24"/>
              </w:rPr>
            </w:pPr>
            <w:r>
              <w:rPr>
                <w:rFonts w:hint="eastAsia" w:ascii="宋体" w:hAnsi="宋体" w:cs="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
                <w:color w:val="000000"/>
                <w:sz w:val="24"/>
              </w:rPr>
            </w:pPr>
            <w:r>
              <w:rPr>
                <w:rFonts w:hint="eastAsia" w:ascii="宋体" w:hAnsi="宋体" w:cs="宋体"/>
                <w:b/>
                <w:color w:val="000000"/>
                <w:sz w:val="24"/>
              </w:rPr>
              <w:t>合计人民币：大写                               小写</w:t>
            </w:r>
          </w:p>
        </w:tc>
      </w:tr>
    </w:tbl>
    <w:p>
      <w:pPr>
        <w:rPr>
          <w:rFonts w:ascii="宋体" w:hAnsi="宋体"/>
          <w:color w:val="000000"/>
        </w:rPr>
      </w:pPr>
    </w:p>
    <w:p>
      <w:pPr>
        <w:rPr>
          <w:rFonts w:ascii="宋体" w:hAnsi="宋体" w:cs="宋体"/>
          <w:b/>
          <w:color w:val="000000"/>
        </w:rPr>
      </w:pPr>
    </w:p>
    <w:p>
      <w:pPr>
        <w:snapToGrid w:val="0"/>
        <w:spacing w:before="50" w:after="120" w:afterLines="50"/>
        <w:rPr>
          <w:rFonts w:hint="eastAsia" w:ascii="宋体" w:hAnsi="宋体" w:cs="宋体"/>
          <w:sz w:val="24"/>
        </w:rPr>
      </w:pPr>
    </w:p>
    <w:p>
      <w:pPr>
        <w:snapToGrid w:val="0"/>
        <w:spacing w:before="50" w:after="120" w:afterLines="50"/>
        <w:rPr>
          <w:rFonts w:hint="eastAsia" w:ascii="宋体" w:hAnsi="宋体" w:cs="宋体"/>
          <w:sz w:val="24"/>
        </w:rPr>
      </w:pPr>
      <w:r>
        <w:rPr>
          <w:rFonts w:hint="eastAsia" w:ascii="宋体" w:hAnsi="宋体" w:cs="宋体"/>
          <w:sz w:val="24"/>
        </w:rPr>
        <w:t>说明：</w:t>
      </w:r>
    </w:p>
    <w:p>
      <w:pPr>
        <w:snapToGrid w:val="0"/>
        <w:spacing w:before="50" w:after="120" w:afterLines="50"/>
        <w:rPr>
          <w:rFonts w:hint="eastAsia" w:ascii="宋体" w:hAnsi="宋体" w:cs="宋体"/>
          <w:sz w:val="24"/>
        </w:rPr>
      </w:pPr>
      <w:r>
        <w:rPr>
          <w:rFonts w:hint="eastAsia" w:ascii="宋体" w:hAnsi="宋体" w:cs="宋体"/>
          <w:sz w:val="24"/>
        </w:rPr>
        <w:t>1、由投标单位根据招标文件的要求，自行编制报价清单并承担风险。</w:t>
      </w:r>
    </w:p>
    <w:p>
      <w:pPr>
        <w:snapToGrid w:val="0"/>
        <w:spacing w:before="50" w:after="120" w:afterLines="50"/>
        <w:rPr>
          <w:rFonts w:hint="eastAsia" w:ascii="宋体" w:hAnsi="宋体" w:cs="宋体"/>
          <w:sz w:val="24"/>
        </w:rPr>
      </w:pPr>
      <w:r>
        <w:rPr>
          <w:rFonts w:hint="eastAsia" w:ascii="宋体" w:hAnsi="宋体" w:cs="宋体"/>
          <w:sz w:val="24"/>
        </w:rPr>
        <w:t>2、在填写时，如本表格不适合投标人的实际情况，可根据本表格式自行划表填写。</w:t>
      </w:r>
    </w:p>
    <w:p>
      <w:pPr>
        <w:pStyle w:val="2"/>
        <w:ind w:left="560" w:firstLine="464"/>
        <w:rPr>
          <w:rFonts w:hint="eastAsia" w:hAnsi="宋体" w:cs="宋体"/>
          <w:sz w:val="24"/>
        </w:rPr>
      </w:pPr>
    </w:p>
    <w:p>
      <w:pPr>
        <w:rPr>
          <w:rFonts w:hint="eastAsia" w:ascii="宋体" w:hAnsi="宋体" w:cs="宋体"/>
          <w:sz w:val="24"/>
        </w:rPr>
      </w:pPr>
    </w:p>
    <w:p>
      <w:pPr>
        <w:pStyle w:val="2"/>
        <w:ind w:left="560" w:firstLine="464"/>
        <w:rPr>
          <w:rFonts w:hint="eastAsia" w:hAnsi="宋体" w:cs="宋体"/>
          <w:sz w:val="24"/>
        </w:rPr>
      </w:pPr>
    </w:p>
    <w:p>
      <w:pPr>
        <w:rPr>
          <w:rFonts w:hint="eastAsia" w:ascii="宋体" w:hAnsi="宋体" w:cs="宋体"/>
          <w:sz w:val="24"/>
        </w:rPr>
      </w:pPr>
    </w:p>
    <w:p>
      <w:pPr>
        <w:pStyle w:val="2"/>
        <w:ind w:left="560" w:firstLine="464"/>
        <w:rPr>
          <w:rFonts w:hint="eastAsia" w:hAnsi="宋体" w:cs="宋体"/>
          <w:sz w:val="24"/>
        </w:rPr>
      </w:pPr>
    </w:p>
    <w:p>
      <w:pPr>
        <w:rPr>
          <w:rFonts w:hint="eastAsia" w:ascii="宋体" w:hAnsi="宋体" w:cs="宋体"/>
          <w:sz w:val="24"/>
        </w:rPr>
      </w:pPr>
    </w:p>
    <w:p>
      <w:pPr>
        <w:pStyle w:val="2"/>
        <w:ind w:left="560" w:firstLine="464"/>
        <w:rPr>
          <w:rFonts w:hint="eastAsia" w:hAnsi="宋体" w:cs="宋体"/>
          <w:sz w:val="24"/>
        </w:rPr>
      </w:pPr>
    </w:p>
    <w:p/>
    <w:p>
      <w:pPr>
        <w:spacing w:line="480" w:lineRule="auto"/>
        <w:jc w:val="left"/>
        <w:rPr>
          <w:rFonts w:ascii="宋体" w:hAnsi="宋体" w:cs="宋体"/>
          <w:color w:val="000000"/>
          <w:sz w:val="24"/>
        </w:rPr>
      </w:pPr>
      <w:r>
        <w:rPr>
          <w:rFonts w:hint="eastAsia" w:ascii="宋体" w:hAnsi="宋体" w:cs="宋体"/>
          <w:color w:val="000000"/>
          <w:sz w:val="24"/>
        </w:rPr>
        <w:t>投标人名称（盖章）：</w:t>
      </w:r>
    </w:p>
    <w:p>
      <w:pPr>
        <w:spacing w:line="480" w:lineRule="auto"/>
        <w:jc w:val="left"/>
        <w:rPr>
          <w:rFonts w:ascii="宋体" w:hAnsi="宋体" w:cs="宋体"/>
          <w:color w:val="000000"/>
          <w:sz w:val="24"/>
        </w:rPr>
      </w:pPr>
      <w:r>
        <w:rPr>
          <w:rFonts w:hint="eastAsia" w:ascii="宋体" w:hAnsi="宋体" w:cs="宋体"/>
          <w:color w:val="000000"/>
          <w:sz w:val="24"/>
        </w:rPr>
        <w:t>法定代表人或授权委托人</w:t>
      </w:r>
      <w:r>
        <w:rPr>
          <w:rFonts w:ascii="宋体" w:hAnsi="宋体" w:cs="宋体"/>
          <w:color w:val="000000"/>
          <w:sz w:val="24"/>
        </w:rPr>
        <w:t>(签字)：</w:t>
      </w:r>
    </w:p>
    <w:p>
      <w:pPr>
        <w:rPr>
          <w:rFonts w:ascii="宋体" w:hAnsi="宋体" w:cs="宋体"/>
          <w:color w:val="000000"/>
          <w:sz w:val="24"/>
        </w:rPr>
      </w:pPr>
      <w:r>
        <w:rPr>
          <w:rFonts w:hint="eastAsia" w:ascii="宋体" w:hAnsi="宋体" w:cs="宋体"/>
          <w:color w:val="000000"/>
          <w:sz w:val="24"/>
        </w:rPr>
        <w:t>日        期：</w:t>
      </w:r>
    </w:p>
    <w:p>
      <w:pPr>
        <w:rPr>
          <w:rFonts w:hint="eastAsia"/>
        </w:rPr>
      </w:pPr>
    </w:p>
    <w:p>
      <w:pPr>
        <w:pStyle w:val="2"/>
        <w:ind w:left="560" w:firstLine="544"/>
        <w:rPr>
          <w:rFonts w:hint="eastAsia"/>
        </w:rPr>
      </w:pPr>
    </w:p>
    <w:p>
      <w:pPr>
        <w:rPr>
          <w:rFonts w:hint="eastAsia"/>
        </w:rPr>
      </w:pPr>
    </w:p>
    <w:p>
      <w:pPr>
        <w:pStyle w:val="2"/>
        <w:ind w:left="560" w:firstLine="544"/>
        <w:rPr>
          <w:rFonts w:hint="eastAsia"/>
        </w:rPr>
      </w:pPr>
    </w:p>
    <w:p>
      <w:pPr>
        <w:rPr>
          <w:rFonts w:hint="eastAsia"/>
        </w:rPr>
      </w:pPr>
    </w:p>
    <w:p>
      <w:pPr>
        <w:pStyle w:val="2"/>
        <w:ind w:left="560" w:firstLine="544"/>
        <w:rPr>
          <w:rFonts w:hint="eastAsia"/>
        </w:rPr>
      </w:pPr>
    </w:p>
    <w:p>
      <w:pPr>
        <w:spacing w:line="320" w:lineRule="exact"/>
        <w:rPr>
          <w:rFonts w:hint="eastAsia" w:ascii="宋体" w:hAnsi="宋体" w:cs="宋体"/>
          <w:sz w:val="24"/>
        </w:rPr>
      </w:pPr>
      <w:r>
        <w:rPr>
          <w:rFonts w:hint="eastAsia" w:ascii="宋体" w:hAnsi="宋体" w:cs="宋体"/>
          <w:sz w:val="24"/>
        </w:rPr>
        <w:t>附件6：拟参与本项目的主要人员资格及简历</w:t>
      </w:r>
    </w:p>
    <w:p>
      <w:pPr>
        <w:spacing w:line="500" w:lineRule="exact"/>
        <w:jc w:val="center"/>
        <w:outlineLvl w:val="2"/>
        <w:rPr>
          <w:rFonts w:hint="eastAsia" w:ascii="宋体" w:hAnsi="宋体" w:cs="宋体"/>
          <w:b/>
          <w:bCs/>
          <w:sz w:val="32"/>
          <w:szCs w:val="32"/>
        </w:rPr>
      </w:pPr>
      <w:r>
        <w:rPr>
          <w:rFonts w:hint="eastAsia" w:ascii="宋体" w:hAnsi="宋体" w:cs="宋体"/>
          <w:b/>
          <w:bCs/>
          <w:sz w:val="32"/>
          <w:szCs w:val="32"/>
        </w:rPr>
        <w:t>台州市不动产登记便利化协同应用项目（市级系统部分）</w:t>
      </w:r>
    </w:p>
    <w:p>
      <w:pPr>
        <w:spacing w:line="500" w:lineRule="exact"/>
        <w:jc w:val="center"/>
        <w:outlineLvl w:val="2"/>
        <w:rPr>
          <w:rFonts w:hint="eastAsia" w:ascii="宋体" w:hAnsi="宋体" w:cs="宋体"/>
          <w:b/>
          <w:bCs/>
          <w:sz w:val="44"/>
          <w:szCs w:val="44"/>
        </w:rPr>
      </w:pPr>
      <w:r>
        <w:rPr>
          <w:rFonts w:hint="eastAsia" w:ascii="宋体" w:hAnsi="宋体" w:cs="宋体"/>
          <w:b/>
          <w:bCs/>
          <w:sz w:val="32"/>
          <w:szCs w:val="32"/>
        </w:rPr>
        <w:t>拟参与本项目的主要人员资格及简历</w:t>
      </w:r>
    </w:p>
    <w:tbl>
      <w:tblPr>
        <w:tblStyle w:val="34"/>
        <w:tblW w:w="97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795"/>
        <w:gridCol w:w="1695"/>
        <w:gridCol w:w="1005"/>
        <w:gridCol w:w="3315"/>
        <w:gridCol w:w="1353"/>
        <w:gridCol w:w="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cs="宋体"/>
                <w:sz w:val="24"/>
              </w:rPr>
            </w:pPr>
            <w:r>
              <w:rPr>
                <w:rFonts w:hint="eastAsia" w:ascii="宋体" w:hAnsi="宋体" w:cs="宋体"/>
                <w:sz w:val="24"/>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cs="宋体"/>
                <w:sz w:val="24"/>
              </w:rPr>
            </w:pPr>
            <w:r>
              <w:rPr>
                <w:rFonts w:hint="eastAsia" w:ascii="宋体" w:hAnsi="宋体" w:cs="宋体"/>
                <w:sz w:val="24"/>
              </w:rPr>
              <w:t>职务</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cs="宋体"/>
                <w:sz w:val="24"/>
              </w:rPr>
            </w:pPr>
            <w:r>
              <w:rPr>
                <w:rFonts w:hint="eastAsia" w:ascii="宋体" w:hAnsi="宋体" w:cs="宋体"/>
                <w:sz w:val="24"/>
              </w:rPr>
              <w:t>身份证号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cs="宋体"/>
                <w:sz w:val="24"/>
              </w:rPr>
            </w:pPr>
            <w:r>
              <w:rPr>
                <w:rFonts w:hint="eastAsia" w:ascii="宋体" w:hAnsi="宋体" w:cs="宋体"/>
                <w:sz w:val="24"/>
              </w:rPr>
              <w:t>岗位</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宋体" w:hAnsi="宋体" w:cs="宋体"/>
                <w:sz w:val="24"/>
              </w:rPr>
            </w:pPr>
            <w:r>
              <w:rPr>
                <w:rFonts w:hint="eastAsia" w:ascii="宋体" w:hAnsi="宋体" w:cs="宋体"/>
                <w:sz w:val="24"/>
              </w:rPr>
              <w:t>专业技术资格及证书</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cs="宋体"/>
                <w:bCs/>
                <w:sz w:val="24"/>
              </w:rPr>
            </w:pPr>
            <w:r>
              <w:rPr>
                <w:rFonts w:hint="eastAsia" w:ascii="宋体" w:hAnsi="宋体" w:cs="宋体"/>
                <w:bCs/>
                <w:sz w:val="24"/>
              </w:rPr>
              <w:t>联系方式</w:t>
            </w:r>
          </w:p>
        </w:tc>
        <w:tc>
          <w:tcPr>
            <w:tcW w:w="8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beforeLines="50" w:after="50"/>
              <w:ind w:leftChars="0"/>
              <w:rPr>
                <w:rFonts w:hint="eastAsia" w:ascii="宋体" w:hAnsi="宋体" w:eastAsia="宋体" w:cs="宋体"/>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pStyle w:val="20"/>
              <w:ind w:leftChars="0"/>
              <w:rPr>
                <w:rFonts w:hint="eastAsia" w:ascii="宋体" w:hAnsi="宋体" w:eastAsia="宋体" w:cs="宋体"/>
                <w:sz w:val="24"/>
                <w:szCs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pStyle w:val="20"/>
              <w:ind w:left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75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rPr>
                <w:rFonts w:hint="eastAsia" w:ascii="宋体" w:hAnsi="宋体" w:cs="宋体"/>
                <w:sz w:val="24"/>
              </w:rPr>
            </w:pPr>
          </w:p>
        </w:tc>
      </w:tr>
    </w:tbl>
    <w:p>
      <w:pPr>
        <w:snapToGrid w:val="0"/>
        <w:spacing w:before="50" w:after="120" w:afterLines="50"/>
        <w:rPr>
          <w:rFonts w:hint="eastAsia" w:ascii="宋体" w:hAnsi="宋体" w:cs="宋体"/>
          <w:sz w:val="24"/>
        </w:rPr>
      </w:pPr>
      <w:r>
        <w:rPr>
          <w:rFonts w:hint="eastAsia" w:ascii="宋体" w:hAnsi="宋体" w:cs="宋体"/>
          <w:sz w:val="24"/>
        </w:rPr>
        <w:t>注：在填写时，如本表格不适合投标人的实际情况，可根据本表格式自行划表填写。</w:t>
      </w:r>
    </w:p>
    <w:p>
      <w:pPr>
        <w:pStyle w:val="31"/>
        <w:spacing w:line="375" w:lineRule="atLeast"/>
        <w:jc w:val="both"/>
        <w:rPr>
          <w:rFonts w:hint="eastAsia" w:cs="宋体"/>
          <w:b/>
          <w:color w:val="auto"/>
        </w:rPr>
      </w:pPr>
    </w:p>
    <w:p>
      <w:pPr>
        <w:spacing w:line="360" w:lineRule="auto"/>
        <w:ind w:firstLine="410" w:firstLineChars="171"/>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360" w:lineRule="auto"/>
        <w:ind w:firstLine="410" w:firstLineChars="171"/>
        <w:rPr>
          <w:rFonts w:hint="eastAsia" w:ascii="宋体" w:hAnsi="宋体" w:cs="宋体"/>
          <w:sz w:val="24"/>
        </w:rPr>
      </w:pPr>
      <w:r>
        <w:rPr>
          <w:rFonts w:hint="eastAsia" w:ascii="宋体" w:hAnsi="宋体" w:cs="宋体"/>
          <w:sz w:val="24"/>
        </w:rPr>
        <w:t>法定代表人（签字或盖章）：</w:t>
      </w:r>
      <w:r>
        <w:rPr>
          <w:rFonts w:hint="eastAsia" w:ascii="宋体" w:hAnsi="宋体" w:cs="宋体"/>
          <w:sz w:val="24"/>
          <w:u w:val="single"/>
        </w:rPr>
        <w:t xml:space="preserve">             </w:t>
      </w:r>
    </w:p>
    <w:p>
      <w:pPr>
        <w:pStyle w:val="11"/>
        <w:spacing w:line="360" w:lineRule="auto"/>
        <w:rPr>
          <w:rFonts w:hint="eastAsia" w:ascii="宋体" w:hAnsi="宋体" w:cs="宋体"/>
          <w:sz w:val="24"/>
          <w:szCs w:val="24"/>
        </w:rPr>
      </w:pPr>
      <w:r>
        <w:rPr>
          <w:rFonts w:hint="eastAsia" w:ascii="宋体" w:hAnsi="宋体" w:cs="宋体"/>
          <w:sz w:val="24"/>
          <w:szCs w:val="24"/>
        </w:rPr>
        <w:t>日期：</w:t>
      </w: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snapToGrid w:val="0"/>
        <w:spacing w:before="50" w:after="50"/>
        <w:rPr>
          <w:rFonts w:hint="eastAsia" w:ascii="宋体" w:hAnsi="宋体" w:cs="宋体"/>
          <w:sz w:val="24"/>
        </w:rPr>
      </w:pPr>
    </w:p>
    <w:p>
      <w:pPr>
        <w:snapToGrid w:val="0"/>
        <w:spacing w:before="50" w:after="50"/>
        <w:rPr>
          <w:rFonts w:hint="eastAsia" w:ascii="宋体" w:hAnsi="宋体" w:cs="宋体"/>
          <w:sz w:val="24"/>
        </w:rPr>
      </w:pPr>
    </w:p>
    <w:p>
      <w:pPr>
        <w:snapToGrid w:val="0"/>
        <w:spacing w:before="50" w:after="50"/>
        <w:rPr>
          <w:rFonts w:hint="eastAsia" w:ascii="宋体" w:hAnsi="宋体" w:cs="宋体"/>
          <w:sz w:val="24"/>
        </w:rPr>
      </w:pPr>
    </w:p>
    <w:p>
      <w:pPr>
        <w:snapToGrid w:val="0"/>
        <w:spacing w:before="50" w:after="50"/>
        <w:rPr>
          <w:rFonts w:hint="eastAsia" w:ascii="宋体" w:hAnsi="宋体" w:cs="宋体"/>
          <w:sz w:val="24"/>
        </w:rPr>
      </w:pPr>
      <w:r>
        <w:rPr>
          <w:rFonts w:hint="eastAsia" w:ascii="宋体" w:hAnsi="宋体" w:cs="宋体"/>
          <w:sz w:val="24"/>
        </w:rPr>
        <w:t>附件7：中小微企业声明</w:t>
      </w:r>
    </w:p>
    <w:p>
      <w:pPr>
        <w:pStyle w:val="31"/>
        <w:spacing w:line="375" w:lineRule="atLeast"/>
        <w:jc w:val="both"/>
        <w:rPr>
          <w:rFonts w:hint="eastAsia" w:cs="宋体"/>
          <w:b/>
          <w:color w:val="auto"/>
        </w:rPr>
      </w:pPr>
    </w:p>
    <w:p>
      <w:pPr>
        <w:pStyle w:val="11"/>
        <w:spacing w:line="360" w:lineRule="auto"/>
        <w:jc w:val="center"/>
        <w:rPr>
          <w:rFonts w:hint="eastAsia" w:ascii="宋体" w:hAnsi="宋体" w:cs="宋体"/>
          <w:sz w:val="28"/>
          <w:szCs w:val="28"/>
        </w:rPr>
      </w:pPr>
      <w:r>
        <w:rPr>
          <w:rFonts w:hint="eastAsia" w:ascii="宋体" w:hAnsi="宋体" w:cs="宋体"/>
          <w:sz w:val="28"/>
          <w:szCs w:val="28"/>
        </w:rPr>
        <w:t>台州市不动产登记便利化协同应用项目（市级系统部分）</w:t>
      </w:r>
    </w:p>
    <w:p>
      <w:pPr>
        <w:pStyle w:val="11"/>
        <w:spacing w:line="360" w:lineRule="auto"/>
        <w:jc w:val="center"/>
        <w:rPr>
          <w:rFonts w:hint="eastAsia" w:ascii="宋体" w:hAnsi="宋体" w:cs="宋体"/>
          <w:sz w:val="28"/>
          <w:szCs w:val="28"/>
        </w:rPr>
      </w:pPr>
      <w:r>
        <w:rPr>
          <w:rFonts w:hint="eastAsia" w:ascii="宋体" w:hAnsi="宋体" w:cs="宋体"/>
          <w:sz w:val="28"/>
          <w:szCs w:val="28"/>
        </w:rPr>
        <w:t>中小微企业声明</w:t>
      </w:r>
    </w:p>
    <w:p>
      <w:pPr>
        <w:pStyle w:val="31"/>
        <w:shd w:val="clear" w:color="auto" w:fill="FFFFFF"/>
        <w:spacing w:before="0" w:beforeAutospacing="0" w:after="188" w:afterAutospacing="0" w:line="301" w:lineRule="atLeast"/>
        <w:ind w:firstLine="480"/>
        <w:rPr>
          <w:rFonts w:hint="eastAsia" w:cs="宋体"/>
          <w:color w:val="auto"/>
        </w:rPr>
      </w:pPr>
      <w:r>
        <w:rPr>
          <w:rFonts w:hint="eastAsia" w:cs="宋体"/>
          <w:color w:val="auto"/>
        </w:rPr>
        <w:t>本公司郑重声明，根据《政府采购促进中小企业发展暂行办法》（财库〔2011〕181号）的规定，本公司为______（请填写：中型、小型、微型）企业。即，本公司同时满足以下条件：</w:t>
      </w:r>
    </w:p>
    <w:p>
      <w:pPr>
        <w:pStyle w:val="31"/>
        <w:shd w:val="clear" w:color="auto" w:fill="FFFFFF"/>
        <w:spacing w:before="0" w:beforeAutospacing="0" w:after="188" w:afterAutospacing="0" w:line="301" w:lineRule="atLeast"/>
        <w:ind w:firstLine="480"/>
        <w:rPr>
          <w:rFonts w:hint="eastAsia" w:cs="宋体"/>
          <w:color w:val="auto"/>
        </w:rPr>
      </w:pPr>
      <w:r>
        <w:rPr>
          <w:rFonts w:hint="eastAsia" w:cs="宋体"/>
          <w:color w:val="auto"/>
        </w:rPr>
        <w:t>1.根据《工业和信息化部、国家统计局、国家发展和改革委员会、财政部关于印发</w:t>
      </w:r>
      <w:r>
        <w:rPr>
          <w:rFonts w:hint="eastAsia" w:cs="宋体"/>
          <w:color w:val="auto"/>
        </w:rPr>
        <w:fldChar w:fldCharType="begin"/>
      </w:r>
      <w:r>
        <w:rPr>
          <w:rFonts w:hint="eastAsia" w:cs="宋体"/>
          <w:color w:val="auto"/>
        </w:rPr>
        <w:instrText xml:space="preserve"> HYPERLINK "http://baike.so.com/doc/1120129.html" \t "_blank" </w:instrText>
      </w:r>
      <w:r>
        <w:rPr>
          <w:rFonts w:hint="eastAsia" w:cs="宋体"/>
          <w:color w:val="auto"/>
        </w:rPr>
        <w:fldChar w:fldCharType="separate"/>
      </w:r>
      <w:r>
        <w:rPr>
          <w:rFonts w:hint="eastAsia" w:cs="宋体"/>
          <w:color w:val="auto"/>
        </w:rPr>
        <w:t>中小企业划型标准规定</w:t>
      </w:r>
      <w:r>
        <w:rPr>
          <w:rFonts w:hint="eastAsia" w:cs="宋体"/>
          <w:color w:val="auto"/>
        </w:rPr>
        <w:fldChar w:fldCharType="end"/>
      </w:r>
      <w:r>
        <w:rPr>
          <w:rFonts w:hint="eastAsia" w:cs="宋体"/>
          <w:color w:val="auto"/>
        </w:rPr>
        <w:t>的通知》（工信部联企业〔2011〕300号）规定的划分标准，本公司为______（请填写：中型、小型、微型）企业。</w:t>
      </w:r>
    </w:p>
    <w:p>
      <w:pPr>
        <w:pStyle w:val="31"/>
        <w:shd w:val="clear" w:color="auto" w:fill="FFFFFF"/>
        <w:spacing w:before="0" w:beforeAutospacing="0" w:after="188" w:afterAutospacing="0" w:line="301" w:lineRule="atLeast"/>
        <w:ind w:firstLine="480"/>
        <w:rPr>
          <w:rFonts w:hint="eastAsia" w:cs="宋体"/>
          <w:color w:val="auto"/>
        </w:rPr>
      </w:pPr>
      <w:r>
        <w:rPr>
          <w:rFonts w:hint="eastAsia" w:cs="宋体"/>
          <w:color w:val="auto"/>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31"/>
        <w:shd w:val="clear" w:color="auto" w:fill="FFFFFF"/>
        <w:spacing w:before="0" w:beforeAutospacing="0" w:after="188" w:afterAutospacing="0" w:line="301" w:lineRule="atLeast"/>
        <w:ind w:firstLine="480"/>
        <w:rPr>
          <w:rFonts w:hint="eastAsia" w:cs="宋体"/>
          <w:color w:val="auto"/>
        </w:rPr>
      </w:pPr>
      <w:r>
        <w:rPr>
          <w:rFonts w:hint="eastAsia" w:cs="宋体"/>
          <w:color w:val="auto"/>
        </w:rPr>
        <w:t>本公司对上述声明的真实性负责。如有虚假，将依法承担相应责任。</w:t>
      </w:r>
    </w:p>
    <w:p>
      <w:pPr>
        <w:pStyle w:val="31"/>
        <w:shd w:val="clear" w:color="auto" w:fill="FFFFFF"/>
        <w:spacing w:before="0" w:beforeAutospacing="0" w:after="188" w:afterAutospacing="0" w:line="301" w:lineRule="atLeast"/>
        <w:ind w:firstLine="480"/>
        <w:rPr>
          <w:rFonts w:hint="eastAsia" w:cs="宋体"/>
          <w:color w:val="auto"/>
          <w:sz w:val="21"/>
          <w:szCs w:val="21"/>
        </w:rPr>
      </w:pPr>
      <w:r>
        <w:rPr>
          <w:rFonts w:hint="eastAsia" w:cs="宋体"/>
          <w:color w:val="auto"/>
          <w:sz w:val="21"/>
          <w:szCs w:val="21"/>
        </w:rPr>
        <w:t>备注：如投标人非中小微企业的，则无需提供本声明。</w:t>
      </w:r>
    </w:p>
    <w:p>
      <w:pPr>
        <w:pStyle w:val="31"/>
        <w:shd w:val="clear" w:color="auto" w:fill="FFFFFF"/>
        <w:spacing w:before="0" w:beforeAutospacing="0" w:after="188" w:afterAutospacing="0" w:line="301" w:lineRule="atLeast"/>
        <w:ind w:firstLine="480"/>
        <w:rPr>
          <w:rFonts w:hint="eastAsia" w:cs="宋体"/>
          <w:color w:val="auto"/>
        </w:rPr>
      </w:pPr>
    </w:p>
    <w:p>
      <w:pPr>
        <w:spacing w:line="360" w:lineRule="auto"/>
        <w:ind w:firstLine="410" w:firstLineChars="171"/>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spacing w:line="360" w:lineRule="auto"/>
        <w:ind w:firstLine="410" w:firstLineChars="171"/>
        <w:rPr>
          <w:rFonts w:hint="eastAsia" w:ascii="宋体" w:hAnsi="宋体" w:cs="宋体"/>
          <w:sz w:val="24"/>
        </w:rPr>
      </w:pPr>
      <w:r>
        <w:rPr>
          <w:rFonts w:hint="eastAsia" w:ascii="宋体" w:hAnsi="宋体" w:cs="宋体"/>
          <w:sz w:val="24"/>
        </w:rPr>
        <w:t>法定代表人（签字或盖章）：</w:t>
      </w:r>
      <w:r>
        <w:rPr>
          <w:rFonts w:hint="eastAsia" w:ascii="宋体" w:hAnsi="宋体" w:cs="宋体"/>
          <w:sz w:val="24"/>
          <w:u w:val="single"/>
        </w:rPr>
        <w:t xml:space="preserve">             </w:t>
      </w:r>
    </w:p>
    <w:p>
      <w:pPr>
        <w:pStyle w:val="11"/>
        <w:spacing w:line="360" w:lineRule="auto"/>
        <w:rPr>
          <w:rFonts w:hint="eastAsia" w:ascii="宋体" w:hAnsi="宋体" w:cs="宋体"/>
        </w:rPr>
      </w:pPr>
      <w:r>
        <w:rPr>
          <w:rFonts w:hint="eastAsia" w:ascii="宋体" w:hAnsi="宋体" w:cs="宋体"/>
        </w:rPr>
        <w:t>日期：</w:t>
      </w: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pStyle w:val="31"/>
        <w:spacing w:line="375" w:lineRule="atLeast"/>
        <w:jc w:val="both"/>
        <w:rPr>
          <w:rFonts w:hint="eastAsia" w:cs="宋体"/>
          <w:b/>
          <w:color w:val="auto"/>
        </w:rPr>
      </w:pPr>
    </w:p>
    <w:p>
      <w:pPr>
        <w:snapToGrid w:val="0"/>
        <w:spacing w:before="50" w:after="50"/>
        <w:rPr>
          <w:rFonts w:hint="eastAsia" w:ascii="宋体" w:hAnsi="宋体" w:cs="宋体"/>
          <w:sz w:val="24"/>
        </w:rPr>
      </w:pPr>
      <w:r>
        <w:rPr>
          <w:rFonts w:hint="eastAsia" w:ascii="宋体" w:hAnsi="宋体" w:cs="宋体"/>
          <w:sz w:val="24"/>
        </w:rPr>
        <w:t>附件8：诚信投标承诺书</w:t>
      </w:r>
    </w:p>
    <w:p>
      <w:pPr>
        <w:tabs>
          <w:tab w:val="left" w:pos="570"/>
        </w:tabs>
        <w:spacing w:line="360" w:lineRule="auto"/>
        <w:ind w:firstLine="562" w:firstLineChars="200"/>
        <w:jc w:val="center"/>
        <w:rPr>
          <w:rFonts w:hint="eastAsia" w:ascii="宋体" w:hAnsi="宋体" w:cs="宋体"/>
          <w:b/>
        </w:rPr>
      </w:pPr>
    </w:p>
    <w:p>
      <w:pPr>
        <w:tabs>
          <w:tab w:val="left" w:pos="570"/>
        </w:tabs>
        <w:spacing w:line="360" w:lineRule="auto"/>
        <w:ind w:firstLine="562" w:firstLineChars="200"/>
        <w:jc w:val="center"/>
        <w:rPr>
          <w:rFonts w:hint="eastAsia" w:ascii="宋体" w:hAnsi="宋体" w:cs="宋体"/>
        </w:rPr>
      </w:pPr>
      <w:r>
        <w:rPr>
          <w:rFonts w:hint="eastAsia" w:ascii="宋体" w:hAnsi="宋体" w:cs="宋体"/>
          <w:b/>
        </w:rPr>
        <w:t>诚信投标承诺书</w:t>
      </w:r>
    </w:p>
    <w:p>
      <w:pPr>
        <w:tabs>
          <w:tab w:val="left" w:pos="570"/>
        </w:tabs>
        <w:spacing w:line="360" w:lineRule="auto"/>
        <w:ind w:firstLine="560" w:firstLineChars="200"/>
        <w:jc w:val="left"/>
        <w:rPr>
          <w:rFonts w:hint="eastAsia" w:ascii="宋体" w:hAnsi="宋体" w:cs="宋体"/>
        </w:rPr>
      </w:pPr>
      <w:r>
        <w:rPr>
          <w:rFonts w:hint="eastAsia" w:ascii="宋体" w:hAnsi="宋体" w:cs="宋体"/>
        </w:rPr>
        <w:t>针对本次招标项目，我公司郑重承诺：本单位自愿参加</w:t>
      </w:r>
      <w:r>
        <w:rPr>
          <w:rFonts w:hint="eastAsia" w:ascii="宋体" w:hAnsi="宋体" w:cs="宋体"/>
          <w:u w:val="single"/>
        </w:rPr>
        <w:t xml:space="preserve">       </w:t>
      </w:r>
      <w:r>
        <w:rPr>
          <w:rFonts w:hint="eastAsia" w:ascii="宋体" w:hAnsi="宋体" w:cs="宋体"/>
        </w:rPr>
        <w:t xml:space="preserve"> 的招标项目。</w:t>
      </w:r>
    </w:p>
    <w:p>
      <w:pPr>
        <w:tabs>
          <w:tab w:val="left" w:pos="570"/>
        </w:tabs>
        <w:spacing w:line="360" w:lineRule="auto"/>
        <w:ind w:firstLine="560" w:firstLineChars="200"/>
        <w:jc w:val="left"/>
        <w:rPr>
          <w:rFonts w:hint="eastAsia" w:ascii="宋体" w:hAnsi="宋体" w:cs="宋体"/>
        </w:rPr>
      </w:pPr>
      <w:r>
        <w:rPr>
          <w:rFonts w:hint="eastAsia" w:ascii="宋体" w:hAnsi="宋体" w:cs="宋体"/>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rPr>
      </w:pPr>
      <w:r>
        <w:rPr>
          <w:rFonts w:hint="eastAsia" w:ascii="宋体" w:hAnsi="宋体" w:cs="宋体"/>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rPr>
      </w:pPr>
      <w:r>
        <w:rPr>
          <w:rFonts w:hint="eastAsia" w:ascii="宋体" w:hAnsi="宋体" w:cs="宋体"/>
        </w:rPr>
        <w:t>3、本公司保证绝不采取不正当手段诋毁排挤其他投标人；</w:t>
      </w:r>
    </w:p>
    <w:p>
      <w:pPr>
        <w:tabs>
          <w:tab w:val="left" w:pos="570"/>
        </w:tabs>
        <w:spacing w:line="360" w:lineRule="auto"/>
        <w:ind w:firstLine="560" w:firstLineChars="200"/>
        <w:jc w:val="left"/>
        <w:rPr>
          <w:rFonts w:hint="eastAsia" w:ascii="宋体" w:hAnsi="宋体" w:cs="宋体"/>
        </w:rPr>
      </w:pPr>
      <w:r>
        <w:rPr>
          <w:rFonts w:hint="eastAsia" w:ascii="宋体" w:hAnsi="宋体" w:cs="宋体"/>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rPr>
      </w:pPr>
      <w:r>
        <w:rPr>
          <w:rFonts w:hint="eastAsia" w:ascii="宋体" w:hAnsi="宋体" w:cs="宋体"/>
        </w:rPr>
        <w:t>5、同意此次招标文件中的各项内容。</w:t>
      </w:r>
    </w:p>
    <w:p>
      <w:pPr>
        <w:tabs>
          <w:tab w:val="left" w:pos="570"/>
        </w:tabs>
        <w:spacing w:line="360" w:lineRule="auto"/>
        <w:ind w:firstLine="560" w:firstLineChars="200"/>
        <w:jc w:val="left"/>
        <w:rPr>
          <w:rFonts w:hint="eastAsia" w:ascii="宋体" w:hAnsi="宋体" w:cs="宋体"/>
        </w:rPr>
      </w:pPr>
      <w:r>
        <w:rPr>
          <w:rFonts w:hint="eastAsia" w:ascii="宋体" w:hAnsi="宋体" w:cs="宋体"/>
        </w:rPr>
        <w:t>6、同意提供按照贵方可能要求的与招标有关的一切数据或资料等。</w:t>
      </w:r>
    </w:p>
    <w:p>
      <w:pPr>
        <w:tabs>
          <w:tab w:val="left" w:pos="570"/>
        </w:tabs>
        <w:spacing w:line="360" w:lineRule="auto"/>
        <w:ind w:firstLine="560" w:firstLineChars="200"/>
        <w:jc w:val="left"/>
        <w:rPr>
          <w:rFonts w:hint="eastAsia" w:ascii="宋体" w:hAnsi="宋体" w:cs="宋体"/>
        </w:rPr>
      </w:pPr>
      <w:r>
        <w:rPr>
          <w:rFonts w:hint="eastAsia" w:ascii="宋体" w:hAnsi="宋体" w:cs="宋体"/>
        </w:rPr>
        <w:t>7、本单位如中标，保证按照投标文件的承诺与贵方签订合同，保证履行合同条款</w:t>
      </w:r>
    </w:p>
    <w:p>
      <w:pPr>
        <w:tabs>
          <w:tab w:val="left" w:pos="570"/>
        </w:tabs>
        <w:spacing w:line="360" w:lineRule="auto"/>
        <w:ind w:firstLine="560" w:firstLineChars="200"/>
        <w:jc w:val="left"/>
        <w:rPr>
          <w:rFonts w:hint="eastAsia" w:ascii="宋体" w:hAnsi="宋体" w:cs="宋体"/>
          <w:u w:val="single"/>
        </w:rPr>
      </w:pPr>
      <w:r>
        <w:rPr>
          <w:rFonts w:hint="eastAsia" w:ascii="宋体" w:hAnsi="宋体" w:cs="宋体"/>
        </w:rPr>
        <w:t>本公司若有违反本承诺内容的行为，愿意承担法律责任，并愿意接受投标保证金不予退还的处理及政府采购监管部门的任何处理。如已中标的，自动放弃中标资格；给采购人造成损失的，依法承担赔偿责任。</w:t>
      </w:r>
    </w:p>
    <w:p>
      <w:pPr>
        <w:tabs>
          <w:tab w:val="left" w:pos="570"/>
        </w:tabs>
        <w:spacing w:line="360" w:lineRule="auto"/>
        <w:ind w:firstLine="560" w:firstLineChars="200"/>
        <w:jc w:val="left"/>
        <w:rPr>
          <w:rFonts w:hint="eastAsia" w:ascii="宋体" w:hAnsi="宋体" w:cs="宋体"/>
        </w:rPr>
      </w:pPr>
    </w:p>
    <w:p>
      <w:pPr>
        <w:tabs>
          <w:tab w:val="left" w:pos="570"/>
        </w:tabs>
        <w:spacing w:line="440" w:lineRule="exact"/>
        <w:ind w:firstLine="560" w:firstLineChars="200"/>
        <w:jc w:val="left"/>
        <w:rPr>
          <w:rFonts w:hint="eastAsia" w:ascii="宋体" w:hAnsi="宋体" w:cs="宋体"/>
          <w:u w:val="single"/>
        </w:rPr>
      </w:pPr>
    </w:p>
    <w:p>
      <w:pPr>
        <w:spacing w:line="320" w:lineRule="exact"/>
        <w:ind w:left="420"/>
        <w:rPr>
          <w:rFonts w:hint="eastAsia" w:ascii="宋体" w:hAnsi="宋体" w:cs="宋体"/>
          <w:sz w:val="24"/>
        </w:rPr>
      </w:pPr>
      <w:r>
        <w:rPr>
          <w:rFonts w:hint="eastAsia" w:ascii="宋体" w:hAnsi="宋体" w:cs="宋体"/>
          <w:sz w:val="24"/>
        </w:rPr>
        <w:t xml:space="preserve">投标人（盖章）：     </w:t>
      </w:r>
    </w:p>
    <w:p>
      <w:pPr>
        <w:spacing w:line="320" w:lineRule="exact"/>
        <w:ind w:left="420"/>
        <w:rPr>
          <w:rFonts w:hint="eastAsia" w:ascii="宋体" w:hAnsi="宋体" w:cs="宋体"/>
          <w:sz w:val="24"/>
        </w:rPr>
      </w:pPr>
    </w:p>
    <w:p>
      <w:pPr>
        <w:pStyle w:val="31"/>
        <w:spacing w:line="375" w:lineRule="atLeast"/>
        <w:jc w:val="both"/>
        <w:rPr>
          <w:rFonts w:hint="eastAsia" w:cs="宋体"/>
          <w:b/>
          <w:color w:val="auto"/>
        </w:rPr>
        <w:sectPr>
          <w:pgSz w:w="11907" w:h="16840"/>
          <w:pgMar w:top="1361" w:right="1247" w:bottom="1247" w:left="1304" w:header="851" w:footer="992" w:gutter="0"/>
          <w:pgNumType w:start="33"/>
          <w:cols w:space="720" w:num="1"/>
          <w:docGrid w:linePitch="312" w:charSpace="0"/>
        </w:sectPr>
      </w:pPr>
      <w:r>
        <w:rPr>
          <w:rFonts w:hint="eastAsia" w:cs="宋体"/>
        </w:rPr>
        <w:t xml:space="preserve"> 法定代表人（签字或盖章）：                          日期：</w:t>
      </w:r>
    </w:p>
    <w:p>
      <w:pPr>
        <w:rPr>
          <w:rFonts w:hint="eastAsia" w:ascii="宋体" w:hAnsi="宋体" w:cs="宋体"/>
        </w:rPr>
      </w:pPr>
      <w:r>
        <w:rPr>
          <w:rFonts w:hint="eastAsia" w:ascii="宋体" w:hAnsi="宋体" w:cs="宋体"/>
        </w:rPr>
        <w:t>附件9：投标人业绩一览表</w:t>
      </w:r>
    </w:p>
    <w:p>
      <w:pPr>
        <w:rPr>
          <w:rFonts w:hint="eastAsia" w:ascii="宋体" w:hAnsi="宋体" w:cs="宋体"/>
        </w:rPr>
      </w:pPr>
    </w:p>
    <w:p>
      <w:pPr>
        <w:spacing w:line="360" w:lineRule="auto"/>
        <w:jc w:val="center"/>
        <w:rPr>
          <w:rFonts w:hint="eastAsia" w:ascii="宋体" w:hAnsi="宋体" w:cs="宋体"/>
        </w:rPr>
      </w:pPr>
      <w:r>
        <w:rPr>
          <w:rFonts w:hint="eastAsia" w:ascii="宋体" w:hAnsi="宋体" w:cs="宋体"/>
        </w:rPr>
        <w:t>台州市不动产登记便利化协同应用项目（市级系统部分）</w:t>
      </w:r>
    </w:p>
    <w:p>
      <w:pPr>
        <w:spacing w:line="360" w:lineRule="auto"/>
        <w:jc w:val="center"/>
        <w:rPr>
          <w:rFonts w:hint="eastAsia" w:ascii="宋体" w:hAnsi="宋体" w:cs="宋体"/>
          <w:b/>
        </w:rPr>
      </w:pPr>
      <w:r>
        <w:rPr>
          <w:rFonts w:hint="eastAsia" w:ascii="宋体" w:hAnsi="宋体" w:cs="宋体"/>
          <w:b/>
        </w:rPr>
        <w:t>投标人业绩一览表</w:t>
      </w:r>
    </w:p>
    <w:tbl>
      <w:tblPr>
        <w:tblStyle w:val="34"/>
        <w:tblW w:w="95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60"/>
        <w:gridCol w:w="1275"/>
        <w:gridCol w:w="2940"/>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48" w:type="dxa"/>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260" w:type="dxa"/>
            <w:noWrap w:val="0"/>
            <w:vAlign w:val="center"/>
          </w:tcPr>
          <w:p>
            <w:pPr>
              <w:spacing w:line="360" w:lineRule="auto"/>
              <w:jc w:val="center"/>
              <w:rPr>
                <w:rFonts w:hint="eastAsia" w:ascii="宋体" w:hAnsi="宋体" w:cs="宋体"/>
                <w:sz w:val="24"/>
              </w:rPr>
            </w:pPr>
            <w:r>
              <w:rPr>
                <w:rFonts w:hint="eastAsia" w:ascii="宋体" w:hAnsi="宋体" w:cs="宋体"/>
                <w:sz w:val="24"/>
              </w:rPr>
              <w:t>项目名称</w:t>
            </w:r>
          </w:p>
        </w:tc>
        <w:tc>
          <w:tcPr>
            <w:tcW w:w="1275" w:type="dxa"/>
            <w:noWrap w:val="0"/>
            <w:vAlign w:val="center"/>
          </w:tcPr>
          <w:p>
            <w:pPr>
              <w:spacing w:line="360" w:lineRule="auto"/>
              <w:jc w:val="center"/>
              <w:rPr>
                <w:rFonts w:hint="eastAsia" w:ascii="宋体" w:hAnsi="宋体" w:cs="宋体"/>
                <w:sz w:val="24"/>
              </w:rPr>
            </w:pPr>
            <w:r>
              <w:rPr>
                <w:rFonts w:hint="eastAsia" w:ascii="宋体" w:hAnsi="宋体" w:cs="宋体"/>
                <w:sz w:val="24"/>
              </w:rPr>
              <w:t>合同金额</w:t>
            </w:r>
          </w:p>
        </w:tc>
        <w:tc>
          <w:tcPr>
            <w:tcW w:w="2940" w:type="dxa"/>
            <w:noWrap w:val="0"/>
            <w:vAlign w:val="center"/>
          </w:tcPr>
          <w:p>
            <w:pPr>
              <w:spacing w:line="360" w:lineRule="auto"/>
              <w:jc w:val="center"/>
              <w:rPr>
                <w:rFonts w:hint="eastAsia" w:ascii="宋体" w:hAnsi="宋体" w:cs="宋体"/>
                <w:sz w:val="24"/>
              </w:rPr>
            </w:pPr>
            <w:r>
              <w:rPr>
                <w:rFonts w:hint="eastAsia" w:ascii="宋体" w:hAnsi="宋体" w:cs="宋体"/>
                <w:sz w:val="24"/>
              </w:rPr>
              <w:t>业主单位名称</w:t>
            </w:r>
          </w:p>
          <w:p>
            <w:pPr>
              <w:spacing w:line="360" w:lineRule="auto"/>
              <w:jc w:val="center"/>
              <w:rPr>
                <w:rFonts w:hint="eastAsia" w:ascii="宋体" w:hAnsi="宋体" w:cs="宋体"/>
                <w:sz w:val="24"/>
              </w:rPr>
            </w:pPr>
            <w:r>
              <w:rPr>
                <w:rFonts w:hint="eastAsia" w:ascii="宋体" w:hAnsi="宋体" w:cs="宋体"/>
                <w:sz w:val="24"/>
              </w:rPr>
              <w:t>（联系人、联系电话）</w:t>
            </w:r>
          </w:p>
        </w:tc>
        <w:tc>
          <w:tcPr>
            <w:tcW w:w="1665" w:type="dxa"/>
            <w:noWrap w:val="0"/>
            <w:vAlign w:val="center"/>
          </w:tcPr>
          <w:p>
            <w:pPr>
              <w:spacing w:line="360" w:lineRule="auto"/>
              <w:jc w:val="center"/>
              <w:rPr>
                <w:rFonts w:hint="eastAsia" w:ascii="宋体" w:hAnsi="宋体" w:cs="宋体"/>
                <w:sz w:val="24"/>
              </w:rPr>
            </w:pPr>
            <w:r>
              <w:rPr>
                <w:rFonts w:hint="eastAsia" w:ascii="宋体" w:hAnsi="宋体" w:cs="宋体"/>
                <w:sz w:val="24"/>
              </w:rPr>
              <w:t>项目类型</w:t>
            </w:r>
          </w:p>
        </w:tc>
        <w:tc>
          <w:tcPr>
            <w:tcW w:w="1665" w:type="dxa"/>
            <w:noWrap w:val="0"/>
            <w:vAlign w:val="center"/>
          </w:tcPr>
          <w:p>
            <w:pPr>
              <w:spacing w:line="360" w:lineRule="auto"/>
              <w:jc w:val="center"/>
              <w:rPr>
                <w:rFonts w:hint="eastAsia" w:ascii="宋体" w:hAnsi="宋体" w:cs="宋体"/>
                <w:sz w:val="24"/>
              </w:rPr>
            </w:pPr>
            <w:r>
              <w:rPr>
                <w:rFonts w:hint="eastAsia" w:ascii="宋体" w:hAnsi="宋体" w:cs="宋体"/>
                <w:sz w:val="24"/>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8" w:type="dxa"/>
            <w:noWrap w:val="0"/>
            <w:vAlign w:val="center"/>
          </w:tcPr>
          <w:p>
            <w:pPr>
              <w:tabs>
                <w:tab w:val="left" w:pos="322"/>
              </w:tabs>
              <w:spacing w:line="360" w:lineRule="auto"/>
              <w:jc w:val="center"/>
              <w:rPr>
                <w:rFonts w:hint="eastAsia" w:ascii="宋体" w:hAnsi="宋体" w:cs="宋体"/>
                <w:sz w:val="24"/>
              </w:rPr>
            </w:pPr>
            <w:r>
              <w:rPr>
                <w:rFonts w:hint="eastAsia" w:ascii="宋体" w:hAnsi="宋体" w:cs="宋体"/>
                <w:sz w:val="24"/>
              </w:rPr>
              <w:t>1</w:t>
            </w:r>
          </w:p>
        </w:tc>
        <w:tc>
          <w:tcPr>
            <w:tcW w:w="126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2940"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8" w:type="dxa"/>
            <w:noWrap w:val="0"/>
            <w:vAlign w:val="center"/>
          </w:tcPr>
          <w:p>
            <w:pPr>
              <w:tabs>
                <w:tab w:val="left" w:pos="322"/>
              </w:tabs>
              <w:spacing w:line="360" w:lineRule="auto"/>
              <w:jc w:val="center"/>
              <w:rPr>
                <w:rFonts w:hint="eastAsia" w:ascii="宋体" w:hAnsi="宋体" w:cs="宋体"/>
                <w:sz w:val="24"/>
              </w:rPr>
            </w:pPr>
            <w:r>
              <w:rPr>
                <w:rFonts w:hint="eastAsia" w:ascii="宋体" w:hAnsi="宋体" w:cs="宋体"/>
                <w:sz w:val="24"/>
              </w:rPr>
              <w:t>2</w:t>
            </w:r>
          </w:p>
        </w:tc>
        <w:tc>
          <w:tcPr>
            <w:tcW w:w="126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2940"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8" w:type="dxa"/>
            <w:noWrap w:val="0"/>
            <w:vAlign w:val="center"/>
          </w:tcPr>
          <w:p>
            <w:pPr>
              <w:tabs>
                <w:tab w:val="left" w:pos="322"/>
              </w:tabs>
              <w:spacing w:line="360" w:lineRule="auto"/>
              <w:jc w:val="center"/>
              <w:rPr>
                <w:rFonts w:hint="eastAsia" w:ascii="宋体" w:hAnsi="宋体" w:cs="宋体"/>
                <w:sz w:val="24"/>
              </w:rPr>
            </w:pPr>
            <w:r>
              <w:rPr>
                <w:rFonts w:hint="eastAsia" w:ascii="宋体" w:hAnsi="宋体" w:cs="宋体"/>
                <w:sz w:val="24"/>
              </w:rPr>
              <w:t>3</w:t>
            </w:r>
          </w:p>
        </w:tc>
        <w:tc>
          <w:tcPr>
            <w:tcW w:w="126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2940"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48" w:type="dxa"/>
            <w:noWrap w:val="0"/>
            <w:vAlign w:val="center"/>
          </w:tcPr>
          <w:p>
            <w:pPr>
              <w:tabs>
                <w:tab w:val="left" w:pos="322"/>
              </w:tabs>
              <w:spacing w:line="360" w:lineRule="auto"/>
              <w:jc w:val="center"/>
              <w:rPr>
                <w:rFonts w:hint="eastAsia" w:ascii="宋体" w:hAnsi="宋体" w:cs="宋体"/>
                <w:sz w:val="24"/>
              </w:rPr>
            </w:pPr>
            <w:r>
              <w:rPr>
                <w:rFonts w:hint="eastAsia" w:ascii="宋体" w:hAnsi="宋体" w:cs="宋体"/>
                <w:sz w:val="24"/>
              </w:rPr>
              <w:t>4</w:t>
            </w:r>
          </w:p>
        </w:tc>
        <w:tc>
          <w:tcPr>
            <w:tcW w:w="126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2940"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48" w:type="dxa"/>
            <w:noWrap w:val="0"/>
            <w:vAlign w:val="center"/>
          </w:tcPr>
          <w:p>
            <w:pPr>
              <w:tabs>
                <w:tab w:val="left" w:pos="322"/>
              </w:tabs>
              <w:spacing w:line="360" w:lineRule="auto"/>
              <w:jc w:val="center"/>
              <w:rPr>
                <w:rFonts w:hint="eastAsia" w:ascii="宋体" w:hAnsi="宋体" w:cs="宋体"/>
                <w:sz w:val="24"/>
              </w:rPr>
            </w:pPr>
            <w:r>
              <w:rPr>
                <w:rFonts w:hint="eastAsia" w:ascii="宋体" w:hAnsi="宋体" w:cs="宋体"/>
                <w:sz w:val="24"/>
              </w:rPr>
              <w:t>5</w:t>
            </w:r>
          </w:p>
        </w:tc>
        <w:tc>
          <w:tcPr>
            <w:tcW w:w="126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2940"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c>
          <w:tcPr>
            <w:tcW w:w="1665" w:type="dxa"/>
            <w:noWrap w:val="0"/>
            <w:vAlign w:val="center"/>
          </w:tcPr>
          <w:p>
            <w:pPr>
              <w:spacing w:line="360" w:lineRule="auto"/>
              <w:jc w:val="center"/>
              <w:rPr>
                <w:rFonts w:hint="eastAsia" w:ascii="宋体" w:hAnsi="宋体" w:cs="宋体"/>
                <w:sz w:val="24"/>
              </w:rPr>
            </w:pPr>
          </w:p>
        </w:tc>
      </w:tr>
    </w:tbl>
    <w:p>
      <w:pPr>
        <w:spacing w:line="360" w:lineRule="auto"/>
        <w:ind w:firstLine="211" w:firstLineChars="100"/>
        <w:rPr>
          <w:rFonts w:hint="eastAsia" w:ascii="宋体" w:hAnsi="宋体" w:cs="宋体"/>
          <w:b/>
          <w:sz w:val="21"/>
        </w:rPr>
      </w:pPr>
      <w:r>
        <w:rPr>
          <w:rFonts w:hint="eastAsia" w:ascii="宋体" w:hAnsi="宋体" w:cs="宋体"/>
          <w:b/>
          <w:sz w:val="21"/>
        </w:rPr>
        <w:t>注：投标人可根据需要扩展表格。</w:t>
      </w:r>
    </w:p>
    <w:p>
      <w:pPr>
        <w:spacing w:line="360" w:lineRule="auto"/>
        <w:ind w:left="185" w:leftChars="66" w:firstLine="422" w:firstLineChars="200"/>
        <w:rPr>
          <w:rFonts w:hint="eastAsia" w:ascii="宋体" w:hAnsi="宋体" w:cs="宋体"/>
          <w:b/>
          <w:sz w:val="21"/>
        </w:rPr>
      </w:pPr>
      <w:r>
        <w:rPr>
          <w:rFonts w:hint="eastAsia" w:ascii="宋体" w:hAnsi="宋体" w:cs="宋体"/>
          <w:b/>
          <w:sz w:val="21"/>
        </w:rPr>
        <w:t>我方保证以上提供的资料是真实、准确的，如有虚假，愿接受被没收投标担保的处罚，并愿意承担法律责任。</w:t>
      </w:r>
    </w:p>
    <w:p>
      <w:pPr>
        <w:rPr>
          <w:rFonts w:hint="eastAsia" w:ascii="宋体" w:hAnsi="宋体" w:cs="宋体"/>
        </w:rPr>
      </w:pPr>
      <w:r>
        <w:rPr>
          <w:rFonts w:hint="eastAsia" w:ascii="宋体" w:hAnsi="宋体" w:cs="宋体"/>
        </w:rPr>
        <w:t xml:space="preserve">法定代表人（签字或盖章）：     </w:t>
      </w:r>
    </w:p>
    <w:p>
      <w:pPr>
        <w:rPr>
          <w:rFonts w:hint="eastAsia" w:ascii="宋体" w:hAnsi="宋体" w:cs="宋体"/>
        </w:rPr>
      </w:pPr>
      <w:r>
        <w:rPr>
          <w:rFonts w:hint="eastAsia" w:ascii="宋体" w:hAnsi="宋体" w:cs="宋体"/>
        </w:rPr>
        <w:t xml:space="preserve">投标人（盖章）：                   </w:t>
      </w:r>
    </w:p>
    <w:p>
      <w:pPr>
        <w:rPr>
          <w:rFonts w:hint="eastAsia" w:ascii="宋体" w:hAnsi="宋体" w:cs="宋体"/>
        </w:rPr>
      </w:pPr>
      <w:r>
        <w:rPr>
          <w:rFonts w:hint="eastAsia" w:ascii="宋体" w:hAnsi="宋体" w:cs="宋体"/>
        </w:rPr>
        <w:t xml:space="preserve">                                              日期：   年   月   日</w:t>
      </w:r>
    </w:p>
    <w:p>
      <w:pPr>
        <w:pStyle w:val="2"/>
        <w:ind w:left="560" w:firstLine="544"/>
        <w:rPr>
          <w:rFonts w:hint="eastAsia" w:hAnsi="宋体" w:cs="宋体"/>
        </w:rPr>
      </w:pPr>
    </w:p>
    <w:p>
      <w:pPr>
        <w:rPr>
          <w:rFonts w:hint="eastAsia" w:ascii="宋体" w:hAnsi="宋体" w:cs="宋体"/>
        </w:rPr>
      </w:pPr>
    </w:p>
    <w:p>
      <w:pPr>
        <w:pStyle w:val="2"/>
        <w:ind w:left="560" w:firstLine="544"/>
        <w:rPr>
          <w:rFonts w:hint="eastAsia" w:hAnsi="宋体" w:cs="宋体"/>
        </w:rPr>
      </w:pPr>
    </w:p>
    <w:p>
      <w:pPr>
        <w:rPr>
          <w:rFonts w:hint="eastAsia" w:ascii="宋体" w:hAnsi="宋体" w:cs="宋体"/>
        </w:rPr>
      </w:pPr>
    </w:p>
    <w:p>
      <w:pPr>
        <w:pStyle w:val="2"/>
        <w:ind w:left="560" w:firstLine="544"/>
        <w:rPr>
          <w:rFonts w:hint="eastAsia" w:hAnsi="宋体" w:cs="宋体"/>
        </w:rPr>
      </w:pPr>
    </w:p>
    <w:p>
      <w:pPr>
        <w:rPr>
          <w:rFonts w:hint="eastAsia" w:ascii="宋体" w:hAnsi="宋体" w:cs="宋体"/>
        </w:rPr>
      </w:pPr>
    </w:p>
    <w:p>
      <w:pPr>
        <w:pStyle w:val="2"/>
        <w:ind w:left="560" w:firstLine="544"/>
        <w:rPr>
          <w:rFonts w:hint="eastAsia" w:hAnsi="宋体" w:cs="宋体"/>
        </w:rPr>
      </w:pPr>
    </w:p>
    <w:p>
      <w:pPr>
        <w:rPr>
          <w:rFonts w:hint="eastAsia" w:ascii="宋体" w:hAnsi="宋体" w:cs="宋体"/>
        </w:rPr>
      </w:pPr>
    </w:p>
    <w:p>
      <w:pPr>
        <w:pStyle w:val="2"/>
        <w:ind w:left="560" w:firstLine="544"/>
        <w:rPr>
          <w:rFonts w:hint="eastAsia" w:hAnsi="宋体" w:cs="宋体"/>
        </w:rPr>
      </w:pPr>
    </w:p>
    <w:p>
      <w:pPr>
        <w:rPr>
          <w:rFonts w:hint="eastAsia" w:ascii="宋体" w:hAnsi="宋体" w:cs="宋体"/>
        </w:rPr>
      </w:pPr>
    </w:p>
    <w:p>
      <w:pPr>
        <w:rPr>
          <w:rFonts w:hint="eastAsia"/>
        </w:rPr>
      </w:pPr>
    </w:p>
    <w:sectPr>
      <w:footerReference r:id="rId7" w:type="default"/>
      <w:pgSz w:w="11907" w:h="16840"/>
      <w:pgMar w:top="1247" w:right="1304" w:bottom="1361" w:left="1247" w:header="851" w:footer="992" w:gutter="0"/>
      <w:pgNumType w:start="37"/>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hH2anQAQAAowMAAA4AAABkcnMvZTJvRG9jLnhtbK1TS27bMBDd F+gdCO5rKQbSCILlIIWRokCRFkhzAJoiLQL8gUNb8gXaG3TVTfc9l8/RISU5QbLJIhtqfnwz73G0 uh6MJgcRQDnb0ItFSYmw3LXK7hr68OP2Q0UJRGZbpp0VDT0KoNfr9+9Wva/F0nVOtyIQBLFQ976h XYy+LgrgnTAMFs4Li0npgmER3bAr2sB6RDe6WJblx6J3ofXBcQGA0c2YpBNieA2gk1JxsXF8b4SN I2oQmkWkBJ3yQNd5WikFj9+kBBGJbigyjfnEJmhv01msV6zeBeY7xacR2GtGeMbJMGWx6RlqwyIj +6BeQBnFgwMn44I7U4xEsiLI4qJ8ps19x7zIXFBq8GfR4e1g+d3heyCqxU2gxDKDD376/ev059/p 70+yTPL0HmqsuvdYF4dPbkilUxwwmFgPMpj0RT4E8yju8SyuGCLh6VK1rKoSUxxzs4M4xeN1HyB+ Fs6QZDQ04OtlUdnhK8SxdC5J3ay7VVpjnNXakh5RL6ury3zjnEJ0bbFJYjFOm6w4bIeJwta1R2TW 4wo01OLGU6K/WFQ4bctshNnYzsbeB7Xr8jql/uBv9hHHyVOmDiPs1BjfLvOc9iwtx1M/Vz3+W+v/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IhH2anQAQAAowMAAA4AAAAAAAAAAQAgAAAAIgEA AGRycy9lMm9Eb2MueG1sUEsFBgAAAAAGAAYAWQEAAGQFAAAAAA== ">
              <v:fill on="f" focussize="0,0"/>
              <v:stroke on="f" weight="1.25pt"/>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37</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k08bHSAQAAowMAAA4AAABkcnMvZTJvRG9jLnhtbK1TS27bMBDd F8gdCO5jKS7SCoLlIIWRIEDRFkh7AJoiLQL8gUNb8gXaG3TVTfc9l8/RISU5RbrJIhtqhjN8M+/N aHUzGE0OIoBytqFXi5ISYblrld019NvXu8uKEojMtkw7Kxp6FEBv1hdvVr2vxdJ1TrciEASxUPe+ oV2Mvi4K4J0wDBbOC4tB6YJhEd2wK9rAekQ3uliW5buid6H1wXEBgLebMUgnxPASQCel4mLj+N4I G0fUIDSLSAk65YGuc7dSCh4/SwkiEt1QZBrziUXQ3qazWK9YvQvMd4pPLbCXtPCMk2HKYtEz1IZF RvZB/QdlFA8OnIwL7kwxEsmKIIur8pk2jx3zInNBqcGfRYfXg+WfDl8CUW1Dl5RYZnDgp58/Tr/+ nH5/J2+TPL2HGrMePebF4YMbcGnme8DLxHqQwaQv8iEYR3GPZ3HFEAlPj6plVZUY4hibHcQvnp77 APFeOEOS0dCA08uissNHiGPqnJKqWXentM4T1Jb0iHpdvb/OL84hRNcWiyQWY7fJisN2mKhtXXtE Zj2uQEMtbjwl+sGiwmlbZiPMxnY29j6oXZfXKbUC/nYfsZ3cZaowwk6FcXaZ57RnaTn+9XPW07+1 /gt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OTTxsdIBAACjAwAADgAAAAAAAAABACAAAAAi AQAAZHJzL2Uyb0RvYy54bWxQSwUGAAAAAAYABgBZAQAAZgUAAAAA ">
              <v:fill on="f" focussize="0,0"/>
              <v:stroke on="f" weight="1.25pt"/>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37</w:t>
                    </w:r>
                    <w:r>
                      <w:rPr>
                        <w:rFonts w:hint="eastAsia"/>
                      </w:rPr>
                      <w:fldChar w:fldCharType="end"/>
                    </w:r>
                  </w:p>
                </w:txbxContent>
              </v:textbox>
            </v:shape>
          </w:pict>
        </mc:Fallback>
      </mc:AlternateContent>
    </w:r>
    <w:r>
      <w:rPr>
        <w:rFonts w:hint="eastAsia"/>
        <w:kern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37</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1pEs/SAQAAowMAAA4AAABkcnMvZTJvRG9jLnhtbK1TS27bMBDd F8gdCO5jKW7TCoLloIWRokDRFkhyAJoiLQL8gUNb8gXaG3TVTfc9l8+RISU5RbrJohtqhjN8M+/N aHUzGE0OIoBytqFXi5ISYblrld019OH+9rKiBCKzLdPOioYeBdCb9cWrVe9rsXSd060IBEEs1L1v aBejr4sCeCcMg4XzwmJQumBYRDfsijawHtGNLpZl+bboXWh9cFwA4O1mDNIJMbwE0EmpuNg4vjfC xhE1CM0iUoJOeaDr3K2UgsevUoKIRDcUmcZ8YhG0t+ks1itW7wLzneJTC+wlLTzjZJiyWPQMtWGR kX1Q/0AZxYMDJ+OCO1OMRLIiyOKqfKbNXce8yFxQavBn0eH/wfIvh2+BqLahrymxzODATz9/nH79 Of3+Tt4keXoPNWbdecyLwwc34NLM94CXifUgg0lf5EMwjuIez+KKIRKeHlXLqioxxDE2O4hfPD33 AeJH4QxJRkMDTi+Lyg6fIY6pc0qqZt2t0jpPUFvSI+p19e46vziHEF1bLJJYjN0mKw7bYaK2de0R mfW4Ag21uPGU6E8WFU7bMhthNrazsfdB7bq8TqkV8O/3EdvJXaYKI+xUGGeXeU57lpbjbz9nPf1b 60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fWkSz9IBAACjAwAADgAAAAAAAAABACAAAAAi AQAAZHJzL2Uyb0RvYy54bWxQSwUGAAAAAAYABgBZAQAAZgUAAAAA ">
              <v:fill on="f" focussize="0,0"/>
              <v:stroke on="f" weight="1.25pt"/>
              <v:imagedata o:title=""/>
              <o:lock v:ext="edit" aspectratio="f"/>
              <v:textbox inset="0mm,0mm,0mm,0mm" style="mso-fit-shape-to-text:t;">
                <w:txbxContent>
                  <w:p>
                    <w:pPr>
                      <w:pStyle w:val="2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37</w:t>
                    </w:r>
                    <w:r>
                      <w:rPr>
                        <w:rFonts w:hint="eastAsia"/>
                      </w:rPr>
                      <w:fldChar w:fldCharType="end"/>
                    </w:r>
                  </w:p>
                </w:txbxContent>
              </v:textbox>
            </v:shape>
          </w:pict>
        </mc:Fallback>
      </mc:AlternateContent>
    </w:r>
    <w:r>
      <w:rPr>
        <w:rFonts w:hint="eastAsia"/>
        <w:kern w:val="0"/>
      </w:rPr>
      <w:t xml:space="preserve">                      </w:t>
    </w:r>
  </w:p>
  <w:p>
    <w:pPr>
      <w:pStyle w:val="23"/>
      <w:rPr>
        <w:rFonts w:hint="eastAsia"/>
        <w:kern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D717"/>
    <w:multiLevelType w:val="singleLevel"/>
    <w:tmpl w:val="9634D717"/>
    <w:lvl w:ilvl="0" w:tentative="0">
      <w:start w:val="6"/>
      <w:numFmt w:val="decimal"/>
      <w:suff w:val="nothing"/>
      <w:lvlText w:val="（%1）"/>
      <w:lvlJc w:val="left"/>
    </w:lvl>
  </w:abstractNum>
  <w:abstractNum w:abstractNumId="1">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2">
    <w:nsid w:val="00000014"/>
    <w:multiLevelType w:val="multilevel"/>
    <w:tmpl w:val="00000014"/>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02463A"/>
    <w:multiLevelType w:val="singleLevel"/>
    <w:tmpl w:val="0A02463A"/>
    <w:lvl w:ilvl="0" w:tentative="0">
      <w:start w:val="1"/>
      <w:numFmt w:val="decimal"/>
      <w:suff w:val="nothing"/>
      <w:lvlText w:val="（%1）"/>
      <w:lvlJc w:val="left"/>
    </w:lvl>
  </w:abstractNum>
  <w:abstractNum w:abstractNumId="4">
    <w:nsid w:val="3EE8934E"/>
    <w:multiLevelType w:val="singleLevel"/>
    <w:tmpl w:val="3EE8934E"/>
    <w:lvl w:ilvl="0" w:tentative="0">
      <w:start w:val="1"/>
      <w:numFmt w:val="bullet"/>
      <w:lvlText w:val=""/>
      <w:lvlJc w:val="left"/>
      <w:pPr>
        <w:ind w:left="420" w:hanging="420"/>
      </w:pPr>
      <w:rPr>
        <w:rFonts w:hint="default" w:ascii="Wingdings" w:hAnsi="Wingdings"/>
      </w:rPr>
    </w:lvl>
  </w:abstractNum>
  <w:abstractNum w:abstractNumId="5">
    <w:nsid w:val="5697BCA2"/>
    <w:multiLevelType w:val="singleLevel"/>
    <w:tmpl w:val="5697BCA2"/>
    <w:lvl w:ilvl="0" w:tentative="0">
      <w:start w:val="1"/>
      <w:numFmt w:val="decimal"/>
      <w:suff w:val="nothing"/>
      <w:lvlText w:val="（%1）"/>
      <w:lvlJc w:val="left"/>
    </w:lvl>
  </w:abstractNum>
  <w:abstractNum w:abstractNumId="6">
    <w:nsid w:val="5B97DBB8"/>
    <w:multiLevelType w:val="singleLevel"/>
    <w:tmpl w:val="5B97DBB8"/>
    <w:lvl w:ilvl="0" w:tentative="0">
      <w:start w:val="1"/>
      <w:numFmt w:val="decimal"/>
      <w:suff w:val="nothing"/>
      <w:lvlText w:val="（%1）"/>
      <w:lvlJc w:val="left"/>
    </w:lvl>
  </w:abstractNum>
  <w:abstractNum w:abstractNumId="7">
    <w:nsid w:val="73787640"/>
    <w:multiLevelType w:val="singleLevel"/>
    <w:tmpl w:val="73787640"/>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7"/>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3A"/>
    <w:rsid w:val="0000044C"/>
    <w:rsid w:val="0000113A"/>
    <w:rsid w:val="00001A62"/>
    <w:rsid w:val="000025E8"/>
    <w:rsid w:val="00002763"/>
    <w:rsid w:val="00003AFC"/>
    <w:rsid w:val="000045AB"/>
    <w:rsid w:val="0000567C"/>
    <w:rsid w:val="00005C2B"/>
    <w:rsid w:val="000062D6"/>
    <w:rsid w:val="00006418"/>
    <w:rsid w:val="0000678E"/>
    <w:rsid w:val="000075B3"/>
    <w:rsid w:val="00007962"/>
    <w:rsid w:val="00010786"/>
    <w:rsid w:val="000121E9"/>
    <w:rsid w:val="000142AF"/>
    <w:rsid w:val="000143B7"/>
    <w:rsid w:val="0001441A"/>
    <w:rsid w:val="0001568D"/>
    <w:rsid w:val="00015B99"/>
    <w:rsid w:val="000161E3"/>
    <w:rsid w:val="000167FE"/>
    <w:rsid w:val="00016EAC"/>
    <w:rsid w:val="00021204"/>
    <w:rsid w:val="000212CE"/>
    <w:rsid w:val="000214F5"/>
    <w:rsid w:val="00023349"/>
    <w:rsid w:val="0002410C"/>
    <w:rsid w:val="00025EE3"/>
    <w:rsid w:val="00026F23"/>
    <w:rsid w:val="000312BF"/>
    <w:rsid w:val="00032197"/>
    <w:rsid w:val="00035176"/>
    <w:rsid w:val="0003531E"/>
    <w:rsid w:val="00035EC0"/>
    <w:rsid w:val="00035F52"/>
    <w:rsid w:val="000367DC"/>
    <w:rsid w:val="00036813"/>
    <w:rsid w:val="00040590"/>
    <w:rsid w:val="000407FE"/>
    <w:rsid w:val="00040F4B"/>
    <w:rsid w:val="0004133A"/>
    <w:rsid w:val="0004148F"/>
    <w:rsid w:val="000418A6"/>
    <w:rsid w:val="00041A5A"/>
    <w:rsid w:val="00042046"/>
    <w:rsid w:val="0004332C"/>
    <w:rsid w:val="00044B76"/>
    <w:rsid w:val="00046ED4"/>
    <w:rsid w:val="000475BF"/>
    <w:rsid w:val="000504C8"/>
    <w:rsid w:val="000508C8"/>
    <w:rsid w:val="00052563"/>
    <w:rsid w:val="00053171"/>
    <w:rsid w:val="00053B42"/>
    <w:rsid w:val="00053C32"/>
    <w:rsid w:val="000551B1"/>
    <w:rsid w:val="00055216"/>
    <w:rsid w:val="00055BD1"/>
    <w:rsid w:val="0005648A"/>
    <w:rsid w:val="00057B2B"/>
    <w:rsid w:val="00057E55"/>
    <w:rsid w:val="00061C13"/>
    <w:rsid w:val="00062B14"/>
    <w:rsid w:val="00062D1D"/>
    <w:rsid w:val="0006523C"/>
    <w:rsid w:val="0006533F"/>
    <w:rsid w:val="000714A2"/>
    <w:rsid w:val="000731B6"/>
    <w:rsid w:val="0007380A"/>
    <w:rsid w:val="0007387A"/>
    <w:rsid w:val="000743DF"/>
    <w:rsid w:val="000743FE"/>
    <w:rsid w:val="00074766"/>
    <w:rsid w:val="00074BB9"/>
    <w:rsid w:val="00074D1B"/>
    <w:rsid w:val="0007563E"/>
    <w:rsid w:val="000757FF"/>
    <w:rsid w:val="00076511"/>
    <w:rsid w:val="00076B66"/>
    <w:rsid w:val="00080343"/>
    <w:rsid w:val="00081F4C"/>
    <w:rsid w:val="00082F7A"/>
    <w:rsid w:val="00083406"/>
    <w:rsid w:val="0008414C"/>
    <w:rsid w:val="000849A6"/>
    <w:rsid w:val="000850FC"/>
    <w:rsid w:val="00090CA9"/>
    <w:rsid w:val="000918E3"/>
    <w:rsid w:val="00091AA9"/>
    <w:rsid w:val="00093F98"/>
    <w:rsid w:val="00093FAF"/>
    <w:rsid w:val="00094929"/>
    <w:rsid w:val="00094BE4"/>
    <w:rsid w:val="00094C5E"/>
    <w:rsid w:val="00096A8A"/>
    <w:rsid w:val="00097D71"/>
    <w:rsid w:val="000A0EC9"/>
    <w:rsid w:val="000A177A"/>
    <w:rsid w:val="000A2E50"/>
    <w:rsid w:val="000A2FE8"/>
    <w:rsid w:val="000A36BA"/>
    <w:rsid w:val="000A67EA"/>
    <w:rsid w:val="000A6F43"/>
    <w:rsid w:val="000A6FE0"/>
    <w:rsid w:val="000A7849"/>
    <w:rsid w:val="000B014A"/>
    <w:rsid w:val="000B110F"/>
    <w:rsid w:val="000B1D40"/>
    <w:rsid w:val="000B2944"/>
    <w:rsid w:val="000B2DF9"/>
    <w:rsid w:val="000B3776"/>
    <w:rsid w:val="000B39B3"/>
    <w:rsid w:val="000B4FDC"/>
    <w:rsid w:val="000B5117"/>
    <w:rsid w:val="000B57BF"/>
    <w:rsid w:val="000B6D5A"/>
    <w:rsid w:val="000B7333"/>
    <w:rsid w:val="000C0416"/>
    <w:rsid w:val="000C22E9"/>
    <w:rsid w:val="000C255C"/>
    <w:rsid w:val="000C3C97"/>
    <w:rsid w:val="000C4918"/>
    <w:rsid w:val="000C4B62"/>
    <w:rsid w:val="000C5428"/>
    <w:rsid w:val="000C7277"/>
    <w:rsid w:val="000C741B"/>
    <w:rsid w:val="000C74BC"/>
    <w:rsid w:val="000D0466"/>
    <w:rsid w:val="000D09A8"/>
    <w:rsid w:val="000D1143"/>
    <w:rsid w:val="000D17CB"/>
    <w:rsid w:val="000D25C6"/>
    <w:rsid w:val="000D270E"/>
    <w:rsid w:val="000D2C0B"/>
    <w:rsid w:val="000D394A"/>
    <w:rsid w:val="000D3AC1"/>
    <w:rsid w:val="000D3D20"/>
    <w:rsid w:val="000D3E17"/>
    <w:rsid w:val="000D5447"/>
    <w:rsid w:val="000D6614"/>
    <w:rsid w:val="000D694C"/>
    <w:rsid w:val="000D6958"/>
    <w:rsid w:val="000D76C9"/>
    <w:rsid w:val="000E1EBE"/>
    <w:rsid w:val="000E4CBB"/>
    <w:rsid w:val="000E5B35"/>
    <w:rsid w:val="000E6401"/>
    <w:rsid w:val="000E645B"/>
    <w:rsid w:val="000E694A"/>
    <w:rsid w:val="000F0421"/>
    <w:rsid w:val="000F0A1E"/>
    <w:rsid w:val="000F18A0"/>
    <w:rsid w:val="000F233E"/>
    <w:rsid w:val="000F364F"/>
    <w:rsid w:val="000F36C7"/>
    <w:rsid w:val="000F39C9"/>
    <w:rsid w:val="000F49D5"/>
    <w:rsid w:val="000F4CED"/>
    <w:rsid w:val="000F679E"/>
    <w:rsid w:val="000F6B72"/>
    <w:rsid w:val="001010C5"/>
    <w:rsid w:val="00101BC7"/>
    <w:rsid w:val="00101C39"/>
    <w:rsid w:val="001025FE"/>
    <w:rsid w:val="001028B9"/>
    <w:rsid w:val="00102DC7"/>
    <w:rsid w:val="00104347"/>
    <w:rsid w:val="001059B3"/>
    <w:rsid w:val="00107100"/>
    <w:rsid w:val="00110431"/>
    <w:rsid w:val="00110E07"/>
    <w:rsid w:val="001110AB"/>
    <w:rsid w:val="00111297"/>
    <w:rsid w:val="001116CA"/>
    <w:rsid w:val="001127DB"/>
    <w:rsid w:val="00112E09"/>
    <w:rsid w:val="00115A23"/>
    <w:rsid w:val="00116A8B"/>
    <w:rsid w:val="00116AC6"/>
    <w:rsid w:val="001177EE"/>
    <w:rsid w:val="001212A5"/>
    <w:rsid w:val="001212F4"/>
    <w:rsid w:val="00121E27"/>
    <w:rsid w:val="00122592"/>
    <w:rsid w:val="0012314B"/>
    <w:rsid w:val="0012330C"/>
    <w:rsid w:val="00123D2D"/>
    <w:rsid w:val="001240BD"/>
    <w:rsid w:val="001249F2"/>
    <w:rsid w:val="00125B2C"/>
    <w:rsid w:val="00130680"/>
    <w:rsid w:val="00131856"/>
    <w:rsid w:val="00131ADF"/>
    <w:rsid w:val="00131E55"/>
    <w:rsid w:val="00131FF8"/>
    <w:rsid w:val="00132A0D"/>
    <w:rsid w:val="00132C01"/>
    <w:rsid w:val="00132EC2"/>
    <w:rsid w:val="00133116"/>
    <w:rsid w:val="00136018"/>
    <w:rsid w:val="00137AC8"/>
    <w:rsid w:val="00137B24"/>
    <w:rsid w:val="00137B8E"/>
    <w:rsid w:val="001406C6"/>
    <w:rsid w:val="00141735"/>
    <w:rsid w:val="00142D2E"/>
    <w:rsid w:val="00142DF3"/>
    <w:rsid w:val="001444CA"/>
    <w:rsid w:val="00144795"/>
    <w:rsid w:val="00145694"/>
    <w:rsid w:val="0014617C"/>
    <w:rsid w:val="00146710"/>
    <w:rsid w:val="00146779"/>
    <w:rsid w:val="001478F5"/>
    <w:rsid w:val="00150533"/>
    <w:rsid w:val="00151628"/>
    <w:rsid w:val="0015206B"/>
    <w:rsid w:val="00152693"/>
    <w:rsid w:val="00153FE4"/>
    <w:rsid w:val="00154FF6"/>
    <w:rsid w:val="00155DC2"/>
    <w:rsid w:val="001566EE"/>
    <w:rsid w:val="00156912"/>
    <w:rsid w:val="00156D2F"/>
    <w:rsid w:val="0015703D"/>
    <w:rsid w:val="00157AA4"/>
    <w:rsid w:val="00161F65"/>
    <w:rsid w:val="001634EA"/>
    <w:rsid w:val="00165249"/>
    <w:rsid w:val="0016547A"/>
    <w:rsid w:val="00165665"/>
    <w:rsid w:val="001666A3"/>
    <w:rsid w:val="00167450"/>
    <w:rsid w:val="00167574"/>
    <w:rsid w:val="00167936"/>
    <w:rsid w:val="00167BA3"/>
    <w:rsid w:val="001701BD"/>
    <w:rsid w:val="00170D55"/>
    <w:rsid w:val="0017117D"/>
    <w:rsid w:val="001735E4"/>
    <w:rsid w:val="00173E61"/>
    <w:rsid w:val="001741A7"/>
    <w:rsid w:val="001751A9"/>
    <w:rsid w:val="00175D24"/>
    <w:rsid w:val="0017672C"/>
    <w:rsid w:val="00176E80"/>
    <w:rsid w:val="00176FBF"/>
    <w:rsid w:val="00177171"/>
    <w:rsid w:val="00181917"/>
    <w:rsid w:val="00181990"/>
    <w:rsid w:val="00182399"/>
    <w:rsid w:val="0018285C"/>
    <w:rsid w:val="00182F61"/>
    <w:rsid w:val="0018352A"/>
    <w:rsid w:val="00183CD2"/>
    <w:rsid w:val="00185079"/>
    <w:rsid w:val="0018556A"/>
    <w:rsid w:val="001869DB"/>
    <w:rsid w:val="00186A82"/>
    <w:rsid w:val="00187707"/>
    <w:rsid w:val="00187732"/>
    <w:rsid w:val="001906A0"/>
    <w:rsid w:val="001918E7"/>
    <w:rsid w:val="001922AD"/>
    <w:rsid w:val="001932C0"/>
    <w:rsid w:val="001932E2"/>
    <w:rsid w:val="0019488B"/>
    <w:rsid w:val="001952D0"/>
    <w:rsid w:val="0019597A"/>
    <w:rsid w:val="001A0318"/>
    <w:rsid w:val="001A2147"/>
    <w:rsid w:val="001A48D0"/>
    <w:rsid w:val="001A506F"/>
    <w:rsid w:val="001A5E89"/>
    <w:rsid w:val="001A645F"/>
    <w:rsid w:val="001A71E1"/>
    <w:rsid w:val="001A7D47"/>
    <w:rsid w:val="001B0033"/>
    <w:rsid w:val="001B18DA"/>
    <w:rsid w:val="001B3BE7"/>
    <w:rsid w:val="001B3E56"/>
    <w:rsid w:val="001B537B"/>
    <w:rsid w:val="001B5F43"/>
    <w:rsid w:val="001B6F58"/>
    <w:rsid w:val="001B7523"/>
    <w:rsid w:val="001C0C95"/>
    <w:rsid w:val="001C150E"/>
    <w:rsid w:val="001C1799"/>
    <w:rsid w:val="001C1A66"/>
    <w:rsid w:val="001C2A1B"/>
    <w:rsid w:val="001C6CD3"/>
    <w:rsid w:val="001C7123"/>
    <w:rsid w:val="001C73F9"/>
    <w:rsid w:val="001D0B98"/>
    <w:rsid w:val="001D3ECD"/>
    <w:rsid w:val="001D49E5"/>
    <w:rsid w:val="001D4F2E"/>
    <w:rsid w:val="001D51A6"/>
    <w:rsid w:val="001D56C0"/>
    <w:rsid w:val="001D5A1C"/>
    <w:rsid w:val="001D65E5"/>
    <w:rsid w:val="001D7B59"/>
    <w:rsid w:val="001D7DA7"/>
    <w:rsid w:val="001E0E07"/>
    <w:rsid w:val="001E138A"/>
    <w:rsid w:val="001E2C58"/>
    <w:rsid w:val="001E4D2C"/>
    <w:rsid w:val="001E4DEB"/>
    <w:rsid w:val="001E545A"/>
    <w:rsid w:val="001E5CAB"/>
    <w:rsid w:val="001E72F1"/>
    <w:rsid w:val="001E736E"/>
    <w:rsid w:val="001E745A"/>
    <w:rsid w:val="001F2BF9"/>
    <w:rsid w:val="001F4345"/>
    <w:rsid w:val="001F63E5"/>
    <w:rsid w:val="001F6A4A"/>
    <w:rsid w:val="001F7655"/>
    <w:rsid w:val="00201047"/>
    <w:rsid w:val="002010BB"/>
    <w:rsid w:val="00201546"/>
    <w:rsid w:val="0020204C"/>
    <w:rsid w:val="0020209A"/>
    <w:rsid w:val="00203655"/>
    <w:rsid w:val="00203C02"/>
    <w:rsid w:val="00203FAA"/>
    <w:rsid w:val="002040EA"/>
    <w:rsid w:val="00204B95"/>
    <w:rsid w:val="002063E8"/>
    <w:rsid w:val="00207010"/>
    <w:rsid w:val="00207DBB"/>
    <w:rsid w:val="002127FA"/>
    <w:rsid w:val="00212FEA"/>
    <w:rsid w:val="002157EB"/>
    <w:rsid w:val="002169EE"/>
    <w:rsid w:val="002170F9"/>
    <w:rsid w:val="00221097"/>
    <w:rsid w:val="00221922"/>
    <w:rsid w:val="00221FF4"/>
    <w:rsid w:val="00223A82"/>
    <w:rsid w:val="00223BC1"/>
    <w:rsid w:val="00224355"/>
    <w:rsid w:val="002244F4"/>
    <w:rsid w:val="00226A22"/>
    <w:rsid w:val="00226D3E"/>
    <w:rsid w:val="0022758F"/>
    <w:rsid w:val="002307E7"/>
    <w:rsid w:val="00231475"/>
    <w:rsid w:val="00232E66"/>
    <w:rsid w:val="00233262"/>
    <w:rsid w:val="0023345E"/>
    <w:rsid w:val="00233537"/>
    <w:rsid w:val="00233D21"/>
    <w:rsid w:val="0023536C"/>
    <w:rsid w:val="00235AA4"/>
    <w:rsid w:val="002364F0"/>
    <w:rsid w:val="002367BF"/>
    <w:rsid w:val="00237E67"/>
    <w:rsid w:val="00240EFE"/>
    <w:rsid w:val="002419F2"/>
    <w:rsid w:val="00242628"/>
    <w:rsid w:val="00242F89"/>
    <w:rsid w:val="00243674"/>
    <w:rsid w:val="002447D0"/>
    <w:rsid w:val="002455C3"/>
    <w:rsid w:val="00250723"/>
    <w:rsid w:val="002513F1"/>
    <w:rsid w:val="00252AAF"/>
    <w:rsid w:val="002530A7"/>
    <w:rsid w:val="00253ADA"/>
    <w:rsid w:val="00254191"/>
    <w:rsid w:val="00254A2F"/>
    <w:rsid w:val="002557C9"/>
    <w:rsid w:val="00256407"/>
    <w:rsid w:val="00257D71"/>
    <w:rsid w:val="00260476"/>
    <w:rsid w:val="0026069B"/>
    <w:rsid w:val="00260A21"/>
    <w:rsid w:val="00261603"/>
    <w:rsid w:val="00262099"/>
    <w:rsid w:val="00263321"/>
    <w:rsid w:val="002636CA"/>
    <w:rsid w:val="00263E94"/>
    <w:rsid w:val="002651E0"/>
    <w:rsid w:val="00265F4F"/>
    <w:rsid w:val="002663D3"/>
    <w:rsid w:val="0027015F"/>
    <w:rsid w:val="00270B40"/>
    <w:rsid w:val="00270E92"/>
    <w:rsid w:val="002712DF"/>
    <w:rsid w:val="00271594"/>
    <w:rsid w:val="00272A58"/>
    <w:rsid w:val="00272E02"/>
    <w:rsid w:val="00274DE1"/>
    <w:rsid w:val="00275502"/>
    <w:rsid w:val="0027562F"/>
    <w:rsid w:val="00275AB8"/>
    <w:rsid w:val="00276045"/>
    <w:rsid w:val="00276190"/>
    <w:rsid w:val="00276678"/>
    <w:rsid w:val="00277A2C"/>
    <w:rsid w:val="00281326"/>
    <w:rsid w:val="00281913"/>
    <w:rsid w:val="00282290"/>
    <w:rsid w:val="00282680"/>
    <w:rsid w:val="00282EEB"/>
    <w:rsid w:val="00282F6F"/>
    <w:rsid w:val="00283C5D"/>
    <w:rsid w:val="0028467F"/>
    <w:rsid w:val="00285932"/>
    <w:rsid w:val="00285989"/>
    <w:rsid w:val="002862EC"/>
    <w:rsid w:val="00286331"/>
    <w:rsid w:val="00286CD4"/>
    <w:rsid w:val="002870EA"/>
    <w:rsid w:val="00287352"/>
    <w:rsid w:val="00290CCD"/>
    <w:rsid w:val="0029158D"/>
    <w:rsid w:val="00291DA2"/>
    <w:rsid w:val="0029202D"/>
    <w:rsid w:val="00292B0C"/>
    <w:rsid w:val="00292F49"/>
    <w:rsid w:val="00294182"/>
    <w:rsid w:val="00294F30"/>
    <w:rsid w:val="00296426"/>
    <w:rsid w:val="002970AD"/>
    <w:rsid w:val="00297BCD"/>
    <w:rsid w:val="002A0956"/>
    <w:rsid w:val="002A12AB"/>
    <w:rsid w:val="002A1F0B"/>
    <w:rsid w:val="002A2462"/>
    <w:rsid w:val="002A278C"/>
    <w:rsid w:val="002A4F23"/>
    <w:rsid w:val="002A4F5F"/>
    <w:rsid w:val="002A5A45"/>
    <w:rsid w:val="002A6EF6"/>
    <w:rsid w:val="002A7D65"/>
    <w:rsid w:val="002B0F78"/>
    <w:rsid w:val="002B1905"/>
    <w:rsid w:val="002B1ED7"/>
    <w:rsid w:val="002B3363"/>
    <w:rsid w:val="002B3519"/>
    <w:rsid w:val="002B3BF2"/>
    <w:rsid w:val="002B4B48"/>
    <w:rsid w:val="002B71FD"/>
    <w:rsid w:val="002C1912"/>
    <w:rsid w:val="002C2C9E"/>
    <w:rsid w:val="002C32C5"/>
    <w:rsid w:val="002C3A64"/>
    <w:rsid w:val="002C3CDD"/>
    <w:rsid w:val="002C4BCC"/>
    <w:rsid w:val="002C4C1B"/>
    <w:rsid w:val="002C58E1"/>
    <w:rsid w:val="002C63A2"/>
    <w:rsid w:val="002D02DD"/>
    <w:rsid w:val="002D0796"/>
    <w:rsid w:val="002D187E"/>
    <w:rsid w:val="002D2F04"/>
    <w:rsid w:val="002D375E"/>
    <w:rsid w:val="002D4007"/>
    <w:rsid w:val="002D5869"/>
    <w:rsid w:val="002D622B"/>
    <w:rsid w:val="002E123B"/>
    <w:rsid w:val="002E2C7E"/>
    <w:rsid w:val="002E3126"/>
    <w:rsid w:val="002E3634"/>
    <w:rsid w:val="002E40A2"/>
    <w:rsid w:val="002E4903"/>
    <w:rsid w:val="002E4AC5"/>
    <w:rsid w:val="002E526E"/>
    <w:rsid w:val="002E7683"/>
    <w:rsid w:val="002E7FDB"/>
    <w:rsid w:val="002F09A5"/>
    <w:rsid w:val="002F0B97"/>
    <w:rsid w:val="002F1CBC"/>
    <w:rsid w:val="002F2E05"/>
    <w:rsid w:val="002F3416"/>
    <w:rsid w:val="002F659A"/>
    <w:rsid w:val="002F68B9"/>
    <w:rsid w:val="002F7754"/>
    <w:rsid w:val="00301565"/>
    <w:rsid w:val="00301A6C"/>
    <w:rsid w:val="00301FDD"/>
    <w:rsid w:val="00302585"/>
    <w:rsid w:val="0030259E"/>
    <w:rsid w:val="003035C0"/>
    <w:rsid w:val="00305386"/>
    <w:rsid w:val="003058CE"/>
    <w:rsid w:val="00305EFE"/>
    <w:rsid w:val="00310B1F"/>
    <w:rsid w:val="00310D4C"/>
    <w:rsid w:val="003113C0"/>
    <w:rsid w:val="003115C7"/>
    <w:rsid w:val="00312D6E"/>
    <w:rsid w:val="003151B5"/>
    <w:rsid w:val="00316631"/>
    <w:rsid w:val="00316EE6"/>
    <w:rsid w:val="0031709E"/>
    <w:rsid w:val="00320D12"/>
    <w:rsid w:val="003221C5"/>
    <w:rsid w:val="00322300"/>
    <w:rsid w:val="0032268C"/>
    <w:rsid w:val="00325797"/>
    <w:rsid w:val="00325A56"/>
    <w:rsid w:val="00325C77"/>
    <w:rsid w:val="00326636"/>
    <w:rsid w:val="0032679E"/>
    <w:rsid w:val="00326B20"/>
    <w:rsid w:val="00327034"/>
    <w:rsid w:val="003271A7"/>
    <w:rsid w:val="003311B7"/>
    <w:rsid w:val="00332464"/>
    <w:rsid w:val="0033255E"/>
    <w:rsid w:val="00332FC8"/>
    <w:rsid w:val="00333174"/>
    <w:rsid w:val="003334F4"/>
    <w:rsid w:val="0033483A"/>
    <w:rsid w:val="00335B37"/>
    <w:rsid w:val="00336A7A"/>
    <w:rsid w:val="00336C0D"/>
    <w:rsid w:val="00337078"/>
    <w:rsid w:val="00337ACF"/>
    <w:rsid w:val="00341050"/>
    <w:rsid w:val="00341C09"/>
    <w:rsid w:val="003428A8"/>
    <w:rsid w:val="003428B3"/>
    <w:rsid w:val="00342916"/>
    <w:rsid w:val="00342FDD"/>
    <w:rsid w:val="00344967"/>
    <w:rsid w:val="00344D35"/>
    <w:rsid w:val="003454C3"/>
    <w:rsid w:val="00345DFB"/>
    <w:rsid w:val="00345F40"/>
    <w:rsid w:val="003500DE"/>
    <w:rsid w:val="00350BD5"/>
    <w:rsid w:val="0035196B"/>
    <w:rsid w:val="003519F8"/>
    <w:rsid w:val="00351F40"/>
    <w:rsid w:val="003521C4"/>
    <w:rsid w:val="00352909"/>
    <w:rsid w:val="003536B3"/>
    <w:rsid w:val="00353965"/>
    <w:rsid w:val="00353F6A"/>
    <w:rsid w:val="003540FD"/>
    <w:rsid w:val="00354B19"/>
    <w:rsid w:val="0035517E"/>
    <w:rsid w:val="0035604A"/>
    <w:rsid w:val="0035617B"/>
    <w:rsid w:val="003565B7"/>
    <w:rsid w:val="00357878"/>
    <w:rsid w:val="003579CD"/>
    <w:rsid w:val="003603D1"/>
    <w:rsid w:val="00361A29"/>
    <w:rsid w:val="00361B21"/>
    <w:rsid w:val="0036386C"/>
    <w:rsid w:val="00364E31"/>
    <w:rsid w:val="0036634A"/>
    <w:rsid w:val="0036635A"/>
    <w:rsid w:val="00366452"/>
    <w:rsid w:val="003667E9"/>
    <w:rsid w:val="00366B58"/>
    <w:rsid w:val="00366C20"/>
    <w:rsid w:val="003711DD"/>
    <w:rsid w:val="00371A3E"/>
    <w:rsid w:val="00372C96"/>
    <w:rsid w:val="0037303F"/>
    <w:rsid w:val="003733D0"/>
    <w:rsid w:val="00374234"/>
    <w:rsid w:val="003764D2"/>
    <w:rsid w:val="00376DE1"/>
    <w:rsid w:val="00380BC5"/>
    <w:rsid w:val="00381D5F"/>
    <w:rsid w:val="003821B3"/>
    <w:rsid w:val="00382A0A"/>
    <w:rsid w:val="00386CB1"/>
    <w:rsid w:val="003877EA"/>
    <w:rsid w:val="0038783D"/>
    <w:rsid w:val="00387F9C"/>
    <w:rsid w:val="00392A1E"/>
    <w:rsid w:val="00394823"/>
    <w:rsid w:val="00394FC9"/>
    <w:rsid w:val="0039570A"/>
    <w:rsid w:val="003A4A68"/>
    <w:rsid w:val="003A5FA6"/>
    <w:rsid w:val="003A776E"/>
    <w:rsid w:val="003B043C"/>
    <w:rsid w:val="003B0E6A"/>
    <w:rsid w:val="003B1615"/>
    <w:rsid w:val="003B3D08"/>
    <w:rsid w:val="003B4EC9"/>
    <w:rsid w:val="003B5A21"/>
    <w:rsid w:val="003B60D0"/>
    <w:rsid w:val="003B6450"/>
    <w:rsid w:val="003B662C"/>
    <w:rsid w:val="003B6736"/>
    <w:rsid w:val="003B6B3F"/>
    <w:rsid w:val="003B6E91"/>
    <w:rsid w:val="003B79EC"/>
    <w:rsid w:val="003C0041"/>
    <w:rsid w:val="003C0344"/>
    <w:rsid w:val="003C1067"/>
    <w:rsid w:val="003C1483"/>
    <w:rsid w:val="003C1A75"/>
    <w:rsid w:val="003C3885"/>
    <w:rsid w:val="003C5DBC"/>
    <w:rsid w:val="003C6393"/>
    <w:rsid w:val="003C795B"/>
    <w:rsid w:val="003D08A9"/>
    <w:rsid w:val="003D0BDC"/>
    <w:rsid w:val="003D1915"/>
    <w:rsid w:val="003D3C5F"/>
    <w:rsid w:val="003D4AF0"/>
    <w:rsid w:val="003D4C27"/>
    <w:rsid w:val="003D6F3E"/>
    <w:rsid w:val="003D7443"/>
    <w:rsid w:val="003D7920"/>
    <w:rsid w:val="003E167B"/>
    <w:rsid w:val="003E2860"/>
    <w:rsid w:val="003E309F"/>
    <w:rsid w:val="003E4530"/>
    <w:rsid w:val="003E473D"/>
    <w:rsid w:val="003E5907"/>
    <w:rsid w:val="003E61CD"/>
    <w:rsid w:val="003E63BA"/>
    <w:rsid w:val="003E7145"/>
    <w:rsid w:val="003E794D"/>
    <w:rsid w:val="003F1AAC"/>
    <w:rsid w:val="003F38D2"/>
    <w:rsid w:val="003F396E"/>
    <w:rsid w:val="003F3BAF"/>
    <w:rsid w:val="003F505B"/>
    <w:rsid w:val="003F5485"/>
    <w:rsid w:val="003F57C2"/>
    <w:rsid w:val="003F62B4"/>
    <w:rsid w:val="003F6440"/>
    <w:rsid w:val="003F6747"/>
    <w:rsid w:val="003F6ED1"/>
    <w:rsid w:val="003F7544"/>
    <w:rsid w:val="003F7976"/>
    <w:rsid w:val="00400694"/>
    <w:rsid w:val="004008B9"/>
    <w:rsid w:val="0040120F"/>
    <w:rsid w:val="00402130"/>
    <w:rsid w:val="00402CE8"/>
    <w:rsid w:val="00402DD3"/>
    <w:rsid w:val="00403A51"/>
    <w:rsid w:val="00403B14"/>
    <w:rsid w:val="00404A74"/>
    <w:rsid w:val="00405754"/>
    <w:rsid w:val="00405CE2"/>
    <w:rsid w:val="00405E3F"/>
    <w:rsid w:val="00406E6A"/>
    <w:rsid w:val="00407404"/>
    <w:rsid w:val="00407560"/>
    <w:rsid w:val="00407598"/>
    <w:rsid w:val="0041060C"/>
    <w:rsid w:val="004115BC"/>
    <w:rsid w:val="004124B4"/>
    <w:rsid w:val="00412EA6"/>
    <w:rsid w:val="00413497"/>
    <w:rsid w:val="00414564"/>
    <w:rsid w:val="004147FD"/>
    <w:rsid w:val="00414932"/>
    <w:rsid w:val="004156F1"/>
    <w:rsid w:val="0041640A"/>
    <w:rsid w:val="00416AA1"/>
    <w:rsid w:val="00416B52"/>
    <w:rsid w:val="00416BE1"/>
    <w:rsid w:val="0041740B"/>
    <w:rsid w:val="00421327"/>
    <w:rsid w:val="00421540"/>
    <w:rsid w:val="00421807"/>
    <w:rsid w:val="00422689"/>
    <w:rsid w:val="00422CDA"/>
    <w:rsid w:val="00423701"/>
    <w:rsid w:val="0042480A"/>
    <w:rsid w:val="004273E5"/>
    <w:rsid w:val="00427AAE"/>
    <w:rsid w:val="00427C70"/>
    <w:rsid w:val="0043032A"/>
    <w:rsid w:val="00430AD2"/>
    <w:rsid w:val="00431BC8"/>
    <w:rsid w:val="00432104"/>
    <w:rsid w:val="00433821"/>
    <w:rsid w:val="004343EC"/>
    <w:rsid w:val="00436119"/>
    <w:rsid w:val="00437041"/>
    <w:rsid w:val="004377A1"/>
    <w:rsid w:val="00441FF9"/>
    <w:rsid w:val="004440FB"/>
    <w:rsid w:val="004445E9"/>
    <w:rsid w:val="004460C8"/>
    <w:rsid w:val="0044639A"/>
    <w:rsid w:val="004467BE"/>
    <w:rsid w:val="00446880"/>
    <w:rsid w:val="00447423"/>
    <w:rsid w:val="00447A2B"/>
    <w:rsid w:val="0045063D"/>
    <w:rsid w:val="00450B07"/>
    <w:rsid w:val="00450EE0"/>
    <w:rsid w:val="00451143"/>
    <w:rsid w:val="004526CE"/>
    <w:rsid w:val="0045293A"/>
    <w:rsid w:val="00452C28"/>
    <w:rsid w:val="00452D00"/>
    <w:rsid w:val="00453084"/>
    <w:rsid w:val="004530BA"/>
    <w:rsid w:val="00453A78"/>
    <w:rsid w:val="00454920"/>
    <w:rsid w:val="00454FDB"/>
    <w:rsid w:val="004560F4"/>
    <w:rsid w:val="004562A3"/>
    <w:rsid w:val="00460642"/>
    <w:rsid w:val="00460BD7"/>
    <w:rsid w:val="0046127E"/>
    <w:rsid w:val="00461AAF"/>
    <w:rsid w:val="00461D30"/>
    <w:rsid w:val="00462386"/>
    <w:rsid w:val="0046264A"/>
    <w:rsid w:val="00462BB9"/>
    <w:rsid w:val="00462CAD"/>
    <w:rsid w:val="004631BF"/>
    <w:rsid w:val="004631EE"/>
    <w:rsid w:val="00463D37"/>
    <w:rsid w:val="00464326"/>
    <w:rsid w:val="00464B7B"/>
    <w:rsid w:val="0046580C"/>
    <w:rsid w:val="00465ACA"/>
    <w:rsid w:val="004665AB"/>
    <w:rsid w:val="00466C28"/>
    <w:rsid w:val="004672FF"/>
    <w:rsid w:val="00467B1D"/>
    <w:rsid w:val="00470268"/>
    <w:rsid w:val="00472167"/>
    <w:rsid w:val="004721F0"/>
    <w:rsid w:val="00472527"/>
    <w:rsid w:val="004737A9"/>
    <w:rsid w:val="00473E86"/>
    <w:rsid w:val="00474741"/>
    <w:rsid w:val="00474B23"/>
    <w:rsid w:val="00474F8A"/>
    <w:rsid w:val="004751F2"/>
    <w:rsid w:val="00476E46"/>
    <w:rsid w:val="0047763F"/>
    <w:rsid w:val="00480FD6"/>
    <w:rsid w:val="00481A95"/>
    <w:rsid w:val="00481B90"/>
    <w:rsid w:val="00482356"/>
    <w:rsid w:val="00482925"/>
    <w:rsid w:val="00482AFB"/>
    <w:rsid w:val="00482F93"/>
    <w:rsid w:val="00483B68"/>
    <w:rsid w:val="00484391"/>
    <w:rsid w:val="004845BA"/>
    <w:rsid w:val="004859BD"/>
    <w:rsid w:val="004906BD"/>
    <w:rsid w:val="0049170A"/>
    <w:rsid w:val="004921A4"/>
    <w:rsid w:val="0049220A"/>
    <w:rsid w:val="00493122"/>
    <w:rsid w:val="0049334A"/>
    <w:rsid w:val="00493E43"/>
    <w:rsid w:val="00494347"/>
    <w:rsid w:val="00494814"/>
    <w:rsid w:val="00494FE1"/>
    <w:rsid w:val="004959CE"/>
    <w:rsid w:val="00495C4E"/>
    <w:rsid w:val="00495DCE"/>
    <w:rsid w:val="00495FCC"/>
    <w:rsid w:val="00496090"/>
    <w:rsid w:val="0049681F"/>
    <w:rsid w:val="0049738C"/>
    <w:rsid w:val="00497E88"/>
    <w:rsid w:val="004A050D"/>
    <w:rsid w:val="004A104E"/>
    <w:rsid w:val="004A146B"/>
    <w:rsid w:val="004A16CE"/>
    <w:rsid w:val="004A1723"/>
    <w:rsid w:val="004A182D"/>
    <w:rsid w:val="004A1E4C"/>
    <w:rsid w:val="004A2234"/>
    <w:rsid w:val="004A22EE"/>
    <w:rsid w:val="004A2C03"/>
    <w:rsid w:val="004A3243"/>
    <w:rsid w:val="004A5960"/>
    <w:rsid w:val="004A5DA9"/>
    <w:rsid w:val="004A66F0"/>
    <w:rsid w:val="004A7260"/>
    <w:rsid w:val="004B108E"/>
    <w:rsid w:val="004B111A"/>
    <w:rsid w:val="004B2FA9"/>
    <w:rsid w:val="004B4169"/>
    <w:rsid w:val="004B41AC"/>
    <w:rsid w:val="004B4CEA"/>
    <w:rsid w:val="004C0896"/>
    <w:rsid w:val="004C20A0"/>
    <w:rsid w:val="004C21BD"/>
    <w:rsid w:val="004C3EB0"/>
    <w:rsid w:val="004C483B"/>
    <w:rsid w:val="004C5B3F"/>
    <w:rsid w:val="004C5FD8"/>
    <w:rsid w:val="004C63B1"/>
    <w:rsid w:val="004D054B"/>
    <w:rsid w:val="004D180E"/>
    <w:rsid w:val="004D1CA9"/>
    <w:rsid w:val="004D23CD"/>
    <w:rsid w:val="004D6427"/>
    <w:rsid w:val="004E0269"/>
    <w:rsid w:val="004E0581"/>
    <w:rsid w:val="004E0B40"/>
    <w:rsid w:val="004E1F80"/>
    <w:rsid w:val="004E31B0"/>
    <w:rsid w:val="004E3BC7"/>
    <w:rsid w:val="004E445D"/>
    <w:rsid w:val="004E4D2C"/>
    <w:rsid w:val="004E5AAE"/>
    <w:rsid w:val="004E6161"/>
    <w:rsid w:val="004E6B2E"/>
    <w:rsid w:val="004F0191"/>
    <w:rsid w:val="004F1035"/>
    <w:rsid w:val="004F1E28"/>
    <w:rsid w:val="004F3561"/>
    <w:rsid w:val="004F3573"/>
    <w:rsid w:val="004F4779"/>
    <w:rsid w:val="004F4FD9"/>
    <w:rsid w:val="004F5674"/>
    <w:rsid w:val="004F5999"/>
    <w:rsid w:val="004F62C9"/>
    <w:rsid w:val="004F7196"/>
    <w:rsid w:val="00500505"/>
    <w:rsid w:val="00501255"/>
    <w:rsid w:val="005018E2"/>
    <w:rsid w:val="005023E2"/>
    <w:rsid w:val="005023E5"/>
    <w:rsid w:val="0050253B"/>
    <w:rsid w:val="00503807"/>
    <w:rsid w:val="00504DA6"/>
    <w:rsid w:val="00504F9C"/>
    <w:rsid w:val="0050551C"/>
    <w:rsid w:val="0050619B"/>
    <w:rsid w:val="005062EC"/>
    <w:rsid w:val="00506587"/>
    <w:rsid w:val="00506E4E"/>
    <w:rsid w:val="0050750C"/>
    <w:rsid w:val="00510799"/>
    <w:rsid w:val="00510C8D"/>
    <w:rsid w:val="00512D71"/>
    <w:rsid w:val="0051355D"/>
    <w:rsid w:val="00513FD3"/>
    <w:rsid w:val="0051419A"/>
    <w:rsid w:val="00514556"/>
    <w:rsid w:val="005154FB"/>
    <w:rsid w:val="005157D8"/>
    <w:rsid w:val="00516A43"/>
    <w:rsid w:val="00516D30"/>
    <w:rsid w:val="00517263"/>
    <w:rsid w:val="00517642"/>
    <w:rsid w:val="00517BE8"/>
    <w:rsid w:val="00517CB4"/>
    <w:rsid w:val="005213CB"/>
    <w:rsid w:val="0052294B"/>
    <w:rsid w:val="005233E0"/>
    <w:rsid w:val="005234A5"/>
    <w:rsid w:val="00523862"/>
    <w:rsid w:val="005255D7"/>
    <w:rsid w:val="005258F8"/>
    <w:rsid w:val="00526054"/>
    <w:rsid w:val="00526874"/>
    <w:rsid w:val="00526C2D"/>
    <w:rsid w:val="0052705A"/>
    <w:rsid w:val="00527BD2"/>
    <w:rsid w:val="0053094A"/>
    <w:rsid w:val="005314FC"/>
    <w:rsid w:val="005332F6"/>
    <w:rsid w:val="00533565"/>
    <w:rsid w:val="005340FD"/>
    <w:rsid w:val="00534930"/>
    <w:rsid w:val="00536932"/>
    <w:rsid w:val="0054046A"/>
    <w:rsid w:val="0054109B"/>
    <w:rsid w:val="005410A1"/>
    <w:rsid w:val="00541549"/>
    <w:rsid w:val="00541F42"/>
    <w:rsid w:val="00542708"/>
    <w:rsid w:val="00542B4F"/>
    <w:rsid w:val="00543151"/>
    <w:rsid w:val="005440E8"/>
    <w:rsid w:val="00544AD1"/>
    <w:rsid w:val="00544B60"/>
    <w:rsid w:val="005455FA"/>
    <w:rsid w:val="00545984"/>
    <w:rsid w:val="005464CF"/>
    <w:rsid w:val="005479CF"/>
    <w:rsid w:val="00551DDF"/>
    <w:rsid w:val="00551ED7"/>
    <w:rsid w:val="00552F49"/>
    <w:rsid w:val="00553606"/>
    <w:rsid w:val="00554B1B"/>
    <w:rsid w:val="0055520B"/>
    <w:rsid w:val="00555310"/>
    <w:rsid w:val="00555450"/>
    <w:rsid w:val="00556F85"/>
    <w:rsid w:val="0055707A"/>
    <w:rsid w:val="005570B3"/>
    <w:rsid w:val="00557DBF"/>
    <w:rsid w:val="005604FC"/>
    <w:rsid w:val="00560661"/>
    <w:rsid w:val="005606E2"/>
    <w:rsid w:val="005607B2"/>
    <w:rsid w:val="00560B59"/>
    <w:rsid w:val="00560FEB"/>
    <w:rsid w:val="005610BF"/>
    <w:rsid w:val="00562774"/>
    <w:rsid w:val="005637C9"/>
    <w:rsid w:val="00565FD5"/>
    <w:rsid w:val="005704BD"/>
    <w:rsid w:val="005721E8"/>
    <w:rsid w:val="005729EB"/>
    <w:rsid w:val="00573023"/>
    <w:rsid w:val="00573BDB"/>
    <w:rsid w:val="005740C0"/>
    <w:rsid w:val="005745CA"/>
    <w:rsid w:val="005751E3"/>
    <w:rsid w:val="00576103"/>
    <w:rsid w:val="0057729A"/>
    <w:rsid w:val="00580F04"/>
    <w:rsid w:val="0058280E"/>
    <w:rsid w:val="005844BE"/>
    <w:rsid w:val="00584B90"/>
    <w:rsid w:val="00584C85"/>
    <w:rsid w:val="0058554B"/>
    <w:rsid w:val="0058566D"/>
    <w:rsid w:val="0058571D"/>
    <w:rsid w:val="005863BD"/>
    <w:rsid w:val="00586F23"/>
    <w:rsid w:val="00587246"/>
    <w:rsid w:val="00587B0C"/>
    <w:rsid w:val="00587F53"/>
    <w:rsid w:val="0059126F"/>
    <w:rsid w:val="00591D00"/>
    <w:rsid w:val="00596A53"/>
    <w:rsid w:val="00597492"/>
    <w:rsid w:val="00597D16"/>
    <w:rsid w:val="005A19B7"/>
    <w:rsid w:val="005A2058"/>
    <w:rsid w:val="005A336F"/>
    <w:rsid w:val="005A47D8"/>
    <w:rsid w:val="005A57B3"/>
    <w:rsid w:val="005A5C21"/>
    <w:rsid w:val="005A617C"/>
    <w:rsid w:val="005A6DA3"/>
    <w:rsid w:val="005A75E5"/>
    <w:rsid w:val="005B0923"/>
    <w:rsid w:val="005B21E5"/>
    <w:rsid w:val="005B2726"/>
    <w:rsid w:val="005B2B14"/>
    <w:rsid w:val="005B3430"/>
    <w:rsid w:val="005B43F7"/>
    <w:rsid w:val="005B7EB0"/>
    <w:rsid w:val="005C0A66"/>
    <w:rsid w:val="005C1F6A"/>
    <w:rsid w:val="005C302A"/>
    <w:rsid w:val="005C4D2E"/>
    <w:rsid w:val="005C513A"/>
    <w:rsid w:val="005C5616"/>
    <w:rsid w:val="005C5B8D"/>
    <w:rsid w:val="005C6AC8"/>
    <w:rsid w:val="005D0823"/>
    <w:rsid w:val="005D1123"/>
    <w:rsid w:val="005D173E"/>
    <w:rsid w:val="005D252E"/>
    <w:rsid w:val="005D3841"/>
    <w:rsid w:val="005D5505"/>
    <w:rsid w:val="005D5740"/>
    <w:rsid w:val="005D580A"/>
    <w:rsid w:val="005D5CA3"/>
    <w:rsid w:val="005D5FC8"/>
    <w:rsid w:val="005E0024"/>
    <w:rsid w:val="005E15F8"/>
    <w:rsid w:val="005E2579"/>
    <w:rsid w:val="005E2871"/>
    <w:rsid w:val="005E2FFE"/>
    <w:rsid w:val="005E45B1"/>
    <w:rsid w:val="005E4FD7"/>
    <w:rsid w:val="005E5313"/>
    <w:rsid w:val="005E5629"/>
    <w:rsid w:val="005E5AA1"/>
    <w:rsid w:val="005E70C8"/>
    <w:rsid w:val="005E7376"/>
    <w:rsid w:val="005F1924"/>
    <w:rsid w:val="005F1EB0"/>
    <w:rsid w:val="005F2A3A"/>
    <w:rsid w:val="005F307A"/>
    <w:rsid w:val="005F324E"/>
    <w:rsid w:val="005F3BEF"/>
    <w:rsid w:val="005F4318"/>
    <w:rsid w:val="005F6369"/>
    <w:rsid w:val="005F6572"/>
    <w:rsid w:val="005F697D"/>
    <w:rsid w:val="00601369"/>
    <w:rsid w:val="006026A5"/>
    <w:rsid w:val="0060377D"/>
    <w:rsid w:val="006039ED"/>
    <w:rsid w:val="006047D3"/>
    <w:rsid w:val="00604900"/>
    <w:rsid w:val="0060494C"/>
    <w:rsid w:val="00604E7A"/>
    <w:rsid w:val="00604FE4"/>
    <w:rsid w:val="00605029"/>
    <w:rsid w:val="0061090E"/>
    <w:rsid w:val="00611387"/>
    <w:rsid w:val="006117F1"/>
    <w:rsid w:val="00611819"/>
    <w:rsid w:val="0061258F"/>
    <w:rsid w:val="006157BA"/>
    <w:rsid w:val="006167B7"/>
    <w:rsid w:val="006167D9"/>
    <w:rsid w:val="00616ACB"/>
    <w:rsid w:val="00616C46"/>
    <w:rsid w:val="00617B0F"/>
    <w:rsid w:val="00617B75"/>
    <w:rsid w:val="006201F3"/>
    <w:rsid w:val="00621098"/>
    <w:rsid w:val="006223AC"/>
    <w:rsid w:val="00622A19"/>
    <w:rsid w:val="00623CD5"/>
    <w:rsid w:val="0062488E"/>
    <w:rsid w:val="006264F1"/>
    <w:rsid w:val="0062700D"/>
    <w:rsid w:val="0063038A"/>
    <w:rsid w:val="0063155E"/>
    <w:rsid w:val="0063172B"/>
    <w:rsid w:val="006332DF"/>
    <w:rsid w:val="00633CCF"/>
    <w:rsid w:val="006348EE"/>
    <w:rsid w:val="006356B7"/>
    <w:rsid w:val="00635881"/>
    <w:rsid w:val="006358C9"/>
    <w:rsid w:val="0063591C"/>
    <w:rsid w:val="00637225"/>
    <w:rsid w:val="00637B9E"/>
    <w:rsid w:val="00637BEA"/>
    <w:rsid w:val="00637F9C"/>
    <w:rsid w:val="006407FF"/>
    <w:rsid w:val="00641CB2"/>
    <w:rsid w:val="006423C7"/>
    <w:rsid w:val="00642A3A"/>
    <w:rsid w:val="006443C1"/>
    <w:rsid w:val="00644B80"/>
    <w:rsid w:val="00645096"/>
    <w:rsid w:val="006454EF"/>
    <w:rsid w:val="00645A8D"/>
    <w:rsid w:val="00645BAF"/>
    <w:rsid w:val="0064656B"/>
    <w:rsid w:val="00646832"/>
    <w:rsid w:val="006478C6"/>
    <w:rsid w:val="0065225F"/>
    <w:rsid w:val="00654BDD"/>
    <w:rsid w:val="00655666"/>
    <w:rsid w:val="006557D4"/>
    <w:rsid w:val="00656EA0"/>
    <w:rsid w:val="00656EBC"/>
    <w:rsid w:val="006570FC"/>
    <w:rsid w:val="00657DCC"/>
    <w:rsid w:val="006609B0"/>
    <w:rsid w:val="006609B3"/>
    <w:rsid w:val="00661685"/>
    <w:rsid w:val="0066204B"/>
    <w:rsid w:val="00662094"/>
    <w:rsid w:val="00662A4F"/>
    <w:rsid w:val="00662C9A"/>
    <w:rsid w:val="00663817"/>
    <w:rsid w:val="00663F52"/>
    <w:rsid w:val="006652C8"/>
    <w:rsid w:val="00665C1F"/>
    <w:rsid w:val="006670E5"/>
    <w:rsid w:val="006676D3"/>
    <w:rsid w:val="006706E5"/>
    <w:rsid w:val="00670F0B"/>
    <w:rsid w:val="0067132A"/>
    <w:rsid w:val="0067279F"/>
    <w:rsid w:val="006759D7"/>
    <w:rsid w:val="00675CE6"/>
    <w:rsid w:val="006766C0"/>
    <w:rsid w:val="00677E86"/>
    <w:rsid w:val="00680447"/>
    <w:rsid w:val="00680C05"/>
    <w:rsid w:val="0068161F"/>
    <w:rsid w:val="00681BA9"/>
    <w:rsid w:val="006828D2"/>
    <w:rsid w:val="00683111"/>
    <w:rsid w:val="00683C98"/>
    <w:rsid w:val="0068452E"/>
    <w:rsid w:val="00685F0B"/>
    <w:rsid w:val="00686A75"/>
    <w:rsid w:val="00686B7A"/>
    <w:rsid w:val="00687D5D"/>
    <w:rsid w:val="00690546"/>
    <w:rsid w:val="006912BD"/>
    <w:rsid w:val="00691F92"/>
    <w:rsid w:val="00692589"/>
    <w:rsid w:val="00692825"/>
    <w:rsid w:val="00692A85"/>
    <w:rsid w:val="00693775"/>
    <w:rsid w:val="00693E34"/>
    <w:rsid w:val="00694878"/>
    <w:rsid w:val="00694960"/>
    <w:rsid w:val="006951E1"/>
    <w:rsid w:val="006957BA"/>
    <w:rsid w:val="006959C4"/>
    <w:rsid w:val="006961E6"/>
    <w:rsid w:val="0069626C"/>
    <w:rsid w:val="006977CC"/>
    <w:rsid w:val="00697B5B"/>
    <w:rsid w:val="006A1160"/>
    <w:rsid w:val="006A205B"/>
    <w:rsid w:val="006A25E3"/>
    <w:rsid w:val="006A2A6B"/>
    <w:rsid w:val="006A3004"/>
    <w:rsid w:val="006A309E"/>
    <w:rsid w:val="006A40BC"/>
    <w:rsid w:val="006A420B"/>
    <w:rsid w:val="006A4243"/>
    <w:rsid w:val="006A4349"/>
    <w:rsid w:val="006A51D9"/>
    <w:rsid w:val="006A7306"/>
    <w:rsid w:val="006A7E66"/>
    <w:rsid w:val="006B0425"/>
    <w:rsid w:val="006B0CCC"/>
    <w:rsid w:val="006B16CE"/>
    <w:rsid w:val="006B180A"/>
    <w:rsid w:val="006B1979"/>
    <w:rsid w:val="006B1E82"/>
    <w:rsid w:val="006B3221"/>
    <w:rsid w:val="006B39A1"/>
    <w:rsid w:val="006B3CD0"/>
    <w:rsid w:val="006B3FA7"/>
    <w:rsid w:val="006B48D1"/>
    <w:rsid w:val="006B500F"/>
    <w:rsid w:val="006B5A13"/>
    <w:rsid w:val="006B79A5"/>
    <w:rsid w:val="006C0469"/>
    <w:rsid w:val="006C0A50"/>
    <w:rsid w:val="006C0B0B"/>
    <w:rsid w:val="006C0D1A"/>
    <w:rsid w:val="006C28B3"/>
    <w:rsid w:val="006C373B"/>
    <w:rsid w:val="006C418A"/>
    <w:rsid w:val="006C5533"/>
    <w:rsid w:val="006C60FC"/>
    <w:rsid w:val="006C648E"/>
    <w:rsid w:val="006C6FFA"/>
    <w:rsid w:val="006C754C"/>
    <w:rsid w:val="006C7797"/>
    <w:rsid w:val="006D035D"/>
    <w:rsid w:val="006D15A9"/>
    <w:rsid w:val="006D176A"/>
    <w:rsid w:val="006D2D3D"/>
    <w:rsid w:val="006D3BD1"/>
    <w:rsid w:val="006D3E93"/>
    <w:rsid w:val="006D42AE"/>
    <w:rsid w:val="006D47A5"/>
    <w:rsid w:val="006D4AFF"/>
    <w:rsid w:val="006D4C74"/>
    <w:rsid w:val="006D50D0"/>
    <w:rsid w:val="006D58FD"/>
    <w:rsid w:val="006D5A4A"/>
    <w:rsid w:val="006D7241"/>
    <w:rsid w:val="006D7507"/>
    <w:rsid w:val="006D7C10"/>
    <w:rsid w:val="006E049F"/>
    <w:rsid w:val="006E1E3B"/>
    <w:rsid w:val="006E27E4"/>
    <w:rsid w:val="006E3B15"/>
    <w:rsid w:val="006E5609"/>
    <w:rsid w:val="006E60C7"/>
    <w:rsid w:val="006E6814"/>
    <w:rsid w:val="006E6F09"/>
    <w:rsid w:val="006E7FF1"/>
    <w:rsid w:val="006F157E"/>
    <w:rsid w:val="006F23B1"/>
    <w:rsid w:val="006F2698"/>
    <w:rsid w:val="006F2E9F"/>
    <w:rsid w:val="006F30E5"/>
    <w:rsid w:val="006F37C7"/>
    <w:rsid w:val="006F601C"/>
    <w:rsid w:val="006F6BC9"/>
    <w:rsid w:val="006F716F"/>
    <w:rsid w:val="006F72E3"/>
    <w:rsid w:val="006F7470"/>
    <w:rsid w:val="006F77AE"/>
    <w:rsid w:val="00700D65"/>
    <w:rsid w:val="00701070"/>
    <w:rsid w:val="007019AD"/>
    <w:rsid w:val="00701C8C"/>
    <w:rsid w:val="0070290A"/>
    <w:rsid w:val="00702968"/>
    <w:rsid w:val="007056D7"/>
    <w:rsid w:val="00705A53"/>
    <w:rsid w:val="007064AF"/>
    <w:rsid w:val="00706B23"/>
    <w:rsid w:val="0070740D"/>
    <w:rsid w:val="00707AE5"/>
    <w:rsid w:val="00707EAE"/>
    <w:rsid w:val="00707F6D"/>
    <w:rsid w:val="007107EF"/>
    <w:rsid w:val="00711279"/>
    <w:rsid w:val="00711901"/>
    <w:rsid w:val="007119FD"/>
    <w:rsid w:val="007129EC"/>
    <w:rsid w:val="007138E6"/>
    <w:rsid w:val="00713E14"/>
    <w:rsid w:val="00714139"/>
    <w:rsid w:val="00715FDA"/>
    <w:rsid w:val="007174AA"/>
    <w:rsid w:val="007174AB"/>
    <w:rsid w:val="007200AB"/>
    <w:rsid w:val="007202EB"/>
    <w:rsid w:val="007211A8"/>
    <w:rsid w:val="00721D23"/>
    <w:rsid w:val="0072281B"/>
    <w:rsid w:val="00722EFB"/>
    <w:rsid w:val="007241A5"/>
    <w:rsid w:val="007246B3"/>
    <w:rsid w:val="007252D2"/>
    <w:rsid w:val="007255A2"/>
    <w:rsid w:val="00725B9B"/>
    <w:rsid w:val="007260C4"/>
    <w:rsid w:val="0073076E"/>
    <w:rsid w:val="00730F6F"/>
    <w:rsid w:val="007330CF"/>
    <w:rsid w:val="007357FA"/>
    <w:rsid w:val="0073596F"/>
    <w:rsid w:val="00736927"/>
    <w:rsid w:val="00736ED5"/>
    <w:rsid w:val="0073744D"/>
    <w:rsid w:val="00737F91"/>
    <w:rsid w:val="0074003F"/>
    <w:rsid w:val="00740312"/>
    <w:rsid w:val="0074076D"/>
    <w:rsid w:val="007409B3"/>
    <w:rsid w:val="00740B92"/>
    <w:rsid w:val="00740CEA"/>
    <w:rsid w:val="00741623"/>
    <w:rsid w:val="00741EED"/>
    <w:rsid w:val="007422C9"/>
    <w:rsid w:val="007432BB"/>
    <w:rsid w:val="00743349"/>
    <w:rsid w:val="00743385"/>
    <w:rsid w:val="00744021"/>
    <w:rsid w:val="00745110"/>
    <w:rsid w:val="00745801"/>
    <w:rsid w:val="00745F72"/>
    <w:rsid w:val="00746462"/>
    <w:rsid w:val="007466D4"/>
    <w:rsid w:val="00746DFE"/>
    <w:rsid w:val="007476EE"/>
    <w:rsid w:val="00747F06"/>
    <w:rsid w:val="00750D8C"/>
    <w:rsid w:val="00751E58"/>
    <w:rsid w:val="00752548"/>
    <w:rsid w:val="00753FDC"/>
    <w:rsid w:val="007549BE"/>
    <w:rsid w:val="0075502E"/>
    <w:rsid w:val="00755933"/>
    <w:rsid w:val="00755D17"/>
    <w:rsid w:val="0075667E"/>
    <w:rsid w:val="0075694B"/>
    <w:rsid w:val="00760616"/>
    <w:rsid w:val="00760E04"/>
    <w:rsid w:val="0076161D"/>
    <w:rsid w:val="00762A9B"/>
    <w:rsid w:val="00763082"/>
    <w:rsid w:val="007637EB"/>
    <w:rsid w:val="00763C4A"/>
    <w:rsid w:val="00764075"/>
    <w:rsid w:val="007652F2"/>
    <w:rsid w:val="00766DB7"/>
    <w:rsid w:val="00770F65"/>
    <w:rsid w:val="007725EF"/>
    <w:rsid w:val="00772B7D"/>
    <w:rsid w:val="00773089"/>
    <w:rsid w:val="00775500"/>
    <w:rsid w:val="00775B09"/>
    <w:rsid w:val="00775DDD"/>
    <w:rsid w:val="00781D2F"/>
    <w:rsid w:val="00783533"/>
    <w:rsid w:val="00783731"/>
    <w:rsid w:val="007850B6"/>
    <w:rsid w:val="007852F7"/>
    <w:rsid w:val="007853D5"/>
    <w:rsid w:val="00787607"/>
    <w:rsid w:val="00787A35"/>
    <w:rsid w:val="00790EF9"/>
    <w:rsid w:val="00792D21"/>
    <w:rsid w:val="00792F64"/>
    <w:rsid w:val="007940B9"/>
    <w:rsid w:val="007941C3"/>
    <w:rsid w:val="0079425F"/>
    <w:rsid w:val="00794B67"/>
    <w:rsid w:val="00795159"/>
    <w:rsid w:val="00796BFA"/>
    <w:rsid w:val="00797AE5"/>
    <w:rsid w:val="007A12E8"/>
    <w:rsid w:val="007A1618"/>
    <w:rsid w:val="007A357A"/>
    <w:rsid w:val="007A375B"/>
    <w:rsid w:val="007A5C49"/>
    <w:rsid w:val="007A62D2"/>
    <w:rsid w:val="007A7AAF"/>
    <w:rsid w:val="007B16E8"/>
    <w:rsid w:val="007B214E"/>
    <w:rsid w:val="007B2249"/>
    <w:rsid w:val="007B2671"/>
    <w:rsid w:val="007B31DA"/>
    <w:rsid w:val="007B323C"/>
    <w:rsid w:val="007B35DF"/>
    <w:rsid w:val="007B38BA"/>
    <w:rsid w:val="007B3A7F"/>
    <w:rsid w:val="007B3CD4"/>
    <w:rsid w:val="007B46EF"/>
    <w:rsid w:val="007B69DA"/>
    <w:rsid w:val="007B74F4"/>
    <w:rsid w:val="007B7930"/>
    <w:rsid w:val="007C01E1"/>
    <w:rsid w:val="007C1D75"/>
    <w:rsid w:val="007C26AF"/>
    <w:rsid w:val="007C2F12"/>
    <w:rsid w:val="007C382B"/>
    <w:rsid w:val="007C4781"/>
    <w:rsid w:val="007C4E02"/>
    <w:rsid w:val="007C51EF"/>
    <w:rsid w:val="007C5740"/>
    <w:rsid w:val="007C67C3"/>
    <w:rsid w:val="007D04D5"/>
    <w:rsid w:val="007D240C"/>
    <w:rsid w:val="007D2844"/>
    <w:rsid w:val="007D4A1F"/>
    <w:rsid w:val="007D5A96"/>
    <w:rsid w:val="007D6272"/>
    <w:rsid w:val="007D6C6A"/>
    <w:rsid w:val="007D71B2"/>
    <w:rsid w:val="007E0097"/>
    <w:rsid w:val="007E0EF3"/>
    <w:rsid w:val="007E2ACC"/>
    <w:rsid w:val="007E2CE7"/>
    <w:rsid w:val="007E324E"/>
    <w:rsid w:val="007E3335"/>
    <w:rsid w:val="007E34F0"/>
    <w:rsid w:val="007E60CB"/>
    <w:rsid w:val="007E66A3"/>
    <w:rsid w:val="007E7391"/>
    <w:rsid w:val="007F073E"/>
    <w:rsid w:val="007F0B73"/>
    <w:rsid w:val="007F13EF"/>
    <w:rsid w:val="007F1AF7"/>
    <w:rsid w:val="007F22D3"/>
    <w:rsid w:val="007F3587"/>
    <w:rsid w:val="007F3C02"/>
    <w:rsid w:val="007F3F2B"/>
    <w:rsid w:val="007F52E6"/>
    <w:rsid w:val="007F55AC"/>
    <w:rsid w:val="007F5B23"/>
    <w:rsid w:val="007F6024"/>
    <w:rsid w:val="007F6297"/>
    <w:rsid w:val="007F63DA"/>
    <w:rsid w:val="007F72E3"/>
    <w:rsid w:val="00800308"/>
    <w:rsid w:val="00800F87"/>
    <w:rsid w:val="00802421"/>
    <w:rsid w:val="008024FC"/>
    <w:rsid w:val="00802F1F"/>
    <w:rsid w:val="00803621"/>
    <w:rsid w:val="008039D1"/>
    <w:rsid w:val="00804350"/>
    <w:rsid w:val="00804CC3"/>
    <w:rsid w:val="0081100F"/>
    <w:rsid w:val="00811EF0"/>
    <w:rsid w:val="0081270B"/>
    <w:rsid w:val="00812B75"/>
    <w:rsid w:val="0081330B"/>
    <w:rsid w:val="008138A0"/>
    <w:rsid w:val="00813E3B"/>
    <w:rsid w:val="00813EC8"/>
    <w:rsid w:val="00815662"/>
    <w:rsid w:val="00815ACF"/>
    <w:rsid w:val="0081618F"/>
    <w:rsid w:val="0081675B"/>
    <w:rsid w:val="00816B57"/>
    <w:rsid w:val="00816CCE"/>
    <w:rsid w:val="00816D63"/>
    <w:rsid w:val="0081766C"/>
    <w:rsid w:val="0082083F"/>
    <w:rsid w:val="00821933"/>
    <w:rsid w:val="00821C84"/>
    <w:rsid w:val="00822760"/>
    <w:rsid w:val="00822D43"/>
    <w:rsid w:val="00823D56"/>
    <w:rsid w:val="00825874"/>
    <w:rsid w:val="00826073"/>
    <w:rsid w:val="00826BF8"/>
    <w:rsid w:val="00827E50"/>
    <w:rsid w:val="00827F47"/>
    <w:rsid w:val="00831C21"/>
    <w:rsid w:val="008328FA"/>
    <w:rsid w:val="00832C7A"/>
    <w:rsid w:val="008334E8"/>
    <w:rsid w:val="00833580"/>
    <w:rsid w:val="008335D4"/>
    <w:rsid w:val="00833EB4"/>
    <w:rsid w:val="0083487C"/>
    <w:rsid w:val="008349B7"/>
    <w:rsid w:val="00834E9B"/>
    <w:rsid w:val="00834FF1"/>
    <w:rsid w:val="008361FD"/>
    <w:rsid w:val="008362A7"/>
    <w:rsid w:val="0083656F"/>
    <w:rsid w:val="008367C3"/>
    <w:rsid w:val="00840008"/>
    <w:rsid w:val="008405BA"/>
    <w:rsid w:val="0084064F"/>
    <w:rsid w:val="00840B36"/>
    <w:rsid w:val="00840DB6"/>
    <w:rsid w:val="00842205"/>
    <w:rsid w:val="008426B6"/>
    <w:rsid w:val="0084307B"/>
    <w:rsid w:val="00843579"/>
    <w:rsid w:val="00843C32"/>
    <w:rsid w:val="00844581"/>
    <w:rsid w:val="008446E5"/>
    <w:rsid w:val="00844905"/>
    <w:rsid w:val="0084494D"/>
    <w:rsid w:val="00844F92"/>
    <w:rsid w:val="00845ACD"/>
    <w:rsid w:val="00846C38"/>
    <w:rsid w:val="0084709D"/>
    <w:rsid w:val="008474F4"/>
    <w:rsid w:val="00847F7B"/>
    <w:rsid w:val="008521A3"/>
    <w:rsid w:val="008522F7"/>
    <w:rsid w:val="0085243A"/>
    <w:rsid w:val="00855EB1"/>
    <w:rsid w:val="00857BCF"/>
    <w:rsid w:val="00860E13"/>
    <w:rsid w:val="008615D5"/>
    <w:rsid w:val="008632EF"/>
    <w:rsid w:val="00863507"/>
    <w:rsid w:val="0086396B"/>
    <w:rsid w:val="00865366"/>
    <w:rsid w:val="00866D9D"/>
    <w:rsid w:val="00867494"/>
    <w:rsid w:val="00867F01"/>
    <w:rsid w:val="008701F8"/>
    <w:rsid w:val="008704FF"/>
    <w:rsid w:val="00870663"/>
    <w:rsid w:val="00870CF2"/>
    <w:rsid w:val="00871672"/>
    <w:rsid w:val="00871767"/>
    <w:rsid w:val="0087178D"/>
    <w:rsid w:val="00871F74"/>
    <w:rsid w:val="00872936"/>
    <w:rsid w:val="0087294F"/>
    <w:rsid w:val="00872C5E"/>
    <w:rsid w:val="00872E6F"/>
    <w:rsid w:val="008769F7"/>
    <w:rsid w:val="00876A03"/>
    <w:rsid w:val="00876F62"/>
    <w:rsid w:val="008773A5"/>
    <w:rsid w:val="00877B21"/>
    <w:rsid w:val="00877B9B"/>
    <w:rsid w:val="00877EAD"/>
    <w:rsid w:val="008813F6"/>
    <w:rsid w:val="0088336D"/>
    <w:rsid w:val="00883791"/>
    <w:rsid w:val="00884A32"/>
    <w:rsid w:val="00885049"/>
    <w:rsid w:val="008854B9"/>
    <w:rsid w:val="00886E72"/>
    <w:rsid w:val="00890DB3"/>
    <w:rsid w:val="00892242"/>
    <w:rsid w:val="008930F2"/>
    <w:rsid w:val="0089334C"/>
    <w:rsid w:val="00893795"/>
    <w:rsid w:val="00894082"/>
    <w:rsid w:val="008945FA"/>
    <w:rsid w:val="0089667C"/>
    <w:rsid w:val="00897B49"/>
    <w:rsid w:val="008A06B4"/>
    <w:rsid w:val="008A0C97"/>
    <w:rsid w:val="008A0E64"/>
    <w:rsid w:val="008A0F71"/>
    <w:rsid w:val="008A2FBC"/>
    <w:rsid w:val="008A397A"/>
    <w:rsid w:val="008A5088"/>
    <w:rsid w:val="008A5CE5"/>
    <w:rsid w:val="008A5E9F"/>
    <w:rsid w:val="008A7A30"/>
    <w:rsid w:val="008B0B13"/>
    <w:rsid w:val="008B0BE5"/>
    <w:rsid w:val="008B0D47"/>
    <w:rsid w:val="008B3497"/>
    <w:rsid w:val="008B58B0"/>
    <w:rsid w:val="008B64CD"/>
    <w:rsid w:val="008B6675"/>
    <w:rsid w:val="008C160F"/>
    <w:rsid w:val="008C1FF2"/>
    <w:rsid w:val="008C4297"/>
    <w:rsid w:val="008C4975"/>
    <w:rsid w:val="008C5C63"/>
    <w:rsid w:val="008C5EC0"/>
    <w:rsid w:val="008C6EB8"/>
    <w:rsid w:val="008D3131"/>
    <w:rsid w:val="008D35EB"/>
    <w:rsid w:val="008D4002"/>
    <w:rsid w:val="008D4435"/>
    <w:rsid w:val="008D61BC"/>
    <w:rsid w:val="008D64D7"/>
    <w:rsid w:val="008D677A"/>
    <w:rsid w:val="008D6913"/>
    <w:rsid w:val="008D6A81"/>
    <w:rsid w:val="008D6D09"/>
    <w:rsid w:val="008E037D"/>
    <w:rsid w:val="008E0AC7"/>
    <w:rsid w:val="008E0FD0"/>
    <w:rsid w:val="008E2CA0"/>
    <w:rsid w:val="008E532F"/>
    <w:rsid w:val="008E5CAE"/>
    <w:rsid w:val="008E6165"/>
    <w:rsid w:val="008E6761"/>
    <w:rsid w:val="008E6F0F"/>
    <w:rsid w:val="008E7FE0"/>
    <w:rsid w:val="008F08A9"/>
    <w:rsid w:val="008F0C5F"/>
    <w:rsid w:val="008F24FF"/>
    <w:rsid w:val="008F274D"/>
    <w:rsid w:val="008F2B49"/>
    <w:rsid w:val="008F2C1E"/>
    <w:rsid w:val="008F3BEA"/>
    <w:rsid w:val="008F49CE"/>
    <w:rsid w:val="008F5439"/>
    <w:rsid w:val="008F5769"/>
    <w:rsid w:val="008F5EE6"/>
    <w:rsid w:val="008F64F2"/>
    <w:rsid w:val="00900BFC"/>
    <w:rsid w:val="009021D7"/>
    <w:rsid w:val="00902601"/>
    <w:rsid w:val="009029C7"/>
    <w:rsid w:val="00903199"/>
    <w:rsid w:val="00903408"/>
    <w:rsid w:val="00904CCF"/>
    <w:rsid w:val="0090557F"/>
    <w:rsid w:val="00905CCE"/>
    <w:rsid w:val="0090682E"/>
    <w:rsid w:val="00907235"/>
    <w:rsid w:val="00907BA5"/>
    <w:rsid w:val="0091017C"/>
    <w:rsid w:val="00912B53"/>
    <w:rsid w:val="00912CB4"/>
    <w:rsid w:val="0091337D"/>
    <w:rsid w:val="009137B2"/>
    <w:rsid w:val="00913E5D"/>
    <w:rsid w:val="00913FFA"/>
    <w:rsid w:val="0091450C"/>
    <w:rsid w:val="0091569B"/>
    <w:rsid w:val="00917299"/>
    <w:rsid w:val="00917BDB"/>
    <w:rsid w:val="0092005B"/>
    <w:rsid w:val="009202E3"/>
    <w:rsid w:val="0092044D"/>
    <w:rsid w:val="00920453"/>
    <w:rsid w:val="00920D8B"/>
    <w:rsid w:val="00920DA8"/>
    <w:rsid w:val="0092166A"/>
    <w:rsid w:val="00922D15"/>
    <w:rsid w:val="00925247"/>
    <w:rsid w:val="00925CD5"/>
    <w:rsid w:val="00925ED6"/>
    <w:rsid w:val="00926405"/>
    <w:rsid w:val="00926E70"/>
    <w:rsid w:val="009275D0"/>
    <w:rsid w:val="00927B57"/>
    <w:rsid w:val="00927C22"/>
    <w:rsid w:val="00931BE4"/>
    <w:rsid w:val="00932005"/>
    <w:rsid w:val="00932638"/>
    <w:rsid w:val="00933DB6"/>
    <w:rsid w:val="00934C32"/>
    <w:rsid w:val="009354D4"/>
    <w:rsid w:val="00935642"/>
    <w:rsid w:val="00936EF2"/>
    <w:rsid w:val="00940528"/>
    <w:rsid w:val="00940FB0"/>
    <w:rsid w:val="00942703"/>
    <w:rsid w:val="0094280A"/>
    <w:rsid w:val="009428DE"/>
    <w:rsid w:val="00943701"/>
    <w:rsid w:val="009437EC"/>
    <w:rsid w:val="00943F2E"/>
    <w:rsid w:val="00944657"/>
    <w:rsid w:val="00944DF0"/>
    <w:rsid w:val="0094552D"/>
    <w:rsid w:val="00945937"/>
    <w:rsid w:val="0095182F"/>
    <w:rsid w:val="00952B74"/>
    <w:rsid w:val="00953397"/>
    <w:rsid w:val="00953D49"/>
    <w:rsid w:val="00954F7E"/>
    <w:rsid w:val="0095509F"/>
    <w:rsid w:val="009567F1"/>
    <w:rsid w:val="00956DF5"/>
    <w:rsid w:val="00956E1E"/>
    <w:rsid w:val="00956F0E"/>
    <w:rsid w:val="009603D9"/>
    <w:rsid w:val="00960553"/>
    <w:rsid w:val="0096176D"/>
    <w:rsid w:val="00961788"/>
    <w:rsid w:val="009619BB"/>
    <w:rsid w:val="00962A07"/>
    <w:rsid w:val="00962BFA"/>
    <w:rsid w:val="00962CB5"/>
    <w:rsid w:val="00963585"/>
    <w:rsid w:val="00963864"/>
    <w:rsid w:val="009643C8"/>
    <w:rsid w:val="00966D4F"/>
    <w:rsid w:val="009670C2"/>
    <w:rsid w:val="0096718F"/>
    <w:rsid w:val="0097094E"/>
    <w:rsid w:val="00970FFB"/>
    <w:rsid w:val="00971C8A"/>
    <w:rsid w:val="00973321"/>
    <w:rsid w:val="00973950"/>
    <w:rsid w:val="00974C35"/>
    <w:rsid w:val="009752D6"/>
    <w:rsid w:val="00975B0C"/>
    <w:rsid w:val="009762CE"/>
    <w:rsid w:val="00976EFC"/>
    <w:rsid w:val="00977883"/>
    <w:rsid w:val="00977D1B"/>
    <w:rsid w:val="009813B3"/>
    <w:rsid w:val="00981478"/>
    <w:rsid w:val="00982E5A"/>
    <w:rsid w:val="00982EA5"/>
    <w:rsid w:val="009833B6"/>
    <w:rsid w:val="00985CFE"/>
    <w:rsid w:val="00985E8B"/>
    <w:rsid w:val="009862B0"/>
    <w:rsid w:val="00987584"/>
    <w:rsid w:val="0099002A"/>
    <w:rsid w:val="00991A31"/>
    <w:rsid w:val="0099269E"/>
    <w:rsid w:val="00992AFC"/>
    <w:rsid w:val="00993FF2"/>
    <w:rsid w:val="00995472"/>
    <w:rsid w:val="00995AA1"/>
    <w:rsid w:val="00997928"/>
    <w:rsid w:val="009A011D"/>
    <w:rsid w:val="009A0304"/>
    <w:rsid w:val="009A2555"/>
    <w:rsid w:val="009A25E2"/>
    <w:rsid w:val="009A2F42"/>
    <w:rsid w:val="009A3201"/>
    <w:rsid w:val="009A35AF"/>
    <w:rsid w:val="009A37E2"/>
    <w:rsid w:val="009A3860"/>
    <w:rsid w:val="009A3BB4"/>
    <w:rsid w:val="009A3EDF"/>
    <w:rsid w:val="009A423E"/>
    <w:rsid w:val="009A4569"/>
    <w:rsid w:val="009A562A"/>
    <w:rsid w:val="009A5CF1"/>
    <w:rsid w:val="009A74B9"/>
    <w:rsid w:val="009A7504"/>
    <w:rsid w:val="009A7DC7"/>
    <w:rsid w:val="009B165E"/>
    <w:rsid w:val="009B18D3"/>
    <w:rsid w:val="009B292B"/>
    <w:rsid w:val="009B302B"/>
    <w:rsid w:val="009B3A7E"/>
    <w:rsid w:val="009B410F"/>
    <w:rsid w:val="009B46B9"/>
    <w:rsid w:val="009B57D5"/>
    <w:rsid w:val="009B5DBE"/>
    <w:rsid w:val="009B61B6"/>
    <w:rsid w:val="009B6578"/>
    <w:rsid w:val="009B7F03"/>
    <w:rsid w:val="009B7F1E"/>
    <w:rsid w:val="009C15D2"/>
    <w:rsid w:val="009C1979"/>
    <w:rsid w:val="009C22A0"/>
    <w:rsid w:val="009C29A1"/>
    <w:rsid w:val="009C307A"/>
    <w:rsid w:val="009C3834"/>
    <w:rsid w:val="009C3871"/>
    <w:rsid w:val="009C458E"/>
    <w:rsid w:val="009C565F"/>
    <w:rsid w:val="009C589D"/>
    <w:rsid w:val="009C6C30"/>
    <w:rsid w:val="009C6EC1"/>
    <w:rsid w:val="009C793D"/>
    <w:rsid w:val="009C7B17"/>
    <w:rsid w:val="009C7ED1"/>
    <w:rsid w:val="009D0430"/>
    <w:rsid w:val="009D0EED"/>
    <w:rsid w:val="009D0F55"/>
    <w:rsid w:val="009D161E"/>
    <w:rsid w:val="009D1DD5"/>
    <w:rsid w:val="009D1FD7"/>
    <w:rsid w:val="009D232B"/>
    <w:rsid w:val="009D2415"/>
    <w:rsid w:val="009D31CD"/>
    <w:rsid w:val="009D3743"/>
    <w:rsid w:val="009D4EE3"/>
    <w:rsid w:val="009D54BC"/>
    <w:rsid w:val="009D568A"/>
    <w:rsid w:val="009D715B"/>
    <w:rsid w:val="009D7E58"/>
    <w:rsid w:val="009E0D11"/>
    <w:rsid w:val="009E1442"/>
    <w:rsid w:val="009E1706"/>
    <w:rsid w:val="009E1739"/>
    <w:rsid w:val="009E2719"/>
    <w:rsid w:val="009E2B21"/>
    <w:rsid w:val="009E3A38"/>
    <w:rsid w:val="009E4500"/>
    <w:rsid w:val="009E591A"/>
    <w:rsid w:val="009E5A4B"/>
    <w:rsid w:val="009E5B72"/>
    <w:rsid w:val="009E63E9"/>
    <w:rsid w:val="009E6F0B"/>
    <w:rsid w:val="009F278A"/>
    <w:rsid w:val="009F4265"/>
    <w:rsid w:val="009F460E"/>
    <w:rsid w:val="009F5E53"/>
    <w:rsid w:val="009F5ED5"/>
    <w:rsid w:val="009F62BA"/>
    <w:rsid w:val="009F671C"/>
    <w:rsid w:val="009F74F0"/>
    <w:rsid w:val="00A00DBD"/>
    <w:rsid w:val="00A02BB4"/>
    <w:rsid w:val="00A0371D"/>
    <w:rsid w:val="00A03C75"/>
    <w:rsid w:val="00A03FBB"/>
    <w:rsid w:val="00A05499"/>
    <w:rsid w:val="00A122D5"/>
    <w:rsid w:val="00A12DD1"/>
    <w:rsid w:val="00A155B4"/>
    <w:rsid w:val="00A15670"/>
    <w:rsid w:val="00A17212"/>
    <w:rsid w:val="00A173B9"/>
    <w:rsid w:val="00A206BE"/>
    <w:rsid w:val="00A21272"/>
    <w:rsid w:val="00A212D5"/>
    <w:rsid w:val="00A213E6"/>
    <w:rsid w:val="00A21C2D"/>
    <w:rsid w:val="00A22681"/>
    <w:rsid w:val="00A23D79"/>
    <w:rsid w:val="00A24A4C"/>
    <w:rsid w:val="00A24B43"/>
    <w:rsid w:val="00A25073"/>
    <w:rsid w:val="00A2552E"/>
    <w:rsid w:val="00A2588F"/>
    <w:rsid w:val="00A259F4"/>
    <w:rsid w:val="00A2685E"/>
    <w:rsid w:val="00A304F2"/>
    <w:rsid w:val="00A30CFD"/>
    <w:rsid w:val="00A31355"/>
    <w:rsid w:val="00A31999"/>
    <w:rsid w:val="00A32429"/>
    <w:rsid w:val="00A329CA"/>
    <w:rsid w:val="00A32AE4"/>
    <w:rsid w:val="00A32C1C"/>
    <w:rsid w:val="00A3305E"/>
    <w:rsid w:val="00A34F54"/>
    <w:rsid w:val="00A358C8"/>
    <w:rsid w:val="00A3607F"/>
    <w:rsid w:val="00A36B12"/>
    <w:rsid w:val="00A36B84"/>
    <w:rsid w:val="00A40127"/>
    <w:rsid w:val="00A40A39"/>
    <w:rsid w:val="00A41730"/>
    <w:rsid w:val="00A438E7"/>
    <w:rsid w:val="00A43C30"/>
    <w:rsid w:val="00A4436F"/>
    <w:rsid w:val="00A46B75"/>
    <w:rsid w:val="00A509C9"/>
    <w:rsid w:val="00A532EC"/>
    <w:rsid w:val="00A53601"/>
    <w:rsid w:val="00A5590C"/>
    <w:rsid w:val="00A56386"/>
    <w:rsid w:val="00A57A1F"/>
    <w:rsid w:val="00A6001D"/>
    <w:rsid w:val="00A60900"/>
    <w:rsid w:val="00A60F4C"/>
    <w:rsid w:val="00A628B2"/>
    <w:rsid w:val="00A63346"/>
    <w:rsid w:val="00A640D4"/>
    <w:rsid w:val="00A6434D"/>
    <w:rsid w:val="00A64DA4"/>
    <w:rsid w:val="00A6509D"/>
    <w:rsid w:val="00A65154"/>
    <w:rsid w:val="00A66252"/>
    <w:rsid w:val="00A6682E"/>
    <w:rsid w:val="00A66F17"/>
    <w:rsid w:val="00A67DAE"/>
    <w:rsid w:val="00A70D8E"/>
    <w:rsid w:val="00A714D1"/>
    <w:rsid w:val="00A71531"/>
    <w:rsid w:val="00A7162B"/>
    <w:rsid w:val="00A71A4C"/>
    <w:rsid w:val="00A71E8E"/>
    <w:rsid w:val="00A71FBA"/>
    <w:rsid w:val="00A739E2"/>
    <w:rsid w:val="00A7463F"/>
    <w:rsid w:val="00A763AE"/>
    <w:rsid w:val="00A775C7"/>
    <w:rsid w:val="00A77823"/>
    <w:rsid w:val="00A778C6"/>
    <w:rsid w:val="00A801A5"/>
    <w:rsid w:val="00A803E7"/>
    <w:rsid w:val="00A816C5"/>
    <w:rsid w:val="00A82C17"/>
    <w:rsid w:val="00A83951"/>
    <w:rsid w:val="00A873BD"/>
    <w:rsid w:val="00A87A69"/>
    <w:rsid w:val="00A9016B"/>
    <w:rsid w:val="00A90FAF"/>
    <w:rsid w:val="00A92AF1"/>
    <w:rsid w:val="00A92B9C"/>
    <w:rsid w:val="00A9381C"/>
    <w:rsid w:val="00A94D96"/>
    <w:rsid w:val="00A95FB6"/>
    <w:rsid w:val="00A963E3"/>
    <w:rsid w:val="00A96758"/>
    <w:rsid w:val="00AA0F1D"/>
    <w:rsid w:val="00AA12D2"/>
    <w:rsid w:val="00AA4DA0"/>
    <w:rsid w:val="00AA5264"/>
    <w:rsid w:val="00AA549B"/>
    <w:rsid w:val="00AA5BE8"/>
    <w:rsid w:val="00AA64A9"/>
    <w:rsid w:val="00AA7331"/>
    <w:rsid w:val="00AA736D"/>
    <w:rsid w:val="00AB0040"/>
    <w:rsid w:val="00AB01A7"/>
    <w:rsid w:val="00AB0DFC"/>
    <w:rsid w:val="00AB22FB"/>
    <w:rsid w:val="00AB2D4B"/>
    <w:rsid w:val="00AB2EB1"/>
    <w:rsid w:val="00AB39EC"/>
    <w:rsid w:val="00AB3AEA"/>
    <w:rsid w:val="00AB3CB5"/>
    <w:rsid w:val="00AB4DD6"/>
    <w:rsid w:val="00AB52C9"/>
    <w:rsid w:val="00AB6CE6"/>
    <w:rsid w:val="00AB70BD"/>
    <w:rsid w:val="00AB72E0"/>
    <w:rsid w:val="00AB7917"/>
    <w:rsid w:val="00AC097C"/>
    <w:rsid w:val="00AC1390"/>
    <w:rsid w:val="00AC27CB"/>
    <w:rsid w:val="00AC2DA3"/>
    <w:rsid w:val="00AC6DBF"/>
    <w:rsid w:val="00AD01E3"/>
    <w:rsid w:val="00AD1F5C"/>
    <w:rsid w:val="00AD25EC"/>
    <w:rsid w:val="00AD36BF"/>
    <w:rsid w:val="00AD4506"/>
    <w:rsid w:val="00AD4A15"/>
    <w:rsid w:val="00AD4E32"/>
    <w:rsid w:val="00AD4EEA"/>
    <w:rsid w:val="00AD52BF"/>
    <w:rsid w:val="00AD6762"/>
    <w:rsid w:val="00AD747A"/>
    <w:rsid w:val="00AD7696"/>
    <w:rsid w:val="00AE0410"/>
    <w:rsid w:val="00AE10D6"/>
    <w:rsid w:val="00AE116F"/>
    <w:rsid w:val="00AE1F78"/>
    <w:rsid w:val="00AE29FC"/>
    <w:rsid w:val="00AE3CE5"/>
    <w:rsid w:val="00AE3F68"/>
    <w:rsid w:val="00AE63AA"/>
    <w:rsid w:val="00AE746B"/>
    <w:rsid w:val="00AE777D"/>
    <w:rsid w:val="00AE7B27"/>
    <w:rsid w:val="00AE7D6E"/>
    <w:rsid w:val="00AF0504"/>
    <w:rsid w:val="00AF1658"/>
    <w:rsid w:val="00AF19CB"/>
    <w:rsid w:val="00AF1C20"/>
    <w:rsid w:val="00AF2402"/>
    <w:rsid w:val="00AF3FDB"/>
    <w:rsid w:val="00AF47FA"/>
    <w:rsid w:val="00AF582D"/>
    <w:rsid w:val="00AF606C"/>
    <w:rsid w:val="00AF7007"/>
    <w:rsid w:val="00AF7593"/>
    <w:rsid w:val="00AF7D99"/>
    <w:rsid w:val="00B016BE"/>
    <w:rsid w:val="00B019B8"/>
    <w:rsid w:val="00B01C85"/>
    <w:rsid w:val="00B02358"/>
    <w:rsid w:val="00B0292A"/>
    <w:rsid w:val="00B02EF2"/>
    <w:rsid w:val="00B02F7C"/>
    <w:rsid w:val="00B03349"/>
    <w:rsid w:val="00B03BC6"/>
    <w:rsid w:val="00B04036"/>
    <w:rsid w:val="00B04AD0"/>
    <w:rsid w:val="00B06A72"/>
    <w:rsid w:val="00B104E0"/>
    <w:rsid w:val="00B10A97"/>
    <w:rsid w:val="00B10DC5"/>
    <w:rsid w:val="00B122E2"/>
    <w:rsid w:val="00B12774"/>
    <w:rsid w:val="00B133CD"/>
    <w:rsid w:val="00B136BD"/>
    <w:rsid w:val="00B13F97"/>
    <w:rsid w:val="00B1440F"/>
    <w:rsid w:val="00B14BBA"/>
    <w:rsid w:val="00B156B0"/>
    <w:rsid w:val="00B16327"/>
    <w:rsid w:val="00B16719"/>
    <w:rsid w:val="00B17897"/>
    <w:rsid w:val="00B20289"/>
    <w:rsid w:val="00B20324"/>
    <w:rsid w:val="00B20D50"/>
    <w:rsid w:val="00B20DEA"/>
    <w:rsid w:val="00B218D2"/>
    <w:rsid w:val="00B21921"/>
    <w:rsid w:val="00B219F4"/>
    <w:rsid w:val="00B21B42"/>
    <w:rsid w:val="00B21B89"/>
    <w:rsid w:val="00B225BD"/>
    <w:rsid w:val="00B22FD3"/>
    <w:rsid w:val="00B2416D"/>
    <w:rsid w:val="00B26A1D"/>
    <w:rsid w:val="00B31071"/>
    <w:rsid w:val="00B313D8"/>
    <w:rsid w:val="00B34808"/>
    <w:rsid w:val="00B35E3A"/>
    <w:rsid w:val="00B37807"/>
    <w:rsid w:val="00B41B25"/>
    <w:rsid w:val="00B41C1E"/>
    <w:rsid w:val="00B42DDB"/>
    <w:rsid w:val="00B42DF9"/>
    <w:rsid w:val="00B430FF"/>
    <w:rsid w:val="00B43B31"/>
    <w:rsid w:val="00B44E7D"/>
    <w:rsid w:val="00B450D5"/>
    <w:rsid w:val="00B45914"/>
    <w:rsid w:val="00B4592F"/>
    <w:rsid w:val="00B47FF4"/>
    <w:rsid w:val="00B50A05"/>
    <w:rsid w:val="00B5391A"/>
    <w:rsid w:val="00B53E5E"/>
    <w:rsid w:val="00B54305"/>
    <w:rsid w:val="00B55104"/>
    <w:rsid w:val="00B554C9"/>
    <w:rsid w:val="00B55900"/>
    <w:rsid w:val="00B5599B"/>
    <w:rsid w:val="00B55B67"/>
    <w:rsid w:val="00B5678A"/>
    <w:rsid w:val="00B57098"/>
    <w:rsid w:val="00B57140"/>
    <w:rsid w:val="00B57192"/>
    <w:rsid w:val="00B6051D"/>
    <w:rsid w:val="00B60F68"/>
    <w:rsid w:val="00B611AF"/>
    <w:rsid w:val="00B614B3"/>
    <w:rsid w:val="00B61CE8"/>
    <w:rsid w:val="00B62315"/>
    <w:rsid w:val="00B63376"/>
    <w:rsid w:val="00B63A2E"/>
    <w:rsid w:val="00B63D6A"/>
    <w:rsid w:val="00B64082"/>
    <w:rsid w:val="00B6481C"/>
    <w:rsid w:val="00B64F90"/>
    <w:rsid w:val="00B65BA6"/>
    <w:rsid w:val="00B6780E"/>
    <w:rsid w:val="00B707CB"/>
    <w:rsid w:val="00B714F8"/>
    <w:rsid w:val="00B7273E"/>
    <w:rsid w:val="00B72A86"/>
    <w:rsid w:val="00B72AB8"/>
    <w:rsid w:val="00B72F88"/>
    <w:rsid w:val="00B7326C"/>
    <w:rsid w:val="00B7336D"/>
    <w:rsid w:val="00B73B47"/>
    <w:rsid w:val="00B75AA1"/>
    <w:rsid w:val="00B75B3B"/>
    <w:rsid w:val="00B76A5A"/>
    <w:rsid w:val="00B80C6E"/>
    <w:rsid w:val="00B81006"/>
    <w:rsid w:val="00B81E69"/>
    <w:rsid w:val="00B82866"/>
    <w:rsid w:val="00B83E3A"/>
    <w:rsid w:val="00B8428D"/>
    <w:rsid w:val="00B85153"/>
    <w:rsid w:val="00B86709"/>
    <w:rsid w:val="00B86AF7"/>
    <w:rsid w:val="00B86E04"/>
    <w:rsid w:val="00B91B86"/>
    <w:rsid w:val="00B92A91"/>
    <w:rsid w:val="00B94184"/>
    <w:rsid w:val="00B9425E"/>
    <w:rsid w:val="00B94D3C"/>
    <w:rsid w:val="00B95A98"/>
    <w:rsid w:val="00B9634C"/>
    <w:rsid w:val="00B970EC"/>
    <w:rsid w:val="00B971AD"/>
    <w:rsid w:val="00B976ED"/>
    <w:rsid w:val="00BA0010"/>
    <w:rsid w:val="00BA0E93"/>
    <w:rsid w:val="00BA1AAA"/>
    <w:rsid w:val="00BA1F5F"/>
    <w:rsid w:val="00BA2FF6"/>
    <w:rsid w:val="00BA3A9A"/>
    <w:rsid w:val="00BA44DC"/>
    <w:rsid w:val="00BA4B7F"/>
    <w:rsid w:val="00BA55F6"/>
    <w:rsid w:val="00BA63DA"/>
    <w:rsid w:val="00BA66DB"/>
    <w:rsid w:val="00BA6B4B"/>
    <w:rsid w:val="00BA763A"/>
    <w:rsid w:val="00BB3185"/>
    <w:rsid w:val="00BB3BD0"/>
    <w:rsid w:val="00BB491F"/>
    <w:rsid w:val="00BB5C48"/>
    <w:rsid w:val="00BB691A"/>
    <w:rsid w:val="00BB79C7"/>
    <w:rsid w:val="00BB7F32"/>
    <w:rsid w:val="00BC1812"/>
    <w:rsid w:val="00BC2B3E"/>
    <w:rsid w:val="00BC354D"/>
    <w:rsid w:val="00BC44BC"/>
    <w:rsid w:val="00BC5DF8"/>
    <w:rsid w:val="00BC6E23"/>
    <w:rsid w:val="00BC7ACA"/>
    <w:rsid w:val="00BD24F9"/>
    <w:rsid w:val="00BD504F"/>
    <w:rsid w:val="00BD5365"/>
    <w:rsid w:val="00BD53EB"/>
    <w:rsid w:val="00BD55D0"/>
    <w:rsid w:val="00BD6811"/>
    <w:rsid w:val="00BD6CBD"/>
    <w:rsid w:val="00BD6E23"/>
    <w:rsid w:val="00BD7130"/>
    <w:rsid w:val="00BE0C0E"/>
    <w:rsid w:val="00BE0D5E"/>
    <w:rsid w:val="00BE118F"/>
    <w:rsid w:val="00BE1378"/>
    <w:rsid w:val="00BE2160"/>
    <w:rsid w:val="00BE22FF"/>
    <w:rsid w:val="00BE2F5A"/>
    <w:rsid w:val="00BE33E6"/>
    <w:rsid w:val="00BE35EE"/>
    <w:rsid w:val="00BE3CA8"/>
    <w:rsid w:val="00BE4100"/>
    <w:rsid w:val="00BE46AD"/>
    <w:rsid w:val="00BE4C65"/>
    <w:rsid w:val="00BE6DBE"/>
    <w:rsid w:val="00BE6ECF"/>
    <w:rsid w:val="00BE722F"/>
    <w:rsid w:val="00BF072E"/>
    <w:rsid w:val="00BF0B6E"/>
    <w:rsid w:val="00BF2A8B"/>
    <w:rsid w:val="00BF2F73"/>
    <w:rsid w:val="00BF3CEF"/>
    <w:rsid w:val="00BF40F8"/>
    <w:rsid w:val="00BF425B"/>
    <w:rsid w:val="00BF47A0"/>
    <w:rsid w:val="00BF48FF"/>
    <w:rsid w:val="00BF7BFB"/>
    <w:rsid w:val="00BF7CA6"/>
    <w:rsid w:val="00BF7FAB"/>
    <w:rsid w:val="00C00092"/>
    <w:rsid w:val="00C000D4"/>
    <w:rsid w:val="00C01642"/>
    <w:rsid w:val="00C01CD6"/>
    <w:rsid w:val="00C01D4F"/>
    <w:rsid w:val="00C0279A"/>
    <w:rsid w:val="00C02A78"/>
    <w:rsid w:val="00C0431B"/>
    <w:rsid w:val="00C04749"/>
    <w:rsid w:val="00C04B49"/>
    <w:rsid w:val="00C068AF"/>
    <w:rsid w:val="00C068B4"/>
    <w:rsid w:val="00C07A60"/>
    <w:rsid w:val="00C1040B"/>
    <w:rsid w:val="00C10477"/>
    <w:rsid w:val="00C10AA6"/>
    <w:rsid w:val="00C12136"/>
    <w:rsid w:val="00C1377D"/>
    <w:rsid w:val="00C13D94"/>
    <w:rsid w:val="00C151AF"/>
    <w:rsid w:val="00C2103A"/>
    <w:rsid w:val="00C2110A"/>
    <w:rsid w:val="00C21D49"/>
    <w:rsid w:val="00C24B3C"/>
    <w:rsid w:val="00C25781"/>
    <w:rsid w:val="00C263CD"/>
    <w:rsid w:val="00C26C0B"/>
    <w:rsid w:val="00C33FA2"/>
    <w:rsid w:val="00C345CF"/>
    <w:rsid w:val="00C36BE4"/>
    <w:rsid w:val="00C40979"/>
    <w:rsid w:val="00C41F89"/>
    <w:rsid w:val="00C420BD"/>
    <w:rsid w:val="00C4244E"/>
    <w:rsid w:val="00C43177"/>
    <w:rsid w:val="00C44449"/>
    <w:rsid w:val="00C469D4"/>
    <w:rsid w:val="00C50188"/>
    <w:rsid w:val="00C51073"/>
    <w:rsid w:val="00C51CA5"/>
    <w:rsid w:val="00C521D6"/>
    <w:rsid w:val="00C52E4D"/>
    <w:rsid w:val="00C5416D"/>
    <w:rsid w:val="00C544B1"/>
    <w:rsid w:val="00C54739"/>
    <w:rsid w:val="00C56723"/>
    <w:rsid w:val="00C56805"/>
    <w:rsid w:val="00C56A7D"/>
    <w:rsid w:val="00C57C87"/>
    <w:rsid w:val="00C60756"/>
    <w:rsid w:val="00C61FFF"/>
    <w:rsid w:val="00C62162"/>
    <w:rsid w:val="00C63B69"/>
    <w:rsid w:val="00C63BF7"/>
    <w:rsid w:val="00C63EC0"/>
    <w:rsid w:val="00C655B7"/>
    <w:rsid w:val="00C66E25"/>
    <w:rsid w:val="00C709D6"/>
    <w:rsid w:val="00C72267"/>
    <w:rsid w:val="00C7253A"/>
    <w:rsid w:val="00C72745"/>
    <w:rsid w:val="00C749AD"/>
    <w:rsid w:val="00C77C9B"/>
    <w:rsid w:val="00C8265D"/>
    <w:rsid w:val="00C8460A"/>
    <w:rsid w:val="00C86060"/>
    <w:rsid w:val="00C86EBF"/>
    <w:rsid w:val="00C924DA"/>
    <w:rsid w:val="00C93E85"/>
    <w:rsid w:val="00C93EA7"/>
    <w:rsid w:val="00C94677"/>
    <w:rsid w:val="00C9621B"/>
    <w:rsid w:val="00C96D73"/>
    <w:rsid w:val="00C9791C"/>
    <w:rsid w:val="00CA00F4"/>
    <w:rsid w:val="00CA046A"/>
    <w:rsid w:val="00CA0B32"/>
    <w:rsid w:val="00CA0BC7"/>
    <w:rsid w:val="00CA1745"/>
    <w:rsid w:val="00CA1C53"/>
    <w:rsid w:val="00CA25AC"/>
    <w:rsid w:val="00CA423C"/>
    <w:rsid w:val="00CA562A"/>
    <w:rsid w:val="00CA64BF"/>
    <w:rsid w:val="00CA666E"/>
    <w:rsid w:val="00CA7384"/>
    <w:rsid w:val="00CA7AE3"/>
    <w:rsid w:val="00CA7FC1"/>
    <w:rsid w:val="00CB1A8E"/>
    <w:rsid w:val="00CB3A03"/>
    <w:rsid w:val="00CB3C05"/>
    <w:rsid w:val="00CB6331"/>
    <w:rsid w:val="00CC0591"/>
    <w:rsid w:val="00CC0F7A"/>
    <w:rsid w:val="00CC1108"/>
    <w:rsid w:val="00CC3486"/>
    <w:rsid w:val="00CC3ABD"/>
    <w:rsid w:val="00CC43C5"/>
    <w:rsid w:val="00CC6FC2"/>
    <w:rsid w:val="00CD06D1"/>
    <w:rsid w:val="00CD07EA"/>
    <w:rsid w:val="00CD0AE3"/>
    <w:rsid w:val="00CD0FFB"/>
    <w:rsid w:val="00CD194A"/>
    <w:rsid w:val="00CD19C3"/>
    <w:rsid w:val="00CD1A46"/>
    <w:rsid w:val="00CD212C"/>
    <w:rsid w:val="00CD307E"/>
    <w:rsid w:val="00CD339F"/>
    <w:rsid w:val="00CD3E85"/>
    <w:rsid w:val="00CD439A"/>
    <w:rsid w:val="00CD4E78"/>
    <w:rsid w:val="00CD58EE"/>
    <w:rsid w:val="00CD67A6"/>
    <w:rsid w:val="00CD6910"/>
    <w:rsid w:val="00CD71D6"/>
    <w:rsid w:val="00CD751D"/>
    <w:rsid w:val="00CE0362"/>
    <w:rsid w:val="00CE205D"/>
    <w:rsid w:val="00CE3418"/>
    <w:rsid w:val="00CE39CE"/>
    <w:rsid w:val="00CE3A1B"/>
    <w:rsid w:val="00CE4427"/>
    <w:rsid w:val="00CE66B6"/>
    <w:rsid w:val="00CE67C0"/>
    <w:rsid w:val="00CE74F5"/>
    <w:rsid w:val="00CF0AED"/>
    <w:rsid w:val="00CF1D1E"/>
    <w:rsid w:val="00CF25B7"/>
    <w:rsid w:val="00CF2F12"/>
    <w:rsid w:val="00CF5941"/>
    <w:rsid w:val="00CF5A32"/>
    <w:rsid w:val="00CF5B44"/>
    <w:rsid w:val="00CF6618"/>
    <w:rsid w:val="00CF6F20"/>
    <w:rsid w:val="00CF7246"/>
    <w:rsid w:val="00CF747F"/>
    <w:rsid w:val="00D00285"/>
    <w:rsid w:val="00D00B3B"/>
    <w:rsid w:val="00D00EE0"/>
    <w:rsid w:val="00D01949"/>
    <w:rsid w:val="00D01CDD"/>
    <w:rsid w:val="00D023F4"/>
    <w:rsid w:val="00D05498"/>
    <w:rsid w:val="00D05BB6"/>
    <w:rsid w:val="00D05EE9"/>
    <w:rsid w:val="00D067C7"/>
    <w:rsid w:val="00D07961"/>
    <w:rsid w:val="00D10AA1"/>
    <w:rsid w:val="00D10D2F"/>
    <w:rsid w:val="00D112C0"/>
    <w:rsid w:val="00D138B0"/>
    <w:rsid w:val="00D14656"/>
    <w:rsid w:val="00D15272"/>
    <w:rsid w:val="00D159DF"/>
    <w:rsid w:val="00D160AB"/>
    <w:rsid w:val="00D1675F"/>
    <w:rsid w:val="00D170E8"/>
    <w:rsid w:val="00D171C8"/>
    <w:rsid w:val="00D172EE"/>
    <w:rsid w:val="00D17707"/>
    <w:rsid w:val="00D2024E"/>
    <w:rsid w:val="00D213E0"/>
    <w:rsid w:val="00D21A40"/>
    <w:rsid w:val="00D21BDA"/>
    <w:rsid w:val="00D21EA8"/>
    <w:rsid w:val="00D23745"/>
    <w:rsid w:val="00D25CD7"/>
    <w:rsid w:val="00D25D37"/>
    <w:rsid w:val="00D26307"/>
    <w:rsid w:val="00D26A08"/>
    <w:rsid w:val="00D30408"/>
    <w:rsid w:val="00D30827"/>
    <w:rsid w:val="00D31E27"/>
    <w:rsid w:val="00D32A1E"/>
    <w:rsid w:val="00D333CD"/>
    <w:rsid w:val="00D33D35"/>
    <w:rsid w:val="00D3537D"/>
    <w:rsid w:val="00D367B4"/>
    <w:rsid w:val="00D37245"/>
    <w:rsid w:val="00D40A82"/>
    <w:rsid w:val="00D4249E"/>
    <w:rsid w:val="00D42D55"/>
    <w:rsid w:val="00D42D57"/>
    <w:rsid w:val="00D42F2E"/>
    <w:rsid w:val="00D45D92"/>
    <w:rsid w:val="00D462C6"/>
    <w:rsid w:val="00D46D96"/>
    <w:rsid w:val="00D47780"/>
    <w:rsid w:val="00D47A0E"/>
    <w:rsid w:val="00D51218"/>
    <w:rsid w:val="00D52F70"/>
    <w:rsid w:val="00D5431B"/>
    <w:rsid w:val="00D5468A"/>
    <w:rsid w:val="00D60948"/>
    <w:rsid w:val="00D6143A"/>
    <w:rsid w:val="00D617ED"/>
    <w:rsid w:val="00D625D8"/>
    <w:rsid w:val="00D6294C"/>
    <w:rsid w:val="00D62DDB"/>
    <w:rsid w:val="00D64E43"/>
    <w:rsid w:val="00D67BC5"/>
    <w:rsid w:val="00D724F9"/>
    <w:rsid w:val="00D72E92"/>
    <w:rsid w:val="00D7350C"/>
    <w:rsid w:val="00D73D14"/>
    <w:rsid w:val="00D743DD"/>
    <w:rsid w:val="00D7497A"/>
    <w:rsid w:val="00D75ECD"/>
    <w:rsid w:val="00D7607E"/>
    <w:rsid w:val="00D76970"/>
    <w:rsid w:val="00D77359"/>
    <w:rsid w:val="00D776A8"/>
    <w:rsid w:val="00D8175C"/>
    <w:rsid w:val="00D82593"/>
    <w:rsid w:val="00D83112"/>
    <w:rsid w:val="00D84090"/>
    <w:rsid w:val="00D84C97"/>
    <w:rsid w:val="00D8565B"/>
    <w:rsid w:val="00D86353"/>
    <w:rsid w:val="00D87A89"/>
    <w:rsid w:val="00D87C3E"/>
    <w:rsid w:val="00D90120"/>
    <w:rsid w:val="00D90990"/>
    <w:rsid w:val="00D90E6B"/>
    <w:rsid w:val="00D9351A"/>
    <w:rsid w:val="00D9377A"/>
    <w:rsid w:val="00D952C6"/>
    <w:rsid w:val="00D95948"/>
    <w:rsid w:val="00D95C75"/>
    <w:rsid w:val="00D967C7"/>
    <w:rsid w:val="00D96919"/>
    <w:rsid w:val="00D9723D"/>
    <w:rsid w:val="00D97CF2"/>
    <w:rsid w:val="00DA0535"/>
    <w:rsid w:val="00DA0A5B"/>
    <w:rsid w:val="00DA0C3F"/>
    <w:rsid w:val="00DA2182"/>
    <w:rsid w:val="00DA302C"/>
    <w:rsid w:val="00DA3C3E"/>
    <w:rsid w:val="00DA4A6B"/>
    <w:rsid w:val="00DA53FE"/>
    <w:rsid w:val="00DA5983"/>
    <w:rsid w:val="00DA5D11"/>
    <w:rsid w:val="00DB002A"/>
    <w:rsid w:val="00DB0786"/>
    <w:rsid w:val="00DB0D92"/>
    <w:rsid w:val="00DB122A"/>
    <w:rsid w:val="00DB1C91"/>
    <w:rsid w:val="00DB2B34"/>
    <w:rsid w:val="00DB3286"/>
    <w:rsid w:val="00DB4E10"/>
    <w:rsid w:val="00DB526D"/>
    <w:rsid w:val="00DB60B4"/>
    <w:rsid w:val="00DB635D"/>
    <w:rsid w:val="00DB6799"/>
    <w:rsid w:val="00DB6902"/>
    <w:rsid w:val="00DB76D1"/>
    <w:rsid w:val="00DB7843"/>
    <w:rsid w:val="00DB7C4E"/>
    <w:rsid w:val="00DC120D"/>
    <w:rsid w:val="00DC1D90"/>
    <w:rsid w:val="00DC23D1"/>
    <w:rsid w:val="00DC2ED0"/>
    <w:rsid w:val="00DC389E"/>
    <w:rsid w:val="00DC4447"/>
    <w:rsid w:val="00DC5A85"/>
    <w:rsid w:val="00DC5D44"/>
    <w:rsid w:val="00DC7146"/>
    <w:rsid w:val="00DC79C7"/>
    <w:rsid w:val="00DD0169"/>
    <w:rsid w:val="00DD058E"/>
    <w:rsid w:val="00DD087B"/>
    <w:rsid w:val="00DD0D17"/>
    <w:rsid w:val="00DD0F36"/>
    <w:rsid w:val="00DD303E"/>
    <w:rsid w:val="00DD5178"/>
    <w:rsid w:val="00DD5AC4"/>
    <w:rsid w:val="00DD5AEE"/>
    <w:rsid w:val="00DD5FA5"/>
    <w:rsid w:val="00DE0267"/>
    <w:rsid w:val="00DE29BE"/>
    <w:rsid w:val="00DE339C"/>
    <w:rsid w:val="00DE4E12"/>
    <w:rsid w:val="00DE57E6"/>
    <w:rsid w:val="00DE5FD1"/>
    <w:rsid w:val="00DE7054"/>
    <w:rsid w:val="00DE74D5"/>
    <w:rsid w:val="00DE7990"/>
    <w:rsid w:val="00DF0080"/>
    <w:rsid w:val="00DF331D"/>
    <w:rsid w:val="00DF3E2E"/>
    <w:rsid w:val="00DF4ECE"/>
    <w:rsid w:val="00DF4F6C"/>
    <w:rsid w:val="00DF5785"/>
    <w:rsid w:val="00DF60E9"/>
    <w:rsid w:val="00DF6FB4"/>
    <w:rsid w:val="00E01A72"/>
    <w:rsid w:val="00E02673"/>
    <w:rsid w:val="00E02839"/>
    <w:rsid w:val="00E03814"/>
    <w:rsid w:val="00E03B3E"/>
    <w:rsid w:val="00E03D05"/>
    <w:rsid w:val="00E04352"/>
    <w:rsid w:val="00E0498D"/>
    <w:rsid w:val="00E05653"/>
    <w:rsid w:val="00E05C0F"/>
    <w:rsid w:val="00E0642A"/>
    <w:rsid w:val="00E10586"/>
    <w:rsid w:val="00E1185A"/>
    <w:rsid w:val="00E121FD"/>
    <w:rsid w:val="00E12794"/>
    <w:rsid w:val="00E13A18"/>
    <w:rsid w:val="00E13AC2"/>
    <w:rsid w:val="00E150C4"/>
    <w:rsid w:val="00E15BAA"/>
    <w:rsid w:val="00E1655D"/>
    <w:rsid w:val="00E165EA"/>
    <w:rsid w:val="00E16ECF"/>
    <w:rsid w:val="00E17037"/>
    <w:rsid w:val="00E2091A"/>
    <w:rsid w:val="00E24B4B"/>
    <w:rsid w:val="00E24CB4"/>
    <w:rsid w:val="00E25E18"/>
    <w:rsid w:val="00E2603F"/>
    <w:rsid w:val="00E27867"/>
    <w:rsid w:val="00E310E1"/>
    <w:rsid w:val="00E31D5F"/>
    <w:rsid w:val="00E321BD"/>
    <w:rsid w:val="00E324BA"/>
    <w:rsid w:val="00E32552"/>
    <w:rsid w:val="00E3256D"/>
    <w:rsid w:val="00E338F7"/>
    <w:rsid w:val="00E34B6F"/>
    <w:rsid w:val="00E35D2B"/>
    <w:rsid w:val="00E41023"/>
    <w:rsid w:val="00E41694"/>
    <w:rsid w:val="00E41989"/>
    <w:rsid w:val="00E419E3"/>
    <w:rsid w:val="00E421A3"/>
    <w:rsid w:val="00E42B41"/>
    <w:rsid w:val="00E434D3"/>
    <w:rsid w:val="00E44B99"/>
    <w:rsid w:val="00E458FC"/>
    <w:rsid w:val="00E462C1"/>
    <w:rsid w:val="00E46DA7"/>
    <w:rsid w:val="00E50602"/>
    <w:rsid w:val="00E50B29"/>
    <w:rsid w:val="00E51B40"/>
    <w:rsid w:val="00E521F9"/>
    <w:rsid w:val="00E5245A"/>
    <w:rsid w:val="00E53FD9"/>
    <w:rsid w:val="00E555CF"/>
    <w:rsid w:val="00E56939"/>
    <w:rsid w:val="00E604CA"/>
    <w:rsid w:val="00E61C18"/>
    <w:rsid w:val="00E63031"/>
    <w:rsid w:val="00E63959"/>
    <w:rsid w:val="00E6397B"/>
    <w:rsid w:val="00E65F55"/>
    <w:rsid w:val="00E6670B"/>
    <w:rsid w:val="00E727DC"/>
    <w:rsid w:val="00E73543"/>
    <w:rsid w:val="00E81CD9"/>
    <w:rsid w:val="00E82E1D"/>
    <w:rsid w:val="00E83543"/>
    <w:rsid w:val="00E83AD9"/>
    <w:rsid w:val="00E84934"/>
    <w:rsid w:val="00E84A09"/>
    <w:rsid w:val="00E84CA1"/>
    <w:rsid w:val="00E85163"/>
    <w:rsid w:val="00E85F3A"/>
    <w:rsid w:val="00E8742A"/>
    <w:rsid w:val="00E87911"/>
    <w:rsid w:val="00E87CA9"/>
    <w:rsid w:val="00E9119A"/>
    <w:rsid w:val="00E914F8"/>
    <w:rsid w:val="00E91B79"/>
    <w:rsid w:val="00E921FA"/>
    <w:rsid w:val="00E92893"/>
    <w:rsid w:val="00E928E6"/>
    <w:rsid w:val="00E92B22"/>
    <w:rsid w:val="00E92D9F"/>
    <w:rsid w:val="00E93897"/>
    <w:rsid w:val="00E938B2"/>
    <w:rsid w:val="00E93E7C"/>
    <w:rsid w:val="00E95342"/>
    <w:rsid w:val="00E959D4"/>
    <w:rsid w:val="00E95B33"/>
    <w:rsid w:val="00E960BE"/>
    <w:rsid w:val="00E96258"/>
    <w:rsid w:val="00E96766"/>
    <w:rsid w:val="00EA0088"/>
    <w:rsid w:val="00EA0460"/>
    <w:rsid w:val="00EA0942"/>
    <w:rsid w:val="00EA0D0E"/>
    <w:rsid w:val="00EA16F5"/>
    <w:rsid w:val="00EA191E"/>
    <w:rsid w:val="00EA1E37"/>
    <w:rsid w:val="00EA2019"/>
    <w:rsid w:val="00EA20B2"/>
    <w:rsid w:val="00EA2904"/>
    <w:rsid w:val="00EA2F00"/>
    <w:rsid w:val="00EA3249"/>
    <w:rsid w:val="00EA32CC"/>
    <w:rsid w:val="00EA3DA1"/>
    <w:rsid w:val="00EA4723"/>
    <w:rsid w:val="00EA4BA3"/>
    <w:rsid w:val="00EA5A56"/>
    <w:rsid w:val="00EA6A8F"/>
    <w:rsid w:val="00EA6E73"/>
    <w:rsid w:val="00EA73FE"/>
    <w:rsid w:val="00EA7B95"/>
    <w:rsid w:val="00EB19DD"/>
    <w:rsid w:val="00EB20AE"/>
    <w:rsid w:val="00EB5D6E"/>
    <w:rsid w:val="00EB5E60"/>
    <w:rsid w:val="00EB6FDA"/>
    <w:rsid w:val="00EC01BA"/>
    <w:rsid w:val="00EC06DC"/>
    <w:rsid w:val="00EC0AA8"/>
    <w:rsid w:val="00EC115C"/>
    <w:rsid w:val="00EC1921"/>
    <w:rsid w:val="00EC199F"/>
    <w:rsid w:val="00EC2538"/>
    <w:rsid w:val="00EC2CD9"/>
    <w:rsid w:val="00EC2ED9"/>
    <w:rsid w:val="00EC2EFC"/>
    <w:rsid w:val="00EC378F"/>
    <w:rsid w:val="00EC4A11"/>
    <w:rsid w:val="00EC587D"/>
    <w:rsid w:val="00EC7F9C"/>
    <w:rsid w:val="00ED0424"/>
    <w:rsid w:val="00ED0608"/>
    <w:rsid w:val="00ED08CB"/>
    <w:rsid w:val="00ED1119"/>
    <w:rsid w:val="00ED1749"/>
    <w:rsid w:val="00ED259F"/>
    <w:rsid w:val="00ED33A8"/>
    <w:rsid w:val="00ED5157"/>
    <w:rsid w:val="00ED5934"/>
    <w:rsid w:val="00ED5B0A"/>
    <w:rsid w:val="00ED7A48"/>
    <w:rsid w:val="00EE00EB"/>
    <w:rsid w:val="00EE09B0"/>
    <w:rsid w:val="00EE0AAA"/>
    <w:rsid w:val="00EE0CF0"/>
    <w:rsid w:val="00EE101B"/>
    <w:rsid w:val="00EE1899"/>
    <w:rsid w:val="00EE24A3"/>
    <w:rsid w:val="00EE33A4"/>
    <w:rsid w:val="00EE3EB0"/>
    <w:rsid w:val="00EE460F"/>
    <w:rsid w:val="00EE534B"/>
    <w:rsid w:val="00EE642B"/>
    <w:rsid w:val="00EE6530"/>
    <w:rsid w:val="00EE7990"/>
    <w:rsid w:val="00EE7FE6"/>
    <w:rsid w:val="00EF0CD3"/>
    <w:rsid w:val="00EF14C3"/>
    <w:rsid w:val="00EF1ADF"/>
    <w:rsid w:val="00EF2431"/>
    <w:rsid w:val="00EF4124"/>
    <w:rsid w:val="00EF51BB"/>
    <w:rsid w:val="00EF5981"/>
    <w:rsid w:val="00EF5CC3"/>
    <w:rsid w:val="00EF62D6"/>
    <w:rsid w:val="00EF6638"/>
    <w:rsid w:val="00EF6722"/>
    <w:rsid w:val="00EF74B6"/>
    <w:rsid w:val="00F0029F"/>
    <w:rsid w:val="00F017B3"/>
    <w:rsid w:val="00F01B87"/>
    <w:rsid w:val="00F02B5E"/>
    <w:rsid w:val="00F04445"/>
    <w:rsid w:val="00F05ADF"/>
    <w:rsid w:val="00F05D1C"/>
    <w:rsid w:val="00F07BE4"/>
    <w:rsid w:val="00F07C7D"/>
    <w:rsid w:val="00F10048"/>
    <w:rsid w:val="00F101E5"/>
    <w:rsid w:val="00F12401"/>
    <w:rsid w:val="00F12946"/>
    <w:rsid w:val="00F138F8"/>
    <w:rsid w:val="00F13ACB"/>
    <w:rsid w:val="00F16842"/>
    <w:rsid w:val="00F17AAA"/>
    <w:rsid w:val="00F17ED9"/>
    <w:rsid w:val="00F21418"/>
    <w:rsid w:val="00F21F75"/>
    <w:rsid w:val="00F24564"/>
    <w:rsid w:val="00F25291"/>
    <w:rsid w:val="00F25CC6"/>
    <w:rsid w:val="00F2669F"/>
    <w:rsid w:val="00F27B2E"/>
    <w:rsid w:val="00F3035A"/>
    <w:rsid w:val="00F31EB1"/>
    <w:rsid w:val="00F32024"/>
    <w:rsid w:val="00F3205B"/>
    <w:rsid w:val="00F327E6"/>
    <w:rsid w:val="00F33937"/>
    <w:rsid w:val="00F33B68"/>
    <w:rsid w:val="00F36A1D"/>
    <w:rsid w:val="00F40C8A"/>
    <w:rsid w:val="00F4124B"/>
    <w:rsid w:val="00F412F0"/>
    <w:rsid w:val="00F41AFD"/>
    <w:rsid w:val="00F43808"/>
    <w:rsid w:val="00F43997"/>
    <w:rsid w:val="00F44974"/>
    <w:rsid w:val="00F452FD"/>
    <w:rsid w:val="00F4544A"/>
    <w:rsid w:val="00F46A5B"/>
    <w:rsid w:val="00F46BB5"/>
    <w:rsid w:val="00F477E8"/>
    <w:rsid w:val="00F50A1F"/>
    <w:rsid w:val="00F5181A"/>
    <w:rsid w:val="00F51D9F"/>
    <w:rsid w:val="00F52674"/>
    <w:rsid w:val="00F52C93"/>
    <w:rsid w:val="00F5457B"/>
    <w:rsid w:val="00F54DE5"/>
    <w:rsid w:val="00F55645"/>
    <w:rsid w:val="00F55CBA"/>
    <w:rsid w:val="00F55EE3"/>
    <w:rsid w:val="00F56575"/>
    <w:rsid w:val="00F572AC"/>
    <w:rsid w:val="00F5769C"/>
    <w:rsid w:val="00F57AB7"/>
    <w:rsid w:val="00F604D1"/>
    <w:rsid w:val="00F60713"/>
    <w:rsid w:val="00F61219"/>
    <w:rsid w:val="00F6270F"/>
    <w:rsid w:val="00F632E9"/>
    <w:rsid w:val="00F6359A"/>
    <w:rsid w:val="00F6391C"/>
    <w:rsid w:val="00F64A06"/>
    <w:rsid w:val="00F65165"/>
    <w:rsid w:val="00F66634"/>
    <w:rsid w:val="00F66779"/>
    <w:rsid w:val="00F67740"/>
    <w:rsid w:val="00F67B5D"/>
    <w:rsid w:val="00F731A7"/>
    <w:rsid w:val="00F73511"/>
    <w:rsid w:val="00F73517"/>
    <w:rsid w:val="00F7378F"/>
    <w:rsid w:val="00F7393B"/>
    <w:rsid w:val="00F73DF9"/>
    <w:rsid w:val="00F751E8"/>
    <w:rsid w:val="00F75A4D"/>
    <w:rsid w:val="00F764AE"/>
    <w:rsid w:val="00F767F3"/>
    <w:rsid w:val="00F777F9"/>
    <w:rsid w:val="00F778AF"/>
    <w:rsid w:val="00F77CF3"/>
    <w:rsid w:val="00F81773"/>
    <w:rsid w:val="00F81AF2"/>
    <w:rsid w:val="00F81B0A"/>
    <w:rsid w:val="00F8431D"/>
    <w:rsid w:val="00F84844"/>
    <w:rsid w:val="00F849B9"/>
    <w:rsid w:val="00F86C4B"/>
    <w:rsid w:val="00F878A9"/>
    <w:rsid w:val="00F90156"/>
    <w:rsid w:val="00F903B8"/>
    <w:rsid w:val="00F90918"/>
    <w:rsid w:val="00F90978"/>
    <w:rsid w:val="00F912D5"/>
    <w:rsid w:val="00F92241"/>
    <w:rsid w:val="00F93783"/>
    <w:rsid w:val="00F93791"/>
    <w:rsid w:val="00F939D3"/>
    <w:rsid w:val="00F94599"/>
    <w:rsid w:val="00F95C43"/>
    <w:rsid w:val="00F96516"/>
    <w:rsid w:val="00F97F33"/>
    <w:rsid w:val="00FA078F"/>
    <w:rsid w:val="00FA0BD4"/>
    <w:rsid w:val="00FA0CD5"/>
    <w:rsid w:val="00FA0FD8"/>
    <w:rsid w:val="00FA1B40"/>
    <w:rsid w:val="00FA2B3B"/>
    <w:rsid w:val="00FA2C1A"/>
    <w:rsid w:val="00FA3156"/>
    <w:rsid w:val="00FA58FA"/>
    <w:rsid w:val="00FA65ED"/>
    <w:rsid w:val="00FA703D"/>
    <w:rsid w:val="00FA73D6"/>
    <w:rsid w:val="00FA7D11"/>
    <w:rsid w:val="00FB08C9"/>
    <w:rsid w:val="00FB0B0A"/>
    <w:rsid w:val="00FB0B80"/>
    <w:rsid w:val="00FB545B"/>
    <w:rsid w:val="00FB5BFF"/>
    <w:rsid w:val="00FB7F08"/>
    <w:rsid w:val="00FC15BF"/>
    <w:rsid w:val="00FC3632"/>
    <w:rsid w:val="00FC4814"/>
    <w:rsid w:val="00FC5DD0"/>
    <w:rsid w:val="00FC6209"/>
    <w:rsid w:val="00FD1185"/>
    <w:rsid w:val="00FD14DA"/>
    <w:rsid w:val="00FD27E7"/>
    <w:rsid w:val="00FD40A4"/>
    <w:rsid w:val="00FD50CD"/>
    <w:rsid w:val="00FD5858"/>
    <w:rsid w:val="00FD63B1"/>
    <w:rsid w:val="00FD6E2A"/>
    <w:rsid w:val="00FD758B"/>
    <w:rsid w:val="00FD7788"/>
    <w:rsid w:val="00FD7B73"/>
    <w:rsid w:val="00FD7EBB"/>
    <w:rsid w:val="00FE0153"/>
    <w:rsid w:val="00FE07DC"/>
    <w:rsid w:val="00FE0F57"/>
    <w:rsid w:val="00FE1216"/>
    <w:rsid w:val="00FE15FF"/>
    <w:rsid w:val="00FE1A22"/>
    <w:rsid w:val="00FE3205"/>
    <w:rsid w:val="00FE3353"/>
    <w:rsid w:val="00FE38AE"/>
    <w:rsid w:val="00FE5E44"/>
    <w:rsid w:val="00FE6130"/>
    <w:rsid w:val="00FE629A"/>
    <w:rsid w:val="00FE73C2"/>
    <w:rsid w:val="00FF09D1"/>
    <w:rsid w:val="00FF1959"/>
    <w:rsid w:val="00FF475D"/>
    <w:rsid w:val="00FF5878"/>
    <w:rsid w:val="00FF593B"/>
    <w:rsid w:val="00FF6216"/>
    <w:rsid w:val="00FF75B7"/>
    <w:rsid w:val="00FF78E8"/>
    <w:rsid w:val="00FF7A7E"/>
    <w:rsid w:val="01AC4C37"/>
    <w:rsid w:val="021A0D4F"/>
    <w:rsid w:val="022D653C"/>
    <w:rsid w:val="025D03D8"/>
    <w:rsid w:val="02772F62"/>
    <w:rsid w:val="02FD0F4F"/>
    <w:rsid w:val="030312E3"/>
    <w:rsid w:val="03B520C1"/>
    <w:rsid w:val="03E63083"/>
    <w:rsid w:val="04381E1E"/>
    <w:rsid w:val="046D202D"/>
    <w:rsid w:val="049921ED"/>
    <w:rsid w:val="05347B96"/>
    <w:rsid w:val="057520D2"/>
    <w:rsid w:val="05D22340"/>
    <w:rsid w:val="07485295"/>
    <w:rsid w:val="076F684E"/>
    <w:rsid w:val="0835530F"/>
    <w:rsid w:val="08E66515"/>
    <w:rsid w:val="0B0A2763"/>
    <w:rsid w:val="0B2E529D"/>
    <w:rsid w:val="0B3D4FFA"/>
    <w:rsid w:val="0B4B1A46"/>
    <w:rsid w:val="0BD03D35"/>
    <w:rsid w:val="0C6352C5"/>
    <w:rsid w:val="0C762E2A"/>
    <w:rsid w:val="0CF70FC1"/>
    <w:rsid w:val="0D5F1519"/>
    <w:rsid w:val="0DAB36E0"/>
    <w:rsid w:val="0E535C95"/>
    <w:rsid w:val="0EEC4A58"/>
    <w:rsid w:val="0F0A11A8"/>
    <w:rsid w:val="0F902878"/>
    <w:rsid w:val="0F9166CB"/>
    <w:rsid w:val="10C4390D"/>
    <w:rsid w:val="1178608E"/>
    <w:rsid w:val="11AD010B"/>
    <w:rsid w:val="12AF70DD"/>
    <w:rsid w:val="12B60EB5"/>
    <w:rsid w:val="12BC105B"/>
    <w:rsid w:val="12F94F48"/>
    <w:rsid w:val="137C3424"/>
    <w:rsid w:val="140C2C1C"/>
    <w:rsid w:val="153C2FE9"/>
    <w:rsid w:val="15452127"/>
    <w:rsid w:val="156E1383"/>
    <w:rsid w:val="15A23798"/>
    <w:rsid w:val="15C81CE7"/>
    <w:rsid w:val="15D7006F"/>
    <w:rsid w:val="167B6D06"/>
    <w:rsid w:val="16DA6C27"/>
    <w:rsid w:val="16FF62EE"/>
    <w:rsid w:val="172F4C7C"/>
    <w:rsid w:val="17BD7D07"/>
    <w:rsid w:val="17E96260"/>
    <w:rsid w:val="184E4C34"/>
    <w:rsid w:val="18E95A5F"/>
    <w:rsid w:val="18EC682A"/>
    <w:rsid w:val="190B0AF9"/>
    <w:rsid w:val="19DD3D84"/>
    <w:rsid w:val="1AA90435"/>
    <w:rsid w:val="1BD51608"/>
    <w:rsid w:val="1C15540F"/>
    <w:rsid w:val="1C3F340C"/>
    <w:rsid w:val="1C6E3261"/>
    <w:rsid w:val="1C88083E"/>
    <w:rsid w:val="1CB0172F"/>
    <w:rsid w:val="1CEB7D61"/>
    <w:rsid w:val="1CED207F"/>
    <w:rsid w:val="1D555A7F"/>
    <w:rsid w:val="1D712E88"/>
    <w:rsid w:val="1D8B6A06"/>
    <w:rsid w:val="1E9D1868"/>
    <w:rsid w:val="1EA0153A"/>
    <w:rsid w:val="1EDD1082"/>
    <w:rsid w:val="1F736AED"/>
    <w:rsid w:val="1FD47C39"/>
    <w:rsid w:val="1FDD088B"/>
    <w:rsid w:val="20896BE6"/>
    <w:rsid w:val="2113675B"/>
    <w:rsid w:val="21C10144"/>
    <w:rsid w:val="233F3D27"/>
    <w:rsid w:val="23A47E05"/>
    <w:rsid w:val="241F7DCD"/>
    <w:rsid w:val="24464C0C"/>
    <w:rsid w:val="244B6221"/>
    <w:rsid w:val="258A4634"/>
    <w:rsid w:val="26E84871"/>
    <w:rsid w:val="275B397B"/>
    <w:rsid w:val="27DD6DEF"/>
    <w:rsid w:val="28453C39"/>
    <w:rsid w:val="29B8129C"/>
    <w:rsid w:val="29D70693"/>
    <w:rsid w:val="2A231A52"/>
    <w:rsid w:val="2A651183"/>
    <w:rsid w:val="2C1B6E84"/>
    <w:rsid w:val="2C1D4D7E"/>
    <w:rsid w:val="2C261D37"/>
    <w:rsid w:val="2D054B16"/>
    <w:rsid w:val="2D8A1F63"/>
    <w:rsid w:val="2DCA6F6B"/>
    <w:rsid w:val="2DE32812"/>
    <w:rsid w:val="2DFF2F48"/>
    <w:rsid w:val="2FDE3495"/>
    <w:rsid w:val="2FDF0C2C"/>
    <w:rsid w:val="30105F9B"/>
    <w:rsid w:val="302E4E19"/>
    <w:rsid w:val="30F0394C"/>
    <w:rsid w:val="312E2A25"/>
    <w:rsid w:val="31556970"/>
    <w:rsid w:val="315A1365"/>
    <w:rsid w:val="317F5EFB"/>
    <w:rsid w:val="31967455"/>
    <w:rsid w:val="31BA7B4E"/>
    <w:rsid w:val="32553EF4"/>
    <w:rsid w:val="325B49D4"/>
    <w:rsid w:val="3275163C"/>
    <w:rsid w:val="33216491"/>
    <w:rsid w:val="333360C7"/>
    <w:rsid w:val="33B340B6"/>
    <w:rsid w:val="33FE4038"/>
    <w:rsid w:val="34547D19"/>
    <w:rsid w:val="34EC7730"/>
    <w:rsid w:val="355E24D6"/>
    <w:rsid w:val="35645D7B"/>
    <w:rsid w:val="35AE7BA8"/>
    <w:rsid w:val="360E712B"/>
    <w:rsid w:val="364758DF"/>
    <w:rsid w:val="36A17F00"/>
    <w:rsid w:val="36CF6ABE"/>
    <w:rsid w:val="36D37B47"/>
    <w:rsid w:val="370E1E58"/>
    <w:rsid w:val="373E0D6A"/>
    <w:rsid w:val="3773F964"/>
    <w:rsid w:val="37926534"/>
    <w:rsid w:val="380F213C"/>
    <w:rsid w:val="384112B3"/>
    <w:rsid w:val="38B203D5"/>
    <w:rsid w:val="38C775CC"/>
    <w:rsid w:val="394E1E8B"/>
    <w:rsid w:val="39E925C3"/>
    <w:rsid w:val="3A0D7DC5"/>
    <w:rsid w:val="3A762064"/>
    <w:rsid w:val="3A7F713C"/>
    <w:rsid w:val="3A9C44AF"/>
    <w:rsid w:val="3B443AD5"/>
    <w:rsid w:val="3BC81D76"/>
    <w:rsid w:val="3C1129F7"/>
    <w:rsid w:val="3C122A8A"/>
    <w:rsid w:val="3CDD147C"/>
    <w:rsid w:val="3D5C000A"/>
    <w:rsid w:val="3E657AED"/>
    <w:rsid w:val="3FC556D6"/>
    <w:rsid w:val="3FE44DB8"/>
    <w:rsid w:val="40A85FAB"/>
    <w:rsid w:val="40D63D34"/>
    <w:rsid w:val="40F96BBC"/>
    <w:rsid w:val="41913A46"/>
    <w:rsid w:val="41BC60B1"/>
    <w:rsid w:val="420D56C6"/>
    <w:rsid w:val="42C378D7"/>
    <w:rsid w:val="43904532"/>
    <w:rsid w:val="43CD56BF"/>
    <w:rsid w:val="43F32BB3"/>
    <w:rsid w:val="44FE7E68"/>
    <w:rsid w:val="45144AC5"/>
    <w:rsid w:val="45271399"/>
    <w:rsid w:val="458B2264"/>
    <w:rsid w:val="45FA56C4"/>
    <w:rsid w:val="4601253C"/>
    <w:rsid w:val="46A817A6"/>
    <w:rsid w:val="472A7855"/>
    <w:rsid w:val="47474047"/>
    <w:rsid w:val="47CA372B"/>
    <w:rsid w:val="47F3112F"/>
    <w:rsid w:val="481F33CB"/>
    <w:rsid w:val="48985392"/>
    <w:rsid w:val="48C91A4A"/>
    <w:rsid w:val="48E21E71"/>
    <w:rsid w:val="496103A3"/>
    <w:rsid w:val="49FF631C"/>
    <w:rsid w:val="4A2C6FA7"/>
    <w:rsid w:val="4ACE10D2"/>
    <w:rsid w:val="4BD5642C"/>
    <w:rsid w:val="4D225ECF"/>
    <w:rsid w:val="4DA423C7"/>
    <w:rsid w:val="4DB858FE"/>
    <w:rsid w:val="4DDEDC03"/>
    <w:rsid w:val="4E5E31B8"/>
    <w:rsid w:val="4EB33641"/>
    <w:rsid w:val="4F2B6A41"/>
    <w:rsid w:val="50192ACC"/>
    <w:rsid w:val="51BA130D"/>
    <w:rsid w:val="51D362AF"/>
    <w:rsid w:val="5227297D"/>
    <w:rsid w:val="52B6144E"/>
    <w:rsid w:val="53185788"/>
    <w:rsid w:val="53326698"/>
    <w:rsid w:val="533303B3"/>
    <w:rsid w:val="536E2A73"/>
    <w:rsid w:val="53B7A554"/>
    <w:rsid w:val="54FD77D1"/>
    <w:rsid w:val="551E7DED"/>
    <w:rsid w:val="552C7D68"/>
    <w:rsid w:val="556B53E2"/>
    <w:rsid w:val="572D7660"/>
    <w:rsid w:val="57365E12"/>
    <w:rsid w:val="577D68EC"/>
    <w:rsid w:val="57B43108"/>
    <w:rsid w:val="57D34A42"/>
    <w:rsid w:val="57FE4951"/>
    <w:rsid w:val="582702A8"/>
    <w:rsid w:val="59182662"/>
    <w:rsid w:val="594B7983"/>
    <w:rsid w:val="59921BB5"/>
    <w:rsid w:val="5999104F"/>
    <w:rsid w:val="59F94395"/>
    <w:rsid w:val="5ACE7A7B"/>
    <w:rsid w:val="5C7C7023"/>
    <w:rsid w:val="5CB477B7"/>
    <w:rsid w:val="5CC603CA"/>
    <w:rsid w:val="5D597A24"/>
    <w:rsid w:val="5EED40FD"/>
    <w:rsid w:val="5EFF4A8F"/>
    <w:rsid w:val="5F1C7301"/>
    <w:rsid w:val="5F4B4F24"/>
    <w:rsid w:val="5F8F7A1F"/>
    <w:rsid w:val="5FFFC44F"/>
    <w:rsid w:val="606114DC"/>
    <w:rsid w:val="61217872"/>
    <w:rsid w:val="61FE7B3E"/>
    <w:rsid w:val="62452D07"/>
    <w:rsid w:val="62D766FE"/>
    <w:rsid w:val="62ED793C"/>
    <w:rsid w:val="64EF43CA"/>
    <w:rsid w:val="655FC5EF"/>
    <w:rsid w:val="662B3A9C"/>
    <w:rsid w:val="66475E07"/>
    <w:rsid w:val="6651212D"/>
    <w:rsid w:val="66A72083"/>
    <w:rsid w:val="67A52C70"/>
    <w:rsid w:val="67D01668"/>
    <w:rsid w:val="68322B16"/>
    <w:rsid w:val="68523303"/>
    <w:rsid w:val="68A015B4"/>
    <w:rsid w:val="68CA4FE5"/>
    <w:rsid w:val="6AE77A4A"/>
    <w:rsid w:val="6B937E5D"/>
    <w:rsid w:val="6CBD5AE4"/>
    <w:rsid w:val="6CDF6740"/>
    <w:rsid w:val="6CF91CFA"/>
    <w:rsid w:val="6D8D1CE7"/>
    <w:rsid w:val="6DB50C05"/>
    <w:rsid w:val="6E5268BF"/>
    <w:rsid w:val="6E8B2894"/>
    <w:rsid w:val="6EFF4507"/>
    <w:rsid w:val="6F023020"/>
    <w:rsid w:val="6F55197C"/>
    <w:rsid w:val="6F5862FB"/>
    <w:rsid w:val="6F6A283B"/>
    <w:rsid w:val="6FF7017E"/>
    <w:rsid w:val="70341F4B"/>
    <w:rsid w:val="70AB736B"/>
    <w:rsid w:val="710B47ED"/>
    <w:rsid w:val="710D6F7C"/>
    <w:rsid w:val="71195C6D"/>
    <w:rsid w:val="714F4357"/>
    <w:rsid w:val="71B95FA2"/>
    <w:rsid w:val="71DE0B86"/>
    <w:rsid w:val="720E0A79"/>
    <w:rsid w:val="73AB5845"/>
    <w:rsid w:val="73CA55CA"/>
    <w:rsid w:val="74B74A06"/>
    <w:rsid w:val="74BC6B74"/>
    <w:rsid w:val="75954DD7"/>
    <w:rsid w:val="759E8AA8"/>
    <w:rsid w:val="75B474C1"/>
    <w:rsid w:val="75C34819"/>
    <w:rsid w:val="76C315A5"/>
    <w:rsid w:val="76D43E58"/>
    <w:rsid w:val="76F70F89"/>
    <w:rsid w:val="772F17FB"/>
    <w:rsid w:val="77761D32"/>
    <w:rsid w:val="77FA5911"/>
    <w:rsid w:val="77FDEB90"/>
    <w:rsid w:val="78150F56"/>
    <w:rsid w:val="783C5C5B"/>
    <w:rsid w:val="787F2D7C"/>
    <w:rsid w:val="789B3599"/>
    <w:rsid w:val="78C1048D"/>
    <w:rsid w:val="79A92B12"/>
    <w:rsid w:val="79CC507F"/>
    <w:rsid w:val="79FB70D5"/>
    <w:rsid w:val="7A5878BC"/>
    <w:rsid w:val="7A660DCD"/>
    <w:rsid w:val="7AA2211F"/>
    <w:rsid w:val="7B011B65"/>
    <w:rsid w:val="7B811829"/>
    <w:rsid w:val="7C1E7E4D"/>
    <w:rsid w:val="7C615CA4"/>
    <w:rsid w:val="7D55A9A8"/>
    <w:rsid w:val="7D7B6617"/>
    <w:rsid w:val="7D83754E"/>
    <w:rsid w:val="7E2C77AC"/>
    <w:rsid w:val="7E3061F8"/>
    <w:rsid w:val="7E781B60"/>
    <w:rsid w:val="7E7FFEE7"/>
    <w:rsid w:val="7EFF0EC6"/>
    <w:rsid w:val="7F6C7526"/>
    <w:rsid w:val="7F744C18"/>
    <w:rsid w:val="7FBB284A"/>
    <w:rsid w:val="7FBFED3C"/>
    <w:rsid w:val="7FEA48D2"/>
    <w:rsid w:val="7FEC7F4A"/>
    <w:rsid w:val="7FFD8F85"/>
    <w:rsid w:val="9AE7BF84"/>
    <w:rsid w:val="9F793739"/>
    <w:rsid w:val="BA9DA454"/>
    <w:rsid w:val="BDB65377"/>
    <w:rsid w:val="BE9FEDDE"/>
    <w:rsid w:val="BFB37408"/>
    <w:rsid w:val="C6D39AC8"/>
    <w:rsid w:val="D5DDDA21"/>
    <w:rsid w:val="DCDFCF5B"/>
    <w:rsid w:val="DDFA9E1A"/>
    <w:rsid w:val="DE4BDAC1"/>
    <w:rsid w:val="EAFFBC6A"/>
    <w:rsid w:val="ED7FF851"/>
    <w:rsid w:val="EF9FF6B9"/>
    <w:rsid w:val="F2FA5F1D"/>
    <w:rsid w:val="FBD32283"/>
    <w:rsid w:val="FBD5B39C"/>
    <w:rsid w:val="FC9F6B02"/>
    <w:rsid w:val="FD9FA183"/>
    <w:rsid w:val="FDBBDDD3"/>
    <w:rsid w:val="FEF58669"/>
    <w:rsid w:val="FEF7FE6D"/>
    <w:rsid w:val="FF7E42ED"/>
    <w:rsid w:val="FFFF57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9"/>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65"/>
    <w:qFormat/>
    <w:uiPriority w:val="0"/>
    <w:pPr>
      <w:keepNext/>
      <w:keepLines/>
      <w:spacing w:before="260" w:after="260" w:line="416" w:lineRule="auto"/>
      <w:outlineLvl w:val="2"/>
    </w:pPr>
    <w:rPr>
      <w:b/>
      <w:bCs/>
      <w:sz w:val="32"/>
      <w:szCs w:val="32"/>
    </w:rPr>
  </w:style>
  <w:style w:type="paragraph" w:styleId="7">
    <w:name w:val="heading 4"/>
    <w:basedOn w:val="4"/>
    <w:next w:val="1"/>
    <w:link w:val="47"/>
    <w:qFormat/>
    <w:uiPriority w:val="0"/>
    <w:pPr>
      <w:keepNext/>
      <w:keepLines/>
      <w:spacing w:before="280" w:after="290" w:line="376" w:lineRule="auto"/>
      <w:outlineLvl w:val="3"/>
    </w:pPr>
    <w:rPr>
      <w:rFonts w:ascii="Cambria" w:hAnsi="Cambria"/>
      <w:b w:val="0"/>
      <w:bCs w:val="0"/>
      <w:szCs w:val="28"/>
    </w:rPr>
  </w:style>
  <w:style w:type="paragraph" w:styleId="8">
    <w:name w:val="heading 5"/>
    <w:basedOn w:val="1"/>
    <w:next w:val="1"/>
    <w:link w:val="58"/>
    <w:qFormat/>
    <w:uiPriority w:val="0"/>
    <w:pPr>
      <w:keepNext/>
      <w:keepLines/>
      <w:spacing w:before="280" w:after="290" w:line="376" w:lineRule="auto"/>
      <w:outlineLvl w:val="4"/>
    </w:pPr>
    <w:rPr>
      <w:b/>
      <w:bCs/>
      <w:szCs w:val="28"/>
    </w:rPr>
  </w:style>
  <w:style w:type="paragraph" w:styleId="9">
    <w:name w:val="heading 6"/>
    <w:basedOn w:val="1"/>
    <w:next w:val="1"/>
    <w:link w:val="60"/>
    <w:qFormat/>
    <w:uiPriority w:val="0"/>
    <w:pPr>
      <w:keepNext/>
      <w:keepLines/>
      <w:spacing w:before="240" w:after="64" w:line="320" w:lineRule="auto"/>
      <w:outlineLvl w:val="5"/>
    </w:pPr>
    <w:rPr>
      <w:rFonts w:ascii="Cambria" w:hAnsi="Cambria"/>
      <w:b/>
      <w:bCs/>
      <w:sz w:val="24"/>
    </w:rPr>
  </w:style>
  <w:style w:type="character" w:default="1" w:styleId="36">
    <w:name w:val="Default Paragraph Font"/>
    <w:semiHidden/>
    <w:uiPriority w:val="0"/>
  </w:style>
  <w:style w:type="table" w:default="1" w:styleId="34">
    <w:name w:val="Normal Table"/>
    <w:semiHidden/>
    <w:uiPriority w:val="0"/>
    <w:tblPr>
      <w:tblStyle w:val="34"/>
      <w:tblCellMar>
        <w:top w:w="0" w:type="dxa"/>
        <w:left w:w="108" w:type="dxa"/>
        <w:bottom w:w="0" w:type="dxa"/>
        <w:right w:w="108" w:type="dxa"/>
      </w:tblCellMar>
    </w:tblPr>
  </w:style>
  <w:style w:type="paragraph" w:styleId="2">
    <w:name w:val="Body Text First Indent 2"/>
    <w:basedOn w:val="3"/>
    <w:next w:val="1"/>
    <w:link w:val="64"/>
    <w:uiPriority w:val="0"/>
    <w:pPr>
      <w:spacing w:after="120" w:line="240" w:lineRule="auto"/>
      <w:ind w:left="420" w:leftChars="200" w:firstLine="420" w:firstLineChars="200"/>
    </w:pPr>
    <w:rPr>
      <w:sz w:val="28"/>
      <w:szCs w:val="24"/>
    </w:rPr>
  </w:style>
  <w:style w:type="paragraph" w:styleId="3">
    <w:name w:val="Body Text Indent"/>
    <w:basedOn w:val="1"/>
    <w:next w:val="1"/>
    <w:link w:val="61"/>
    <w:uiPriority w:val="0"/>
    <w:pPr>
      <w:spacing w:line="200" w:lineRule="atLeast"/>
      <w:ind w:firstLine="301"/>
    </w:pPr>
    <w:rPr>
      <w:rFonts w:ascii="宋体" w:hAnsi="Courier New"/>
      <w:spacing w:val="-4"/>
      <w:sz w:val="18"/>
      <w:szCs w:val="20"/>
    </w:rPr>
  </w:style>
  <w:style w:type="paragraph" w:styleId="10">
    <w:name w:val="List Number"/>
    <w:basedOn w:val="1"/>
    <w:uiPriority w:val="0"/>
    <w:pPr>
      <w:widowControl/>
      <w:tabs>
        <w:tab w:val="left" w:pos="454"/>
        <w:tab w:val="left" w:pos="720"/>
        <w:tab w:val="left" w:pos="900"/>
      </w:tabs>
      <w:spacing w:afterLines="50"/>
      <w:ind w:left="454" w:hanging="284"/>
      <w:jc w:val="left"/>
    </w:pPr>
    <w:rPr>
      <w:kern w:val="0"/>
      <w:sz w:val="24"/>
      <w:szCs w:val="20"/>
    </w:rPr>
  </w:style>
  <w:style w:type="paragraph" w:styleId="11">
    <w:name w:val="Normal Indent"/>
    <w:basedOn w:val="1"/>
    <w:uiPriority w:val="0"/>
    <w:pPr>
      <w:ind w:firstLine="420"/>
    </w:pPr>
    <w:rPr>
      <w:sz w:val="21"/>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link w:val="63"/>
    <w:uiPriority w:val="0"/>
    <w:rPr>
      <w:sz w:val="20"/>
      <w:szCs w:val="20"/>
    </w:rPr>
  </w:style>
  <w:style w:type="paragraph" w:styleId="14">
    <w:name w:val="Body Text 3"/>
    <w:basedOn w:val="1"/>
    <w:uiPriority w:val="0"/>
    <w:pPr>
      <w:snapToGrid w:val="0"/>
      <w:spacing w:before="50" w:after="50"/>
    </w:pPr>
    <w:rPr>
      <w:rFonts w:hAnsi="宋体" w:eastAsia="仿宋_GB2312"/>
      <w:b/>
      <w:bCs/>
      <w:sz w:val="24"/>
      <w:szCs w:val="20"/>
    </w:rPr>
  </w:style>
  <w:style w:type="paragraph" w:styleId="15">
    <w:name w:val="Body Text"/>
    <w:basedOn w:val="1"/>
    <w:uiPriority w:val="0"/>
    <w:pPr>
      <w:spacing w:after="120"/>
    </w:pPr>
  </w:style>
  <w:style w:type="paragraph" w:styleId="16">
    <w:name w:val="List Number 3"/>
    <w:basedOn w:val="1"/>
    <w:uiPriority w:val="0"/>
    <w:pPr>
      <w:numPr>
        <w:ilvl w:val="0"/>
        <w:numId w:val="1"/>
      </w:numPr>
      <w:tabs>
        <w:tab w:val="left" w:pos="1200"/>
      </w:tabs>
      <w:ind w:left="720"/>
    </w:pPr>
    <w:rPr>
      <w:sz w:val="21"/>
    </w:rPr>
  </w:style>
  <w:style w:type="paragraph" w:styleId="17">
    <w:name w:val="List 2"/>
    <w:basedOn w:val="1"/>
    <w:uiPriority w:val="0"/>
    <w:pPr>
      <w:ind w:leftChars="200" w:hanging="200" w:hangingChars="200"/>
    </w:pPr>
  </w:style>
  <w:style w:type="paragraph" w:styleId="18">
    <w:name w:val="Block Text"/>
    <w:basedOn w:val="1"/>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19">
    <w:name w:val="Plain Text"/>
    <w:basedOn w:val="1"/>
    <w:next w:val="20"/>
    <w:link w:val="53"/>
    <w:uiPriority w:val="0"/>
    <w:pPr>
      <w:spacing w:beforeLines="50" w:afterLines="50" w:line="400" w:lineRule="atLeast"/>
    </w:pPr>
    <w:rPr>
      <w:rFonts w:ascii="宋体" w:hAnsi="Courier New"/>
      <w:sz w:val="24"/>
    </w:rPr>
  </w:style>
  <w:style w:type="paragraph" w:styleId="20">
    <w:name w:val="Date"/>
    <w:basedOn w:val="1"/>
    <w:next w:val="1"/>
    <w:link w:val="44"/>
    <w:uiPriority w:val="0"/>
    <w:pPr>
      <w:ind w:leftChars="2500"/>
    </w:pPr>
    <w:rPr>
      <w:rFonts w:eastAsia="楷体_GB2312"/>
      <w:sz w:val="32"/>
      <w:szCs w:val="20"/>
    </w:rPr>
  </w:style>
  <w:style w:type="paragraph" w:styleId="21">
    <w:name w:val="Body Text Indent 2"/>
    <w:basedOn w:val="1"/>
    <w:link w:val="57"/>
    <w:uiPriority w:val="0"/>
    <w:pPr>
      <w:snapToGrid w:val="0"/>
      <w:ind w:firstLine="542" w:firstLineChars="225"/>
    </w:pPr>
    <w:rPr>
      <w:rFonts w:ascii="仿宋_GB2312" w:hAnsi="宋体"/>
      <w:b/>
      <w:bCs/>
      <w:color w:val="000000"/>
      <w:sz w:val="24"/>
    </w:rPr>
  </w:style>
  <w:style w:type="paragraph" w:styleId="22">
    <w:name w:val="Balloon Text"/>
    <w:basedOn w:val="1"/>
    <w:link w:val="52"/>
    <w:uiPriority w:val="0"/>
    <w:rPr>
      <w:sz w:val="18"/>
      <w:szCs w:val="18"/>
    </w:rPr>
  </w:style>
  <w:style w:type="paragraph" w:styleId="23">
    <w:name w:val="footer"/>
    <w:basedOn w:val="1"/>
    <w:link w:val="55"/>
    <w:uiPriority w:val="99"/>
    <w:pPr>
      <w:tabs>
        <w:tab w:val="center" w:pos="4153"/>
        <w:tab w:val="right" w:pos="8306"/>
      </w:tabs>
      <w:snapToGrid w:val="0"/>
      <w:jc w:val="left"/>
    </w:pPr>
    <w:rPr>
      <w:sz w:val="18"/>
      <w:szCs w:val="18"/>
    </w:rPr>
  </w:style>
  <w:style w:type="paragraph" w:styleId="24">
    <w:name w:val="header"/>
    <w:basedOn w:val="1"/>
    <w:link w:val="56"/>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uiPriority w:val="0"/>
    <w:rPr>
      <w:sz w:val="21"/>
    </w:rPr>
  </w:style>
  <w:style w:type="paragraph" w:styleId="26">
    <w:name w:val="List"/>
    <w:basedOn w:val="1"/>
    <w:uiPriority w:val="0"/>
    <w:pPr>
      <w:ind w:left="200" w:hanging="200" w:hangingChars="200"/>
    </w:pPr>
  </w:style>
  <w:style w:type="paragraph" w:styleId="27">
    <w:name w:val="footnote text"/>
    <w:basedOn w:val="1"/>
    <w:uiPriority w:val="0"/>
    <w:pPr>
      <w:snapToGrid w:val="0"/>
      <w:jc w:val="left"/>
    </w:pPr>
    <w:rPr>
      <w:rFonts w:eastAsia="仿宋_GB2312"/>
      <w:sz w:val="18"/>
      <w:szCs w:val="20"/>
    </w:rPr>
  </w:style>
  <w:style w:type="paragraph" w:styleId="28">
    <w:name w:val="Body Text Indent 3"/>
    <w:basedOn w:val="1"/>
    <w:uiPriority w:val="0"/>
    <w:pPr>
      <w:spacing w:after="120"/>
      <w:ind w:left="420" w:leftChars="200"/>
    </w:pPr>
    <w:rPr>
      <w:sz w:val="16"/>
      <w:szCs w:val="16"/>
    </w:rPr>
  </w:style>
  <w:style w:type="paragraph" w:styleId="29">
    <w:name w:val="Body Text 2"/>
    <w:basedOn w:val="1"/>
    <w:uiPriority w:val="0"/>
    <w:pPr>
      <w:widowControl/>
      <w:snapToGrid w:val="0"/>
      <w:spacing w:before="50" w:afterLines="50" w:line="400" w:lineRule="atLeast"/>
      <w:jc w:val="left"/>
    </w:pPr>
    <w:rPr>
      <w:rFonts w:hint="eastAsia" w:ascii="宋体" w:hAnsi="宋体"/>
      <w:color w:val="000000"/>
      <w:sz w:val="24"/>
    </w:rPr>
  </w:style>
  <w:style w:type="paragraph" w:styleId="30">
    <w:name w:val="HTML Preformatted"/>
    <w:basedOn w:val="1"/>
    <w:link w:val="5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32">
    <w:name w:val="Title"/>
    <w:basedOn w:val="1"/>
    <w:next w:val="1"/>
    <w:link w:val="59"/>
    <w:qFormat/>
    <w:uiPriority w:val="0"/>
    <w:pPr>
      <w:spacing w:before="240" w:after="60"/>
      <w:jc w:val="center"/>
      <w:outlineLvl w:val="0"/>
    </w:pPr>
    <w:rPr>
      <w:rFonts w:ascii="Arial" w:hAnsi="Arial" w:cs="Arial"/>
      <w:b/>
      <w:bCs/>
      <w:sz w:val="32"/>
      <w:szCs w:val="32"/>
    </w:rPr>
  </w:style>
  <w:style w:type="paragraph" w:styleId="33">
    <w:name w:val="annotation subject"/>
    <w:basedOn w:val="13"/>
    <w:next w:val="13"/>
    <w:link w:val="62"/>
    <w:uiPriority w:val="0"/>
    <w:rPr>
      <w:b/>
      <w:bCs/>
    </w:rPr>
  </w:style>
  <w:style w:type="table" w:styleId="35">
    <w:name w:val="Table Grid"/>
    <w:basedOn w:val="34"/>
    <w:uiPriority w:val="0"/>
    <w:pPr>
      <w:widowControl w:val="0"/>
      <w:jc w:val="both"/>
    </w:p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basedOn w:val="36"/>
    <w:uiPriority w:val="0"/>
  </w:style>
  <w:style w:type="character" w:styleId="39">
    <w:name w:val="FollowedHyperlink"/>
    <w:uiPriority w:val="0"/>
    <w:rPr>
      <w:color w:val="800080"/>
      <w:u w:val="single"/>
    </w:rPr>
  </w:style>
  <w:style w:type="character" w:styleId="40">
    <w:name w:val="Hyperlink"/>
    <w:uiPriority w:val="0"/>
    <w:rPr>
      <w:color w:val="0000FF"/>
      <w:u w:val="single"/>
    </w:rPr>
  </w:style>
  <w:style w:type="character" w:styleId="41">
    <w:name w:val="annotation reference"/>
    <w:uiPriority w:val="0"/>
    <w:rPr>
      <w:sz w:val="16"/>
      <w:szCs w:val="16"/>
    </w:rPr>
  </w:style>
  <w:style w:type="character" w:styleId="42">
    <w:name w:val="footnote reference"/>
    <w:uiPriority w:val="0"/>
    <w:rPr>
      <w:vertAlign w:val="superscript"/>
    </w:rPr>
  </w:style>
  <w:style w:type="character" w:customStyle="1" w:styleId="43">
    <w:name w:val="标题 1 Char"/>
    <w:link w:val="4"/>
    <w:uiPriority w:val="0"/>
    <w:rPr>
      <w:b/>
      <w:bCs/>
      <w:kern w:val="44"/>
      <w:sz w:val="44"/>
      <w:szCs w:val="44"/>
    </w:rPr>
  </w:style>
  <w:style w:type="character" w:customStyle="1" w:styleId="44">
    <w:name w:val="日期 Char"/>
    <w:link w:val="20"/>
    <w:uiPriority w:val="0"/>
    <w:rPr>
      <w:rFonts w:eastAsia="楷体_GB2312"/>
      <w:kern w:val="2"/>
      <w:sz w:val="32"/>
    </w:rPr>
  </w:style>
  <w:style w:type="character" w:customStyle="1" w:styleId="45">
    <w:name w:val="List Paragraph Char"/>
    <w:link w:val="46"/>
    <w:locked/>
    <w:uiPriority w:val="0"/>
    <w:rPr>
      <w:kern w:val="2"/>
      <w:sz w:val="24"/>
      <w:szCs w:val="24"/>
    </w:rPr>
  </w:style>
  <w:style w:type="paragraph" w:customStyle="1" w:styleId="46">
    <w:name w:val="列出段落1"/>
    <w:basedOn w:val="1"/>
    <w:link w:val="45"/>
    <w:qFormat/>
    <w:uiPriority w:val="0"/>
    <w:pPr>
      <w:ind w:firstLine="420" w:firstLineChars="200"/>
    </w:pPr>
    <w:rPr>
      <w:sz w:val="24"/>
    </w:rPr>
  </w:style>
  <w:style w:type="character" w:customStyle="1" w:styleId="47">
    <w:name w:val="标题 4 Char"/>
    <w:link w:val="7"/>
    <w:semiHidden/>
    <w:uiPriority w:val="0"/>
    <w:rPr>
      <w:rFonts w:ascii="Cambria" w:hAnsi="Cambria" w:eastAsia="宋体" w:cs="Times New Roman"/>
      <w:b/>
      <w:bCs/>
      <w:kern w:val="2"/>
      <w:sz w:val="28"/>
      <w:szCs w:val="28"/>
    </w:rPr>
  </w:style>
  <w:style w:type="character" w:customStyle="1" w:styleId="48">
    <w:name w:val="标题 2 Char"/>
    <w:qFormat/>
    <w:uiPriority w:val="0"/>
    <w:rPr>
      <w:rFonts w:ascii="Arial" w:hAnsi="Arial" w:eastAsia="黑体"/>
      <w:b/>
      <w:bCs/>
      <w:sz w:val="32"/>
      <w:szCs w:val="32"/>
      <w:lang w:val="en-US" w:eastAsia="zh-CN" w:bidi="ar-SA"/>
    </w:rPr>
  </w:style>
  <w:style w:type="character" w:customStyle="1" w:styleId="49">
    <w:name w:val="标题 2 Char1"/>
    <w:link w:val="5"/>
    <w:qFormat/>
    <w:locked/>
    <w:uiPriority w:val="0"/>
    <w:rPr>
      <w:rFonts w:ascii="Arial" w:hAnsi="Arial" w:eastAsia="黑体"/>
      <w:b/>
      <w:bCs/>
      <w:kern w:val="2"/>
      <w:sz w:val="32"/>
      <w:szCs w:val="32"/>
    </w:rPr>
  </w:style>
  <w:style w:type="character" w:customStyle="1" w:styleId="50">
    <w:name w:val="纯文本 Char1"/>
    <w:aliases w:val="普通文字 Char Char1,纯文本 Char Char Char,纯文本 Char Char1,普通文字 Char Char Char1,Texte Char,普通文字 Char1,普通文字1 Char,普通文字2 Char,普通文字3 Char,普通文字4 Char,普通文字5 Char,普通文字6 Char,普通文字11 Char,普通文字21 Char,普通文字31 Char,普通文字41 Char,普通文字7 Char,正 文 1 Char,小 Char,孙普文字 Char"/>
    <w:uiPriority w:val="0"/>
    <w:rPr>
      <w:rFonts w:ascii="宋体" w:hAnsi="Courier New" w:eastAsia="宋体"/>
      <w:kern w:val="2"/>
      <w:sz w:val="24"/>
      <w:szCs w:val="24"/>
      <w:lang w:val="en-US" w:eastAsia="zh-CN" w:bidi="ar-SA"/>
    </w:rPr>
  </w:style>
  <w:style w:type="character" w:customStyle="1" w:styleId="51">
    <w:name w:val="HTML 预设格式 Char"/>
    <w:link w:val="30"/>
    <w:uiPriority w:val="0"/>
    <w:rPr>
      <w:rFonts w:ascii="宋体" w:hAnsi="宋体"/>
      <w:sz w:val="24"/>
      <w:szCs w:val="24"/>
    </w:rPr>
  </w:style>
  <w:style w:type="character" w:customStyle="1" w:styleId="52">
    <w:name w:val="批注框文本 Char"/>
    <w:link w:val="22"/>
    <w:uiPriority w:val="0"/>
    <w:rPr>
      <w:kern w:val="2"/>
      <w:sz w:val="18"/>
      <w:szCs w:val="18"/>
    </w:rPr>
  </w:style>
  <w:style w:type="character" w:customStyle="1" w:styleId="53">
    <w:name w:val="纯文本 Char"/>
    <w:link w:val="19"/>
    <w:uiPriority w:val="0"/>
    <w:rPr>
      <w:rFonts w:ascii="宋体" w:hAnsi="Courier New" w:eastAsia="宋体"/>
      <w:kern w:val="2"/>
      <w:sz w:val="24"/>
      <w:szCs w:val="24"/>
      <w:lang w:val="en-US" w:eastAsia="zh-CN" w:bidi="ar-SA"/>
    </w:rPr>
  </w:style>
  <w:style w:type="character" w:customStyle="1" w:styleId="54">
    <w:name w:val="标题 1 Char Char"/>
    <w:uiPriority w:val="0"/>
    <w:rPr>
      <w:rFonts w:eastAsia="宋体"/>
      <w:b/>
      <w:spacing w:val="-2"/>
      <w:sz w:val="24"/>
      <w:lang w:val="en-US" w:eastAsia="zh-CN" w:bidi="ar-SA"/>
    </w:rPr>
  </w:style>
  <w:style w:type="character" w:customStyle="1" w:styleId="55">
    <w:name w:val="页脚 Char"/>
    <w:link w:val="23"/>
    <w:uiPriority w:val="99"/>
    <w:rPr>
      <w:kern w:val="2"/>
      <w:sz w:val="18"/>
      <w:szCs w:val="18"/>
    </w:rPr>
  </w:style>
  <w:style w:type="character" w:customStyle="1" w:styleId="56">
    <w:name w:val="页眉 Char"/>
    <w:link w:val="24"/>
    <w:uiPriority w:val="0"/>
    <w:rPr>
      <w:kern w:val="2"/>
      <w:sz w:val="18"/>
      <w:szCs w:val="18"/>
    </w:rPr>
  </w:style>
  <w:style w:type="character" w:customStyle="1" w:styleId="57">
    <w:name w:val="正文文本缩进 2 Char"/>
    <w:link w:val="21"/>
    <w:qFormat/>
    <w:uiPriority w:val="0"/>
    <w:rPr>
      <w:rFonts w:ascii="仿宋_GB2312" w:hAnsi="宋体" w:cs="Arial"/>
      <w:b/>
      <w:bCs/>
      <w:color w:val="000000"/>
      <w:kern w:val="2"/>
      <w:sz w:val="24"/>
      <w:szCs w:val="24"/>
    </w:rPr>
  </w:style>
  <w:style w:type="character" w:customStyle="1" w:styleId="58">
    <w:name w:val="标题 5 Char"/>
    <w:link w:val="8"/>
    <w:semiHidden/>
    <w:uiPriority w:val="0"/>
    <w:rPr>
      <w:b/>
      <w:bCs/>
      <w:kern w:val="2"/>
      <w:sz w:val="28"/>
      <w:szCs w:val="28"/>
    </w:rPr>
  </w:style>
  <w:style w:type="character" w:customStyle="1" w:styleId="59">
    <w:name w:val="标题 Char"/>
    <w:link w:val="32"/>
    <w:uiPriority w:val="0"/>
    <w:rPr>
      <w:rFonts w:ascii="Arial" w:hAnsi="Arial" w:eastAsia="宋体" w:cs="Arial"/>
      <w:b/>
      <w:bCs/>
      <w:kern w:val="2"/>
      <w:sz w:val="32"/>
      <w:szCs w:val="32"/>
      <w:lang w:val="en-US" w:eastAsia="zh-CN" w:bidi="ar-SA"/>
    </w:rPr>
  </w:style>
  <w:style w:type="character" w:customStyle="1" w:styleId="60">
    <w:name w:val="标题 6 Char"/>
    <w:link w:val="9"/>
    <w:semiHidden/>
    <w:uiPriority w:val="0"/>
    <w:rPr>
      <w:rFonts w:ascii="Cambria" w:hAnsi="Cambria" w:eastAsia="宋体" w:cs="Times New Roman"/>
      <w:b/>
      <w:bCs/>
      <w:kern w:val="2"/>
      <w:sz w:val="24"/>
      <w:szCs w:val="24"/>
    </w:rPr>
  </w:style>
  <w:style w:type="character" w:customStyle="1" w:styleId="61">
    <w:name w:val="正文文本缩进 Char"/>
    <w:link w:val="3"/>
    <w:uiPriority w:val="0"/>
    <w:rPr>
      <w:rFonts w:ascii="宋体" w:hAnsi="Courier New"/>
      <w:spacing w:val="-4"/>
      <w:kern w:val="2"/>
      <w:sz w:val="18"/>
    </w:rPr>
  </w:style>
  <w:style w:type="character" w:customStyle="1" w:styleId="62">
    <w:name w:val="批注主题 Char"/>
    <w:link w:val="33"/>
    <w:uiPriority w:val="0"/>
    <w:rPr>
      <w:b/>
      <w:bCs/>
      <w:kern w:val="2"/>
      <w:lang w:val="en-US"/>
    </w:rPr>
  </w:style>
  <w:style w:type="character" w:customStyle="1" w:styleId="63">
    <w:name w:val="批注文字 Char"/>
    <w:link w:val="13"/>
    <w:uiPriority w:val="0"/>
    <w:rPr>
      <w:kern w:val="2"/>
      <w:lang w:val="en-US"/>
    </w:rPr>
  </w:style>
  <w:style w:type="character" w:customStyle="1" w:styleId="64">
    <w:name w:val="正文首行缩进 2 Char"/>
    <w:link w:val="2"/>
    <w:uiPriority w:val="0"/>
    <w:rPr>
      <w:rFonts w:ascii="宋体" w:hAnsi="Courier New"/>
      <w:spacing w:val="-4"/>
      <w:kern w:val="2"/>
      <w:sz w:val="28"/>
      <w:szCs w:val="24"/>
    </w:rPr>
  </w:style>
  <w:style w:type="character" w:customStyle="1" w:styleId="65">
    <w:name w:val="标题 3 Char"/>
    <w:link w:val="6"/>
    <w:uiPriority w:val="0"/>
    <w:rPr>
      <w:b/>
      <w:bCs/>
      <w:kern w:val="2"/>
      <w:sz w:val="32"/>
      <w:szCs w:val="32"/>
    </w:rPr>
  </w:style>
  <w:style w:type="paragraph" w:customStyle="1" w:styleId="66">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7">
    <w:name w:val="样式"/>
    <w:basedOn w:val="1"/>
    <w:next w:val="68"/>
    <w:uiPriority w:val="99"/>
    <w:pPr>
      <w:widowControl w:val="0"/>
      <w:ind w:firstLine="420" w:firstLineChars="200"/>
      <w:jc w:val="both"/>
    </w:pPr>
    <w:rPr>
      <w:kern w:val="2"/>
      <w:szCs w:val="24"/>
    </w:rPr>
  </w:style>
  <w:style w:type="paragraph" w:customStyle="1" w:styleId="68">
    <w:name w:val="列出段落"/>
    <w:basedOn w:val="1"/>
    <w:qFormat/>
    <w:uiPriority w:val="0"/>
    <w:pPr>
      <w:ind w:firstLine="420" w:firstLineChars="200"/>
    </w:pPr>
    <w:rPr>
      <w:rFonts w:ascii="Calibri" w:hAnsi="Calibri"/>
      <w:szCs w:val="22"/>
    </w:rPr>
  </w:style>
  <w:style w:type="paragraph" w:customStyle="1" w:styleId="69">
    <w:name w:val=" Char1"/>
    <w:basedOn w:val="1"/>
    <w:uiPriority w:val="0"/>
    <w:pPr>
      <w:jc w:val="center"/>
    </w:pPr>
    <w:rPr>
      <w:rFonts w:ascii="仿宋_GB2312" w:eastAsia="仿宋_GB2312"/>
      <w:b/>
      <w:kern w:val="0"/>
      <w:sz w:val="32"/>
      <w:szCs w:val="32"/>
      <w:lang w:val="en-GB"/>
    </w:rPr>
  </w:style>
  <w:style w:type="paragraph" w:customStyle="1" w:styleId="70">
    <w:name w:val=" Char"/>
    <w:basedOn w:val="1"/>
    <w:uiPriority w:val="0"/>
    <w:rPr>
      <w:sz w:val="24"/>
    </w:rPr>
  </w:style>
  <w:style w:type="paragraph" w:customStyle="1" w:styleId="71">
    <w:name w:val=" Char2"/>
    <w:basedOn w:val="1"/>
    <w:next w:val="1"/>
    <w:uiPriority w:val="0"/>
    <w:pPr>
      <w:spacing w:before="120" w:line="360" w:lineRule="auto"/>
      <w:ind w:firstLine="425"/>
    </w:pPr>
    <w:rPr>
      <w:sz w:val="24"/>
    </w:rPr>
  </w:style>
  <w:style w:type="paragraph" w:customStyle="1" w:styleId="72">
    <w:name w:val="正文 首行缩进:  2 字符 Char Char"/>
    <w:basedOn w:val="1"/>
    <w:qFormat/>
    <w:uiPriority w:val="0"/>
    <w:pPr>
      <w:spacing w:line="360" w:lineRule="auto"/>
      <w:ind w:firstLine="480"/>
    </w:pPr>
    <w:rPr>
      <w:rFonts w:ascii="Calibri" w:hAnsi="Calibri" w:eastAsia="宋体" w:cs="宋体"/>
      <w:sz w:val="24"/>
      <w:szCs w:val="20"/>
    </w:rPr>
  </w:style>
  <w:style w:type="paragraph" w:customStyle="1" w:styleId="73">
    <w:name w:val="正文首行缩进2字符"/>
    <w:basedOn w:val="1"/>
    <w:uiPriority w:val="99"/>
    <w:pPr>
      <w:spacing w:line="360" w:lineRule="auto"/>
      <w:ind w:firstLine="200" w:firstLineChars="200"/>
    </w:pPr>
    <w:rPr>
      <w:sz w:val="24"/>
      <w:szCs w:val="20"/>
    </w:rPr>
  </w:style>
  <w:style w:type="paragraph" w:customStyle="1" w:styleId="74">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75">
    <w:name w:val="List Paragraph"/>
    <w:basedOn w:val="1"/>
    <w:qFormat/>
    <w:uiPriority w:val="0"/>
    <w:pPr>
      <w:ind w:firstLine="420" w:firstLineChars="200"/>
    </w:pPr>
    <w:rPr>
      <w:sz w:val="21"/>
    </w:rPr>
  </w:style>
  <w:style w:type="paragraph" w:customStyle="1" w:styleId="76">
    <w:name w:val="样式 标题 2 + Times New Roman 四号 非加粗 段前: 5 磅 段后: 0 磅 行距: 固定值 20..."/>
    <w:basedOn w:val="5"/>
    <w:uiPriority w:val="0"/>
    <w:pPr>
      <w:spacing w:before="100" w:after="0" w:line="400" w:lineRule="exact"/>
    </w:pPr>
    <w:rPr>
      <w:rFonts w:ascii="Times New Roman" w:hAnsi="Times New Roman" w:cs="宋体"/>
      <w:b w:val="0"/>
      <w:bCs w:val="0"/>
      <w:sz w:val="28"/>
      <w:szCs w:val="20"/>
    </w:rPr>
  </w:style>
  <w:style w:type="paragraph" w:customStyle="1" w:styleId="77">
    <w:name w:val="默认段落字体 Para Char Char Char Char Char Char Char Char Char1 Char Char Char Char"/>
    <w:basedOn w:val="1"/>
    <w:uiPriority w:val="0"/>
    <w:rPr>
      <w:rFonts w:ascii="Tahoma" w:hAnsi="Tahoma"/>
      <w:sz w:val="24"/>
      <w:szCs w:val="20"/>
    </w:rPr>
  </w:style>
  <w:style w:type="paragraph" w:customStyle="1" w:styleId="78">
    <w:name w:val="列出段落3"/>
    <w:basedOn w:val="1"/>
    <w:qFormat/>
    <w:uiPriority w:val="34"/>
    <w:pPr>
      <w:ind w:firstLine="420" w:firstLineChars="200"/>
    </w:pPr>
    <w:rPr>
      <w:szCs w:val="22"/>
    </w:rPr>
  </w:style>
  <w:style w:type="paragraph" w:customStyle="1" w:styleId="79">
    <w:name w:val="Normal (Web)1"/>
    <w:basedOn w:val="1"/>
    <w:uiPriority w:val="0"/>
    <w:pPr>
      <w:widowControl/>
      <w:spacing w:before="100" w:beforeAutospacing="1" w:after="100" w:afterAutospacing="1"/>
      <w:jc w:val="left"/>
    </w:pPr>
    <w:rPr>
      <w:rFonts w:ascii="宋体" w:hAnsi="宋体" w:cs="宋体"/>
      <w:kern w:val="0"/>
      <w:sz w:val="24"/>
    </w:rPr>
  </w:style>
  <w:style w:type="paragraph" w:customStyle="1" w:styleId="80">
    <w:name w:val="Char"/>
    <w:basedOn w:val="1"/>
    <w:uiPriority w:val="0"/>
    <w:rPr>
      <w:sz w:val="21"/>
    </w:rPr>
  </w:style>
  <w:style w:type="paragraph" w:customStyle="1" w:styleId="81">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8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3">
    <w:name w:val="Table Paragraph"/>
    <w:basedOn w:val="1"/>
    <w:qFormat/>
    <w:uiPriority w:val="1"/>
  </w:style>
  <w:style w:type="paragraph" w:customStyle="1" w:styleId="84">
    <w:name w:val="表内文字"/>
    <w:basedOn w:val="1"/>
    <w:uiPriority w:val="0"/>
    <w:pPr>
      <w:tabs>
        <w:tab w:val="left" w:pos="1418"/>
      </w:tabs>
      <w:spacing w:line="360" w:lineRule="auto"/>
      <w:jc w:val="center"/>
    </w:pPr>
    <w:rPr>
      <w:rFonts w:hint="eastAsia" w:ascii="仿宋_GB2312" w:eastAsia="仿宋_GB2312"/>
      <w:spacing w:val="-20"/>
      <w:kern w:val="0"/>
      <w:sz w:val="24"/>
    </w:rPr>
  </w:style>
  <w:style w:type="paragraph" w:customStyle="1" w:styleId="85">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8"/>
      <w:szCs w:val="28"/>
      <w:lang w:val="en-US" w:eastAsia="zh-CN" w:bidi="ar"/>
    </w:rPr>
  </w:style>
  <w:style w:type="paragraph" w:customStyle="1" w:styleId="86">
    <w:name w:val="列表段落1"/>
    <w:basedOn w:val="1"/>
    <w:qFormat/>
    <w:uiPriority w:val="34"/>
    <w:pPr>
      <w:ind w:firstLine="420" w:firstLineChars="200"/>
    </w:pPr>
    <w:rPr>
      <w:sz w:val="21"/>
    </w:rPr>
  </w:style>
  <w:style w:type="paragraph" w:customStyle="1" w:styleId="87">
    <w:name w:val="列出段落2"/>
    <w:basedOn w:val="1"/>
    <w:uiPriority w:val="99"/>
    <w:pPr>
      <w:spacing w:before="100" w:line="500" w:lineRule="exact"/>
      <w:ind w:firstLine="420" w:firstLineChars="200"/>
    </w:pPr>
    <w:rPr>
      <w:rFonts w:ascii="宋体" w:hAnsi="宋体" w:eastAsia="宋体"/>
      <w:kern w:val="0"/>
      <w:sz w:val="20"/>
      <w:szCs w:val="20"/>
    </w:rPr>
  </w:style>
  <w:style w:type="paragraph" w:customStyle="1" w:styleId="88">
    <w:name w:val=" Char Char Char1"/>
    <w:basedOn w:val="1"/>
    <w:semiHidden/>
    <w:uiPriority w:val="0"/>
    <w:rPr>
      <w:sz w:val="21"/>
    </w:rPr>
  </w:style>
  <w:style w:type="paragraph" w:customStyle="1" w:styleId="89">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90">
    <w:name w:val="正文2"/>
    <w:basedOn w:val="1"/>
    <w:qFormat/>
    <w:uiPriority w:val="0"/>
    <w:pPr>
      <w:spacing w:before="156" w:beforeLines="0" w:line="360" w:lineRule="auto"/>
      <w:ind w:firstLine="510" w:firstLineChars="200"/>
    </w:pPr>
    <w:rPr>
      <w:sz w:val="24"/>
      <w:szCs w:val="20"/>
    </w:rPr>
  </w:style>
  <w:style w:type="paragraph" w:customStyle="1" w:styleId="91">
    <w:name w:val="正文段"/>
    <w:basedOn w:val="1"/>
    <w:uiPriority w:val="0"/>
    <w:pPr>
      <w:widowControl/>
      <w:snapToGrid w:val="0"/>
      <w:spacing w:afterLines="50"/>
      <w:ind w:firstLine="200" w:firstLineChars="200"/>
    </w:pPr>
    <w:rPr>
      <w:kern w:val="0"/>
      <w:sz w:val="24"/>
      <w:szCs w:val="20"/>
    </w:rPr>
  </w:style>
  <w:style w:type="paragraph" w:customStyle="1" w:styleId="92">
    <w:name w:val="默认"/>
    <w:uiPriority w:val="0"/>
    <w:rPr>
      <w:rFonts w:hint="eastAsia" w:ascii="Arial Unicode MS" w:hAnsi="Arial Unicode MS" w:eastAsia="Helvetica" w:cs="Arial Unicode MS"/>
      <w:color w:val="000000"/>
      <w:sz w:val="22"/>
      <w:szCs w:val="22"/>
      <w:lang w:val="zh-CN" w:eastAsia="zh-CN" w:bidi="ar-SA"/>
    </w:rPr>
  </w:style>
  <w:style w:type="paragraph" w:customStyle="1" w:styleId="93">
    <w:name w:val="p15"/>
    <w:basedOn w:val="1"/>
    <w:qFormat/>
    <w:uiPriority w:val="0"/>
    <w:pPr>
      <w:widowControl/>
      <w:spacing w:line="360" w:lineRule="auto"/>
      <w:ind w:firstLine="403"/>
    </w:pPr>
    <w:rPr>
      <w:rFonts w:ascii="仿宋_GB2312" w:hAnsi="宋体" w:eastAsia="仿宋_GB2312" w:cs="宋体"/>
      <w:kern w:val="0"/>
      <w:sz w:val="28"/>
      <w:szCs w:val="28"/>
    </w:rPr>
  </w:style>
  <w:style w:type="paragraph" w:customStyle="1" w:styleId="94">
    <w:name w:val="标准正文"/>
    <w:basedOn w:val="1"/>
    <w:uiPriority w:val="0"/>
    <w:pPr>
      <w:spacing w:after="156" w:afterLines="50"/>
      <w:ind w:firstLine="200" w:firstLineChars="200"/>
    </w:pPr>
    <w:rPr>
      <w:sz w:val="24"/>
      <w:szCs w:val="21"/>
    </w:rPr>
  </w:style>
  <w:style w:type="paragraph" w:customStyle="1" w:styleId="95">
    <w:name w:val="修订"/>
    <w:semiHidden/>
    <w:uiPriority w:val="99"/>
    <w:rPr>
      <w:kern w:val="2"/>
      <w:sz w:val="28"/>
      <w:szCs w:val="24"/>
      <w:lang w:val="en-US" w:eastAsia="zh-CN" w:bidi="ar-SA"/>
    </w:rPr>
  </w:style>
  <w:style w:type="paragraph" w:customStyle="1" w:styleId="96">
    <w:name w:val="Blockquote"/>
    <w:basedOn w:val="1"/>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17441</Words>
  <Characters>17617</Characters>
  <Lines>489</Lines>
  <Paragraphs>141</Paragraphs>
  <TotalTime>2</TotalTime>
  <ScaleCrop>false</ScaleCrop>
  <LinksUpToDate>false</LinksUpToDate>
  <CharactersWithSpaces>34917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2020-07-07T02:57:00Z</dcterms:created>
  <dc:creator>费国炎</dc:creator>
  <cp:lastModifiedBy>WPS_1701756769</cp:lastModifiedBy>
  <cp:lastPrinted>2020-10-13T06:54:00Z</cp:lastPrinted>
  <dcterms:modified xsi:type="dcterms:W3CDTF">2024-02-26T04:21:44Z</dcterms:modified>
  <cp:revision>21</cp:revision>
  <dc:title>浙江省政府采购招标文件（范本）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4A073FBA133D474893F6052354EE81E9_13</vt:lpwstr>
  </property>
</Properties>
</file>