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p>
    <w:p>
      <w:pPr>
        <w:spacing w:line="240" w:lineRule="auto"/>
        <w:jc w:val="center"/>
        <w:rPr>
          <w:rFonts w:hint="eastAsia" w:ascii="宋体" w:hAnsi="宋体" w:eastAsia="宋体" w:cs="宋体"/>
          <w:color w:val="auto"/>
          <w:sz w:val="36"/>
          <w:highlight w:val="none"/>
        </w:rPr>
      </w:pPr>
    </w:p>
    <w:p>
      <w:pPr>
        <w:spacing w:line="240" w:lineRule="auto"/>
        <w:jc w:val="center"/>
        <w:rPr>
          <w:rFonts w:hint="eastAsia" w:ascii="宋体" w:hAnsi="宋体" w:eastAsia="宋体" w:cs="宋体"/>
          <w:color w:val="auto"/>
          <w:sz w:val="50"/>
          <w:szCs w:val="50"/>
          <w:highlight w:val="none"/>
        </w:rPr>
      </w:pPr>
      <w:r>
        <w:rPr>
          <w:rFonts w:hint="eastAsia" w:ascii="宋体" w:hAnsi="宋体" w:eastAsia="宋体" w:cs="宋体"/>
          <w:color w:val="auto"/>
          <w:sz w:val="50"/>
          <w:szCs w:val="50"/>
          <w:highlight w:val="none"/>
          <w:lang w:eastAsia="zh-CN"/>
        </w:rPr>
        <w:t>萧山区未来社区基础服务系统-信息化项目（重招）</w:t>
      </w:r>
      <w:r>
        <w:rPr>
          <w:rFonts w:hint="eastAsia" w:ascii="宋体" w:hAnsi="宋体" w:eastAsia="宋体" w:cs="宋体"/>
          <w:color w:val="auto"/>
          <w:sz w:val="50"/>
          <w:szCs w:val="50"/>
          <w:highlight w:val="none"/>
        </w:rPr>
        <w:t>招标文件</w:t>
      </w:r>
    </w:p>
    <w:p>
      <w:pPr>
        <w:spacing w:line="240" w:lineRule="auto"/>
        <w:jc w:val="center"/>
        <w:rPr>
          <w:rFonts w:hint="eastAsia" w:ascii="宋体" w:hAnsi="宋体" w:eastAsia="宋体" w:cs="宋体"/>
          <w:color w:val="auto"/>
          <w:sz w:val="40"/>
          <w:highlight w:val="none"/>
        </w:rPr>
      </w:pPr>
    </w:p>
    <w:p>
      <w:pPr>
        <w:spacing w:line="240" w:lineRule="auto"/>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（电子招投标）</w:t>
      </w:r>
    </w:p>
    <w:p>
      <w:pPr>
        <w:spacing w:line="240" w:lineRule="auto"/>
        <w:jc w:val="center"/>
        <w:rPr>
          <w:rFonts w:hint="eastAsia" w:ascii="宋体" w:hAnsi="宋体" w:eastAsia="宋体" w:cs="宋体"/>
          <w:color w:val="auto"/>
          <w:sz w:val="36"/>
          <w:highlight w:val="none"/>
        </w:rPr>
      </w:pPr>
    </w:p>
    <w:p>
      <w:pPr>
        <w:spacing w:line="240" w:lineRule="auto"/>
        <w:jc w:val="center"/>
        <w:rPr>
          <w:rFonts w:hint="eastAsia" w:ascii="宋体" w:hAnsi="宋体" w:eastAsia="宋体" w:cs="宋体"/>
          <w:color w:val="auto"/>
          <w:sz w:val="36"/>
          <w:highlight w:val="none"/>
          <w:lang w:val="en-US" w:eastAsia="zh-CN"/>
        </w:rPr>
      </w:pPr>
      <w:r>
        <w:rPr>
          <w:rFonts w:hint="eastAsia" w:ascii="宋体" w:hAnsi="宋体" w:eastAsia="宋体" w:cs="宋体"/>
          <w:color w:val="auto"/>
          <w:sz w:val="36"/>
          <w:highlight w:val="none"/>
        </w:rPr>
        <w:t xml:space="preserve">编号: </w:t>
      </w:r>
      <w:r>
        <w:rPr>
          <w:rFonts w:hint="eastAsia" w:ascii="宋体" w:hAnsi="宋体" w:eastAsia="宋体" w:cs="宋体"/>
          <w:color w:val="auto"/>
          <w:sz w:val="36"/>
          <w:highlight w:val="none"/>
          <w:lang w:val="en-US" w:eastAsia="zh-CN"/>
        </w:rPr>
        <w:t>JJXS2023001-1</w:t>
      </w:r>
    </w:p>
    <w:p>
      <w:pPr>
        <w:spacing w:line="240" w:lineRule="auto"/>
        <w:jc w:val="center"/>
        <w:rPr>
          <w:rFonts w:hint="eastAsia" w:ascii="宋体" w:hAnsi="宋体" w:eastAsia="宋体" w:cs="宋体"/>
          <w:color w:val="auto"/>
          <w:sz w:val="36"/>
          <w:highlight w:val="none"/>
        </w:rPr>
      </w:pPr>
    </w:p>
    <w:p>
      <w:pPr>
        <w:spacing w:line="240" w:lineRule="auto"/>
        <w:jc w:val="center"/>
        <w:rPr>
          <w:rFonts w:hint="eastAsia" w:ascii="宋体" w:hAnsi="宋体" w:eastAsia="宋体" w:cs="宋体"/>
          <w:color w:val="auto"/>
          <w:sz w:val="36"/>
          <w:highlight w:val="none"/>
        </w:rPr>
      </w:pPr>
    </w:p>
    <w:p>
      <w:pPr>
        <w:spacing w:line="240" w:lineRule="auto"/>
        <w:jc w:val="center"/>
        <w:rPr>
          <w:rFonts w:hint="eastAsia" w:ascii="宋体" w:hAnsi="宋体" w:eastAsia="宋体" w:cs="宋体"/>
          <w:color w:val="auto"/>
          <w:sz w:val="36"/>
          <w:highlight w:val="none"/>
        </w:rPr>
      </w:pPr>
    </w:p>
    <w:p>
      <w:pPr>
        <w:spacing w:line="240" w:lineRule="auto"/>
        <w:jc w:val="center"/>
        <w:rPr>
          <w:rFonts w:hint="eastAsia" w:ascii="宋体" w:hAnsi="宋体" w:eastAsia="宋体" w:cs="宋体"/>
          <w:color w:val="auto"/>
          <w:sz w:val="36"/>
          <w:highlight w:val="none"/>
        </w:rPr>
      </w:pPr>
    </w:p>
    <w:p>
      <w:pPr>
        <w:pStyle w:val="16"/>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p>
    <w:p>
      <w:pPr>
        <w:spacing w:line="240" w:lineRule="auto"/>
        <w:jc w:val="center"/>
        <w:rPr>
          <w:rFonts w:hint="eastAsia" w:ascii="宋体" w:hAnsi="宋体" w:eastAsia="宋体" w:cs="宋体"/>
          <w:color w:val="auto"/>
          <w:highlight w:val="none"/>
        </w:rPr>
      </w:pPr>
    </w:p>
    <w:p>
      <w:pPr>
        <w:spacing w:line="24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杭州市萧山区住房和城乡建设局</w:t>
      </w:r>
    </w:p>
    <w:p>
      <w:pPr>
        <w:spacing w:line="24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lang w:eastAsia="zh-CN"/>
        </w:rPr>
        <w:t>建经投资咨询有限公司</w:t>
      </w:r>
    </w:p>
    <w:p>
      <w:pPr>
        <w:spacing w:line="24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lang w:val="en-US" w:eastAsia="zh-CN"/>
        </w:rPr>
        <w:t>2023</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3</w:t>
      </w:r>
      <w:r>
        <w:rPr>
          <w:rFonts w:hint="eastAsia" w:ascii="宋体" w:hAnsi="宋体" w:eastAsia="宋体" w:cs="宋体"/>
          <w:color w:val="auto"/>
          <w:sz w:val="36"/>
          <w:highlight w:val="none"/>
        </w:rPr>
        <w:t>月</w:t>
      </w:r>
      <w:r>
        <w:rPr>
          <w:rFonts w:hint="eastAsia" w:ascii="宋体" w:hAnsi="宋体" w:eastAsia="宋体" w:cs="宋体"/>
          <w:color w:val="auto"/>
          <w:sz w:val="36"/>
          <w:highlight w:val="none"/>
          <w:lang w:val="en-US" w:eastAsia="zh-CN"/>
        </w:rPr>
        <w:t>27</w:t>
      </w:r>
      <w:r>
        <w:rPr>
          <w:rFonts w:hint="eastAsia" w:ascii="宋体" w:hAnsi="宋体" w:eastAsia="宋体" w:cs="宋体"/>
          <w:color w:val="auto"/>
          <w:sz w:val="36"/>
          <w:highlight w:val="none"/>
        </w:rPr>
        <w:t>日</w:t>
      </w:r>
    </w:p>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本招标文件为2022年7月1日稿，请各位投标人详细阅读各项条款</w:t>
      </w:r>
    </w:p>
    <w:p>
      <w:pPr>
        <w:spacing w:line="240" w:lineRule="auto"/>
        <w:rPr>
          <w:rFonts w:hint="eastAsia"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目  录</w:t>
      </w:r>
    </w:p>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第一部分      招标公告</w:t>
      </w:r>
    </w:p>
    <w:p>
      <w:pPr>
        <w:spacing w:line="24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第二部分      投标人须知</w:t>
      </w:r>
    </w:p>
    <w:p>
      <w:pPr>
        <w:spacing w:line="24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第三部分      采购需求</w:t>
      </w:r>
    </w:p>
    <w:p>
      <w:pPr>
        <w:spacing w:line="24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第四部分      评标办法</w:t>
      </w:r>
    </w:p>
    <w:p>
      <w:pPr>
        <w:spacing w:line="24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第五部分      拟签订的合同文本</w:t>
      </w:r>
    </w:p>
    <w:p>
      <w:pPr>
        <w:spacing w:line="24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第六部分      应提交的有关格式范例</w:t>
      </w:r>
    </w:p>
    <w:p>
      <w:pPr>
        <w:spacing w:line="240" w:lineRule="auto"/>
        <w:rPr>
          <w:rFonts w:hint="eastAsia" w:ascii="宋体" w:hAnsi="宋体" w:eastAsia="宋体" w:cs="宋体"/>
          <w:color w:val="auto"/>
          <w:sz w:val="32"/>
          <w:highlight w:val="none"/>
        </w:rPr>
      </w:pPr>
    </w:p>
    <w:p>
      <w:pPr>
        <w:spacing w:line="240" w:lineRule="auto"/>
        <w:rPr>
          <w:rFonts w:hint="eastAsia"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第一部分 招标公告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line="240" w:lineRule="auto"/>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spacing w:after="0"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lang w:eastAsia="zh-CN"/>
              </w:rPr>
              <w:t>萧山区未来社区基础服务系统-信息化项目（重招）</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tc>
      </w:tr>
    </w:tbl>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一、项目基本情况                                            </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JJXS2023001-1</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sz w:val="24"/>
          <w:szCs w:val="24"/>
          <w:highlight w:val="none"/>
          <w:u w:val="none"/>
          <w:lang w:eastAsia="zh-CN"/>
        </w:rPr>
        <w:t>萧山区未来社区基础服务系统-信息化项目（重招）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预算金额（元）：</w:t>
      </w:r>
      <w:r>
        <w:rPr>
          <w:rFonts w:hint="eastAsia" w:ascii="宋体" w:hAnsi="宋体" w:eastAsia="宋体" w:cs="宋体"/>
          <w:color w:val="auto"/>
          <w:highlight w:val="none"/>
          <w:lang w:eastAsia="zh-CN"/>
        </w:rPr>
        <w:t>1191</w:t>
      </w:r>
      <w:r>
        <w:rPr>
          <w:rFonts w:hint="eastAsia" w:ascii="宋体" w:hAnsi="宋体" w:eastAsia="宋体" w:cs="宋体"/>
          <w:color w:val="auto"/>
          <w:highlight w:val="none"/>
        </w:rPr>
        <w:t>0000</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最高限价（元）：</w:t>
      </w:r>
      <w:r>
        <w:rPr>
          <w:rFonts w:hint="eastAsia" w:ascii="宋体" w:hAnsi="宋体" w:eastAsia="宋体" w:cs="宋体"/>
          <w:color w:val="auto"/>
          <w:highlight w:val="none"/>
          <w:lang w:eastAsia="zh-CN"/>
        </w:rPr>
        <w:t>1191</w:t>
      </w:r>
      <w:r>
        <w:rPr>
          <w:rFonts w:hint="eastAsia" w:ascii="宋体" w:hAnsi="宋体" w:eastAsia="宋体" w:cs="宋体"/>
          <w:color w:val="auto"/>
          <w:highlight w:val="none"/>
        </w:rPr>
        <w:t>0000</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采购需求：</w:t>
      </w:r>
      <w:r>
        <w:rPr>
          <w:rFonts w:hint="eastAsia" w:ascii="宋体" w:hAnsi="宋体" w:eastAsia="宋体" w:cs="宋体"/>
          <w:highlight w:val="none"/>
        </w:rPr>
        <w:t>包括全域应用能力中心底座、未来社区9大场景基础应用模块、提供面向社区居民、政府、社区运营方的三类交互端。其中，全域能力底座萧山区统建，云计算资源复用萧山区“萧山政务云”，打造萧山区未来社区能力底座，实现服务资源的标准化与统一，降低未来社区的整体建设成本</w:t>
      </w:r>
      <w:r>
        <w:rPr>
          <w:rFonts w:hint="eastAsia" w:ascii="宋体" w:hAnsi="宋体" w:eastAsia="宋体" w:cs="宋体"/>
          <w:color w:val="auto"/>
          <w:highlight w:val="none"/>
          <w:lang w:eastAsia="zh-CN"/>
        </w:rPr>
        <w:t>。详见招标文件第三部分采购需求。</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标项名称:</w:t>
      </w:r>
      <w:r>
        <w:rPr>
          <w:rFonts w:hint="eastAsia" w:ascii="宋体" w:hAnsi="宋体" w:eastAsia="宋体" w:cs="宋体"/>
          <w:color w:val="auto"/>
          <w:sz w:val="24"/>
          <w:szCs w:val="24"/>
          <w:highlight w:val="none"/>
          <w:u w:val="none"/>
          <w:lang w:eastAsia="zh-CN"/>
        </w:rPr>
        <w:t>萧山区未来社区基础服务系统-信息化项目（重招）</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数量:</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预算金额（元）: </w:t>
      </w:r>
      <w:r>
        <w:rPr>
          <w:rFonts w:hint="eastAsia" w:ascii="宋体" w:hAnsi="宋体" w:eastAsia="宋体" w:cs="宋体"/>
          <w:color w:val="auto"/>
          <w:highlight w:val="none"/>
          <w:lang w:eastAsia="zh-CN"/>
        </w:rPr>
        <w:t>1191</w:t>
      </w:r>
      <w:r>
        <w:rPr>
          <w:rFonts w:hint="eastAsia" w:ascii="宋体" w:hAnsi="宋体" w:eastAsia="宋体" w:cs="宋体"/>
          <w:color w:val="auto"/>
          <w:highlight w:val="none"/>
        </w:rPr>
        <w:t>0000</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简要规格描述或项目基本概况介绍、用途：详见招标文件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备注：无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合同履约期限：详见招标文件</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本项目接受联合体投标：（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）是 ；（   ）否。</w:t>
      </w:r>
    </w:p>
    <w:p>
      <w:pPr>
        <w:spacing w:line="240" w:lineRule="auto"/>
        <w:rPr>
          <w:rFonts w:hint="eastAsia" w:ascii="宋体" w:hAnsi="宋体" w:eastAsia="宋体" w:cs="宋体"/>
          <w:color w:val="auto"/>
          <w:highlight w:val="none"/>
        </w:rPr>
      </w:pPr>
      <w:r>
        <w:rPr>
          <w:rFonts w:hint="eastAsia" w:ascii="宋体" w:hAnsi="宋体" w:eastAsia="宋体" w:cs="宋体"/>
          <w:b/>
          <w:color w:val="auto"/>
          <w:highlight w:val="none"/>
        </w:rPr>
        <w:t>二、申请人的资格要求</w:t>
      </w:r>
      <w:r>
        <w:rPr>
          <w:rFonts w:hint="eastAsia" w:ascii="宋体" w:hAnsi="宋体" w:eastAsia="宋体" w:cs="宋体"/>
          <w:color w:val="auto"/>
          <w:highlight w:val="none"/>
        </w:rPr>
        <w:t>：</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）无；</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）专门面向中小企业</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）货物全部由符合政策要求的中小企业制造，提供中小企业声明函；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）货物全部由符合政策要求的小微企业制造，提供中小企业声明函；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）服务全部由符合政策要求的中小企业承接，提供中小企业声明函；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）服务全部由符合政策要求的小微企业承接，提供中小企业声明函；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3.本项目的特定资格要求：无；</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三、获取招标文件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时间：/至202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日，每天上午00:00至12:00 ，下午12:00至23:59（北京时间，线上获取法定节假日均可，线下获取文件法定节假日除外）</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地点（网址）：政采云平台（https://www.zcygov.cn/）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方式：供应商登录政采云平台https://www.zcygov.cn/在线申请获取采购文件（进入“项目采购”应用，在获取采购文件菜单中选择项目，申请获取采购文件）。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售价（元）：0 </w:t>
      </w:r>
      <w:r>
        <w:rPr>
          <w:rFonts w:hint="eastAsia" w:ascii="宋体" w:hAnsi="宋体" w:eastAsia="宋体" w:cs="宋体"/>
          <w:color w:val="auto"/>
          <w:highlight w:val="none"/>
        </w:rPr>
        <w:tab/>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四、提交投标文件截止时间、开标时间和地点</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 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点</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 （北京时间）</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投标地点（网址）：政采云平台（https://www.zcygov.cn/）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开标时间：202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点</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 xml:space="preserve">分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开标地点（网址）：政采云平台（https://www.zcygov.cn/）</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五、采购意向公开链接：</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https://zfcg.czt.zj.gov.cn/innerUsed_noticeDetails/index.html?noticeId=8986303&amp;utm=web-government-front.2e418808.0.0.d26de5d0925011ed89c4fd1d235c344e</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六、公告期限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七、其他补充事宜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八、对本次采购提出询问、质疑、投诉，请按以下方式联系</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spacing w:line="240" w:lineRule="auto"/>
        <w:rPr>
          <w:rFonts w:hint="eastAsia" w:ascii="宋体" w:hAnsi="宋体" w:eastAsia="宋体" w:cs="宋体"/>
          <w:color w:val="auto"/>
          <w:highlight w:val="none"/>
        </w:rPr>
      </w:pPr>
      <w:bookmarkStart w:id="0" w:name="_Toc28359086"/>
      <w:bookmarkStart w:id="1" w:name="_Toc28359009"/>
      <w:r>
        <w:rPr>
          <w:rFonts w:hint="eastAsia" w:ascii="宋体" w:hAnsi="宋体" w:eastAsia="宋体" w:cs="宋体"/>
          <w:color w:val="auto"/>
          <w:highlight w:val="none"/>
        </w:rPr>
        <w:t>名 称：杭州市萧山区住房和城乡建设局</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地址：杭州市萧山区文化路87号</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传真：</w:t>
      </w:r>
      <w:r>
        <w:rPr>
          <w:rFonts w:hint="eastAsia" w:ascii="宋体" w:hAnsi="宋体" w:eastAsia="宋体" w:cs="宋体"/>
          <w:color w:val="auto"/>
          <w:highlight w:val="none"/>
          <w:lang w:val="en-US" w:eastAsia="zh-CN"/>
        </w:rPr>
        <w:t>/</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项目联系人（询问）：黄颖</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项目联系方式（询问）：0571-82650616</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质疑联系人：陶伟峰</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质疑联系方式：13967178009</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bookmarkEnd w:id="0"/>
      <w:bookmarkEnd w:id="1"/>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建经投资咨询有限公司</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杭州市萧山区天汇园</w:t>
      </w:r>
      <w:r>
        <w:rPr>
          <w:rFonts w:hint="eastAsia" w:ascii="宋体" w:hAnsi="宋体" w:eastAsia="宋体" w:cs="宋体"/>
          <w:color w:val="auto"/>
          <w:highlight w:val="none"/>
          <w:lang w:val="en-US" w:eastAsia="zh-CN"/>
        </w:rPr>
        <w:t>3幢1002室</w:t>
      </w:r>
    </w:p>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传真：</w:t>
      </w:r>
      <w:r>
        <w:rPr>
          <w:rFonts w:hint="eastAsia" w:ascii="宋体" w:hAnsi="宋体" w:eastAsia="宋体" w:cs="宋体"/>
          <w:color w:val="auto"/>
          <w:highlight w:val="none"/>
          <w:lang w:val="en-US" w:eastAsia="zh-CN"/>
        </w:rPr>
        <w:t>/</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项目联系人（询问）：尤益民</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项目联系方式（询问）：15869018338</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质疑联系人：柯赵顺</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质疑联系方式：13588293514</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名    称：萧山区财政局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地    址：萧山区人民路318号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传   真：0571-82756122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联系人 ：汤先生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监督投诉电话：0571-82756122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第二部分 投标人须知</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前附表</w:t>
      </w:r>
    </w:p>
    <w:tbl>
      <w:tblPr>
        <w:tblStyle w:val="26"/>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事项</w:t>
            </w:r>
          </w:p>
        </w:tc>
        <w:tc>
          <w:tcPr>
            <w:tcW w:w="3866"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项目属性与核心产品</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)A货物类，单一产品或核心产品为：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color w:val="auto"/>
                <w:sz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采购标的对应的中小企业划分标准所属行业</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（1）标的：</w:t>
            </w:r>
            <w:r>
              <w:rPr>
                <w:rFonts w:hint="eastAsia" w:ascii="宋体" w:hAnsi="宋体" w:eastAsia="宋体" w:cs="宋体"/>
                <w:color w:val="auto"/>
                <w:sz w:val="22"/>
                <w:highlight w:val="none"/>
                <w:lang w:eastAsia="zh-CN"/>
              </w:rPr>
              <w:t>萧山区未来社区基础服务系统-信息化项目（重招），</w:t>
            </w:r>
            <w:r>
              <w:rPr>
                <w:rFonts w:hint="eastAsia" w:ascii="宋体" w:hAnsi="宋体" w:eastAsia="宋体" w:cs="宋体"/>
                <w:color w:val="auto"/>
                <w:sz w:val="22"/>
                <w:highlight w:val="none"/>
              </w:rPr>
              <w:t>属于软件和信息技术服务业 ：</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是否允许采购进口产品</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szCs w:val="3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color w:val="auto"/>
                <w:sz w:val="22"/>
                <w:highlight w:val="none"/>
              </w:rPr>
              <w:t>)</w:t>
            </w:r>
            <w:r>
              <w:rPr>
                <w:rFonts w:hint="eastAsia" w:ascii="宋体" w:hAnsi="宋体" w:eastAsia="宋体" w:cs="宋体"/>
                <w:color w:val="auto"/>
                <w:sz w:val="22"/>
                <w:szCs w:val="32"/>
                <w:highlight w:val="none"/>
              </w:rPr>
              <w:t>本项目不允许采购进口产品。</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szCs w:val="32"/>
                <w:highlight w:val="none"/>
              </w:rPr>
            </w:pPr>
            <w:r>
              <w:rPr>
                <w:rFonts w:hint="eastAsia" w:ascii="宋体" w:hAnsi="宋体" w:eastAsia="宋体" w:cs="宋体"/>
                <w:color w:val="auto"/>
                <w:sz w:val="22"/>
                <w:highlight w:val="none"/>
              </w:rPr>
              <w:t>(   )</w:t>
            </w:r>
            <w:r>
              <w:rPr>
                <w:rFonts w:hint="eastAsia" w:ascii="宋体" w:hAnsi="宋体" w:eastAsia="宋体" w:cs="宋体"/>
                <w:color w:val="auto"/>
                <w:sz w:val="22"/>
                <w:szCs w:val="32"/>
                <w:highlight w:val="none"/>
              </w:rPr>
              <w:t>可以就    采购进口产品。</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联合体和分包</w:t>
            </w:r>
          </w:p>
        </w:tc>
        <w:tc>
          <w:tcPr>
            <w:tcW w:w="3866" w:type="pct"/>
            <w:vAlign w:val="center"/>
          </w:tcPr>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w:t>
            </w:r>
            <w:r>
              <w:rPr>
                <w:rFonts w:hint="eastAsia" w:ascii="宋体" w:hAnsi="宋体" w:eastAsia="宋体" w:cs="宋体"/>
                <w:color w:val="auto"/>
                <w:sz w:val="22"/>
                <w:highlight w:val="none"/>
              </w:rPr>
              <w:t>A同意将非主体、非关键性的工作分包。</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 ）</w:t>
            </w:r>
            <w:r>
              <w:rPr>
                <w:rFonts w:hint="eastAsia" w:ascii="宋体" w:hAnsi="宋体" w:eastAsia="宋体" w:cs="宋体"/>
                <w:color w:val="auto"/>
                <w:sz w:val="22"/>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开标前答疑会或现场考察</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w:t>
            </w:r>
            <w:r>
              <w:rPr>
                <w:rFonts w:hint="eastAsia" w:ascii="宋体" w:hAnsi="宋体" w:eastAsia="宋体" w:cs="宋体"/>
                <w:color w:val="auto"/>
                <w:sz w:val="22"/>
                <w:highlight w:val="none"/>
              </w:rPr>
              <w:t>A不组织。</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  ）</w:t>
            </w:r>
            <w:r>
              <w:rPr>
                <w:rFonts w:hint="eastAsia" w:ascii="宋体" w:hAnsi="宋体" w:eastAsia="宋体" w:cs="宋体"/>
                <w:color w:val="auto"/>
                <w:sz w:val="22"/>
                <w:highlight w:val="none"/>
              </w:rPr>
              <w:t>B组织，时间：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,地点：</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样品提供</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（√）A不要求提供。</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bCs/>
                <w:color w:val="auto"/>
                <w:sz w:val="22"/>
                <w:highlight w:val="none"/>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方案讲解演示</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）A不要求。</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bCs/>
                <w:color w:val="auto"/>
                <w:sz w:val="22"/>
                <w:highlight w:val="none"/>
              </w:rPr>
              <w:t>（</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bCs/>
                <w:color w:val="auto"/>
                <w:sz w:val="22"/>
                <w:highlight w:val="none"/>
              </w:rPr>
              <w:t>）B要求演示，</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color w:val="auto"/>
                <w:sz w:val="22"/>
                <w:highlight w:val="none"/>
              </w:rPr>
              <w:t>）方式一：现场演示。</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1、现场演示：在评标时安排每个投标人现场演示，每个投标人演示时间不超过</w:t>
            </w:r>
            <w:r>
              <w:rPr>
                <w:rFonts w:hint="eastAsia" w:ascii="宋体" w:hAnsi="宋体" w:eastAsia="宋体" w:cs="宋体"/>
                <w:color w:val="auto"/>
                <w:sz w:val="22"/>
                <w:highlight w:val="none"/>
                <w:lang w:val="en-US" w:eastAsia="zh-CN"/>
              </w:rPr>
              <w:t>40</w:t>
            </w:r>
            <w:r>
              <w:rPr>
                <w:rFonts w:hint="eastAsia" w:ascii="宋体" w:hAnsi="宋体" w:eastAsia="宋体" w:cs="宋体"/>
                <w:color w:val="auto"/>
                <w:sz w:val="22"/>
                <w:highlight w:val="none"/>
              </w:rPr>
              <w:t>分钟。人员不超过</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2、现场演示到场时间</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202</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lang w:val="en-US" w:eastAsia="zh-CN"/>
              </w:rPr>
              <w:t>04</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lang w:val="en-US" w:eastAsia="zh-CN"/>
              </w:rPr>
              <w:t>24</w:t>
            </w:r>
            <w:r>
              <w:rPr>
                <w:rFonts w:hint="eastAsia" w:ascii="宋体" w:hAnsi="宋体" w:eastAsia="宋体" w:cs="宋体"/>
                <w:color w:val="auto"/>
                <w:sz w:val="22"/>
                <w:highlight w:val="none"/>
              </w:rPr>
              <w:t>日</w:t>
            </w:r>
            <w:r>
              <w:rPr>
                <w:rFonts w:hint="eastAsia" w:ascii="宋体" w:hAnsi="宋体" w:eastAsia="宋体" w:cs="宋体"/>
                <w:color w:val="auto"/>
                <w:sz w:val="22"/>
                <w:highlight w:val="none"/>
                <w:lang w:val="en-US" w:eastAsia="zh-CN"/>
              </w:rPr>
              <w:t>09</w:t>
            </w:r>
            <w:r>
              <w:rPr>
                <w:rFonts w:hint="eastAsia" w:ascii="宋体" w:hAnsi="宋体" w:eastAsia="宋体" w:cs="宋体"/>
                <w:color w:val="auto"/>
                <w:sz w:val="22"/>
                <w:highlight w:val="none"/>
              </w:rPr>
              <w:t>点</w:t>
            </w:r>
            <w:r>
              <w:rPr>
                <w:rFonts w:hint="eastAsia" w:ascii="宋体" w:hAnsi="宋体" w:eastAsia="宋体" w:cs="宋体"/>
                <w:color w:val="auto"/>
                <w:sz w:val="22"/>
                <w:highlight w:val="none"/>
                <w:lang w:val="en-US" w:eastAsia="zh-CN"/>
              </w:rPr>
              <w:t>30</w:t>
            </w:r>
            <w:r>
              <w:rPr>
                <w:rFonts w:hint="eastAsia" w:ascii="宋体" w:hAnsi="宋体" w:eastAsia="宋体" w:cs="宋体"/>
                <w:color w:val="auto"/>
                <w:sz w:val="22"/>
                <w:highlight w:val="none"/>
              </w:rPr>
              <w:t>分</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现场演示到场</w:t>
            </w:r>
            <w:r>
              <w:rPr>
                <w:rFonts w:hint="eastAsia" w:ascii="宋体" w:hAnsi="宋体" w:eastAsia="宋体" w:cs="宋体"/>
                <w:color w:val="auto"/>
                <w:sz w:val="22"/>
                <w:highlight w:val="none"/>
                <w:lang w:eastAsia="zh-CN"/>
              </w:rPr>
              <w:t>地点</w:t>
            </w:r>
            <w:r>
              <w:rPr>
                <w:rFonts w:hint="eastAsia" w:ascii="宋体" w:hAnsi="宋体" w:eastAsia="宋体" w:cs="宋体"/>
                <w:color w:val="auto"/>
                <w:sz w:val="22"/>
                <w:highlight w:val="none"/>
              </w:rPr>
              <w:t>：杭州市萧山区文化路87号</w:t>
            </w:r>
            <w:r>
              <w:rPr>
                <w:rFonts w:hint="eastAsia" w:ascii="宋体" w:hAnsi="宋体" w:eastAsia="宋体" w:cs="宋体"/>
                <w:color w:val="auto"/>
                <w:sz w:val="22"/>
                <w:highlight w:val="none"/>
                <w:lang w:val="en-US" w:eastAsia="zh-CN"/>
              </w:rPr>
              <w:t>B楼5楼小会议室</w:t>
            </w:r>
            <w:r>
              <w:rPr>
                <w:rFonts w:hint="eastAsia" w:ascii="宋体" w:hAnsi="宋体" w:eastAsia="宋体" w:cs="宋体"/>
                <w:color w:val="auto"/>
                <w:sz w:val="22"/>
                <w:highlight w:val="none"/>
              </w:rPr>
              <w:t>。</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）方式二：远程演示。</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远程演示：通过政采云系统远程演示，开标当天采购人或采购组织机构通过政采云系统线上发起演示。投标人须在20分钟内响应并进行演示。超过**分钟投标人未响应，视为放弃演示。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投标人应当提供的资格、资信证明文件</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（1）资格证明文件：见招标文件第二部分11.1。</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投标人未提供有效的资格证明文件的，视为投标人不具备招标文件中规定的资格要求，投标无效。</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节能产品、环境标志产品</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报价要求</w:t>
            </w:r>
          </w:p>
        </w:tc>
        <w:tc>
          <w:tcPr>
            <w:tcW w:w="3866" w:type="pct"/>
            <w:vAlign w:val="center"/>
          </w:tcPr>
          <w:p>
            <w:pPr>
              <w:keepNext w:val="0"/>
              <w:keepLines w:val="0"/>
              <w:pageBreakBefore w:val="0"/>
              <w:kinsoku/>
              <w:wordWrap/>
              <w:overflowPunct/>
              <w:topLinePunct w:val="0"/>
              <w:autoSpaceDE/>
              <w:autoSpaceDN/>
              <w:bidi w:val="0"/>
              <w:spacing w:after="0" w:line="360" w:lineRule="auto"/>
              <w:ind w:firstLine="440" w:firstLineChars="200"/>
              <w:textAlignment w:val="auto"/>
              <w:rPr>
                <w:rFonts w:hint="eastAsia"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有关本项目实施所需的所有费用（含税费）均计入报价。</w:t>
            </w:r>
            <w:r>
              <w:rPr>
                <w:rFonts w:hint="eastAsia" w:ascii="宋体" w:hAnsi="宋体" w:eastAsia="宋体" w:cs="宋体"/>
                <w:bCs/>
                <w:color w:val="auto"/>
                <w:sz w:val="22"/>
                <w:highlight w:val="none"/>
              </w:rPr>
              <w:t>开标一览表（报价表）是报价的唯一载体</w:t>
            </w:r>
            <w:r>
              <w:rPr>
                <w:rFonts w:hint="eastAsia" w:ascii="宋体" w:hAnsi="宋体" w:eastAsia="宋体" w:cs="宋体"/>
                <w:bCs/>
                <w:color w:val="auto"/>
                <w:sz w:val="22"/>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投标报价出现下列情形的，投标无效：</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hint="eastAsia"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投标文件出现不是唯一的、有选择性投标报价的；</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hint="eastAsia"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投标报价超过招标文件中规定的预算金额或者最高限价的;</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投标人对根据修正原则修正后的报价不确认的。</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2"/>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中小企业信用融资</w:t>
            </w:r>
          </w:p>
        </w:tc>
        <w:tc>
          <w:tcPr>
            <w:tcW w:w="3866" w:type="pct"/>
            <w:vAlign w:val="center"/>
          </w:tcPr>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本项目支持《杭州市萧山区政府采购支持中小企业信用融资暂行办法》。</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"http://www.xiaoshan.gov.cn/art/2018/12/20/art_1229293109_1559514.html" </w:instrText>
            </w:r>
            <w:r>
              <w:rPr>
                <w:rFonts w:hint="eastAsia" w:ascii="宋体" w:hAnsi="宋体" w:eastAsia="宋体" w:cs="宋体"/>
                <w:color w:val="auto"/>
                <w:highlight w:val="none"/>
              </w:rPr>
              <w:fldChar w:fldCharType="separate"/>
            </w:r>
            <w:r>
              <w:rPr>
                <w:rStyle w:val="30"/>
                <w:rFonts w:hint="eastAsia" w:ascii="宋体" w:hAnsi="宋体" w:eastAsia="宋体" w:cs="宋体"/>
                <w:snapToGrid/>
                <w:color w:val="auto"/>
                <w:sz w:val="22"/>
                <w:szCs w:val="24"/>
                <w:highlight w:val="none"/>
              </w:rPr>
              <w:t>http://www.xiaoshan.gov.cn/art/2018/12/20/art_1229293109_1559514.html</w:t>
            </w:r>
            <w:r>
              <w:rPr>
                <w:rStyle w:val="30"/>
                <w:rFonts w:hint="eastAsia" w:ascii="宋体" w:hAnsi="宋体" w:eastAsia="宋体" w:cs="宋体"/>
                <w:snapToGrid/>
                <w:color w:val="auto"/>
                <w:sz w:val="22"/>
                <w:szCs w:val="24"/>
                <w:highlight w:val="none"/>
              </w:rPr>
              <w:fldChar w:fldCharType="end"/>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w:t>
            </w:r>
            <w:bookmarkStart w:id="528" w:name="_GoBack"/>
            <w:bookmarkEnd w:id="528"/>
            <w:r>
              <w:rPr>
                <w:rFonts w:hint="eastAsia" w:ascii="宋体" w:hAnsi="宋体" w:eastAsia="宋体" w:cs="宋体"/>
                <w:snapToGrid w:val="0"/>
                <w:color w:val="auto"/>
                <w:kern w:val="28"/>
                <w:sz w:val="22"/>
                <w:highlight w:val="none"/>
              </w:rPr>
              <w:t>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411" w:type="dxa"/>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备份投标文件送达地点和签收人员</w:t>
            </w:r>
            <w:r>
              <w:rPr>
                <w:rFonts w:hint="eastAsia" w:ascii="宋体" w:hAnsi="宋体" w:eastAsia="宋体" w:cs="宋体"/>
                <w:color w:val="auto"/>
                <w:sz w:val="22"/>
                <w:szCs w:val="22"/>
                <w:highlight w:val="none"/>
              </w:rPr>
              <w:t xml:space="preserve"> </w:t>
            </w:r>
          </w:p>
        </w:tc>
        <w:tc>
          <w:tcPr>
            <w:tcW w:w="6637" w:type="dxa"/>
            <w:vAlign w:val="center"/>
          </w:tcPr>
          <w:p>
            <w:pPr>
              <w:pStyle w:val="17"/>
              <w:spacing w:line="360" w:lineRule="auto"/>
              <w:rPr>
                <w:rFonts w:hint="eastAsia" w:ascii="宋体" w:hAnsi="宋体" w:eastAsia="宋体" w:cs="宋体"/>
                <w:color w:val="auto"/>
                <w:sz w:val="22"/>
                <w:szCs w:val="22"/>
                <w:highlight w:val="none"/>
              </w:rPr>
            </w:pPr>
            <w:r>
              <w:rPr>
                <w:rFonts w:hint="eastAsia" w:hAnsi="宋体" w:cs="宋体"/>
                <w:color w:val="auto"/>
                <w:kern w:val="28"/>
                <w:sz w:val="22"/>
                <w:szCs w:val="22"/>
              </w:rPr>
              <w:t>备份投标文件送达地点：</w:t>
            </w:r>
            <w:r>
              <w:rPr>
                <w:rFonts w:hint="eastAsia" w:hAnsi="宋体" w:cs="宋体"/>
                <w:color w:val="auto"/>
                <w:sz w:val="22"/>
                <w:szCs w:val="22"/>
                <w:u w:val="single"/>
                <w:lang w:eastAsia="zh-CN"/>
              </w:rPr>
              <w:t>萧山区天汇园</w:t>
            </w:r>
            <w:r>
              <w:rPr>
                <w:rFonts w:hint="eastAsia" w:hAnsi="宋体" w:cs="宋体"/>
                <w:color w:val="auto"/>
                <w:sz w:val="22"/>
                <w:szCs w:val="22"/>
                <w:u w:val="single"/>
                <w:lang w:val="en-US" w:eastAsia="zh-CN"/>
              </w:rPr>
              <w:t>3幢1002</w:t>
            </w:r>
            <w:r>
              <w:rPr>
                <w:rFonts w:hint="eastAsia" w:hAnsi="宋体" w:cs="宋体"/>
                <w:color w:val="auto"/>
                <w:kern w:val="28"/>
                <w:sz w:val="22"/>
                <w:szCs w:val="22"/>
              </w:rPr>
              <w:t>；备份投标文件签收人员联系电话：</w:t>
            </w:r>
            <w:r>
              <w:rPr>
                <w:rFonts w:hint="eastAsia" w:hAnsi="宋体" w:cs="宋体"/>
                <w:color w:val="auto"/>
                <w:sz w:val="22"/>
                <w:szCs w:val="22"/>
                <w:u w:val="single"/>
                <w:lang w:val="en-US" w:eastAsia="zh-CN"/>
              </w:rPr>
              <w:t>15869018338</w:t>
            </w:r>
            <w:r>
              <w:rPr>
                <w:rFonts w:hint="eastAsia" w:hAnsi="宋体" w:cs="宋体"/>
                <w:color w:val="auto"/>
                <w:sz w:val="22"/>
                <w:szCs w:val="22"/>
              </w:rPr>
              <w:t>。</w:t>
            </w:r>
            <w:r>
              <w:rPr>
                <w:rFonts w:hint="eastAsia" w:hAnsi="宋体" w:cs="宋体"/>
                <w:b/>
                <w:color w:val="auto"/>
                <w:sz w:val="22"/>
                <w:szCs w:val="22"/>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采购机构代理费用</w:t>
            </w:r>
          </w:p>
        </w:tc>
        <w:tc>
          <w:tcPr>
            <w:tcW w:w="3866" w:type="pct"/>
            <w:vAlign w:val="center"/>
          </w:tcPr>
          <w:p>
            <w:pPr>
              <w:spacing w:after="0"/>
              <w:rPr>
                <w:rFonts w:hint="eastAsia" w:ascii="宋体" w:hAnsi="宋体" w:eastAsia="宋体" w:cs="宋体"/>
                <w:color w:val="auto"/>
                <w:highlight w:val="none"/>
              </w:rPr>
            </w:pPr>
            <w:r>
              <w:rPr>
                <w:rFonts w:hint="eastAsia" w:ascii="宋体" w:hAnsi="宋体" w:eastAsia="宋体" w:cs="宋体"/>
                <w:color w:val="auto"/>
                <w:sz w:val="22"/>
                <w:highlight w:val="none"/>
              </w:rPr>
              <w:t>本项目的采购代理费</w:t>
            </w:r>
            <w:r>
              <w:rPr>
                <w:rFonts w:hint="eastAsia" w:ascii="宋体" w:hAnsi="宋体" w:eastAsia="宋体" w:cs="宋体"/>
                <w:color w:val="auto"/>
                <w:sz w:val="22"/>
                <w:highlight w:val="none"/>
                <w:lang w:val="en-US" w:eastAsia="zh-CN"/>
              </w:rPr>
              <w:t>9900元</w:t>
            </w:r>
            <w:r>
              <w:rPr>
                <w:rFonts w:hint="eastAsia" w:ascii="宋体" w:hAnsi="宋体" w:eastAsia="宋体" w:cs="宋体"/>
                <w:color w:val="auto"/>
                <w:sz w:val="22"/>
                <w:highlight w:val="none"/>
              </w:rPr>
              <w:t>由</w:t>
            </w:r>
            <w:r>
              <w:rPr>
                <w:rFonts w:hint="eastAsia" w:ascii="宋体" w:hAnsi="宋体" w:eastAsia="宋体" w:cs="宋体"/>
                <w:color w:val="auto"/>
                <w:sz w:val="22"/>
                <w:highlight w:val="none"/>
                <w:lang w:eastAsia="zh-CN"/>
              </w:rPr>
              <w:t>中标人</w:t>
            </w:r>
            <w:r>
              <w:rPr>
                <w:rFonts w:hint="eastAsia" w:ascii="宋体" w:hAnsi="宋体" w:eastAsia="宋体" w:cs="宋体"/>
                <w:color w:val="auto"/>
                <w:sz w:val="22"/>
                <w:highlight w:val="none"/>
              </w:rPr>
              <w:t>支付；结算方式及时间为：</w:t>
            </w:r>
            <w:r>
              <w:rPr>
                <w:rFonts w:hint="eastAsia" w:ascii="宋体" w:hAnsi="宋体" w:eastAsia="宋体" w:cs="宋体"/>
                <w:color w:val="auto"/>
                <w:sz w:val="22"/>
                <w:highlight w:val="none"/>
                <w:lang w:eastAsia="zh-CN"/>
              </w:rPr>
              <w:t>中标人</w:t>
            </w:r>
            <w:r>
              <w:rPr>
                <w:rFonts w:hint="eastAsia" w:ascii="宋体" w:hAnsi="宋体" w:eastAsia="宋体" w:cs="宋体"/>
                <w:color w:val="auto"/>
                <w:sz w:val="22"/>
                <w:highlight w:val="none"/>
              </w:rPr>
              <w:t>按代理机构要求一次性向采购代理机构付清。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履约保证金</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履约保证金：不收取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资格审查和信用信息审查</w:t>
            </w:r>
          </w:p>
        </w:tc>
        <w:tc>
          <w:tcPr>
            <w:tcW w:w="3866" w:type="pct"/>
            <w:vAlign w:val="center"/>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822" w:type="pc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质疑接收人及答复</w:t>
            </w:r>
          </w:p>
        </w:tc>
        <w:tc>
          <w:tcPr>
            <w:tcW w:w="3866" w:type="pct"/>
            <w:vAlign w:val="center"/>
          </w:tcPr>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采购人、采购机构质疑接收人、联系方式：详见公告</w:t>
            </w:r>
          </w:p>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线上提交质疑方式：政采云线上质疑路径：项目采购-询问质疑投诉-质疑列表。请使用ca签章在每一页质疑文件中加盖电子公章，上传完整附件。</w:t>
            </w:r>
          </w:p>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本项目涉及资格条件、采购需求、评分办法及采购过程中有关现场考察或开标前答疑会等事项由采购人进行答复。</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822" w:type="pct"/>
            <w:vMerge w:val="restart"/>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2"/>
                <w:highlight w:val="none"/>
              </w:rPr>
              <w:t>特别说明</w:t>
            </w:r>
          </w:p>
        </w:tc>
        <w:tc>
          <w:tcPr>
            <w:tcW w:w="3866" w:type="pct"/>
            <w:vAlign w:val="center"/>
          </w:tcPr>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Merge w:val="continue"/>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p>
        </w:tc>
        <w:tc>
          <w:tcPr>
            <w:tcW w:w="822" w:type="pct"/>
            <w:vMerge w:val="continue"/>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color w:val="auto"/>
                <w:highlight w:val="none"/>
              </w:rPr>
            </w:pPr>
          </w:p>
        </w:tc>
        <w:tc>
          <w:tcPr>
            <w:tcW w:w="0" w:type="auto"/>
            <w:vAlign w:val="center"/>
          </w:tcPr>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rPr>
            </w:pPr>
            <w:sdt>
              <w:sdtPr>
                <w:rPr>
                  <w:rFonts w:hint="eastAsia" w:ascii="宋体" w:hAnsi="宋体" w:eastAsia="宋体" w:cs="宋体"/>
                  <w:color w:val="auto"/>
                  <w:sz w:val="22"/>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sz w:val="22"/>
                  <w:highlight w:val="none"/>
                </w:rPr>
              </w:sdtEndPr>
              <w:sdtContent>
                <w:r>
                  <w:rPr>
                    <w:rFonts w:hint="eastAsia" w:ascii="宋体" w:hAnsi="宋体" w:eastAsia="宋体" w:cs="宋体"/>
                    <w:color w:val="auto"/>
                    <w:sz w:val="22"/>
                    <w:highlight w:val="none"/>
                  </w:rPr>
                  <w:t>☐</w:t>
                </w:r>
              </w:sdtContent>
            </w:sdt>
            <w:r>
              <w:rPr>
                <w:rFonts w:hint="eastAsia" w:ascii="宋体" w:hAnsi="宋体" w:eastAsia="宋体" w:cs="宋体"/>
                <w:color w:val="auto"/>
                <w:sz w:val="22"/>
                <w:highlight w:val="none"/>
              </w:rPr>
              <w:t>联合体投标的，联合体各方均需按招标文件第四部分评标标准要求提供资信证明文件，否则视为不符合相关要求。</w:t>
            </w:r>
          </w:p>
          <w:p>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2"/>
                <w:highlight w:val="none"/>
                <w:lang w:val="en-US" w:eastAsia="zh-CN"/>
              </w:rPr>
            </w:pPr>
            <w:sdt>
              <w:sdtPr>
                <w:rPr>
                  <w:rFonts w:hint="eastAsia" w:ascii="宋体" w:hAnsi="宋体" w:eastAsia="宋体" w:cs="宋体"/>
                  <w:color w:val="auto"/>
                  <w:sz w:val="22"/>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sz w:val="22"/>
                  <w:highlight w:val="none"/>
                </w:rPr>
              </w:sdtEndPr>
              <w:sdtContent>
                <w:r>
                  <w:rPr>
                    <w:rFonts w:hint="eastAsia" w:ascii="宋体" w:hAnsi="宋体" w:eastAsia="宋体" w:cs="宋体"/>
                    <w:color w:val="auto"/>
                    <w:sz w:val="22"/>
                    <w:highlight w:val="none"/>
                  </w:rPr>
                  <w:sym w:font="Wingdings" w:char="F0FE"/>
                </w:r>
              </w:sdtContent>
            </w:sdt>
            <w:r>
              <w:rPr>
                <w:rFonts w:hint="eastAsia" w:ascii="宋体" w:hAnsi="宋体" w:eastAsia="宋体" w:cs="宋体"/>
                <w:color w:val="auto"/>
                <w:sz w:val="22"/>
                <w:highlight w:val="none"/>
              </w:rPr>
              <w:t>联合体投标的，联合体中有一方或者联合体成员根据分工按招标文件第四部分评标标准要求提供资信证明文件的，视为符合了相关要求。</w:t>
            </w:r>
          </w:p>
        </w:tc>
      </w:tr>
    </w:tbl>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一、总则</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2.定义</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 “采购人”系指招标公告中载明的本项目的采购人。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2.2 “采购机构”系指招标公告中载明的本项目的采购机构。</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 “投标人”系指是指响应招标、参加投标竞争的法人、其他组织或者自然人。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2.4 “负责人”系指法人企业的法定负责人，或其他组织为法律、行政法规规定代表单位行使职权的主要负责人，或自然人本人。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2.6“电子交易平台”是指本项目政府采购活动所依托的政府采购云平台（https://www.zcygov.cn/）。</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2.7 “▲” 系指实质性要求条款，“（√）” 系指适用本项目的要求，“（  ）”系指不适用本项目的要求。</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 采购项目需要落实的政府采购政策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3.2 支持绿色发展</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3.2.2 修缮、装修类项目采购建材的，采购人应将绿色建筑和绿色建材性能、指标等作为实质性条件纳入招标文件和合同。</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3.3支持中小企业发展</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3.3.2在政府采购活动中，投标人提供的货物、工程或者服务符合下列情形的，享受中小企业扶持政策：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3.3.7中小企业享受扶持政策获得政府采购合同的，小微企业不得将合同分包给大中型企业，中型企业不得将合同分包给大型企业。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3.4支持创新发展</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3.4.1 采购人优先采购被认定为首台套产品和“制造精品”的自主创新产品。</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 询问、质疑、投诉</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4.1供应商询问</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4.2供应商质疑</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4.2.1提出质疑的供应商应当是参与所质疑项目采购活动的供应商。潜在供应商已依法获取其可质疑的招标文件的，可以对该文件提出质疑。</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4.2.2.1对招标文件提出质疑的，质疑期限为供应商获得招标文件之日或者招标文件公告期限届满之日起计算。</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4.2.2.2对采购过程提出质疑的，质疑期限为各采购程序环节结束之日起计算。对同一采购程序环节的质疑，供应商须一次性提出。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4.2.2.3对采购结果提出质疑的，质疑期限自采购结果公告期限届满之日起计算。</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4.2.3供应商提出质疑应当提交质疑函和必要的证明材料。质疑函应当包括下列内容：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4.2.3.1供应商的姓名或者名称、地址、邮编、联系人及联系电话；</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4.2.3.2质疑项目的名称、编号；</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4.2.3.3具体、明确的质疑事项和与质疑事项相关的请求；</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4.2.3.4事实依据；</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4.2.3.5必要的法律依据；</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4.2.3.6提出质疑的日期。</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4.2.5询问或者质疑事项可能影响采购结果的，采购人应当暂停签订合同，已经签订合同的，应当中止履行合同。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4.3供应商投诉</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4.3.2供应商投诉的事项不得超出已质疑事项的范围，基于质疑答复内容提出的投诉事项除外。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4.3.4 以联合体形式参加政府采购活动的，其投诉应当由组成联合体的所有供应商共同提出。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6"/>
        <w:rPr>
          <w:rFonts w:hint="eastAsia" w:ascii="宋体" w:hAnsi="宋体" w:eastAsia="宋体" w:cs="宋体"/>
          <w:color w:val="auto"/>
          <w:highlight w:val="none"/>
        </w:rPr>
      </w:pPr>
    </w:p>
    <w:p>
      <w:pPr>
        <w:pStyle w:val="6"/>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二、招标文件的构成、澄清、修改</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5．招标文件的构成</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 招标文件包括下列文件及附件：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5.1.1招标公告；</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5.1.2投标人须知；</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5.1.3采购需求；</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5.1.4评标办法；</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5.1.5拟签订的合同文本；</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5.1.6应提交的有关格式范例。</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5.2与本项目有关的澄清或者修改的内容为招标文件的组成部分。</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 招标文件的澄清、修改</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三、投标</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 招标文件的获取</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详见招标公告中获取招标文件的时间期限、地点、方式及招标文件售价。</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8.开标前答疑会或现场考察</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采购人组织潜在投标人现场考察或者召开开标前答疑会的，潜在投标人按第二部分投标人须知前附表的规定参加现场考察或者开标前答疑会。</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9.投标保证金</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本项目不需缴纳投标保证金。</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10. 投标文件的语言</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投标文件及投标人与采购有关的来往通知、函件和文件均应使用中文。</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 投标文件的组成</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11.1资格文件：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11.1.1符合参加政府采购活动应当具备的一般条件的承诺函；</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11.1.2落实政府采购政策需满足的资格要求；</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11.1.3本项目的特定资格要求。</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  商务技术文件：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11.2.1投标函； </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11.2.2授权委托书或法定代表人（单位负责人、自然人本人）身份证明；</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11.2.3联合协议；</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11.2.4分包意向协议；</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11.2.5符合性审查资料；</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11.2.6评标标准相应的商务技术资料；</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11.2.7投标标的清单；</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11.2.8商务技术偏离表；</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11.2.9政府采购供应商廉洁自律承诺书；</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11.3报价文件： </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11.3.1开标一览表（报价表）；</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11.3.2中小企业声明函。</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投标文件含有采购人不能接受的附加条件的，投标无效；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投标人提供虚假材料投标的，投标无效。</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 投标文件的编制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12.3使用“政采云电子交易客户端”需要提前申领CA数字证书，申领流程请自行前往“浙江政府采购网-下载专区-电子交易客户端-CA驱动和申领流程”进行查阅。</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13.投标文件的签署、盖章</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13.1投标文件按照招标文件第六部分格式要求进行签署、盖章。▲投标人的投标文件未按照招标文件要求签署、盖章的，其投标无效。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13.3招标文件对投标文件签署、盖章的要求适用于电子签名。</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 投标文件的提交、补充、修改、撤回</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15.备份投标文件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15.5投标人仅提交备份投标文件，未在电子交易平台传输递交投标文件的，投标无效。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16.投标文件的无效处理</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有招标文件第四部分4.2规定的情形之一的，投标无效：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17.投标有效期</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17.1投标有效期为从提交投标文件的截止之日起90天。▲投标人的投标文件中承诺的投标有效期少于招标文件中载明的投标有效期的，投标无效。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6"/>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四、开标、资格审查与信用信息查询</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18.开标 </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18.1采购机构按照招标文件规定的时间通过电子交易平台组织开标，所有投标人均应当准时在线参加。投标人不足3家的，不得开标。</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18.3投标文件未按时解密，投标人提供了备份投标文件的，以备份投标文件作为依据，否则视为投标文件撤回。投标文件已按时解密的，备份投标文件自动失效。</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19、资格审查</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19.1开标后，采购人或采购机构将依法对投标人的资格进行审查。</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19.2采购人或采购机构依据法律法规和招标文件的规定，对投标人的基本资格条件、特定资格条件进行审查。</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19.4对未通过资格审查的投标人，采购人或采购机构告知其未通过的原因。</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19.5合格投标人不足3家的，不再评标。</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20、信用信息查询</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20.1信用信息查询渠道及截止时间：采购机构将通过“信用中国”网站(www.creditchina.gov.cn)、中国政府采购网(www.ccgp.gov.cn)渠道查询投标人投标截止时间当天的信用记录。</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20.2信用信息查询记录和证据留存的具体方式：现场查询的投标人的信用记录、查询结果经确认后将与采购文件一起存档。</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6"/>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五、评标</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 评标</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6"/>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六、定 标</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22. 确定中标供应商</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采购人将自收到评审报告之日起5个工作日内通过电子交易平台在评审报告推荐的中标候选人中按顺序确定中标供应商。</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 中标通知与中标结果公告</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23.3公告期限为1个工作日。</w:t>
      </w:r>
    </w:p>
    <w:p>
      <w:pPr>
        <w:pStyle w:val="6"/>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七、合同授予</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24. 合同主要条款详见第五部分拟签订的合同文本。</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 合同的签订</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26. 履约保证金</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kinsoku/>
        <w:wordWrap/>
        <w:overflowPunct/>
        <w:topLinePunct w:val="0"/>
        <w:autoSpaceDE/>
        <w:autoSpaceDN/>
        <w:bidi w:val="0"/>
        <w:adjustRightInd/>
        <w:snapToGrid/>
        <w:spacing w:after="0" w:line="312" w:lineRule="auto"/>
        <w:jc w:val="center"/>
        <w:textAlignment w:val="auto"/>
        <w:rPr>
          <w:rFonts w:hint="eastAsia" w:ascii="宋体" w:hAnsi="宋体" w:eastAsia="宋体" w:cs="宋体"/>
          <w:b/>
          <w:smallCaps/>
          <w:color w:val="auto"/>
          <w:sz w:val="28"/>
          <w:szCs w:val="28"/>
          <w:highlight w:val="none"/>
          <w:lang w:val="en-US" w:eastAsia="zh-CN" w:bidi="ar-SA"/>
        </w:rPr>
      </w:pPr>
      <w:r>
        <w:rPr>
          <w:rFonts w:hint="eastAsia" w:ascii="宋体" w:hAnsi="宋体" w:eastAsia="宋体" w:cs="宋体"/>
          <w:b/>
          <w:smallCaps/>
          <w:color w:val="auto"/>
          <w:sz w:val="28"/>
          <w:szCs w:val="28"/>
          <w:highlight w:val="none"/>
          <w:lang w:val="en-US" w:eastAsia="zh-CN" w:bidi="ar-SA"/>
        </w:rPr>
        <w:t>八、电子交易活动的中止</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27. 电子交易活动的中止。</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rPr>
      </w:pP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九、验收</w:t>
      </w:r>
    </w:p>
    <w:p>
      <w:pPr>
        <w:pStyle w:val="7"/>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29.验收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0571-83587785/0571-82816012  联系地址: 萧山区通惠北路2-1号302室</w:t>
      </w:r>
    </w:p>
    <w:p>
      <w:pPr>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第三部分   采购需求</w:t>
      </w:r>
    </w:p>
    <w:p>
      <w:pPr>
        <w:snapToGrid w:val="0"/>
        <w:spacing w:line="240" w:lineRule="auto"/>
        <w:rPr>
          <w:rStyle w:val="50"/>
          <w:rFonts w:hint="eastAsia" w:ascii="宋体" w:hAnsi="宋体" w:eastAsia="宋体" w:cs="宋体"/>
          <w:i w:val="0"/>
          <w:iCs w:val="0"/>
          <w:color w:val="auto"/>
          <w:highlight w:val="none"/>
        </w:rPr>
      </w:pPr>
      <w:r>
        <w:rPr>
          <w:rStyle w:val="50"/>
          <w:rFonts w:hint="eastAsia" w:ascii="宋体" w:hAnsi="宋体" w:eastAsia="宋体" w:cs="宋体"/>
          <w:i w:val="0"/>
          <w:iCs w:val="0"/>
          <w:color w:val="auto"/>
          <w:highlight w:val="none"/>
        </w:rPr>
        <w:t>属于实质性要求条款的，请用符号“▲”标明，否则属于非实质性要求。</w:t>
      </w:r>
    </w:p>
    <w:p>
      <w:pPr>
        <w:snapToGrid w:val="0"/>
        <w:spacing w:line="240" w:lineRule="auto"/>
        <w:rPr>
          <w:rStyle w:val="50"/>
          <w:rFonts w:hint="eastAsia" w:ascii="宋体" w:hAnsi="宋体" w:eastAsia="宋体" w:cs="宋体"/>
          <w:i w:val="0"/>
          <w:iCs w:val="0"/>
          <w:color w:val="auto"/>
          <w:highlight w:val="none"/>
        </w:rPr>
      </w:pPr>
      <w:r>
        <w:rPr>
          <w:rStyle w:val="50"/>
          <w:rFonts w:hint="eastAsia" w:ascii="宋体" w:hAnsi="宋体" w:eastAsia="宋体" w:cs="宋体"/>
          <w:i w:val="0"/>
          <w:iCs w:val="0"/>
          <w:color w:val="auto"/>
          <w:highlight w:val="none"/>
        </w:rPr>
        <w:t>“★”系产品采购项目中单一产品或核心产品。</w:t>
      </w:r>
    </w:p>
    <w:p>
      <w:pPr>
        <w:pStyle w:val="6"/>
        <w:numPr>
          <w:ilvl w:val="0"/>
          <w:numId w:val="1"/>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招标一览表</w:t>
      </w:r>
    </w:p>
    <w:p>
      <w:pPr>
        <w:pStyle w:val="8"/>
        <w:spacing w:line="240" w:lineRule="auto"/>
        <w:rPr>
          <w:rFonts w:hint="eastAsia" w:ascii="宋体" w:hAnsi="宋体" w:eastAsia="宋体" w:cs="宋体"/>
          <w:color w:val="auto"/>
          <w:highlight w:val="none"/>
        </w:rPr>
      </w:pPr>
      <w:bookmarkStart w:id="2" w:name="_Hlk121494892"/>
      <w:r>
        <w:rPr>
          <w:rFonts w:hint="eastAsia" w:ascii="宋体" w:hAnsi="宋体" w:eastAsia="宋体" w:cs="宋体"/>
          <w:color w:val="auto"/>
          <w:highlight w:val="none"/>
        </w:rPr>
        <w:t xml:space="preserve">标项一： </w:t>
      </w:r>
    </w:p>
    <w:tbl>
      <w:tblPr>
        <w:tblStyle w:val="25"/>
        <w:tblpPr w:leftFromText="180" w:rightFromText="180" w:vertAnchor="text" w:horzAnchor="margin" w:tblpX="-232" w:tblpY="63"/>
        <w:tblOverlap w:val="never"/>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2805"/>
        <w:gridCol w:w="1020"/>
        <w:gridCol w:w="1290"/>
        <w:gridCol w:w="177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atLeast"/>
        </w:trPr>
        <w:tc>
          <w:tcPr>
            <w:tcW w:w="660"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805"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020"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90"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770" w:type="dxa"/>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367" w:type="dxa"/>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8" w:hRule="atLeast"/>
        </w:trPr>
        <w:tc>
          <w:tcPr>
            <w:tcW w:w="660" w:type="dxa"/>
            <w:tcMar>
              <w:top w:w="15" w:type="dxa"/>
              <w:left w:w="15" w:type="dxa"/>
              <w:bottom w:w="0" w:type="dxa"/>
              <w:right w:w="15" w:type="dxa"/>
            </w:tcMar>
            <w:vAlign w:val="center"/>
          </w:tcPr>
          <w:p>
            <w:pPr>
              <w:tabs>
                <w:tab w:val="left" w:pos="0"/>
              </w:tabs>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805"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萧山区未来社区基础服务系统-信息化项目（重招）</w:t>
            </w:r>
          </w:p>
        </w:tc>
        <w:tc>
          <w:tcPr>
            <w:tcW w:w="1020"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290" w:type="dxa"/>
            <w:tcMar>
              <w:top w:w="15" w:type="dxa"/>
              <w:left w:w="15" w:type="dxa"/>
              <w:bottom w:w="0" w:type="dxa"/>
              <w:right w:w="15" w:type="dxa"/>
            </w:tcMar>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项</w:t>
            </w:r>
          </w:p>
        </w:tc>
        <w:tc>
          <w:tcPr>
            <w:tcW w:w="1770" w:type="dxa"/>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需求</w:t>
            </w:r>
          </w:p>
        </w:tc>
        <w:tc>
          <w:tcPr>
            <w:tcW w:w="1367" w:type="dxa"/>
            <w:vAlign w:val="center"/>
          </w:tcPr>
          <w:p>
            <w:pPr>
              <w:tabs>
                <w:tab w:val="left" w:pos="0"/>
              </w:tabs>
              <w:adjustRightInd w:val="0"/>
              <w:snapToGri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1191</w:t>
            </w:r>
            <w:r>
              <w:rPr>
                <w:rFonts w:hint="eastAsia" w:ascii="宋体" w:hAnsi="宋体" w:eastAsia="宋体" w:cs="宋体"/>
                <w:color w:val="auto"/>
                <w:highlight w:val="none"/>
              </w:rPr>
              <w:t>0000</w:t>
            </w:r>
          </w:p>
        </w:tc>
      </w:tr>
    </w:tbl>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bookmarkEnd w:id="2"/>
    <w:p>
      <w:pPr>
        <w:pStyle w:val="6"/>
        <w:numPr>
          <w:ilvl w:val="0"/>
          <w:numId w:val="1"/>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pStyle w:val="6"/>
        <w:numPr>
          <w:ilvl w:val="0"/>
          <w:numId w:val="0"/>
        </w:numPr>
        <w:tabs>
          <w:tab w:val="left" w:pos="709"/>
          <w:tab w:val="left" w:pos="1560"/>
        </w:tabs>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技术需求：</w:t>
      </w:r>
    </w:p>
    <w:p>
      <w:pPr>
        <w:pStyle w:val="6"/>
        <w:tabs>
          <w:tab w:val="left" w:pos="709"/>
          <w:tab w:val="left" w:pos="1560"/>
        </w:tabs>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一、项目介绍</w:t>
      </w:r>
    </w:p>
    <w:p>
      <w:pPr>
        <w:spacing w:after="0"/>
        <w:ind w:firstLine="482"/>
        <w:rPr>
          <w:rFonts w:hint="eastAsia" w:ascii="宋体" w:hAnsi="宋体" w:eastAsia="宋体" w:cs="宋体"/>
          <w:highlight w:val="none"/>
        </w:rPr>
      </w:pPr>
      <w:r>
        <w:rPr>
          <w:rFonts w:hint="eastAsia" w:ascii="宋体" w:hAnsi="宋体" w:eastAsia="宋体" w:cs="宋体"/>
          <w:highlight w:val="none"/>
        </w:rPr>
        <w:t>《浙江省全域推进未来社区建设指导意见》中提出到2022年底，全省城镇未来社区试点创建项目达到500个左右，到2025年底，全省累计创建未来社区1300个左右；到2035年底，未来社区理念成为城市社区新建、改造的普遍形态和普适要求，成为共建共享品质生活的省域范例。</w:t>
      </w:r>
    </w:p>
    <w:p>
      <w:pPr>
        <w:spacing w:after="0"/>
        <w:ind w:firstLine="482"/>
        <w:rPr>
          <w:rFonts w:hint="eastAsia" w:ascii="宋体" w:hAnsi="宋体" w:eastAsia="宋体" w:cs="宋体"/>
          <w:highlight w:val="none"/>
        </w:rPr>
      </w:pPr>
      <w:r>
        <w:rPr>
          <w:rFonts w:hint="eastAsia" w:ascii="宋体" w:hAnsi="宋体" w:eastAsia="宋体" w:cs="宋体"/>
          <w:highlight w:val="none"/>
        </w:rPr>
        <w:t>全省未来社区建设正从探索阶段向全面推广阶段转换，萧山区响应省里规划要求，立足现在，着眼未来，打造萧山区未来社区基础服务模块，实现萧山区未来社区的统一监管监测，实现多街道、多社区的分层分级数据管理；实现萧山区后续未来社区项目的低本高效建设；实现全区各未来社区的兼容普惠并满足社区个性化建设的需求；实现浙江数字化改革成果全区未来社区统一接入和应用，后期可逐步实现跨社区运营模式的转型。</w:t>
      </w:r>
    </w:p>
    <w:p>
      <w:pPr>
        <w:spacing w:after="0"/>
        <w:ind w:firstLine="480" w:firstLineChars="200"/>
        <w:rPr>
          <w:rFonts w:hint="eastAsia" w:ascii="宋体" w:hAnsi="宋体" w:eastAsia="宋体" w:cs="宋体"/>
          <w:highlight w:val="none"/>
        </w:rPr>
      </w:pPr>
      <w:bookmarkStart w:id="3" w:name="_Hlk115268297"/>
      <w:r>
        <w:rPr>
          <w:rFonts w:hint="eastAsia" w:ascii="宋体" w:hAnsi="宋体" w:eastAsia="宋体" w:cs="宋体"/>
          <w:highlight w:val="none"/>
        </w:rPr>
        <w:t>另外，住建围绕公共收益资金监管难，设施设备维修难、选聘物业服务企业流程不规范等痛点难点，通过数字赋能，业务协同，流程再造，从政府、企业、居民等多方需求出发，提高行业监管效率，提高业主知情权、表决权，提升业主满意度。</w:t>
      </w:r>
    </w:p>
    <w:bookmarkEnd w:id="3"/>
    <w:p>
      <w:pPr>
        <w:spacing w:after="0"/>
        <w:ind w:firstLine="480"/>
        <w:rPr>
          <w:rFonts w:hint="eastAsia" w:ascii="宋体" w:hAnsi="宋体" w:eastAsia="宋体" w:cs="宋体"/>
          <w:highlight w:val="none"/>
        </w:rPr>
      </w:pPr>
      <w:r>
        <w:rPr>
          <w:rFonts w:hint="eastAsia" w:ascii="宋体" w:hAnsi="宋体" w:eastAsia="宋体" w:cs="宋体"/>
          <w:highlight w:val="none"/>
        </w:rPr>
        <w:t>物业综合管理模块是通过综合运用现代科学技术，整合区域人、车、地、物、情、事、组织和房屋等信息，建设包含网格化管理、公共服务、便民服务、安全管理、安居管理等内容的社区综合服务体系。</w:t>
      </w:r>
    </w:p>
    <w:p>
      <w:pPr>
        <w:pStyle w:val="6"/>
        <w:tabs>
          <w:tab w:val="left" w:pos="709"/>
          <w:tab w:val="left" w:pos="1560"/>
        </w:tabs>
        <w:spacing w:before="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二、采购内容</w:t>
      </w:r>
    </w:p>
    <w:p>
      <w:pPr>
        <w:spacing w:after="0"/>
        <w:ind w:firstLine="480"/>
        <w:rPr>
          <w:rFonts w:hint="eastAsia" w:ascii="宋体" w:hAnsi="宋体" w:eastAsia="宋体" w:cs="宋体"/>
          <w:highlight w:val="none"/>
        </w:rPr>
      </w:pPr>
      <w:r>
        <w:rPr>
          <w:rFonts w:hint="eastAsia" w:ascii="宋体" w:hAnsi="宋体" w:eastAsia="宋体" w:cs="宋体"/>
          <w:highlight w:val="none"/>
        </w:rPr>
        <w:t>建设内容包括全域应用能力中心底座、未来社区9大场景基础应用模块、提供面向社区居民、政府、社区运营方的三类交互端。其中，全域能力底座萧山区统建，云计算资源复用萧山区“萧山政务云”，打造萧山区未来社区能力底座，实现服务资源的标准化与统一，降低未来社区的整体建设成本。</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全域数字底座：建设统一的萧山区未来社区基础服务模块底座，包含物联引擎、未来社区专题库、应用能力中心、应用超市，形成区级能力复用系统。</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全域数字社会对接：全域系统具备容器属性，贯通城市大脑全方位承接数字化改革成果，实现社会事业“12 个有”优质公共服务精准落地。</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全域数据安全：依托城市大脑·萧山平台大数据智能安全分析系统，保障系统的网络安全和数据安全，同时系统应满足信息系统等级保护二级认证，并依托城市大脑·萧山平台网络安全防护能力及数据安全标准规范健全平台安全体系。</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全域客户端：实现萧山区全域统一客户端，包括小程序（微信端）、浙里办APP；治理端红领通治理端；运营端智慧物管及社区运营端PC端入口。</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全域标准应用：实现未来社区九大场景标准应用的建设，并可通过应用下发快速实现社区标准应用的落地。</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应用超市：萧山区全域标准应用可下发到村社，避免应用重复建设；同时支持将特色应用上架到应用超市，并下发到村社系统。</w:t>
      </w:r>
    </w:p>
    <w:p>
      <w:pPr>
        <w:numPr>
          <w:ilvl w:val="0"/>
          <w:numId w:val="2"/>
        </w:numPr>
        <w:spacing w:after="0"/>
        <w:ind w:left="0"/>
        <w:rPr>
          <w:rFonts w:hint="eastAsia" w:ascii="宋体" w:hAnsi="宋体" w:eastAsia="宋体" w:cs="宋体"/>
          <w:highlight w:val="none"/>
        </w:rPr>
      </w:pPr>
      <w:r>
        <w:rPr>
          <w:rFonts w:hint="eastAsia" w:ascii="宋体" w:hAnsi="宋体" w:eastAsia="宋体" w:cs="宋体"/>
          <w:highlight w:val="none"/>
        </w:rPr>
        <w:t>物业综合管理模块</w:t>
      </w:r>
    </w:p>
    <w:p>
      <w:pPr>
        <w:spacing w:after="0"/>
        <w:ind w:firstLine="480" w:firstLineChars="200"/>
        <w:rPr>
          <w:rFonts w:hint="eastAsia" w:ascii="宋体" w:hAnsi="宋体" w:eastAsia="宋体" w:cs="宋体"/>
          <w:highlight w:val="none"/>
        </w:rPr>
      </w:pPr>
      <w:r>
        <w:rPr>
          <w:rFonts w:hint="eastAsia" w:ascii="宋体" w:hAnsi="宋体" w:eastAsia="宋体" w:cs="宋体"/>
          <w:highlight w:val="none"/>
        </w:rPr>
        <w:t>（1）整合物业资源：以小区为单位，整合与物业管理相关的信息资源，建立住宅小区物业管理基础数据库，包括楼盘表、设施设备、物业企业、管理部门、党建信息等，形成全区物业“一个库”，为服务监管提供基础信息支持；</w:t>
      </w:r>
    </w:p>
    <w:p>
      <w:pPr>
        <w:spacing w:after="0"/>
        <w:ind w:firstLine="480" w:firstLineChars="200"/>
        <w:rPr>
          <w:rFonts w:hint="eastAsia" w:ascii="宋体" w:hAnsi="宋体" w:eastAsia="宋体" w:cs="宋体"/>
          <w:highlight w:val="none"/>
        </w:rPr>
      </w:pPr>
      <w:r>
        <w:rPr>
          <w:rFonts w:hint="eastAsia" w:ascii="宋体" w:hAnsi="宋体" w:eastAsia="宋体" w:cs="宋体"/>
          <w:highlight w:val="none"/>
        </w:rPr>
        <w:t>（2）构建应用场景：实现跨部门、跨系统的业务协同，建设公共收益资金监管、设施设备维修、物业招投标、事件上报、消防安居等应用场景，并为相关业务主体分配端口，实现物业应用的“一张网”通办，让小区更安全、服务更到位、管理更精准、治理更高效、信息更透明、生活更美好；</w:t>
      </w:r>
    </w:p>
    <w:p>
      <w:pPr>
        <w:spacing w:after="0"/>
        <w:ind w:firstLine="480" w:firstLineChars="200"/>
        <w:rPr>
          <w:rFonts w:hint="eastAsia" w:ascii="宋体" w:hAnsi="宋体" w:eastAsia="宋体" w:cs="宋体"/>
          <w:highlight w:val="none"/>
        </w:rPr>
      </w:pPr>
      <w:r>
        <w:rPr>
          <w:rFonts w:hint="eastAsia" w:ascii="宋体" w:hAnsi="宋体" w:eastAsia="宋体" w:cs="宋体"/>
          <w:highlight w:val="none"/>
        </w:rPr>
        <w:t>（3）加强行业监管：增强政府对物业企业的有效监管，促进物业企业改进工作，提高管理和服务的整体水平。分析物业基础数据、应用场景数据，全方位数据挖掘及展示，形成全区小区健康画像，为领导提供决策支撑。</w:t>
      </w:r>
    </w:p>
    <w:p>
      <w:pPr>
        <w:spacing w:after="0"/>
        <w:ind w:firstLine="480" w:firstLineChars="200"/>
        <w:rPr>
          <w:rFonts w:hint="eastAsia" w:ascii="宋体" w:hAnsi="宋体" w:eastAsia="宋体" w:cs="宋体"/>
          <w:highlight w:val="none"/>
        </w:rPr>
      </w:pPr>
      <w:r>
        <w:rPr>
          <w:rFonts w:hint="eastAsia" w:ascii="宋体" w:hAnsi="宋体" w:eastAsia="宋体" w:cs="宋体"/>
          <w:highlight w:val="none"/>
        </w:rPr>
        <w:t>（4）减少信访矛盾：项目的建设重点解决物业管理过程中与百姓息息相关的一些痛点与难点，通过规范流程、科学评价，实现物业服务企业的优胜劣汰，督促企业提高物业管理水平，化解与百姓之间的矛盾纠纷，构建和谐社会。</w:t>
      </w:r>
    </w:p>
    <w:p>
      <w:pPr>
        <w:pStyle w:val="6"/>
        <w:tabs>
          <w:tab w:val="left" w:pos="709"/>
          <w:tab w:val="left" w:pos="1560"/>
        </w:tabs>
        <w:spacing w:before="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三、采购清单</w:t>
      </w:r>
    </w:p>
    <w:p>
      <w:pPr>
        <w:numPr>
          <w:ilvl w:val="0"/>
          <w:numId w:val="3"/>
        </w:numPr>
        <w:spacing w:after="0"/>
        <w:ind w:left="0"/>
        <w:rPr>
          <w:rFonts w:hint="eastAsia" w:ascii="宋体" w:hAnsi="宋体" w:eastAsia="宋体" w:cs="宋体"/>
          <w:b/>
          <w:bCs/>
          <w:highlight w:val="none"/>
        </w:rPr>
      </w:pPr>
      <w:r>
        <w:rPr>
          <w:rFonts w:hint="eastAsia" w:ascii="宋体" w:hAnsi="宋体" w:eastAsia="宋体" w:cs="宋体"/>
          <w:b/>
          <w:bCs/>
          <w:highlight w:val="none"/>
        </w:rPr>
        <w:t>未来社区基础服务模块</w:t>
      </w:r>
    </w:p>
    <w:tbl>
      <w:tblPr>
        <w:tblStyle w:val="25"/>
        <w:tblW w:w="9492" w:type="dxa"/>
        <w:jc w:val="center"/>
        <w:tblLayout w:type="fixed"/>
        <w:tblCellMar>
          <w:top w:w="0" w:type="dxa"/>
          <w:left w:w="108" w:type="dxa"/>
          <w:bottom w:w="0" w:type="dxa"/>
          <w:right w:w="108" w:type="dxa"/>
        </w:tblCellMar>
      </w:tblPr>
      <w:tblGrid>
        <w:gridCol w:w="709"/>
        <w:gridCol w:w="355"/>
        <w:gridCol w:w="482"/>
        <w:gridCol w:w="1108"/>
        <w:gridCol w:w="1251"/>
        <w:gridCol w:w="5587"/>
      </w:tblGrid>
      <w:tr>
        <w:tblPrEx>
          <w:tblCellMar>
            <w:top w:w="0" w:type="dxa"/>
            <w:left w:w="108" w:type="dxa"/>
            <w:bottom w:w="0" w:type="dxa"/>
            <w:right w:w="108" w:type="dxa"/>
          </w:tblCellMar>
        </w:tblPrEx>
        <w:trPr>
          <w:trHeight w:val="99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b/>
                <w:bCs/>
                <w:highlight w:val="none"/>
              </w:rPr>
            </w:pPr>
            <w:r>
              <w:rPr>
                <w:rFonts w:hint="eastAsia" w:ascii="宋体" w:hAnsi="宋体" w:eastAsia="宋体" w:cs="宋体"/>
                <w:b/>
                <w:bCs/>
                <w:highlight w:val="none"/>
                <w:lang w:bidi="ar"/>
              </w:rPr>
              <w:t>序号</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b/>
                <w:bCs/>
                <w:highlight w:val="none"/>
              </w:rPr>
            </w:pPr>
            <w:r>
              <w:rPr>
                <w:rFonts w:hint="eastAsia" w:ascii="宋体" w:hAnsi="宋体" w:eastAsia="宋体" w:cs="宋体"/>
                <w:b/>
                <w:bCs/>
                <w:highlight w:val="none"/>
                <w:lang w:bidi="ar"/>
              </w:rPr>
              <w:t>场景</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b/>
                <w:bCs/>
                <w:highlight w:val="none"/>
              </w:rPr>
            </w:pPr>
            <w:r>
              <w:rPr>
                <w:rFonts w:hint="eastAsia" w:ascii="宋体" w:hAnsi="宋体" w:eastAsia="宋体" w:cs="宋体"/>
                <w:b/>
                <w:bCs/>
                <w:highlight w:val="none"/>
                <w:lang w:bidi="ar"/>
              </w:rPr>
              <w:t>组件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b/>
                <w:bCs/>
                <w:highlight w:val="none"/>
              </w:rPr>
            </w:pPr>
            <w:r>
              <w:rPr>
                <w:rFonts w:hint="eastAsia" w:ascii="宋体" w:hAnsi="宋体" w:eastAsia="宋体" w:cs="宋体"/>
                <w:b/>
                <w:bCs/>
                <w:highlight w:val="none"/>
                <w:lang w:bidi="ar"/>
              </w:rPr>
              <w:t>一级模块</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b/>
                <w:bCs/>
                <w:highlight w:val="none"/>
              </w:rPr>
            </w:pPr>
            <w:r>
              <w:rPr>
                <w:rFonts w:hint="eastAsia" w:ascii="宋体" w:hAnsi="宋体" w:eastAsia="宋体" w:cs="宋体"/>
                <w:b/>
                <w:bCs/>
                <w:highlight w:val="none"/>
                <w:lang w:bidi="ar"/>
              </w:rPr>
              <w:t>二级模块</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b/>
                <w:bCs/>
                <w:highlight w:val="none"/>
              </w:rPr>
            </w:pPr>
            <w:r>
              <w:rPr>
                <w:rFonts w:hint="eastAsia" w:ascii="宋体" w:hAnsi="宋体" w:eastAsia="宋体" w:cs="宋体"/>
                <w:b/>
                <w:bCs/>
                <w:highlight w:val="none"/>
                <w:lang w:bidi="ar"/>
              </w:rPr>
              <w:t>功能描述</w:t>
            </w:r>
          </w:p>
        </w:tc>
      </w:tr>
      <w:tr>
        <w:tblPrEx>
          <w:tblCellMar>
            <w:top w:w="0" w:type="dxa"/>
            <w:left w:w="108" w:type="dxa"/>
            <w:bottom w:w="0" w:type="dxa"/>
            <w:right w:w="108" w:type="dxa"/>
          </w:tblCellMar>
        </w:tblPrEx>
        <w:trPr>
          <w:trHeight w:val="390" w:hRule="atLeast"/>
          <w:jc w:val="center"/>
        </w:trPr>
        <w:tc>
          <w:tcPr>
            <w:tcW w:w="9492" w:type="dxa"/>
            <w:gridSpan w:val="6"/>
            <w:tcBorders>
              <w:top w:val="single" w:color="000000" w:sz="4" w:space="0"/>
              <w:left w:val="single" w:color="000000" w:sz="4" w:space="0"/>
              <w:bottom w:val="single" w:color="000000" w:sz="4" w:space="0"/>
              <w:right w:val="nil"/>
            </w:tcBorders>
            <w:shd w:val="clear" w:color="auto" w:fill="auto"/>
            <w:vAlign w:val="center"/>
          </w:tcPr>
          <w:p>
            <w:pPr>
              <w:spacing w:after="0"/>
              <w:textAlignment w:val="center"/>
              <w:rPr>
                <w:rFonts w:hint="eastAsia" w:ascii="宋体" w:hAnsi="宋体" w:eastAsia="宋体" w:cs="宋体"/>
                <w:b/>
                <w:bCs/>
                <w:highlight w:val="none"/>
              </w:rPr>
            </w:pPr>
            <w:r>
              <w:rPr>
                <w:rFonts w:hint="eastAsia" w:ascii="宋体" w:hAnsi="宋体" w:eastAsia="宋体" w:cs="宋体"/>
                <w:b/>
                <w:bCs/>
                <w:highlight w:val="none"/>
                <w:lang w:bidi="ar"/>
              </w:rPr>
              <w:t>Part.1 未来社区基础服务系统——数字底座+交互端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数字底座</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物联引擎</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智能设备接入方式</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直连接入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支持设备以MQTT、CoAP\LwM2M、HTTP、TCP等四种协议，通过设备直接的方式接入物联网系统。</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通过边缘网关接入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针对部分设备无法通过直连方式接入到系统，系统也支持此类设备挂载在网关上，作为网关的子设备，由网关代为接入至系统。</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第三方平台接入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第三方平台通过MQTT（S）、HTTP（S）的方式接入。设备接入第三方平台，第三方平台再接入物联网平台，执行设备注册、设备激活、设备数据上报等业务。当下发命令时，应用调用物联网平台开放的API，物联网平台将指令下发给第三方平台，第三方平台再将指令下发给设备终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多网络接入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支持有线和无线的接入方式，如固定宽带、2G/3G/4G/5G、NB-IoT、WIFI、Cat.1等。</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多类型接入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支持多样化的设备类型，如传感器、边缘网关、行业终端、智能设备、DTU、消费电子、模组固件等，支持多行业终端接入，如智慧水务、智慧工地、智慧土方、智慧环保等。</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智能设备接入管理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通讯协议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物联网系统支持多种通讯协议，包括如MQTT、CoAP/LwM2M、HTTP、TCP等，也支持其他协议通过适配方式接入。</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MQTT协议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设备使用MQTT协议接入。MQTT是基于TCP/IP协议栈构建的异步通信消息协议，是一种轻量级的发布/订阅信息传输协议。MQTT在时间和空间上，将消息发送者与接受者分离，可以在不可靠的网络环境中进行扩展。适用于设备硬件存储空间有限或网络带宽有限的场景。</w:t>
            </w:r>
          </w:p>
        </w:tc>
      </w:tr>
      <w:tr>
        <w:tblPrEx>
          <w:tblCellMar>
            <w:top w:w="0" w:type="dxa"/>
            <w:left w:w="108" w:type="dxa"/>
            <w:bottom w:w="0" w:type="dxa"/>
            <w:right w:w="108" w:type="dxa"/>
          </w:tblCellMar>
        </w:tblPrEx>
        <w:trPr>
          <w:trHeight w:val="1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CoAP/LwM2M</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CoAP/LwM2M协议连接通信。CoAP协议适用在资源受限的低功耗设备上，尤其是NB-IoT的设备使用。LwM2M（LightweightMachinetoMachine）协议是基于传输层CoAP协议的应用层协议，该协议是由OMA（OpenMobileAlliance）提出并定义的适用于资源有限的终端设备管理的轻量级物联网协议，主要面向基于蜂窝的窄带物联网（NarrowBandInternetofThings,NB-IoT）场景下物联网应用，聚焦于低功耗广覆盖物联网市场，是一种可在全球范围内广泛应用的新兴技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HTTP协议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物联网系统支持HTTP协议规范。</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TCP协议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物联网系统支持TCP协议直接接入，用户通过数据解析，使用自定义脚本的方式完成对设备数据的解析。</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协议适配</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在特定场景下，有些设备可能无法直接接入物联网系统。此时，需要使用适配协议SDK，快速构建桥接服务，搭建设备或系统与物联网系统的双向数据通道。</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物网协同</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物网协同提供物网关系管理、物联网卡资费查询、物联网用量查询等功能，实现“设备+网络”统一管理。</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应用场景</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可以实现设备与物联网卡的统一管理，适用于设备故障排查、物联网卡通信用量使用情况查询等，可有效提高设备的运维效率。基于设备采集的业务数据及网络参数数据，系统提供定位、离网、超套风险评估等功能。</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核心能力</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物网信息：系统提供物网关系管理、设备通信状态、资费计划、用量使用情况查询等，帮助用户提高设备运维、运营效率；</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故障处理：构建从管道至云端，从信令至行为，从异常风险威胁至管控拦截的全流程物联网业务异常管控体系；</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网络状态统计：具备设备网络状态检测能力，可查询设备蜂窝网络的会话信息；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LBS定位：提供基于基站的定位服务，设备接入即可查看位置信息。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设备安全管理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设备安全管理是指物联网系统对接入系统的设备进行接入鉴权。对于不同接入方式的设备，接入鉴权方式也不同。</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物模型</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物模型格式</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在设备品类的功能定义页面，单击查看物模型，查看JSON格式的TDL。</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物模型编辑</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系统提供物模型编辑功能，在系统预制的物模型不满足用户实际运用场景时，用户可在标准物模型的基础上自定义添加属性、事件和服务。</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物模型支持标准化物模型，也支持在标准化物模型基础上修改或添加自定义物模型特征，也支持标准化映射模式自定义物模型。</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物模型发布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系统提供物模型发布功能，在产品物模型定义完成后，用户可选择发布物模型，此后无法再修改物模型，如若想修改可撤销发布。</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设备品类创建</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用户的最大资源集为设备品类，设备品类下资源包括设备、设备数据、设备权限、数据触发规则以及基于设备数据的应用等多种资源，用户可以创建多个设备品类。</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设备管理</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设备全生命周期管理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新建设备（设备注册）：通过新建设备功能，实现一个实际设备对应一个物联网系统设备。系统提供单个设备新建、批量导入以及自动生成三种方式，同时用户可以通过API或者控制台的途径新建设备，刚新建的设备为未激活状态；</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设备激活：即设备端首次接入物联网系统，系统会记录该时间作为设备激活时间；</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设备上线：即设备端接入物联网系统，设备状态显示为在线；</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设备下线：即设备端断开与物联网系统的连接，设备状态显示为离线；</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禁用设备：即禁止设备接入物联网系统；</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启用设备，即重新启用已被禁用设备，允许设备重新接入物联网系统。</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设备删除：将设备从物联网系统中删除。设备从物联网系统删除后，与该设备关联的其他信息也一并删除，将无法通过物联网系统执行与该设备关联的任何操作。</w:t>
            </w:r>
          </w:p>
        </w:tc>
      </w:tr>
      <w:tr>
        <w:tblPrEx>
          <w:tblCellMar>
            <w:top w:w="0" w:type="dxa"/>
            <w:left w:w="108" w:type="dxa"/>
            <w:bottom w:w="0" w:type="dxa"/>
            <w:right w:w="108" w:type="dxa"/>
          </w:tblCellMar>
        </w:tblPrEx>
        <w:trPr>
          <w:trHeight w:val="10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设备分组</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通过标签实现设备分组功能，可以通过设备分组来进行跨产品管理设备。分组是一系列设备的集合，用户可以对应用下所有设备，根据区域、类型等不同规则进行分类建立分组，以便实现对海量设备的精细化管理。系统支持标签的增删改查操作，通过对设备打标签，可以快速筛选设备。在注册设备时为设备选择标签，或者在已经注册设备的“设备详情”中为设备选择标签，这样就可以在“所有设备”列表中通过标签筛选设备。</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批量处理能力</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设备管理支持批量注册/新建设备，批量禁用/启用设备，批量删除设备，批量设置属性，批量调用设备服务。</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地图服务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物联网系统支持对设备的地址进行管理，设备在新建后可在设备详情页补充设备的地理位置信息，此外系统也会记录设备接入时的IP地址并进行定位，设备也可以通过物模型中地理位置信息的属性进行上报。</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文件管理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物联网系统支持对文件上传和下载功能，设备可通过HTTP/2流通道方式将文件上传至系统，用户也可从系统下载、删除文件。</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设备数字影像</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设备数字影像，即设备影子，是一个JSON文档，系统为每个设备分配一个设备影子，用于存储设备上报属性和期望属性信息，缓存设备状态。</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设备信息获取及下行控制</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通过系统对接或直连终端设备上报获取设备信息；支持对物联网终端设备进行控制命令的下发操作，支持在设备管理系统进行单个设备或批量设备的下行控制，同时支持通过API接口由具有控制权限的其他业务系统对终端设备进行控制。</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规则引擎</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基于规则引擎的数据转发</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转发为用户提供数据流转的服务，帮助用户将设备消息进行筛选与分发，用户可以自定义数据筛选规则，转换数据格式，并将数据转发至北向应用中。通过该功能，减少了上层应用的数据处理量，继而提高了上层数据处理效率。目前支持HTTP推送将设备数据转发至第三方应用、消息队列订阅设备数据。</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基于规则引擎的场景联动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景联动是指通过条件触发，基于可视化的方式设定规则，实现设备联动与故障告警等业务场景。</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基于规则引擎的告警管理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针对物联网设备本身的运行情况进行监控和告警，系统提供不同维度的告警规则配置功能，包括设备离线、设备故障、低电量等维度的告警类型。</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运维管理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在线联调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可设置模拟推送的内容、可选择推送方式</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实时监控</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物联网系统提供在线设备数量、上下行消息数量、规则引擎流转消息次数、设备网络状态等指标数据的实时监控功能。同时，支持配置云监控报警规则，对物联网系统数据进行监控和报警。</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日志服务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系统日志</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系统日志记录了用户在系统的相关操作（只记录增、删、改操作，不记录查操作），比如在系统创建产品、删除设备等。</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设备日志</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设备日志记录了设备与系统的交互。比如设备上传数据到系统、系统下发指令到设备等。</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应用日志</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应用日志记录了第三方应用调系统API的操作。比如查看产品列表：product/listProducts。</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支持日志搜索：日志的搜索是精确搜索，不支持模糊搜索。</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开放接口</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开放API</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物联网系统提供非常丰富的开发接口可供第三方应用调用，包括提供云端管理产品、设备、分组、Topic、规则、设备影子等API接口，和从云端发布消息的API接口。向API的服务端地址发送HTTPS/HTTPGET或POST请求，并按照API接口说明，在请求中加入相应请求参数来调用API。物联网系统根据请求的处理情况，返回处理结果。</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消息队列服务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消息队列服务为物联网系统与应用服务器之间提供安全、标准化的消息通道。消息队列服务是一款企业级消息中间件，使用统一的消息接入机制，并具备消息发布订阅、Topic管理、用户权限管理、资源统计、监控报警等基础功能，以及消息轨迹、网络隔离等高级特性，为企业数据管理提供统一的消息通道。</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HTTP客户端</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把系统作为客户端，将设备相关信息以HTTP/HTTPS请求的方式，发送给第三方应用服务器，并支持在客户端中加载证书（服务器提供）。</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统计报表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设备统计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在设备统计报表上点击某个设备点位可以直接查看该设备最近一天的数据，可展示设备型号中的功能定义，展示对应的属性的值（以曲线或者表格的方式进行展示）。用户也可以检索到对应设备，查看设备详情</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数据统计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统计报表汇聚的物联感知数据、社会开放数据、政府存量数据，围绕数据呈现，进行数据基于GIS、图表等数字呈现手段等可视化配置编排工具，直观展示包括收发消息统计、API调用统计、命令状态统计以及物联感知数据。</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统计报表提供了可视化编排工具，通过优异的可视化报表、图形化定义方式，可以使用户非常方便控制报表中内容的精确布局，也可以很方便地制作各种不同维度的报表内容。将包括表格、地图分布、文本内容等有用、关键的信息集成在看板上。</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rPr>
            </w:pPr>
            <w:r>
              <w:rPr>
                <w:rFonts w:hint="eastAsia" w:ascii="宋体" w:hAnsi="宋体" w:eastAsia="宋体" w:cs="宋体"/>
                <w:i w:val="0"/>
                <w:iCs w:val="0"/>
                <w:color w:val="000000"/>
                <w:kern w:val="0"/>
                <w:sz w:val="24"/>
                <w:szCs w:val="24"/>
                <w:highlight w:val="none"/>
                <w:u w:val="none"/>
                <w:lang w:val="en-US" w:eastAsia="zh-CN" w:bidi="ar"/>
              </w:rPr>
              <w:t>52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nil"/>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开发者中心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合作伙伴</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该模块主要用于管理合作伙伴信息，合作伙伴可以通过应用商城注册成为ISV，运营中心进行合作伙伴资料审核。</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添加应用，选择应用展示的端、应用分类（如村社、街道、区等）、应用级别、应用编号、应用名称、应用地址（不同类型的应用，应用地址信息不同），应用提供商信息</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应用审核，所有新增的应用都需要管理员进行审核，审核包括审核应用的可用性、是否已经对接完成，应用的质量等，审核通过的应用才可以在应用商城进行上架。</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应用上架：应用上架主要维护应用的介绍信息，宣传图片，应用联系人、联系电话等信息，上架后的应用在应用商城进行展示。</w:t>
            </w:r>
          </w:p>
        </w:tc>
      </w:tr>
      <w:tr>
        <w:tblPrEx>
          <w:tblCellMar>
            <w:top w:w="0" w:type="dxa"/>
            <w:left w:w="108" w:type="dxa"/>
            <w:bottom w:w="0" w:type="dxa"/>
            <w:right w:w="108" w:type="dxa"/>
          </w:tblCellMar>
        </w:tblPrEx>
        <w:trPr>
          <w:trHeight w:val="8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应用广场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应用广场</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应用超市为用户提供不同行业、不同类型的优质应用产品，极大可能满足用户的所有需求。用户可以快速购买到合适的应用产品，轻松部署自己的业务，方便快捷。用户购买的应用通过审核后，会落到客户平台上，客户就可以正常使用这些应用。</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开放平台</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创建应用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通过管理页面，应用可以把私有的配置项放在管理页中，方便应用的配置和使用。</w:t>
            </w:r>
          </w:p>
        </w:tc>
      </w:tr>
      <w:tr>
        <w:tblPrEx>
          <w:tblCellMar>
            <w:top w:w="0" w:type="dxa"/>
            <w:left w:w="108" w:type="dxa"/>
            <w:bottom w:w="0" w:type="dxa"/>
            <w:right w:w="108" w:type="dxa"/>
          </w:tblCellMar>
        </w:tblPrEx>
        <w:trPr>
          <w:trHeight w:val="8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测试应用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应用提交审核及上架前，服务商自己需要先对应用进行测试。测试方法：线下申请应用对应的行业平台测试租户（例如：社区平台测试账号），线上绑定测试租户ID， 绑定成功后，就可以登录测试平台开展应用测试工作。</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审核应用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申请审核可以选择应用，也可以选择应用提交审核，申请审核后，应用的状态将会同步更新，可以通过应用状态来识别审核的进度。</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上架应用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被平台审核通过的应用才可以上架，上架后，应用才能被用户下单采购，用户采购了应用，业务平台中就会显示该应用。应用内容如果进行了更新，需要重新提交应用审核，更新才能生效。</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业务接口定义</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定义标准业务接口，服务商可直接查看接口定义，进行对接</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应用能力中心</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通用中心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用户体系</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支持系统所有用户的管理，包括管理人员账号和居民账号。</w:t>
            </w:r>
          </w:p>
        </w:tc>
      </w:tr>
      <w:tr>
        <w:tblPrEx>
          <w:tblCellMar>
            <w:top w:w="0" w:type="dxa"/>
            <w:left w:w="108" w:type="dxa"/>
            <w:bottom w:w="0" w:type="dxa"/>
            <w:right w:w="108" w:type="dxa"/>
          </w:tblCellMar>
        </w:tblPrEx>
        <w:trPr>
          <w:trHeight w:val="2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统一鉴权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提供支持B2B、B2C、SRM、PASS各个业务场景的用户认证管理功能，包含账号登录、快捷登录等应用常用登录方式</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组织架构</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支持对管理人员组织架构的统一维护管理，从而进行组织架构内人员的管理权限分配。</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角色管理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支持账号、角色和权限的三级管理（村社、街道、区）。</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(1) 支持对系统内各业务模块进行角色的权限划分，不同角色配置不同的管理使用权；</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(2) 支持账号与角色的自定义分配；</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(3) 支持角色继承。</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字典管理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支持对系统内的数据进行字段维护和管理，包括居民类别、车辆类别、房源类别和信息来源等。</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消息服务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消息服务，支持移动端站内信、短信、邮件、钉钉通知、服务通知、机器人语音电话等不同形式的消息通知，可满足决大部分业务场景的消息通知要求。</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脱敏管理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支持管理和设置敏感词汇。</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审批配置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支持系统业务等流程的自定义配置。</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标签服务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针对不同的实体或不同业务需要，</w:t>
            </w:r>
            <w:r>
              <w:rPr>
                <w:rFonts w:hint="eastAsia" w:ascii="宋体" w:hAnsi="宋体" w:eastAsia="宋体" w:cs="宋体"/>
                <w:color w:val="auto"/>
                <w:highlight w:val="none"/>
                <w:lang w:val="en-US" w:eastAsia="zh-CN" w:bidi="ar"/>
              </w:rPr>
              <w:t>设置不同标签</w:t>
            </w:r>
            <w:r>
              <w:rPr>
                <w:rFonts w:hint="eastAsia" w:ascii="宋体" w:hAnsi="宋体" w:eastAsia="宋体" w:cs="宋体"/>
                <w:color w:val="auto"/>
                <w:highlight w:val="none"/>
                <w:lang w:bidi="ar"/>
              </w:rPr>
              <w:t>，支撑到各个业务中心的标签需要</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搜索引擎</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搜索引擎，能够执行及合并多种类型的搜索（结构化数据、非结构化数据、地理位置、指标）</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业务配置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(1) 支持与物联网系统的接入信息配置；</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(2) 支持支付账户秘钥信息的配置管理和维护。</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多租户管理</w:t>
            </w:r>
          </w:p>
        </w:tc>
        <w:tc>
          <w:tcPr>
            <w:tcW w:w="5587" w:type="dxa"/>
            <w:tcBorders>
              <w:top w:val="single" w:color="000000" w:sz="4" w:space="0"/>
              <w:left w:val="single" w:color="000000" w:sz="4" w:space="0"/>
              <w:bottom w:val="single" w:color="000000" w:sz="4" w:space="0"/>
              <w:right w:val="nil"/>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(1) 支持不同租户的数据隔离；</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nil"/>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(2) 支持租户个性化的权限管理 。</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接口管理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支持统一API接口的服务，用于社区后续软件和硬件的对接。</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日志服务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提供系统日志、操作日志、接口日志、服务监控、日志分析、运行大盘、审计等功能支撑</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Web端后台管理系统</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支持网页版系统登录，管理系统操作人员的不同权限的登录及各项系统业务数据的管理功能；支持系统内二级功能菜单管理和跳转。</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nil"/>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业务中心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API网关</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通过统一的API网关进行服务能力的共享，提供发布、管理、保护和监控API的能力，实现跨系统、跨协议的服务能力互通。根据业务场景进行通用能力与上层应用的本地化实施建设。</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应用管理服务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基于通用能力中心提供的组件，构建统一的应用服务，支撑前台的业务流程。根据业务场景进行通用能力与上层应用的本地化实施建设。</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密钥授权服务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用于发行和管理社区内所有的用户的密钥，进行密钥统一管理。根据业务场景进行通用能力与上层应用的本地化实施建设。</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消息中心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可以管理所有通过系统分发消息的消息源，支持消息源的注册、编辑等功能，通过消息源的注册、发布、审批等功能对外提供消息分发接口，实现各类业务系统消息分发。根据业务场景进行通用能力与上层应用的本地化实施建设。</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用户中心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支持多租户管理，系统管理员可以给不同社区/小区开账号，可以设置不同居民的角色，不同角色的居民有不同的应用权限和数据权限，可以对不同社区间进行数据隔离。</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工单中心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平台提供事件汇聚标准，汇聚来自各个应用的事件工单，社区管理员可以在事件中心集中管理事件，处理事件。</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支持自定义积分规则，包括任务、积分有效期（永久、次年固定）、积分值、发放规则等</w:t>
            </w:r>
            <w:r>
              <w:rPr>
                <w:rFonts w:hint="eastAsia" w:ascii="宋体" w:hAnsi="宋体" w:eastAsia="宋体" w:cs="宋体"/>
                <w:highlight w:val="none"/>
                <w:lang w:bidi="ar"/>
              </w:rPr>
              <w:br w:type="textWrapping"/>
            </w:r>
            <w:r>
              <w:rPr>
                <w:rFonts w:hint="eastAsia" w:ascii="宋体" w:hAnsi="宋体" w:eastAsia="宋体" w:cs="宋体"/>
                <w:highlight w:val="none"/>
                <w:lang w:bidi="ar"/>
              </w:rPr>
              <w:t>支持积分任务注册，及触发式发放、积分发放、消费明显查询</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应用分拨中心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管理员可以把应用分发给各个社区、小区、街道等，应用可以按场景以及端进行分类</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配置中心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统一配置系统的通用属性，包括系统名称、系统logo、关联微信等，同时也支持配置分发下来的应用的名称和图标</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装配中心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通过可视化界面可以对分发给社区的应用进行二次组合，形成一个新的应用</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事件中枢</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事件分类管理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新增、修改、删除事件分类，支持映射关联第三方事件平台的事件分类；支持分类预览；事件上报时需要选择配置好的事件分类；事项需要关联到最小单元的子分类。</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事件流转管理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流程节点的配置，包括受理、办理、结案、评价，流程可关联事项，便于进行不同工作流事项的灵活配置</w:t>
            </w:r>
          </w:p>
        </w:tc>
      </w:tr>
      <w:tr>
        <w:tblPrEx>
          <w:tblCellMar>
            <w:top w:w="0" w:type="dxa"/>
            <w:left w:w="108" w:type="dxa"/>
            <w:bottom w:w="0" w:type="dxa"/>
            <w:right w:w="108" w:type="dxa"/>
          </w:tblCellMar>
        </w:tblPrEx>
        <w:trPr>
          <w:trHeight w:val="8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事件清单管理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新增事项，包括：事项名称、事项描述、关联事件分类、政策依据、受理条件、办结条件、权责部门、主办部门、协办部门；支持查看事项管理的所有关联信息，包括：创建人信息、权责部门、处置部门、适用区域、调度时限、处置时限</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处理时限管理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配置事件的整体结案时限、各节点处理时限、审批时限、临期时长等，提醒处理人员及时处理，保障事件处理时效。</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事件提醒管理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配置事件关键节点的提醒，如受理超时、处置超时、延时申请、挂起申请，催办提醒，督办提醒。</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事件标签管理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配置事件上报和事件详情页可选择的事件标签分组；标签数量多时使用分组便于用户选择。配置事件上报和事件详情页可选择的事件标签，便于各节点处理人员针对标签做出判断和应对。</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事件处置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支持上报事件、待办事件、申请延时事件、申请退回事件等事件处置内容</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个人事件管理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对个人的事件进行管理，包括我的经办、我的上报、关注事件、超时事件、催办事件、督办事件、升级事件等功能</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部门事件管理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对于部门事件进行管理，包括：超时事件、催办事件、督办事件、升级事件等功能</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协同管理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外部协同系统录入至系统的事件；支持对外部系统录入进行受理、不受理；实现从上至下的事件贯通。</w:t>
            </w:r>
          </w:p>
        </w:tc>
      </w:tr>
      <w:tr>
        <w:tblPrEx>
          <w:tblCellMar>
            <w:top w:w="0" w:type="dxa"/>
            <w:left w:w="108" w:type="dxa"/>
            <w:bottom w:w="0" w:type="dxa"/>
            <w:right w:w="108" w:type="dxa"/>
          </w:tblCellMar>
        </w:tblPrEx>
        <w:trPr>
          <w:trHeight w:val="8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事件查询</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所有状态、来源和类型的事件；支持根据事件编号、事件来源、事件分类、紧急程度、事项名称、事件状态、事件描述、所属区域、上报人、上报单位、上报时间、事发时间、是否升级事件、是否督办事件、事件标签、事件节点、事件评价、超时状态、催办次数、重点事件、重点场所、事件规模进行筛选查询</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消息通知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事件重要节点自动触发的提醒消息，用户可查看消息具体内容，支持跳转事件详情页进行及时处理。</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lang w:bidi="ar"/>
              </w:rPr>
            </w:pPr>
            <w:r>
              <w:rPr>
                <w:rFonts w:hint="eastAsia" w:ascii="宋体" w:hAnsi="宋体" w:eastAsia="宋体" w:cs="宋体"/>
                <w:i w:val="0"/>
                <w:iCs w:val="0"/>
                <w:color w:val="000000"/>
                <w:kern w:val="0"/>
                <w:sz w:val="24"/>
                <w:szCs w:val="24"/>
                <w:highlight w:val="none"/>
                <w:u w:val="none"/>
                <w:lang w:val="en-US" w:eastAsia="zh-CN" w:bidi="ar"/>
              </w:rPr>
              <w:t>104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未来社区数据专题库</w:t>
            </w:r>
          </w:p>
        </w:tc>
        <w:tc>
          <w:tcPr>
            <w:tcW w:w="1108" w:type="dxa"/>
            <w:vMerge w:val="restart"/>
            <w:tcBorders>
              <w:top w:val="single" w:color="000000" w:sz="4" w:space="0"/>
              <w:left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数据资源</w:t>
            </w:r>
          </w:p>
        </w:tc>
        <w:tc>
          <w:tcPr>
            <w:tcW w:w="1251" w:type="dxa"/>
            <w:vMerge w:val="restart"/>
            <w:tcBorders>
              <w:top w:val="single" w:color="000000" w:sz="4" w:space="0"/>
              <w:left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FF0000"/>
                <w:highlight w:val="none"/>
                <w:lang w:bidi="ar"/>
              </w:rPr>
            </w:pPr>
            <w:r>
              <w:rPr>
                <w:rFonts w:hint="eastAsia" w:ascii="宋体" w:hAnsi="宋体" w:eastAsia="宋体" w:cs="宋体"/>
                <w:highlight w:val="none"/>
                <w:lang w:bidi="ar"/>
              </w:rPr>
              <w:t>数据专题库</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FF0000"/>
                <w:highlight w:val="none"/>
                <w:lang w:bidi="ar"/>
              </w:rPr>
            </w:pPr>
            <w:r>
              <w:rPr>
                <w:rFonts w:hint="eastAsia" w:ascii="宋体" w:hAnsi="宋体" w:eastAsia="宋体" w:cs="宋体"/>
                <w:highlight w:val="none"/>
                <w:lang w:bidi="ar"/>
              </w:rPr>
              <w:t>数据专题库，包括，贴源层、整合层、主题层、应用层。</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源数据层是生产和存储业务原始数据的物理系统，包括数据库、本地文件、音频、视频等。通过连接数据源，创建数据引入的通道。</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贴源层是源数据的镜像复刻层，负责将原始数据完整复制到数据仓库里面。</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整合层是对贴源层进行数据清洗工作，如：脱敏、补全、加密、去重等，形成的数据结果层。</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主题层存储的是从业务中抽象出来的各类主题数据域，也是数据中台的公共数据中心。</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应用层存储的是面向业务的定向专用数据，根据各业务需求定制化的创建。</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数据采集</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数据源</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外部数据源的接入管理。</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数据源的增删改查操作。</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多种数据源，测试连接成功的数据源可以用于项目工作流使用</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数据集成</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集成提供数据同步、清洗等数据预处理的能力，致力于提供简单、稳定、高效的同步能力。通过组件化快速拖拽的方式，实现对各类异构数据源，简单、快速的创建大量数据表的同步任务，并进行任务的配置、调优等操作。同时，支持组件和任务的自定义开发和扩展，满足不同用户的数据清洗、加密、脱敏、去重等需求。</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服务单元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API开发</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textAlignment w:val="bottom"/>
              <w:rPr>
                <w:rFonts w:hint="eastAsia" w:ascii="宋体" w:hAnsi="宋体" w:eastAsia="宋体" w:cs="宋体"/>
                <w:highlight w:val="none"/>
              </w:rPr>
            </w:pPr>
            <w:r>
              <w:rPr>
                <w:rFonts w:hint="eastAsia" w:ascii="宋体" w:hAnsi="宋体" w:eastAsia="宋体" w:cs="宋体"/>
                <w:highlight w:val="none"/>
                <w:lang w:bidi="ar"/>
              </w:rPr>
              <w:t>API开发支持向导模式和SQL模式两种方式进行API的开发。向导模式通过界面配置，以0代码的方式生成API；SQL模式通过支持自定义SQL语句，支持通过脚本模式配置复杂查询及简单函数生成API。</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API服务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API服务作为平台的数据服务出口，将对外提供的数据进行封装后，通过统一的服务接口提供数据服务。便于客户进行进一步数据利用，降低客户获取数据工作量。</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API应用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textAlignment w:val="bottom"/>
              <w:rPr>
                <w:rFonts w:hint="eastAsia" w:ascii="宋体" w:hAnsi="宋体" w:eastAsia="宋体" w:cs="宋体"/>
                <w:highlight w:val="none"/>
              </w:rPr>
            </w:pPr>
            <w:r>
              <w:rPr>
                <w:rFonts w:hint="eastAsia" w:ascii="宋体" w:hAnsi="宋体" w:eastAsia="宋体" w:cs="宋体"/>
                <w:highlight w:val="none"/>
                <w:lang w:bidi="ar"/>
              </w:rPr>
              <w:t>应用是API服务对外提供使用的载体，一个应用可以对接多个API，一个API也可以挂载到多个应用下。在调用API服务之前，要先创建和发布应用。</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数据存储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数据存储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textAlignment w:val="bottom"/>
              <w:rPr>
                <w:rFonts w:hint="eastAsia" w:ascii="宋体" w:hAnsi="宋体" w:eastAsia="宋体" w:cs="宋体"/>
                <w:highlight w:val="none"/>
              </w:rPr>
            </w:pPr>
            <w:r>
              <w:rPr>
                <w:rFonts w:hint="eastAsia" w:ascii="宋体" w:hAnsi="宋体" w:eastAsia="宋体" w:cs="宋体"/>
                <w:highlight w:val="none"/>
                <w:lang w:bidi="ar"/>
              </w:rPr>
              <w:t>按照不同的应用和数据需求，采用不同的数据库和其他存储组件。事务型业务，存在大量的增、删、改、查操作，采用关系型数据库进行存储；分析型业务，需要满足大数据量的并行分析，采用分布式的分析型数据库进行存储。</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数据治理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我的资产</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于非管理员的用户来讲，一般高频使用的都是自身部门业务相关的数据。此模块就是通过部门的维度，将用户相关部门的数据展示出来；同时，对于部门之外的数据，用户关注并且订阅成功的数据也展示在此。支持用户进行数据资产查询，及记录最近查看的资产。</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数据资产</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资产是原始的数据资源经过采集、清洗、加工、集成等处理过程，按照一定规则的目录编排以后，提供给用户使用的数据。用户可以查看所参与项目组内的全部资产列表及资产的元数据，对于感兴趣或者有需要的资产可以进行订阅申请，订阅成功可以查看资产的数据详情以及数据血缘的关系。</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数据概览</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数据概览是数据评估情况总览页，用户可以在此页面一览系统内的字段数量、标准数量，查看评估统计、评估通过率统计、最新评估动态、标准热门排名等数据，了解系统内数据的标准化工作的实施情况。</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数据组织</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数据组织模块，支持数据管理人员对元数据进行有效管理和组织。主要功能包括数据分类、数据标签、数据血缘、数据搜索等功能，用于管理和共享元数据、数据分级、数据注释等。</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a.数据分类：通过业务板块、数据域、维度和业务过程的关联关系，展示企业业务数据的构成。同时，结合搜索、访问及收藏等功能，提供高效、快捷、准确的数据查找与探索入口；</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b.数据标签：通过给数据打上标签属性，为后续业务人员的数据使用和数据分析做准备；</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c.数据血缘：血缘分析是建立在组织整体元数据整合的基础上，是分析元数据的上下游关系，提供了跨IT系统、跨BI工具的元数据分析，实现以数据流向为主线的血缘追溯。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数据质量</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质量规则是数据质量管理的基础，支持使用分区表达式、函数编程等的方式建立规则。</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系统支持多种规则类型，提供了全方位的视角来为用户解析数据质量。</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数据报表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数据报表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报表支持通过界面配置的方式构建智能分析报表，以满足不同数据的使用场景。提供海量数据实时在线分析服务，支持拖拽式操作和丰富的可视化效果，通过下钻、对比、关联分析等功能实现对数据自由灵活的查看、比对、研究，帮助用户轻松自如地完成数据分析、业务数据探查、报表制作等工作。</w:t>
            </w:r>
          </w:p>
        </w:tc>
      </w:tr>
      <w:tr>
        <w:tblPrEx>
          <w:tblCellMar>
            <w:top w:w="0" w:type="dxa"/>
            <w:left w:w="108" w:type="dxa"/>
            <w:bottom w:w="0" w:type="dxa"/>
            <w:right w:w="108" w:type="dxa"/>
          </w:tblCellMar>
        </w:tblPrEx>
        <w:trPr>
          <w:trHeight w:val="10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数据安全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数据安全</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集成了多个业务数据，为了保护这些数据资产，数据安全模块针对数据资产的管理提供数据识别、敏感数据发现、数据分类分级、脱敏、访问监控等能力。同时数据安全也针对数据中台使用者进行用户权限管理，提供数据安全等级，方便管理者进行数据权限的管控。支持动态脱敏技术，数据存储不加密、不脱敏，但是通过查询语句查询出的数据将按照配置的脱敏规则，进行脱敏(例如：姓名字段“*”号代替)，实时脱敏能力大于1000条/秒。</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数据生命周期</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数据生命周期</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根据数据所处的不同阶段、不同分层、数据内容等，制定相应的数据生命周期，定期自动清理、降低数据管理成本、获得最大数据价值。</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专题库</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专题库</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针对领域内的各类业务，进行业务领域建模，按照业务领域细分业务过程，梳理业务维度，业务过程属性及指标信息。形成业务逻辑模型，再结合数据资源标准及平台特性，进行数据模型物理设计，形成业务数据资源表。</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管理中心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审批管理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对审批申请，进行通过、退回、拒绝等操作。</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组织管理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 xml:space="preserve">组织管理模块，主要用于组织的创建、成员配置、组织工具配置等组织管理功能。实现团队的统一管理、数据分配。 </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用户管理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textAlignment w:val="bottom"/>
              <w:rPr>
                <w:rFonts w:hint="eastAsia" w:ascii="宋体" w:hAnsi="宋体" w:eastAsia="宋体" w:cs="宋体"/>
                <w:highlight w:val="none"/>
              </w:rPr>
            </w:pPr>
            <w:r>
              <w:rPr>
                <w:rFonts w:hint="eastAsia" w:ascii="宋体" w:hAnsi="宋体" w:eastAsia="宋体" w:cs="宋体"/>
                <w:highlight w:val="none"/>
                <w:lang w:bidi="ar"/>
              </w:rPr>
              <w:t>系统需要管理所有用户账号信息，对账号之间、账号与角色之间的关系进行维护管理。</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用户组管理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用户组是某一类共同特性用户的集合，用户组所具有的权限是其组织下的用户基本的权限。通过对用户组进行权限分配，使得该组下所有用户共同获取该权限。</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权限管理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textAlignment w:val="bottom"/>
              <w:rPr>
                <w:rFonts w:hint="eastAsia" w:ascii="宋体" w:hAnsi="宋体" w:eastAsia="宋体" w:cs="宋体"/>
                <w:highlight w:val="none"/>
              </w:rPr>
            </w:pPr>
            <w:r>
              <w:rPr>
                <w:rFonts w:hint="eastAsia" w:ascii="宋体" w:hAnsi="宋体" w:eastAsia="宋体" w:cs="宋体"/>
                <w:highlight w:val="none"/>
                <w:lang w:bidi="ar"/>
              </w:rPr>
              <w:t>根据角色、权限策略，对系统的增删改查等功能权限进行配置管理。</w:t>
            </w:r>
          </w:p>
        </w:tc>
      </w:tr>
      <w:tr>
        <w:tblPrEx>
          <w:tblCellMar>
            <w:top w:w="0" w:type="dxa"/>
            <w:left w:w="108" w:type="dxa"/>
            <w:bottom w:w="0" w:type="dxa"/>
            <w:right w:w="108" w:type="dxa"/>
          </w:tblCellMar>
        </w:tblPrEx>
        <w:trPr>
          <w:trHeight w:val="43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空间数据资产数据服务</w:t>
            </w:r>
          </w:p>
        </w:tc>
        <w:tc>
          <w:tcPr>
            <w:tcW w:w="1108" w:type="dxa"/>
            <w:vMerge w:val="restart"/>
            <w:tcBorders>
              <w:top w:val="single" w:color="000000" w:sz="4" w:space="0"/>
              <w:left w:val="single" w:color="000000" w:sz="4" w:space="0"/>
              <w:bottom w:val="nil"/>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红领通驾驶舱可视化系统对接</w:t>
            </w:r>
          </w:p>
        </w:tc>
        <w:tc>
          <w:tcPr>
            <w:tcW w:w="1251" w:type="dxa"/>
            <w:vMerge w:val="restart"/>
            <w:tcBorders>
              <w:top w:val="single" w:color="000000" w:sz="4" w:space="0"/>
              <w:left w:val="single" w:color="000000" w:sz="4" w:space="0"/>
              <w:bottom w:val="nil"/>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系统对接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对接红领通驾驶舱框架，适配萧山一张图体系标准、规范、规则。</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萧山红领通服务后台管理对接</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场景与数据发布管理模块对接</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系统基础用户体系组件对接</w:t>
            </w:r>
          </w:p>
        </w:tc>
      </w:tr>
      <w:tr>
        <w:tblPrEx>
          <w:tblCellMar>
            <w:top w:w="0" w:type="dxa"/>
            <w:left w:w="108" w:type="dxa"/>
            <w:bottom w:w="0" w:type="dxa"/>
            <w:right w:w="108" w:type="dxa"/>
          </w:tblCellMar>
        </w:tblPrEx>
        <w:trPr>
          <w:trHeight w:val="58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GIS数据对接</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GIS数据对接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设施设备点位、公共服务空间、活动空间GIS信息对接</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设计服务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界面和UI设计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未来社区场景指标模块设计</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业务数据对接服务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业务调研</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数据调研及手工录入指标：具体根据业主对接数据需求提供数据对接服务，按照省一体化智能化公共数据系统的数据归集要求，提供相应的数据归集功能。</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九大场景数据指标治理</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数据指标治理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区场景：区场景中各个未来社区建设、运营、监管等相关数据指标梳理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未来邻里：邻里场景中邻里积分、活动管理、好物共享等相关数据指标梳理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未来教育：教育场景中社区达人、教育课程等相关数据指标梳理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未来健康：健康场景中健康档案、健康监测、名医名院、颐乐养老相关数据指标梳理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未来创业：创业场景中线上双创、空间管理等相关数据指标梳理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未来交通：交通场景中智能停车、门禁管理、居民畅行等相关数据指标梳理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未来低碳：低碳场景中垃圾分类、能源管理等相关数据指标梳理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未来服务：服务场景中巡更巡检、物业缴费、物业管理等相关数据指标梳理</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未来治理：示治理场景中社区党建、业主自治、城市服务相关数据指标梳理</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交互端</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居民端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bidi="ar"/>
              </w:rPr>
              <w:t>统一居民端</w:t>
            </w:r>
            <w:r>
              <w:rPr>
                <w:rFonts w:hint="eastAsia" w:ascii="宋体" w:hAnsi="宋体" w:eastAsia="宋体" w:cs="宋体"/>
                <w:color w:val="auto"/>
                <w:highlight w:val="none"/>
                <w:lang w:val="en-US" w:eastAsia="zh-CN" w:bidi="ar"/>
              </w:rPr>
              <w:t>小程序</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萧山区统一居民端</w:t>
            </w:r>
            <w:r>
              <w:rPr>
                <w:rFonts w:hint="eastAsia" w:ascii="宋体" w:hAnsi="宋体" w:eastAsia="宋体" w:cs="宋体"/>
                <w:color w:val="auto"/>
                <w:highlight w:val="none"/>
                <w:lang w:val="en-US" w:eastAsia="zh-CN" w:bidi="ar"/>
              </w:rPr>
              <w:t>小程序</w:t>
            </w:r>
            <w:r>
              <w:rPr>
                <w:rFonts w:hint="eastAsia" w:ascii="宋体" w:hAnsi="宋体" w:eastAsia="宋体" w:cs="宋体"/>
                <w:color w:val="auto"/>
                <w:highlight w:val="none"/>
                <w:lang w:bidi="ar"/>
              </w:rPr>
              <w:t>支持街道、社区、小区、房屋多层级选择，为居民提供生活服务、公共服务、政务服务等多种服务内容。</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统一居民端小程序</w:t>
            </w:r>
          </w:p>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（长者版）</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居民端小程序可选择长者版，页面风格更加简洁，首页只显示几个核心常用应用，文字更大，关注老人，为智能手机使用不熟练的老人带来更好的使用体验。</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居民生活服务端-浙里办APP</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未来社区与数字社会统一入口，包括多跨场景应用，政务服务在内的场景化服务。</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运营端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社区运营端（Web）</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统一运营端管理，通过活动发布、社群管理、场馆预定、积分管理等功能，用数字化串联线下空间跟社区多方运营主体</w:t>
            </w:r>
          </w:p>
        </w:tc>
      </w:tr>
      <w:tr>
        <w:tblPrEx>
          <w:tblCellMar>
            <w:top w:w="0" w:type="dxa"/>
            <w:left w:w="108" w:type="dxa"/>
            <w:bottom w:w="0" w:type="dxa"/>
            <w:right w:w="108" w:type="dxa"/>
          </w:tblCellMar>
        </w:tblPrEx>
        <w:trPr>
          <w:trHeight w:val="5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治理端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治理端-红领通Web端</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对接红领通治理端后台，为区住建、镇街、社区提供统一的社区管理web端，社区可以通过该统一的web端管理所管辖小区；社区人员可以通过该统一的web端进行社区级的运营管理，如社区的活动公告发布等</w:t>
            </w:r>
          </w:p>
        </w:tc>
      </w:tr>
      <w:tr>
        <w:tblPrEx>
          <w:tblCellMar>
            <w:top w:w="0" w:type="dxa"/>
            <w:left w:w="108" w:type="dxa"/>
            <w:bottom w:w="0" w:type="dxa"/>
            <w:right w:w="108" w:type="dxa"/>
          </w:tblCellMar>
        </w:tblPrEx>
        <w:trPr>
          <w:trHeight w:val="7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治理端-红领通APP</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接萧山区红领通治理端，通过红领通治理端为萧山区各级管理人员提供分层、分级、分类管理权限，根据各自的职能形成相关的管理界面。该部分遵从浙江省整体数字化改革中对浙政钉的开发与使用的统一要求，及萧山区红领通体系架构进行相关的适配化工作。</w:t>
            </w:r>
          </w:p>
        </w:tc>
      </w:tr>
      <w:tr>
        <w:tblPrEx>
          <w:tblCellMar>
            <w:top w:w="0" w:type="dxa"/>
            <w:left w:w="108" w:type="dxa"/>
            <w:bottom w:w="0" w:type="dxa"/>
            <w:right w:w="108" w:type="dxa"/>
          </w:tblCellMar>
        </w:tblPrEx>
        <w:trPr>
          <w:trHeight w:val="285" w:hRule="atLeast"/>
          <w:jc w:val="center"/>
        </w:trPr>
        <w:tc>
          <w:tcPr>
            <w:tcW w:w="9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b/>
                <w:bCs/>
                <w:highlight w:val="none"/>
              </w:rPr>
            </w:pPr>
            <w:r>
              <w:rPr>
                <w:rFonts w:hint="eastAsia" w:ascii="宋体" w:hAnsi="宋体" w:eastAsia="宋体" w:cs="宋体"/>
                <w:b/>
                <w:bCs/>
                <w:highlight w:val="none"/>
                <w:lang w:bidi="ar"/>
              </w:rPr>
              <w:t>Part.2 未来社区基础服务系统-场景应用</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标准场景</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全域</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社区积分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积分库</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支持维护多类积分体系，如邻里积分、志愿声望分等，可自定义积分规则配置、有效期等。</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积分商城</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支持社区管理员在该模块中配置积分商品简介、积分商品兑换要求，发布上新的积分商品。</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积分银行</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积分银行汇聚来自不同应用渠道的各类积分数据，包括积分的获取和消耗情况；同时支持线上补录和扣除对应用户积分。</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积分配置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提供社区管理员积分获取渠道的统一管理入口，支持设定特定场景、操作所获得的的积分数量与规则。同时支持开通连续签到，设定连签礼、补签等规则。</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积分兑换</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提供社区管理员管理积分兑换信息的统一入口，可在该页面查看居民兑换的积分商品信息，支持对积分兑换订单进行核销。</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积分排行</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提供查询所有积分用户余额信息，全员排行及部分榜单信息开放展示。</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等级权益</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面向社区管理员开放用户等级权限、等级称号的自定义维护，开放居民等级成长值。</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积分接口</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积分中心与九大场景面向居民端的各类型应全面打通，与街道积分系统打通，并预留外部积分打通接口。</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信息发布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公告发布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提供统一的公告发布入口，可以对公告进行增删改查、发布、审核及上下架，且公告支持置顶，以便于将重要内容放到最显眼的地方</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社区新闻</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提供统一的新闻发布入口，可以对新闻进行增删改查、发布、审核及上下架管理；支持banner设置和外链接设置</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资讯分享</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支持生成资讯二维码进行分享查看，开放居民对资讯信息的点评互动；</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社区事件分类管理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新增、修改、删除事件分类，支持映射关联第三方事件平台的事件分类；支持分类预览；事件上报时需要选择配置好的事件分类；事项需要关联到最小单元的子分类。</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社区事件流转管理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流程节点的配置，包括受理、办理、结案、评价，流程可关联事项，便于进行不同工作流事项的灵活配置</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社区事件清单管理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新增事项，包括：事项名称、事项描述、关联事件分类、政策依据、受理条件、办结条件、权责部门、主办部门、协办部门；支持查看事项管理的所有关联信息，包括：创建人信息、权责部门、处置部门、适用区域、调度时限、处置时限</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处理时限管理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配置事件的整体结案时限、各节点处理时限、审批时限、临期时长等，提醒处理人员及时处理，保障事件处理时效。</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社区事件提醒管理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配置事件关键节点的提醒，如受理超时、处置超时、延时申请、挂起申请，催办提醒，督办提醒。</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社区事件标签管理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配置事件上报和事件详情页可选择的事件标签分组；标签数量多时使用分组便于用户选择。配置事件上报和事件详情页可选择的事件标签，便于各节点处理人员针对标签做出判断和应对。</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社区事件处置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支持上报事件、待办事件、申请延时事件、申请退回事件等事件处置内容</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个人事件管理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对个人的事件进行管理，包括我的经办、我的上报、关注事件、超时事件、催办事件、督办事件、升级事件等功能</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部门事件管理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对于部门事件进行管理，包括：超时事件、催办事件、督办事件、升级事件等功能</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协同管理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外部协同系统录入至系统的事件；支持对外部系统录入进行受理、不受理；实现从上至下的事件贯通。</w:t>
            </w:r>
          </w:p>
        </w:tc>
      </w:tr>
      <w:tr>
        <w:tblPrEx>
          <w:tblCellMar>
            <w:top w:w="0" w:type="dxa"/>
            <w:left w:w="108" w:type="dxa"/>
            <w:bottom w:w="0" w:type="dxa"/>
            <w:right w:w="108" w:type="dxa"/>
          </w:tblCellMar>
        </w:tblPrEx>
        <w:trPr>
          <w:trHeight w:val="6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社区事件查询</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所有状态、来源和类型的事件；支持根据事件编号、事件来源、事件分类、紧急程度、事项名称、事件状态、事件描述、所属区域、上报人、上报单位、上报时间、事发时间、是否升级事件、是否督办事件、事件标签、事件节点、事件评价、超时状态、催办次数、重点事件、重点场所、事件规模进行筛选查询</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消息通知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事件重要节点自动触发的提醒消息，用户可查看消息具体内容，支持跳转事件详情页进行及时处理。</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社区档案</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小区管理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对接社区统一用户中心，获取小区清单，小区采用统一编码机制，实现对小区信息的标准化管理。</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房屋管理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维护社区内的房屋信息，打造一房一档的管理机制，区分自有房、出租房类型，方便社区治安管控。</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居民管理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对社区内的所有居民信息进行建档管理，人员按照业主、家属、访客类型区分，业主通过一人一档规范化管理。非业主类人员的数据采集，保障社区出入安全。</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车辆管理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对社区内的车辆信息进行统一管理，实现业主车辆与社会临时车辆的道闸监控，提高物业管理效率，提高社区安全。</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邻里</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社区活动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活动发布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可以根据活动栏目分类发布及上下架不同类型的活动，活动内容含活动基本信息配置及参与条件限制，方便社区管理员、运营团队快速的进行精彩活动的发布和宣传。</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活动报名</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为居民提供活动线上报名，生成签到二维码；并支持二维码分享，活动报名的便捷化，有利于提高居民参与活动的积极性</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活动统计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管理员可以查看活动报名的统计情况以及报名信息，了解现下活动的报名热度，以及历史活动的参与情况。</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活动回顾</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对已经结束的活动，活动管理员可以上传活动回顾信息，其中包括活动美文、活动图片、活动视频等</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收费报名</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可设定活动报名的收费模式，支持按积分扣减消耗</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黑名单管理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支持管理员设定黑名单，如有多次报名未参加等恶意报名行为的用户可纳入黑名单，纳入后无法参加活动报名</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场馆预约</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场馆预约</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居民可以通过移动端对社区的活动场馆进行预约，支持在线查看场馆的介绍内容，支持在线预约。发起预约之后，居民可以查看预约的审核进度，及时了解是否预约成功。</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场馆管理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管理员通过后台对社区内不同的场馆信息进行管理，支持场馆基本信息的增删改查及上下架，以及场馆预约的各类限制。</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收费预约</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可设定场馆预约的收费模式，支持按积分扣减消耗</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预约记录</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通过后台可以查看场馆的预约信息并进行审核，以便于管理员实时了解预约情况从而合理分配场馆。</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邻里圈</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话题发布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居民可在广场发布关于社区相关的话题，与其他人一起参与点赞、评论</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议题征集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社区可组织发起议题征集，引发社区居民共同参与社区建设中</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40</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创业</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政策服务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创业政策</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创业政策展示，用户可在移动端、大屏端查看了解创业政策信息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41</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人才落户政策发布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人才落户政策展示，用户可在移动端、大屏端查看了解创业政策信息</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42</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人才绿色通道信息发布</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人才绿色通道政策展示，用户可在移动端、大屏端查看了解创业政策信息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43</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治理</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民呼我应</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曝光台</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管理员可以筛选展示问题及处理结果，对处理情况进行公示，居民可以查看各类事件的处理情况</w:t>
            </w:r>
          </w:p>
        </w:tc>
      </w:tr>
      <w:tr>
        <w:tblPrEx>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44</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问题上报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居民通过移动端上报社区内的各类问题、事件，居民在手机端可以随时反馈身边的事件并且关注处理进度，问题上报是居民与社区管理者的连接通道。</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45</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我的问题</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居民可以通过移动端查看自己上报过的问题和处理进度，让问题处理进度有迹可循。</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46</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问题处理</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社区管理方通过管理后台对居民上报的问题进行统一处理，支持对问题进行派单、跟进、闭环。</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47</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社情民意</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民意调研</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居民可以通过移动端接收并参与社区发送的民意调研，填写问卷并提交。</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48</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问卷设置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管理员可以通过后台发布问卷调研，定向投送特定人群开展问卷收集的工作。</w:t>
            </w:r>
          </w:p>
        </w:tc>
      </w:tr>
      <w:tr>
        <w:tblPrEx>
          <w:tblCellMar>
            <w:top w:w="0" w:type="dxa"/>
            <w:left w:w="108" w:type="dxa"/>
            <w:bottom w:w="0" w:type="dxa"/>
            <w:right w:w="108" w:type="dxa"/>
          </w:tblCellMar>
        </w:tblPrEx>
        <w:trPr>
          <w:trHeight w:val="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49</w:t>
            </w: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定向推送</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highlight w:val="none"/>
              </w:rPr>
            </w:pPr>
            <w:r>
              <w:rPr>
                <w:rFonts w:hint="eastAsia" w:ascii="宋体" w:hAnsi="宋体" w:eastAsia="宋体" w:cs="宋体"/>
                <w:highlight w:val="none"/>
                <w:lang w:bidi="ar"/>
              </w:rPr>
              <w:t>可以通过居民标签定向推送给特定的居民，帮助社区工作者民意调研不干扰全员。</w:t>
            </w:r>
          </w:p>
        </w:tc>
      </w:tr>
      <w:tr>
        <w:tblPrEx>
          <w:tblCellMar>
            <w:top w:w="0" w:type="dxa"/>
            <w:left w:w="108" w:type="dxa"/>
            <w:bottom w:w="0" w:type="dxa"/>
            <w:right w:w="108" w:type="dxa"/>
          </w:tblCellMar>
        </w:tblPrEx>
        <w:trPr>
          <w:trHeight w:val="270" w:hRule="atLeast"/>
          <w:jc w:val="center"/>
        </w:trPr>
        <w:tc>
          <w:tcPr>
            <w:tcW w:w="9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b/>
                <w:bCs/>
                <w:highlight w:val="none"/>
              </w:rPr>
            </w:pPr>
            <w:r>
              <w:rPr>
                <w:rFonts w:hint="eastAsia" w:ascii="宋体" w:hAnsi="宋体" w:eastAsia="宋体" w:cs="宋体"/>
                <w:b/>
                <w:bCs/>
                <w:highlight w:val="none"/>
                <w:lang w:bidi="ar"/>
              </w:rPr>
              <w:t>Part.3 未来社区基础服务系统对接费用</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未来邻里场景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文E家</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供个性化、智能化、便捷化文化服务</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2</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未来教育场景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人人网校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依托省级赋能及区教育局资源，已引入省开放大学、省科协、省社科联等单位优质资源</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3</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社区教育应用服务</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萧山区自主开发音视频资源、课程</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4</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未来健康场景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健康档案</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萧山卫生资源“一朵云”数据对接</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5</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萧山健康绿通码</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融合居民全生命周期健康数据生成居民个人专属健康服务动态二维码，作为居民享受本地健康服务的凭证，一次申领，终身跟随</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6</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“两慢病”自我监测管理系统</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两慢病检测数据自动上传到萧山区健康大脑</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7</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萧山区医院床位资源共享系统</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将区级医院床位资源开放给区域内基层医疗机构，住院服务分布到全区各个卫生服务站点，使床位成为区域共享资源。</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8</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萧山区云探视系统</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预约上门护理、居家康复或申请入驻数字家庭病床。</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9</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安居守护一件事</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聚焦高龄孤寡、独居、空巢等特殊困难老人居家安全，为老人家中安装烟感、气感、门磁及睡眠呼吸监护仪，保障老人安全</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10</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萧善行</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慈善救助地图、慈善救助流程、六助一赈救助</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11</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未来创业场景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线上协商平台</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面向工会、企业、职工三方协商主体提供线上工资集体协商服务</w:t>
            </w:r>
          </w:p>
        </w:tc>
      </w:tr>
      <w:tr>
        <w:tblPrEx>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12</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未来服务场景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浙里好玩</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收获最新最全的浙江旅游热点信息、好玩资讯，还能跟着旅游达人的足迹，寻找最有意思的玩法、路线。</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14</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萧山红领通体系对接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对接红领通的用户体系、架构、标准，实现事件的上传、分派、处置、反馈</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15</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全场景</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基础数据对接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萧山城市大脑、一体化智能化公共数据平台</w:t>
            </w:r>
          </w:p>
        </w:tc>
      </w:tr>
      <w:tr>
        <w:tblPrEx>
          <w:tblCellMar>
            <w:top w:w="0" w:type="dxa"/>
            <w:left w:w="108" w:type="dxa"/>
            <w:bottom w:w="0" w:type="dxa"/>
            <w:right w:w="108"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16</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highlight w:val="none"/>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宋体" w:hAnsi="宋体" w:eastAsia="宋体" w:cs="宋体"/>
                <w:highlight w:val="none"/>
              </w:rPr>
            </w:pPr>
            <w:r>
              <w:rPr>
                <w:rFonts w:hint="eastAsia" w:ascii="宋体" w:hAnsi="宋体" w:eastAsia="宋体" w:cs="宋体"/>
                <w:highlight w:val="none"/>
                <w:lang w:bidi="ar"/>
              </w:rPr>
              <w:t>萧山区物联感知系统对接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both"/>
              <w:textAlignment w:val="center"/>
              <w:rPr>
                <w:rFonts w:hint="eastAsia" w:ascii="宋体" w:hAnsi="宋体" w:eastAsia="宋体" w:cs="宋体"/>
                <w:highlight w:val="none"/>
              </w:rPr>
            </w:pPr>
            <w:r>
              <w:rPr>
                <w:rFonts w:hint="eastAsia" w:ascii="宋体" w:hAnsi="宋体" w:eastAsia="宋体" w:cs="宋体"/>
                <w:highlight w:val="none"/>
                <w:lang w:bidi="ar"/>
              </w:rPr>
              <w:t>对接萧山区物联感知系统，实现物联预警的打通和联动</w:t>
            </w:r>
          </w:p>
        </w:tc>
      </w:tr>
      <w:tr>
        <w:tblPrEx>
          <w:tblCellMar>
            <w:top w:w="0" w:type="dxa"/>
            <w:left w:w="108" w:type="dxa"/>
            <w:bottom w:w="0" w:type="dxa"/>
            <w:right w:w="108" w:type="dxa"/>
          </w:tblCellMar>
        </w:tblPrEx>
        <w:trPr>
          <w:trHeight w:val="270" w:hRule="atLeast"/>
          <w:jc w:val="center"/>
        </w:trPr>
        <w:tc>
          <w:tcPr>
            <w:tcW w:w="9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b/>
                <w:bCs/>
                <w:highlight w:val="none"/>
              </w:rPr>
            </w:pPr>
            <w:r>
              <w:rPr>
                <w:rFonts w:hint="eastAsia" w:ascii="宋体" w:hAnsi="宋体" w:eastAsia="宋体" w:cs="宋体"/>
                <w:b/>
                <w:bCs/>
                <w:highlight w:val="none"/>
                <w:lang w:bidi="ar"/>
              </w:rPr>
              <w:t>Part.4 试点项目建设费用（1个社区）</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基础数据对接</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人房信息基础数据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未来社区中人房基础数据贯通，其中行政区划信息、未来社区基本信息、未来社区小区等信息在人房数据初始化环节由平台统一配置。</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bidi="ar"/>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社区主体数据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对社区主体信息如党组织数据、群团组织信息、社群、达人、网格信息、业委会信息、物业信息等社区主体进行数据对接贯通。</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bidi="ar"/>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公共空间与公共设施数据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对社区内公共空间与公共设施信息如商家店铺、资源设施设备、幼托养老空间等进行数据对接贯通。</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bidi="ar"/>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业务主题数据</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对社区内物业信息、社区事件、社区活动、社区投票等信息数据实现对接贯通。</w:t>
            </w:r>
          </w:p>
        </w:tc>
      </w:tr>
      <w:tr>
        <w:tblPrEx>
          <w:tblCellMar>
            <w:top w:w="0" w:type="dxa"/>
            <w:left w:w="108" w:type="dxa"/>
            <w:bottom w:w="0" w:type="dxa"/>
            <w:right w:w="108" w:type="dxa"/>
          </w:tblCellMar>
        </w:tblPrEx>
        <w:trPr>
          <w:trHeight w:val="114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运营监测数据贯通</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运营监测数据贯通</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 各业务子系统汇聚统计结果数据到数据仓；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通过数据仓把运营监测数据上报到在线管理系统。</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应用贯通</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智慧通行（浙住通）</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通过产权核验确认业主和房屋的关联，核验通过后开通浙住通二维码。通过该二维码的展示，可以快速通过小区门禁，同时业主可将权限授权给家属、租户、访客等。</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sz w:val="24"/>
                <w:szCs w:val="24"/>
                <w:highlight w:val="none"/>
                <w:lang w:bidi="ar"/>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社区满意度</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预置浙江省未来社区满意度调查问卷，通过浙里办统一认证体系确保问卷调查数据安全保密；社区可通过管理后台查看问卷调查结果。</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物联贯通</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一般设备对接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对设备内设备数据进行上报，上报周期以"T+1"的台账方式进行报送</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sz w:val="24"/>
                <w:szCs w:val="24"/>
                <w:highlight w:val="none"/>
                <w:lang w:bidi="ar"/>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人流数据上报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通过在未来社区公共服务设施出入口部署人员通道或者人流监测相机等设施来统计出入空间的人流量，人流量数据汇聚在边缘接入平台，由社区智慧服务平台物联引擎（如海康威视CIOT等边缘接入平台）和“浙里未来社区在线”省级人流量信息数据库或省物联引擎对接，可根据业务需求配置数据上报规则，要求具备按小时统计和上报人流量的基本能力。</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rPr>
                <w:rFonts w:hint="eastAsia" w:ascii="宋体" w:hAnsi="宋体" w:eastAsia="宋体" w:cs="宋体"/>
                <w:sz w:val="24"/>
                <w:szCs w:val="24"/>
                <w:highlight w:val="none"/>
                <w:lang w:bidi="ar"/>
              </w:rPr>
            </w:pP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监控数据贯通</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视频安防系统应⽀持公共区域监控功能，提供视频预览、回放接⼝，可获取摄像头视频流URL。</w:t>
            </w:r>
          </w:p>
        </w:tc>
      </w:tr>
      <w:tr>
        <w:tblPrEx>
          <w:tblCellMar>
            <w:top w:w="0" w:type="dxa"/>
            <w:left w:w="108" w:type="dxa"/>
            <w:bottom w:w="0" w:type="dxa"/>
            <w:right w:w="108"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数字社会对接</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数字社会对接</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对接数字社会，使至少10个数字社会应用在居民用户端透出，方便居民使用</w:t>
            </w:r>
          </w:p>
        </w:tc>
      </w:tr>
    </w:tbl>
    <w:p>
      <w:pPr>
        <w:spacing w:after="0"/>
        <w:rPr>
          <w:rFonts w:hint="eastAsia" w:ascii="宋体" w:hAnsi="宋体" w:eastAsia="宋体" w:cs="宋体"/>
          <w:highlight w:val="none"/>
        </w:rPr>
      </w:pPr>
    </w:p>
    <w:p>
      <w:pPr>
        <w:numPr>
          <w:ilvl w:val="0"/>
          <w:numId w:val="3"/>
        </w:numPr>
        <w:spacing w:after="0"/>
        <w:ind w:left="0"/>
        <w:rPr>
          <w:rFonts w:hint="eastAsia" w:ascii="宋体" w:hAnsi="宋体" w:eastAsia="宋体" w:cs="宋体"/>
          <w:b/>
          <w:bCs/>
          <w:highlight w:val="none"/>
        </w:rPr>
      </w:pPr>
      <w:r>
        <w:rPr>
          <w:rFonts w:hint="eastAsia" w:ascii="宋体" w:hAnsi="宋体" w:eastAsia="宋体" w:cs="宋体"/>
          <w:b/>
          <w:bCs/>
          <w:highlight w:val="none"/>
        </w:rPr>
        <w:t>物业综管管理模块</w:t>
      </w:r>
    </w:p>
    <w:tbl>
      <w:tblPr>
        <w:tblStyle w:val="25"/>
        <w:tblW w:w="5629" w:type="pct"/>
        <w:jc w:val="center"/>
        <w:tblLayout w:type="fixed"/>
        <w:tblCellMar>
          <w:top w:w="0" w:type="dxa"/>
          <w:left w:w="108" w:type="dxa"/>
          <w:bottom w:w="0" w:type="dxa"/>
          <w:right w:w="108" w:type="dxa"/>
        </w:tblCellMar>
      </w:tblPr>
      <w:tblGrid>
        <w:gridCol w:w="674"/>
        <w:gridCol w:w="674"/>
        <w:gridCol w:w="809"/>
        <w:gridCol w:w="1211"/>
        <w:gridCol w:w="2175"/>
        <w:gridCol w:w="4020"/>
      </w:tblGrid>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子系统</w:t>
            </w:r>
          </w:p>
        </w:tc>
        <w:tc>
          <w:tcPr>
            <w:tcW w:w="42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w:t>
            </w: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一级目录</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二级目录</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2"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应用场景中心</w:t>
            </w: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w:t>
            </w: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项目信息采集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项目信息录入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建设单位或物业服务企业提交物业管理区域信息采集申请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项目信息录入审核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物业管理主体审核物业区域信息建档</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房屋信息录入</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房屋信息录入</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房屋信息录入审核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物业管理主体审核房屋信息建档</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项目信息变更</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项目信息变更申请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提交物业区域信息变更申请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项目信息变更审核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物业主管部门审核项目信息变更申请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房屋信息变更申请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提交房屋信息变更申请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房屋信息变更审核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物业主管部门审核房屋信息变更申请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项目拆分合并</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项目拆分合并申请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提交项目拆分合并申请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项目拆分合并审核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物业主管部门审核项目拆分合并申请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房屋拆分合并申请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提交房屋拆分合并申请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房屋拆分合并审核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物业主管部门审核房屋拆分合并申请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项目信息注销</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项目信息注销申请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提交物业区域信息注销申请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项目信息注销审核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物业主管部门审核项目信息注销申请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房屋信息注销申请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提交房屋信息注销申请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房屋信息注销审核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物业主管部门审核房屋信息注销申请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物业考核</w:t>
            </w: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考核指标管理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考核指标分类</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设置考核指标分类</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物业考核指标</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设定物业考核标准化指标依据，针对不同考核对象和类型，设置具体的考核指标。</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日常考核模板</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根据日常考核类型和考核对象，设定物业日常考核模板</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不定期考核模板</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根据不定期考核类型和考核对象，设定物业不定期考核模板</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专项考核模板</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根据专项考核类型和考核对象，设定物业专项考核模板</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考核模板分配</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管理部门根据考核模板适配对象分配至对应的用户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考核结果</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录入日常考核结果</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录入并上传日常考核结果，如果需整改，下发整改单，通知项目经理或物业企业整改</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录入不定期考核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录入并上传不定期考核结果，如果需整改，下发整改单，通知项目经理或物业企业整改</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录入专项考核结果</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录入并上传专项考核结果，如果需整改，下发整改单，通知项目经理或物业企业整改</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整改管理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整改结果录入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物业服务企业或项目经理整改后，提交和上传整改结果</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整改结果审核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审核物业服务企业或项目经理提交的整改结果信息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考核公示</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物业考核排名公示</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汇总生成物业奥和排名，主管部门发布考核公示</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设施设备登记</w:t>
            </w: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设施设备体系</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设施设备分类</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设定物业区域内设施设备分类及其标准化项目属性信息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设施设备模板</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模板设置和适配</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根据不同类型的设施设备，设定设施设备登记模板</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设施设备采集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设施设备录入申请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建设单位或物业服务企业录入或导入设施设备信息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设施设备录入审核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管理部门审核物业区域设施设备信息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设施设备变更</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设施设备变更申请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建设单位或物业服务企业提交设施设备变更申请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设施设备变更审核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管理部门审核物业区域设施设备变更信息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设施设备注销</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设施设备注销申请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建设单位或物业服务企业提交设施设备注销申请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设施设备注销审核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管理部门审核物业区域设施设备注销灭失信息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设施设备登记</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设施设备养护记录</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物业服务企业上传设施设备的养护记录，作为是否可动用维修资金的重要依据</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设施设备查询</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设施设备及其运行情况查询</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设施设备信息查询或运行情况查询</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设施设备维修</w:t>
            </w:r>
          </w:p>
        </w:tc>
        <w:tc>
          <w:tcPr>
            <w:tcW w:w="63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维修方案管理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制定维修方案</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提交维修预案</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方案预算分摊</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预算费用分摊</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意见征询</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意见征询</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维修方案确认证明</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录入业委会维修方案确认证明</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维修方案公示证明</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录入和上传维修方案公示证明</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维修方案审核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区物业管理部门审核维修方案</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维修实施管理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工程监理</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监理单位对维修实施进行监理，上传监理报告</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工程审价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审价单位对维修实施造价进行审价，上传审价报告，确定最终维修费用</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施工管理</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组织施工任务单和录入施工单位信息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首期款支取申请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提交首期款支取申请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维修完工管理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录入工程验收报告</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录入工程竣工验收报告</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工程决算分摊</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工程决算分摊</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决算分摊公示</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工程决算分摊公示证明录入和上传</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完工款支取申请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提交尾款支取申请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支取划拨管理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支取划拨初审</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管理部门资金支取划拨初审</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支取划拨复审</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管理部门资金支取划拨复审</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支取划拨入账</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银行资金划拨成功后，通知系统划拨入账</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物业招投标</w:t>
            </w: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基础信息</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录入或导入招标代理机构信息，提供登记和查询等功能</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评标专家库</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建立评标专家库，管理部门批量导入评标专家信息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评标标准库</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建立物业招标评标标准库，为招标人或招标代理机构发布招标评分标准提供依据</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招标信息申请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招标人或代理单位提交招标申请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招标备案收件</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区物业主管部门招标备案收件，打印收件通知</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招标备案审核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区物业主管部门受理招标备案，打印物业项目招标备案表</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招标公告发布</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生成招标公告，并发布</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招标公告查询</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招标公告查询</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投标预约报名</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投标人投标预约报名</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入围资格预审</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代理机构或招标人投标资格预审</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入围信息查看</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入围名单查询和打印</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开评标管理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专家抽取设置</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专家排斥条件设置</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评标专家查询</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评标专家库专家信息查询</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评标专家抽取</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随机抽取评标专家</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录入报价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评标录入签到和报价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录入专家评分</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评标录入专家评分</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生成评分报告</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综合指标和评分生成评分报告，并进行排名</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中标候选人确认</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确认中标候选人</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发布中标公告</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生成中标公告，并发布中标公告</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中标管理</w:t>
            </w:r>
          </w:p>
        </w:tc>
        <w:tc>
          <w:tcPr>
            <w:tcW w:w="1136" w:type="pct"/>
            <w:tcBorders>
              <w:top w:val="single" w:color="000000" w:sz="4" w:space="0"/>
              <w:left w:val="nil"/>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发送中标通知</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发送中标通知</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nil"/>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中标人确认</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中标人确认</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nil"/>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物业服务合同确认</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上传物业服务合同，并确认物业服务合同</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nil"/>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中标备案申请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提交中标备案申请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nil"/>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中标备案收件</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区物业主管部门中标备案收件</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p>
        </w:tc>
        <w:tc>
          <w:tcPr>
            <w:tcW w:w="1136" w:type="pct"/>
            <w:tcBorders>
              <w:top w:val="single" w:color="000000" w:sz="4" w:space="0"/>
              <w:left w:val="nil"/>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中标备案受理</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区物业主管部门受理中标备案，打印物业项目中标备案表</w:t>
            </w:r>
          </w:p>
        </w:tc>
      </w:tr>
      <w:tr>
        <w:tblPrEx>
          <w:tblCellMar>
            <w:top w:w="0" w:type="dxa"/>
            <w:left w:w="108" w:type="dxa"/>
            <w:bottom w:w="0" w:type="dxa"/>
            <w:right w:w="108" w:type="dxa"/>
          </w:tblCellMar>
        </w:tblPrEx>
        <w:trPr>
          <w:trHeight w:val="135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公共收益资金</w:t>
            </w: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收益资金账户管理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项目核算收益户开户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物业管理区域新增时，开设项目收益资金核算户，物业管理区域范畴的收益资金核算至物业管理区域收益资金核算户。</w:t>
            </w:r>
          </w:p>
        </w:tc>
      </w:tr>
      <w:tr>
        <w:tblPrEx>
          <w:tblCellMar>
            <w:top w:w="0" w:type="dxa"/>
            <w:left w:w="108" w:type="dxa"/>
            <w:bottom w:w="0" w:type="dxa"/>
            <w:right w:w="108" w:type="dxa"/>
          </w:tblCellMar>
        </w:tblPrEx>
        <w:trPr>
          <w:trHeight w:val="135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楼幢核算收益户开户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物业服务企业或社区录入物业管理区域楼幢收益资金核算户，楼幢范畴的收益资金核算至楼幢收益资金核算户。</w:t>
            </w:r>
          </w:p>
        </w:tc>
      </w:tr>
      <w:tr>
        <w:tblPrEx>
          <w:tblCellMar>
            <w:top w:w="0" w:type="dxa"/>
            <w:left w:w="108" w:type="dxa"/>
            <w:bottom w:w="0" w:type="dxa"/>
            <w:right w:w="108" w:type="dxa"/>
          </w:tblCellMar>
        </w:tblPrEx>
        <w:trPr>
          <w:trHeight w:val="108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收益资金专户开户申请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物业服务企业或社区选择管理范围的项目，并提交开具单位收益资金管理专户申请信息；</w:t>
            </w:r>
          </w:p>
        </w:tc>
      </w:tr>
      <w:tr>
        <w:tblPrEx>
          <w:tblCellMar>
            <w:top w:w="0" w:type="dxa"/>
            <w:left w:w="108" w:type="dxa"/>
            <w:bottom w:w="0" w:type="dxa"/>
            <w:right w:w="108" w:type="dxa"/>
          </w:tblCellMar>
        </w:tblPrEx>
        <w:trPr>
          <w:trHeight w:val="108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收益资金专户开户审核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管理部门审核申请人提交的收益资金开户申请信息，审核通过发送银行开户确认</w:t>
            </w:r>
          </w:p>
        </w:tc>
      </w:tr>
      <w:tr>
        <w:tblPrEx>
          <w:tblCellMar>
            <w:top w:w="0" w:type="dxa"/>
            <w:left w:w="108" w:type="dxa"/>
            <w:bottom w:w="0" w:type="dxa"/>
            <w:right w:w="108" w:type="dxa"/>
          </w:tblCellMar>
        </w:tblPrEx>
        <w:trPr>
          <w:trHeight w:val="135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通知专户银行确认开户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收益资金管理银行受理开户，并录入实体专户账户相关信息，通过接口同步至收益资金管理信息系统。</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收益资金专户主体变更申请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物业服务企业或社区选择管理范围的项目，并提交收益户变更申请信息</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收益资金专户主体变更审核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管理部门审核申请人提交的收益资金变更开户申请信息</w:t>
            </w:r>
          </w:p>
        </w:tc>
      </w:tr>
      <w:tr>
        <w:tblPrEx>
          <w:tblCellMar>
            <w:top w:w="0" w:type="dxa"/>
            <w:left w:w="108" w:type="dxa"/>
            <w:bottom w:w="0" w:type="dxa"/>
            <w:right w:w="108" w:type="dxa"/>
          </w:tblCellMar>
        </w:tblPrEx>
        <w:trPr>
          <w:trHeight w:val="135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通知专户银行确认变更开户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收益资金管理银行受理新主体开户，并录入新的实体专户账户信息，通过接口同步至收益资金管理系统</w:t>
            </w:r>
          </w:p>
        </w:tc>
      </w:tr>
      <w:tr>
        <w:tblPrEx>
          <w:tblCellMar>
            <w:top w:w="0" w:type="dxa"/>
            <w:left w:w="108" w:type="dxa"/>
            <w:bottom w:w="0" w:type="dxa"/>
            <w:right w:w="108" w:type="dxa"/>
          </w:tblCellMar>
        </w:tblPrEx>
        <w:trPr>
          <w:trHeight w:val="108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收益资金交存管理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收益资金交存申请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物业服务企业或社区，每季度10日前，将前一季度的收益资金交存到对应收益资金账户。</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收益资金交存审核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区物业管理部门审核收益资金交存申请，打印交款通知书。</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收益资金交款通知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审核通过后，通过接口发送交款通知信息至专户银行</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收益资金交款入账</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银行收益资金款项收妥后，通知管理系统收益资金入账。</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收益资金使用管理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补充维修资金申请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物业服务企业或社区提交收益资金补充维修资金申请</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补充维修资金划拨通知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确认后通过接口通知维修资金管理系统收益资金收款补充维修资金</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补充维修资金划拨分摊</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收益维修资金划拨分摊到各分户</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补充维修资金划拨入账</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银行确认划款转账成功后，收益维修资金划拨入账。</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收益资金常规使用申请</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物业服务企业或社区提交收益资金常规使用申请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收益资金常规使用审核</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区管理部门审核收益资金使用申请</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收益资金常规使用划拨通知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审核通过后，通过接口发送银行通知收益资金划拨</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收益资金常规使用划拨入账</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银行划拨成功后，管理系统收益资金账户记账。</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收益资金公示</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小区公共收益收支公示</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按照管理办法样表公示小区公共收益资金收支情况</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小区门牌幢公共收益收支公示</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按照管理办法样表公示小区门牌幢公共收益资金收支情况</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收益资金查询</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项目收益资金查询</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查询项目、楼幢核算账户收益资金及其收支明细</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单位收益资金查询</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查询物业服务企业或社区收益资金账户资金及其收支明细</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收益资金账户流水</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查询收益资金账户流水明细</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收益资金收支情况统计</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项目收益资金时间段的收支情况统计</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业委会管理</w:t>
            </w: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业委会成立备案</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业委会基本信息</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业委会成立基本信息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业委会主任、委员信息</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业委会主任、委员、后补委员等信息</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业委会备案申请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提交业委会备案申请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业委会备案审核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区物业管理部门业委会备案审核</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业委会换届备案</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业委会换届备案申请</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提交业委会换届备案申请</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业委会换届备案审核</w:t>
            </w:r>
          </w:p>
        </w:tc>
        <w:tc>
          <w:tcPr>
            <w:tcW w:w="2101"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区物业管理部门换届备案审核</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业主大会会议管理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业主大会会议纪要</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业委会主任，记录业主大会的会议纪要，为业主大会表决结果公示提供依据</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业主大会结果公示</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业委会主任，上传业主大会会议表决结果公示证明</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事件上报</w:t>
            </w:r>
          </w:p>
        </w:tc>
        <w:tc>
          <w:tcPr>
            <w:tcW w:w="633"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事件上报指标分类</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管理部门制定标准化事件指标体系，为上报事项提供数据支撑</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制定上报模板</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根据不同的上报类型和上报对象，设定事项上报模板</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上报模板分配</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管理部门根据上报模板适配对象分配至对应的用户</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上报管理</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发布上报通知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管理部门下达事项上报任务或通知上报对象上报</w:t>
            </w:r>
          </w:p>
        </w:tc>
      </w:tr>
      <w:tr>
        <w:tblPrEx>
          <w:tblCellMar>
            <w:top w:w="0" w:type="dxa"/>
            <w:left w:w="108" w:type="dxa"/>
            <w:bottom w:w="0" w:type="dxa"/>
            <w:right w:w="108" w:type="dxa"/>
          </w:tblCellMar>
        </w:tblPrEx>
        <w:trPr>
          <w:trHeight w:val="108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信息上报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上报用户选择上报指标按管理部门要求提交上报信息，或主动发起重大事项的上报</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意见反馈</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管理部门对上报用户主动发起的重大事项上报进行反馈</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统计查询</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事件处理进度查询</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事件上报处理进度查询</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352" w:type="pct"/>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消防安居</w:t>
            </w:r>
          </w:p>
        </w:tc>
        <w:tc>
          <w:tcPr>
            <w:tcW w:w="633" w:type="pct"/>
            <w:vMerge w:val="restar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基础管理</w:t>
            </w:r>
          </w:p>
        </w:tc>
        <w:tc>
          <w:tcPr>
            <w:tcW w:w="1136"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消防人员管理</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对于消防管理人员、消控室值班人员进行系统维护</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352" w:type="pct"/>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vMerge w:val="continue"/>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p>
        </w:tc>
        <w:tc>
          <w:tcPr>
            <w:tcW w:w="1136"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消防设备</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将小区消防车道多少、报警系统、排烟系统等消防设备等录入系统实现线上化管控</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352" w:type="pct"/>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日常巡检</w:t>
            </w:r>
          </w:p>
        </w:tc>
        <w:tc>
          <w:tcPr>
            <w:tcW w:w="1136"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日常巡检</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根据消防巡查要求，填报巡查结果；日常检查情况汇总上报给消防大队，消防大队处置意见反馈</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352" w:type="pct"/>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1136"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应急管理办法主要分为事前应急办法管理，事中应急办法管理和事后应急办法管理</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352" w:type="pct"/>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nil"/>
              <w:left w:val="single" w:color="000000" w:sz="4" w:space="0"/>
              <w:bottom w:val="nil"/>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633"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火灾数据共享</w:t>
            </w:r>
          </w:p>
        </w:tc>
        <w:tc>
          <w:tcPr>
            <w:tcW w:w="1136" w:type="pct"/>
            <w:tcBorders>
              <w:top w:val="single" w:color="000000" w:sz="4" w:space="0"/>
              <w:left w:val="single" w:color="000000" w:sz="4" w:space="0"/>
              <w:bottom w:val="single" w:color="000000" w:sz="4" w:space="0"/>
              <w:right w:val="nil"/>
            </w:tcBorders>
            <w:noWrap/>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火灾数据共享</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将历史火灾数据同步给物业小区</w:t>
            </w:r>
          </w:p>
        </w:tc>
      </w:tr>
      <w:tr>
        <w:tblPrEx>
          <w:tblCellMar>
            <w:top w:w="0" w:type="dxa"/>
            <w:left w:w="108" w:type="dxa"/>
            <w:bottom w:w="0" w:type="dxa"/>
            <w:right w:w="108" w:type="dxa"/>
          </w:tblCellMar>
        </w:tblPrEx>
        <w:trPr>
          <w:trHeight w:val="48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352"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物业数据主题库</w:t>
            </w: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数据采集与治理</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数据采集，通过开发接口采集楼盘表数据或相关数据</w:t>
            </w:r>
          </w:p>
        </w:tc>
      </w:tr>
      <w:tr>
        <w:tblPrEx>
          <w:tblCellMar>
            <w:top w:w="0" w:type="dxa"/>
            <w:left w:w="108" w:type="dxa"/>
            <w:bottom w:w="0" w:type="dxa"/>
            <w:right w:w="108" w:type="dxa"/>
          </w:tblCellMar>
        </w:tblPrEx>
        <w:trPr>
          <w:trHeight w:val="38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数据融合</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数据融合，通过数据模型规则，对归集后数据清洗，提高数据质量。</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nil"/>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数据共享与利用</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数据共享</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搭建数据共享模块，以共享数据，包括联机和批量共享</w:t>
            </w:r>
          </w:p>
        </w:tc>
      </w:tr>
      <w:tr>
        <w:tblPrEx>
          <w:tblCellMar>
            <w:top w:w="0" w:type="dxa"/>
            <w:left w:w="108" w:type="dxa"/>
            <w:bottom w:w="0" w:type="dxa"/>
            <w:right w:w="108" w:type="dxa"/>
          </w:tblCellMar>
        </w:tblPrEx>
        <w:trPr>
          <w:trHeight w:val="53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130</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nil"/>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数据利用</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共享系统招投标、设施设备、项目、考核等数据</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352"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智慧物业分析治理</w:t>
            </w: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监管一张图</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指标整理</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梳理考核、招投标、维修等指标，并建立与GIS关联关系</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驾驶舱展示</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基于萧山一张图，进行物业数据全景展示，及物业整体运行情况分析展示。</w:t>
            </w:r>
          </w:p>
        </w:tc>
      </w:tr>
      <w:tr>
        <w:tblPrEx>
          <w:tblCellMar>
            <w:top w:w="0" w:type="dxa"/>
            <w:left w:w="108" w:type="dxa"/>
            <w:bottom w:w="0" w:type="dxa"/>
            <w:right w:w="108" w:type="dxa"/>
          </w:tblCellMar>
        </w:tblPrEx>
        <w:trPr>
          <w:trHeight w:val="54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小区健康情况分析</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健康指标</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定义物业考核、资金使用、业委会等健康阈值</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健康画像</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建立数据模型，通过对健康指标的挖掘分析，出具小区健康画像视图</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w:t>
            </w:r>
          </w:p>
        </w:tc>
        <w:tc>
          <w:tcPr>
            <w:tcW w:w="352" w:type="pct"/>
            <w:vMerge w:val="restar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三端应用服务</w:t>
            </w:r>
          </w:p>
        </w:tc>
        <w:tc>
          <w:tcPr>
            <w:tcW w:w="423"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政府端</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政府端应用</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制定考核标准、备案审批、资金监管、上报指标管理等</w:t>
            </w:r>
          </w:p>
        </w:tc>
      </w:tr>
      <w:tr>
        <w:tblPrEx>
          <w:tblCellMar>
            <w:top w:w="0" w:type="dxa"/>
            <w:left w:w="108" w:type="dxa"/>
            <w:bottom w:w="0" w:type="dxa"/>
            <w:right w:w="108" w:type="dxa"/>
          </w:tblCellMar>
        </w:tblPrEx>
        <w:trPr>
          <w:trHeight w:val="135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企业端</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企业端应用</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基础信息导入；设施设备维修申请；物业考核申诉及整改、招标发起、投标；事件上报；专家打分等</w:t>
            </w:r>
          </w:p>
        </w:tc>
      </w:tr>
      <w:tr>
        <w:tblPrEx>
          <w:tblCellMar>
            <w:top w:w="0" w:type="dxa"/>
            <w:left w:w="108" w:type="dxa"/>
            <w:bottom w:w="0" w:type="dxa"/>
            <w:right w:w="108" w:type="dxa"/>
          </w:tblCellMar>
        </w:tblPrEx>
        <w:trPr>
          <w:trHeight w:val="81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w:t>
            </w:r>
          </w:p>
        </w:tc>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居民端</w:t>
            </w:r>
          </w:p>
        </w:tc>
        <w:tc>
          <w:tcPr>
            <w:tcW w:w="1769" w:type="pct"/>
            <w:gridSpan w:val="2"/>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居民端应用对接</w:t>
            </w:r>
          </w:p>
        </w:tc>
        <w:tc>
          <w:tcPr>
            <w:tcW w:w="2101" w:type="pct"/>
            <w:tcBorders>
              <w:top w:val="single" w:color="000000" w:sz="4" w:space="0"/>
              <w:left w:val="single" w:color="000000" w:sz="4" w:space="0"/>
              <w:bottom w:val="single" w:color="000000" w:sz="4" w:space="0"/>
              <w:right w:val="single" w:color="000000" w:sz="4" w:space="0"/>
            </w:tcBorders>
            <w:vAlign w:val="center"/>
          </w:tcPr>
          <w:p>
            <w:pPr>
              <w:pStyle w:val="76"/>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与杭州市物业移动端应用及萧山未来社区引用进行对接</w:t>
            </w:r>
          </w:p>
        </w:tc>
      </w:tr>
    </w:tbl>
    <w:p>
      <w:pPr>
        <w:widowControl w:val="0"/>
        <w:spacing w:after="0"/>
        <w:ind w:firstLine="480" w:firstLineChars="200"/>
        <w:rPr>
          <w:rFonts w:hint="eastAsia" w:ascii="宋体" w:hAnsi="宋体" w:eastAsia="宋体" w:cs="宋体"/>
          <w:highlight w:val="none"/>
        </w:rPr>
      </w:pPr>
      <w:r>
        <w:rPr>
          <w:rFonts w:hint="eastAsia" w:ascii="宋体" w:hAnsi="宋体" w:eastAsia="宋体" w:cs="宋体"/>
          <w:highlight w:val="none"/>
        </w:rPr>
        <w:t>注：项目应当通过省、市对未来社区数字化验收，并提供三年的运维服务，</w:t>
      </w:r>
      <w:r>
        <w:rPr>
          <w:rFonts w:hint="eastAsia" w:ascii="宋体" w:hAnsi="宋体" w:eastAsia="宋体" w:cs="宋体"/>
          <w:highlight w:val="none"/>
          <w:lang w:val="en-US" w:eastAsia="zh-CN"/>
        </w:rPr>
        <w:t>同时</w:t>
      </w:r>
      <w:r>
        <w:rPr>
          <w:rFonts w:hint="eastAsia" w:ascii="宋体" w:hAnsi="宋体" w:eastAsia="宋体" w:cs="宋体"/>
          <w:highlight w:val="none"/>
        </w:rPr>
        <w:t>提供1名具有三年以上运维经验的专职运维人员驻点三年，为萧山区未来社区基础服务系统的运维支持、日常应用上架审核、应用上架技术支持、应用配置下发等相关运营应用服务中心运营工作。</w:t>
      </w:r>
    </w:p>
    <w:p>
      <w:pPr>
        <w:widowControl w:val="0"/>
        <w:spacing w:after="0"/>
        <w:rPr>
          <w:rFonts w:hint="eastAsia" w:ascii="宋体" w:hAnsi="宋体" w:eastAsia="宋体" w:cs="宋体"/>
          <w:highlight w:val="none"/>
        </w:rPr>
      </w:pPr>
      <w:r>
        <w:rPr>
          <w:rFonts w:hint="eastAsia" w:ascii="宋体" w:hAnsi="宋体" w:eastAsia="宋体" w:cs="宋体"/>
          <w:b/>
          <w:smallCaps/>
          <w:sz w:val="28"/>
          <w:szCs w:val="28"/>
          <w:highlight w:val="none"/>
        </w:rPr>
        <w:t>商务需求：</w:t>
      </w:r>
    </w:p>
    <w:p>
      <w:pPr>
        <w:snapToGrid w:val="0"/>
        <w:spacing w:after="0"/>
        <w:rPr>
          <w:rFonts w:hint="eastAsia" w:ascii="宋体" w:hAnsi="宋体" w:eastAsia="宋体" w:cs="宋体"/>
          <w:highlight w:val="none"/>
        </w:rPr>
      </w:pPr>
      <w:r>
        <w:rPr>
          <w:rFonts w:hint="eastAsia" w:ascii="宋体" w:hAnsi="宋体" w:eastAsia="宋体" w:cs="宋体"/>
          <w:highlight w:val="none"/>
        </w:rPr>
        <w:t>1、服务期：合同签订后6个月内完成。</w:t>
      </w:r>
    </w:p>
    <w:p>
      <w:pPr>
        <w:spacing w:after="0"/>
        <w:rPr>
          <w:rFonts w:hint="eastAsia" w:ascii="宋体" w:hAnsi="宋体" w:eastAsia="宋体" w:cs="宋体"/>
          <w:highlight w:val="none"/>
        </w:rPr>
      </w:pPr>
      <w:r>
        <w:rPr>
          <w:rFonts w:hint="eastAsia" w:ascii="宋体" w:hAnsi="宋体" w:eastAsia="宋体" w:cs="宋体"/>
          <w:highlight w:val="none"/>
        </w:rPr>
        <w:t>地点：杭州市萧山区住房和城乡建设局。</w:t>
      </w:r>
    </w:p>
    <w:p>
      <w:pPr>
        <w:pStyle w:val="24"/>
        <w:spacing w:after="0"/>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2、付款方式：</w:t>
      </w:r>
    </w:p>
    <w:p>
      <w:pPr>
        <w:numPr>
          <w:ilvl w:val="0"/>
          <w:numId w:val="4"/>
        </w:numPr>
        <w:spacing w:after="0"/>
        <w:ind w:firstLine="480"/>
        <w:jc w:val="both"/>
        <w:rPr>
          <w:rFonts w:hint="eastAsia" w:ascii="宋体" w:hAnsi="宋体" w:eastAsia="宋体" w:cs="宋体"/>
          <w:highlight w:val="none"/>
        </w:rPr>
      </w:pPr>
      <w:r>
        <w:rPr>
          <w:rFonts w:hint="eastAsia" w:ascii="宋体" w:hAnsi="宋体" w:eastAsia="宋体" w:cs="宋体"/>
          <w:highlight w:val="none"/>
        </w:rPr>
        <w:t>实施项目承建方合同签订后，采购人支付合同总额的40% 给中标人作为预</w:t>
      </w:r>
    </w:p>
    <w:p>
      <w:pPr>
        <w:spacing w:after="0"/>
        <w:jc w:val="both"/>
        <w:rPr>
          <w:rFonts w:hint="eastAsia" w:ascii="宋体" w:hAnsi="宋体" w:eastAsia="宋体" w:cs="宋体"/>
          <w:highlight w:val="none"/>
        </w:rPr>
      </w:pPr>
      <w:r>
        <w:rPr>
          <w:rFonts w:hint="eastAsia" w:ascii="宋体" w:hAnsi="宋体" w:eastAsia="宋体" w:cs="宋体"/>
          <w:highlight w:val="none"/>
        </w:rPr>
        <w:t>付款。</w:t>
      </w:r>
    </w:p>
    <w:p>
      <w:pPr>
        <w:numPr>
          <w:ilvl w:val="0"/>
          <w:numId w:val="4"/>
        </w:numPr>
        <w:spacing w:after="0"/>
        <w:ind w:firstLine="480"/>
        <w:jc w:val="both"/>
        <w:rPr>
          <w:rFonts w:hint="eastAsia" w:ascii="宋体" w:hAnsi="宋体" w:eastAsia="宋体" w:cs="宋体"/>
          <w:highlight w:val="none"/>
        </w:rPr>
      </w:pPr>
      <w:r>
        <w:rPr>
          <w:rFonts w:hint="eastAsia" w:ascii="宋体" w:hAnsi="宋体" w:eastAsia="宋体" w:cs="宋体"/>
          <w:highlight w:val="none"/>
        </w:rPr>
        <w:t>项目验收通过后，采购人支付合同剩余60%款项给中标人。</w:t>
      </w:r>
    </w:p>
    <w:p>
      <w:pPr>
        <w:numPr>
          <w:ilvl w:val="0"/>
          <w:numId w:val="4"/>
        </w:numPr>
        <w:spacing w:after="0"/>
        <w:ind w:firstLine="480"/>
        <w:jc w:val="both"/>
        <w:rPr>
          <w:rFonts w:hint="eastAsia" w:ascii="宋体" w:hAnsi="宋体" w:eastAsia="宋体" w:cs="宋体"/>
          <w:highlight w:val="none"/>
        </w:rPr>
      </w:pPr>
      <w:r>
        <w:rPr>
          <w:rFonts w:hint="eastAsia" w:ascii="宋体" w:hAnsi="宋体" w:eastAsia="宋体" w:cs="宋体"/>
          <w:highlight w:val="none"/>
        </w:rPr>
        <w:t>结算款项时，投标人根据采购人要求开具符合规范的发票。</w:t>
      </w:r>
    </w:p>
    <w:p>
      <w:pPr>
        <w:spacing w:after="0"/>
        <w:jc w:val="both"/>
        <w:rPr>
          <w:rFonts w:hint="eastAsia" w:ascii="宋体" w:hAnsi="宋体" w:eastAsia="宋体" w:cs="宋体"/>
          <w:highlight w:val="none"/>
        </w:rPr>
      </w:pPr>
    </w:p>
    <w:p>
      <w:pPr>
        <w:spacing w:after="0"/>
        <w:jc w:val="both"/>
        <w:rPr>
          <w:rFonts w:hint="eastAsia" w:ascii="宋体" w:hAnsi="宋体" w:eastAsia="宋体" w:cs="宋体"/>
          <w:highlight w:val="none"/>
        </w:rPr>
      </w:pPr>
      <w:r>
        <w:rPr>
          <w:rFonts w:hint="eastAsia" w:ascii="宋体" w:hAnsi="宋体" w:eastAsia="宋体" w:cs="宋体"/>
          <w:highlight w:val="none"/>
        </w:rPr>
        <w:t>注：</w:t>
      </w:r>
    </w:p>
    <w:p>
      <w:pPr>
        <w:spacing w:after="0"/>
        <w:jc w:val="both"/>
        <w:rPr>
          <w:rFonts w:hint="eastAsia" w:ascii="宋体" w:hAnsi="宋体" w:eastAsia="宋体" w:cs="宋体"/>
          <w:highlight w:val="none"/>
        </w:rPr>
      </w:pPr>
      <w:r>
        <w:rPr>
          <w:rFonts w:hint="eastAsia" w:ascii="宋体" w:hAnsi="宋体" w:eastAsia="宋体" w:cs="宋体"/>
          <w:highlight w:val="none"/>
        </w:rPr>
        <w:t>1、如有附图，仅作参考。</w:t>
      </w:r>
    </w:p>
    <w:p>
      <w:pPr>
        <w:spacing w:after="0"/>
        <w:jc w:val="both"/>
        <w:rPr>
          <w:rFonts w:hint="eastAsia" w:ascii="宋体" w:hAnsi="宋体" w:eastAsia="宋体" w:cs="宋体"/>
          <w:highlight w:val="none"/>
        </w:rPr>
      </w:pPr>
      <w:r>
        <w:rPr>
          <w:rFonts w:hint="eastAsia" w:ascii="宋体" w:hAnsi="宋体" w:eastAsia="宋体" w:cs="宋体"/>
          <w:highlight w:val="none"/>
        </w:rPr>
        <w:t>2、打▲内容为实质性要求，不允许有负偏离，否则将以涉及无效投标条款作无效投标。</w:t>
      </w:r>
    </w:p>
    <w:p>
      <w:pPr>
        <w:rPr>
          <w:rFonts w:hint="eastAsia" w:ascii="宋体" w:hAnsi="宋体" w:eastAsia="宋体" w:cs="宋体"/>
          <w:highlight w:val="none"/>
        </w:rPr>
      </w:pPr>
      <w:r>
        <w:rPr>
          <w:rFonts w:hint="eastAsia" w:ascii="宋体" w:hAnsi="宋体" w:eastAsia="宋体" w:cs="宋体"/>
          <w:highlight w:val="none"/>
        </w:rPr>
        <w:t>3、中标人所提供的货物、服务须与投标承诺一致，不得以次充好、偷工减料，若在项目验收中发现有上述情况，将向有关部门举报，根据相关规定进行处理。</w:t>
      </w:r>
    </w:p>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第四部分   </w:t>
      </w:r>
      <w:bookmarkStart w:id="4" w:name="_Toc184308037"/>
      <w:bookmarkEnd w:id="4"/>
      <w:bookmarkStart w:id="5" w:name="_Toc184310294"/>
      <w:bookmarkEnd w:id="5"/>
      <w:bookmarkStart w:id="6" w:name="_Toc184312119"/>
      <w:bookmarkEnd w:id="6"/>
      <w:bookmarkStart w:id="7" w:name="_Toc184313278"/>
      <w:bookmarkEnd w:id="7"/>
      <w:bookmarkStart w:id="8" w:name="_Toc184314454"/>
      <w:bookmarkEnd w:id="8"/>
      <w:bookmarkStart w:id="9" w:name="_Toc184313304"/>
      <w:bookmarkEnd w:id="9"/>
      <w:bookmarkStart w:id="10" w:name="_Toc184308078"/>
      <w:bookmarkEnd w:id="10"/>
      <w:bookmarkStart w:id="11" w:name="_Toc184313240"/>
      <w:bookmarkEnd w:id="11"/>
      <w:bookmarkStart w:id="12" w:name="_Toc184314422"/>
      <w:bookmarkEnd w:id="12"/>
      <w:bookmarkStart w:id="13" w:name="_Toc184313246"/>
      <w:bookmarkEnd w:id="13"/>
      <w:bookmarkStart w:id="14" w:name="_Toc184313296"/>
      <w:bookmarkEnd w:id="14"/>
      <w:bookmarkStart w:id="15" w:name="_Toc184312118"/>
      <w:bookmarkEnd w:id="15"/>
      <w:bookmarkStart w:id="16" w:name="_Toc184312129"/>
      <w:bookmarkEnd w:id="16"/>
      <w:bookmarkStart w:id="17" w:name="_Toc184312128"/>
      <w:bookmarkEnd w:id="17"/>
      <w:bookmarkStart w:id="18" w:name="_Toc184313271"/>
      <w:bookmarkEnd w:id="18"/>
      <w:bookmarkStart w:id="19" w:name="_Toc184310307"/>
      <w:bookmarkEnd w:id="19"/>
      <w:bookmarkStart w:id="20" w:name="_Toc184312112"/>
      <w:bookmarkEnd w:id="20"/>
      <w:bookmarkStart w:id="21" w:name="_Toc184310288"/>
      <w:bookmarkEnd w:id="21"/>
      <w:bookmarkStart w:id="22" w:name="_Toc184308073"/>
      <w:bookmarkEnd w:id="22"/>
      <w:bookmarkStart w:id="23" w:name="_Toc184310315"/>
      <w:bookmarkEnd w:id="23"/>
      <w:bookmarkStart w:id="24" w:name="_Toc184308040"/>
      <w:bookmarkEnd w:id="24"/>
      <w:bookmarkStart w:id="25" w:name="_Toc184308049"/>
      <w:bookmarkEnd w:id="25"/>
      <w:bookmarkStart w:id="26" w:name="_Toc184308077"/>
      <w:bookmarkEnd w:id="26"/>
      <w:bookmarkStart w:id="27" w:name="_Toc184308045"/>
      <w:bookmarkEnd w:id="27"/>
      <w:bookmarkStart w:id="28" w:name="_Toc184313276"/>
      <w:bookmarkEnd w:id="28"/>
      <w:bookmarkStart w:id="29" w:name="_Toc184308051"/>
      <w:bookmarkEnd w:id="29"/>
      <w:bookmarkStart w:id="30" w:name="_Toc184310298"/>
      <w:bookmarkEnd w:id="30"/>
      <w:bookmarkStart w:id="31" w:name="_Toc184310300"/>
      <w:bookmarkEnd w:id="31"/>
      <w:bookmarkStart w:id="32" w:name="_Toc184312114"/>
      <w:bookmarkEnd w:id="32"/>
      <w:bookmarkStart w:id="33" w:name="_Toc184314461"/>
      <w:bookmarkEnd w:id="33"/>
      <w:bookmarkStart w:id="34" w:name="_Toc184313241"/>
      <w:bookmarkEnd w:id="34"/>
      <w:bookmarkStart w:id="35" w:name="_Toc184312123"/>
      <w:bookmarkEnd w:id="35"/>
      <w:bookmarkStart w:id="36" w:name="_Toc184314469"/>
      <w:bookmarkEnd w:id="36"/>
      <w:bookmarkStart w:id="37" w:name="_Toc184308070"/>
      <w:bookmarkEnd w:id="37"/>
      <w:bookmarkStart w:id="38" w:name="_Toc184308099"/>
      <w:bookmarkEnd w:id="38"/>
      <w:bookmarkStart w:id="39" w:name="_Toc184313289"/>
      <w:bookmarkEnd w:id="39"/>
      <w:bookmarkStart w:id="40" w:name="_Toc184314423"/>
      <w:bookmarkEnd w:id="40"/>
      <w:bookmarkStart w:id="41" w:name="_Toc184314430"/>
      <w:bookmarkEnd w:id="41"/>
      <w:bookmarkStart w:id="42" w:name="_Toc184310321"/>
      <w:bookmarkEnd w:id="42"/>
      <w:bookmarkStart w:id="43" w:name="_Toc184314420"/>
      <w:bookmarkEnd w:id="43"/>
      <w:bookmarkStart w:id="44" w:name="_Toc184313280"/>
      <w:bookmarkEnd w:id="44"/>
      <w:bookmarkStart w:id="45" w:name="_Toc184312077"/>
      <w:bookmarkEnd w:id="45"/>
      <w:bookmarkStart w:id="46" w:name="_Toc184310304"/>
      <w:bookmarkEnd w:id="46"/>
      <w:bookmarkStart w:id="47" w:name="_Toc184313299"/>
      <w:bookmarkEnd w:id="47"/>
      <w:bookmarkStart w:id="48" w:name="_Toc184314425"/>
      <w:bookmarkEnd w:id="48"/>
      <w:bookmarkStart w:id="49" w:name="_Toc184308061"/>
      <w:bookmarkEnd w:id="49"/>
      <w:bookmarkStart w:id="50" w:name="_Toc184313255"/>
      <w:bookmarkEnd w:id="50"/>
      <w:bookmarkStart w:id="51" w:name="_Toc184313253"/>
      <w:bookmarkEnd w:id="51"/>
      <w:bookmarkStart w:id="52" w:name="_Toc184310293"/>
      <w:bookmarkEnd w:id="52"/>
      <w:bookmarkStart w:id="53" w:name="_Toc184312094"/>
      <w:bookmarkEnd w:id="53"/>
      <w:bookmarkStart w:id="54" w:name="_Toc184314412"/>
      <w:bookmarkEnd w:id="54"/>
      <w:bookmarkStart w:id="55" w:name="_Toc184312117"/>
      <w:bookmarkEnd w:id="55"/>
      <w:bookmarkStart w:id="56" w:name="_Toc184313310"/>
      <w:bookmarkEnd w:id="56"/>
      <w:bookmarkStart w:id="57" w:name="_Toc184313252"/>
      <w:bookmarkEnd w:id="57"/>
      <w:bookmarkStart w:id="58" w:name="_Toc184310334"/>
      <w:bookmarkEnd w:id="58"/>
      <w:bookmarkStart w:id="59" w:name="_Toc184310276"/>
      <w:bookmarkEnd w:id="59"/>
      <w:bookmarkStart w:id="60" w:name="_Toc184310277"/>
      <w:bookmarkEnd w:id="60"/>
      <w:bookmarkStart w:id="61" w:name="_Toc184312088"/>
      <w:bookmarkEnd w:id="61"/>
      <w:bookmarkStart w:id="62" w:name="_Toc184314443"/>
      <w:bookmarkEnd w:id="62"/>
      <w:bookmarkStart w:id="63" w:name="_Toc184312113"/>
      <w:bookmarkEnd w:id="63"/>
      <w:bookmarkStart w:id="64" w:name="_Toc184310313"/>
      <w:bookmarkEnd w:id="64"/>
      <w:bookmarkStart w:id="65" w:name="_Toc184310316"/>
      <w:bookmarkEnd w:id="65"/>
      <w:bookmarkStart w:id="66" w:name="_Toc184313249"/>
      <w:bookmarkEnd w:id="66"/>
      <w:bookmarkStart w:id="67" w:name="_Toc184314438"/>
      <w:bookmarkEnd w:id="67"/>
      <w:bookmarkStart w:id="68" w:name="_Toc184308104"/>
      <w:bookmarkEnd w:id="68"/>
      <w:bookmarkStart w:id="69" w:name="_Toc184313300"/>
      <w:bookmarkEnd w:id="69"/>
      <w:bookmarkStart w:id="70" w:name="_Toc184312127"/>
      <w:bookmarkEnd w:id="70"/>
      <w:bookmarkStart w:id="71" w:name="_Toc184314468"/>
      <w:bookmarkEnd w:id="71"/>
      <w:bookmarkStart w:id="72" w:name="_Toc184308088"/>
      <w:bookmarkEnd w:id="72"/>
      <w:bookmarkStart w:id="73" w:name="_Toc184308081"/>
      <w:bookmarkEnd w:id="73"/>
      <w:bookmarkStart w:id="74" w:name="_Toc184314413"/>
      <w:bookmarkEnd w:id="74"/>
      <w:bookmarkStart w:id="75" w:name="_Toc184314434"/>
      <w:bookmarkEnd w:id="75"/>
      <w:bookmarkStart w:id="76" w:name="_Toc184313279"/>
      <w:bookmarkEnd w:id="76"/>
      <w:bookmarkStart w:id="77" w:name="_Toc184308093"/>
      <w:bookmarkEnd w:id="77"/>
      <w:bookmarkStart w:id="78" w:name="_Toc184310319"/>
      <w:bookmarkEnd w:id="78"/>
      <w:bookmarkStart w:id="79" w:name="_Toc184310292"/>
      <w:bookmarkEnd w:id="79"/>
      <w:bookmarkStart w:id="80" w:name="_Toc184312137"/>
      <w:bookmarkEnd w:id="80"/>
      <w:bookmarkStart w:id="81" w:name="_Toc184310335"/>
      <w:bookmarkEnd w:id="81"/>
      <w:bookmarkStart w:id="82" w:name="_Toc184310329"/>
      <w:bookmarkEnd w:id="82"/>
      <w:bookmarkStart w:id="83" w:name="_Toc184314439"/>
      <w:bookmarkEnd w:id="83"/>
      <w:bookmarkStart w:id="84" w:name="_Toc184312109"/>
      <w:bookmarkEnd w:id="84"/>
      <w:bookmarkStart w:id="85" w:name="_Toc184312085"/>
      <w:bookmarkEnd w:id="85"/>
      <w:bookmarkStart w:id="86" w:name="_Toc184313308"/>
      <w:bookmarkEnd w:id="86"/>
      <w:bookmarkStart w:id="87" w:name="_Toc184313242"/>
      <w:bookmarkEnd w:id="87"/>
      <w:bookmarkStart w:id="88" w:name="_Toc184312116"/>
      <w:bookmarkEnd w:id="88"/>
      <w:bookmarkStart w:id="89" w:name="_Toc184312121"/>
      <w:bookmarkEnd w:id="89"/>
      <w:bookmarkStart w:id="90" w:name="_Toc184314466"/>
      <w:bookmarkEnd w:id="90"/>
      <w:bookmarkStart w:id="91" w:name="_Toc184314441"/>
      <w:bookmarkEnd w:id="91"/>
      <w:bookmarkStart w:id="92" w:name="_Toc184314436"/>
      <w:bookmarkEnd w:id="92"/>
      <w:bookmarkStart w:id="93" w:name="_Toc184308047"/>
      <w:bookmarkEnd w:id="93"/>
      <w:bookmarkStart w:id="94" w:name="_Toc184313298"/>
      <w:bookmarkEnd w:id="94"/>
      <w:bookmarkStart w:id="95" w:name="_Toc184313285"/>
      <w:bookmarkEnd w:id="95"/>
      <w:bookmarkStart w:id="96" w:name="_Toc184308092"/>
      <w:bookmarkEnd w:id="96"/>
      <w:bookmarkStart w:id="97" w:name="_Toc184312076"/>
      <w:bookmarkEnd w:id="97"/>
      <w:bookmarkStart w:id="98" w:name="_Toc184314481"/>
      <w:bookmarkEnd w:id="98"/>
      <w:bookmarkStart w:id="99" w:name="_Toc184312103"/>
      <w:bookmarkEnd w:id="99"/>
      <w:bookmarkStart w:id="100" w:name="_Toc184312091"/>
      <w:bookmarkEnd w:id="100"/>
      <w:bookmarkStart w:id="101" w:name="_Toc184312122"/>
      <w:bookmarkEnd w:id="101"/>
      <w:bookmarkStart w:id="102" w:name="_Toc184310331"/>
      <w:bookmarkEnd w:id="102"/>
      <w:bookmarkStart w:id="103" w:name="_Toc184310310"/>
      <w:bookmarkEnd w:id="103"/>
      <w:bookmarkStart w:id="104" w:name="_Toc184308042"/>
      <w:bookmarkEnd w:id="104"/>
      <w:bookmarkStart w:id="105" w:name="_Toc184314467"/>
      <w:bookmarkEnd w:id="105"/>
      <w:bookmarkStart w:id="106" w:name="_Toc184310325"/>
      <w:bookmarkEnd w:id="106"/>
      <w:bookmarkStart w:id="107" w:name="_Toc184313263"/>
      <w:bookmarkEnd w:id="107"/>
      <w:bookmarkStart w:id="108" w:name="_Toc184313265"/>
      <w:bookmarkEnd w:id="108"/>
      <w:bookmarkStart w:id="109" w:name="_Toc184310272"/>
      <w:bookmarkEnd w:id="109"/>
      <w:bookmarkStart w:id="110" w:name="_Toc184314465"/>
      <w:bookmarkEnd w:id="110"/>
      <w:bookmarkStart w:id="111" w:name="_Toc184313294"/>
      <w:bookmarkEnd w:id="111"/>
      <w:bookmarkStart w:id="112" w:name="_Toc184310274"/>
      <w:bookmarkEnd w:id="112"/>
      <w:bookmarkStart w:id="113" w:name="_Toc184314452"/>
      <w:bookmarkEnd w:id="113"/>
      <w:bookmarkStart w:id="114" w:name="_Toc184310306"/>
      <w:bookmarkEnd w:id="114"/>
      <w:bookmarkStart w:id="115" w:name="_Toc184312108"/>
      <w:bookmarkEnd w:id="115"/>
      <w:bookmarkStart w:id="116" w:name="_Toc184313244"/>
      <w:bookmarkEnd w:id="116"/>
      <w:bookmarkStart w:id="117" w:name="_Toc184312072"/>
      <w:bookmarkEnd w:id="117"/>
      <w:bookmarkStart w:id="118" w:name="_Toc184310280"/>
      <w:bookmarkEnd w:id="118"/>
      <w:bookmarkStart w:id="119" w:name="_Toc184314459"/>
      <w:bookmarkEnd w:id="119"/>
      <w:bookmarkStart w:id="120" w:name="_Toc184310286"/>
      <w:bookmarkEnd w:id="120"/>
      <w:bookmarkStart w:id="121" w:name="_Toc184312092"/>
      <w:bookmarkEnd w:id="121"/>
      <w:bookmarkStart w:id="122" w:name="_Toc184310322"/>
      <w:bookmarkEnd w:id="122"/>
      <w:bookmarkStart w:id="123" w:name="_Toc184312099"/>
      <w:bookmarkEnd w:id="123"/>
      <w:bookmarkStart w:id="124" w:name="_Toc184308054"/>
      <w:bookmarkEnd w:id="124"/>
      <w:bookmarkStart w:id="125" w:name="_Toc184312087"/>
      <w:bookmarkEnd w:id="125"/>
      <w:bookmarkStart w:id="126" w:name="_Toc184314421"/>
      <w:bookmarkEnd w:id="126"/>
      <w:bookmarkStart w:id="127" w:name="_Toc184314415"/>
      <w:bookmarkEnd w:id="127"/>
      <w:bookmarkStart w:id="128" w:name="_Toc184312100"/>
      <w:bookmarkEnd w:id="128"/>
      <w:bookmarkStart w:id="129" w:name="_Toc184314427"/>
      <w:bookmarkEnd w:id="129"/>
      <w:bookmarkStart w:id="130" w:name="_Toc184314476"/>
      <w:bookmarkEnd w:id="130"/>
      <w:bookmarkStart w:id="131" w:name="_Toc184313260"/>
      <w:bookmarkEnd w:id="131"/>
      <w:bookmarkStart w:id="132" w:name="_Toc184314432"/>
      <w:bookmarkEnd w:id="132"/>
      <w:bookmarkStart w:id="133" w:name="_Toc184314446"/>
      <w:bookmarkEnd w:id="133"/>
      <w:bookmarkStart w:id="134" w:name="_Toc184310308"/>
      <w:bookmarkEnd w:id="134"/>
      <w:bookmarkStart w:id="135" w:name="_Toc184310278"/>
      <w:bookmarkEnd w:id="135"/>
      <w:bookmarkStart w:id="136" w:name="_Toc184312134"/>
      <w:bookmarkEnd w:id="136"/>
      <w:bookmarkStart w:id="137" w:name="_Toc184312125"/>
      <w:bookmarkEnd w:id="137"/>
      <w:bookmarkStart w:id="138" w:name="_Toc184308084"/>
      <w:bookmarkEnd w:id="138"/>
      <w:bookmarkStart w:id="139" w:name="_Toc184314445"/>
      <w:bookmarkEnd w:id="139"/>
      <w:bookmarkStart w:id="140" w:name="_Toc184313293"/>
      <w:bookmarkEnd w:id="140"/>
      <w:bookmarkStart w:id="141" w:name="_Toc184314480"/>
      <w:bookmarkEnd w:id="141"/>
      <w:bookmarkStart w:id="142" w:name="_Toc184312136"/>
      <w:bookmarkEnd w:id="142"/>
      <w:bookmarkStart w:id="143" w:name="_Toc184308085"/>
      <w:bookmarkEnd w:id="143"/>
      <w:bookmarkStart w:id="144" w:name="_Toc184308068"/>
      <w:bookmarkEnd w:id="144"/>
      <w:bookmarkStart w:id="145" w:name="_Toc184313247"/>
      <w:bookmarkEnd w:id="145"/>
      <w:bookmarkStart w:id="146" w:name="_Toc184308089"/>
      <w:bookmarkEnd w:id="146"/>
      <w:bookmarkStart w:id="147" w:name="_Toc184308064"/>
      <w:bookmarkEnd w:id="147"/>
      <w:bookmarkStart w:id="148" w:name="_Toc184308067"/>
      <w:bookmarkEnd w:id="148"/>
      <w:bookmarkStart w:id="149" w:name="_Toc184308086"/>
      <w:bookmarkEnd w:id="149"/>
      <w:bookmarkStart w:id="150" w:name="_Toc184314475"/>
      <w:bookmarkEnd w:id="150"/>
      <w:bookmarkStart w:id="151" w:name="_Toc184314442"/>
      <w:bookmarkEnd w:id="151"/>
      <w:bookmarkStart w:id="152" w:name="_Toc184310328"/>
      <w:bookmarkEnd w:id="152"/>
      <w:bookmarkStart w:id="153" w:name="_Toc184313288"/>
      <w:bookmarkEnd w:id="153"/>
      <w:bookmarkStart w:id="154" w:name="_Toc184312073"/>
      <w:bookmarkEnd w:id="154"/>
      <w:bookmarkStart w:id="155" w:name="_Toc184314414"/>
      <w:bookmarkEnd w:id="155"/>
      <w:bookmarkStart w:id="156" w:name="_Toc184313264"/>
      <w:bookmarkEnd w:id="156"/>
      <w:bookmarkStart w:id="157" w:name="_Toc184308100"/>
      <w:bookmarkEnd w:id="157"/>
      <w:bookmarkStart w:id="158" w:name="_Toc184314440"/>
      <w:bookmarkEnd w:id="158"/>
      <w:bookmarkStart w:id="159" w:name="_Toc184310301"/>
      <w:bookmarkEnd w:id="159"/>
      <w:bookmarkStart w:id="160" w:name="_Toc184314472"/>
      <w:bookmarkEnd w:id="160"/>
      <w:bookmarkStart w:id="161" w:name="_Toc184312096"/>
      <w:bookmarkEnd w:id="161"/>
      <w:bookmarkStart w:id="162" w:name="_Toc184310284"/>
      <w:bookmarkEnd w:id="162"/>
      <w:bookmarkStart w:id="163" w:name="_Toc184308079"/>
      <w:bookmarkEnd w:id="163"/>
      <w:bookmarkStart w:id="164" w:name="_Toc184310285"/>
      <w:bookmarkEnd w:id="164"/>
      <w:bookmarkStart w:id="165" w:name="_Toc184308102"/>
      <w:bookmarkEnd w:id="165"/>
      <w:bookmarkStart w:id="166" w:name="_Toc184314470"/>
      <w:bookmarkEnd w:id="166"/>
      <w:bookmarkStart w:id="167" w:name="_Toc184312075"/>
      <w:bookmarkEnd w:id="167"/>
      <w:bookmarkStart w:id="168" w:name="_Toc184308055"/>
      <w:bookmarkEnd w:id="168"/>
      <w:bookmarkStart w:id="169" w:name="_Toc184310338"/>
      <w:bookmarkEnd w:id="169"/>
      <w:bookmarkStart w:id="170" w:name="_Toc184308052"/>
      <w:bookmarkEnd w:id="170"/>
      <w:bookmarkStart w:id="171" w:name="_Toc184314417"/>
      <w:bookmarkEnd w:id="171"/>
      <w:bookmarkStart w:id="172" w:name="_Toc184312067"/>
      <w:bookmarkEnd w:id="172"/>
      <w:bookmarkStart w:id="173" w:name="_Toc184312104"/>
      <w:bookmarkEnd w:id="173"/>
      <w:bookmarkStart w:id="174" w:name="_Toc184310305"/>
      <w:bookmarkEnd w:id="174"/>
      <w:bookmarkStart w:id="175" w:name="_Toc184310340"/>
      <w:bookmarkEnd w:id="175"/>
      <w:bookmarkStart w:id="176" w:name="_Toc184313303"/>
      <w:bookmarkEnd w:id="176"/>
      <w:bookmarkStart w:id="177" w:name="_Toc184313266"/>
      <w:bookmarkEnd w:id="177"/>
      <w:bookmarkStart w:id="178" w:name="_Toc184310289"/>
      <w:bookmarkEnd w:id="178"/>
      <w:bookmarkStart w:id="179" w:name="_Toc184308038"/>
      <w:bookmarkEnd w:id="179"/>
      <w:bookmarkStart w:id="180" w:name="_Toc184310302"/>
      <w:bookmarkEnd w:id="180"/>
      <w:bookmarkStart w:id="181" w:name="_Toc184313274"/>
      <w:bookmarkEnd w:id="181"/>
      <w:bookmarkStart w:id="182" w:name="_Toc184314433"/>
      <w:bookmarkEnd w:id="182"/>
      <w:bookmarkStart w:id="183" w:name="_Toc184314449"/>
      <w:bookmarkEnd w:id="183"/>
      <w:bookmarkStart w:id="184" w:name="_Toc184313272"/>
      <w:bookmarkEnd w:id="184"/>
      <w:bookmarkStart w:id="185" w:name="_Toc184314426"/>
      <w:bookmarkEnd w:id="185"/>
      <w:bookmarkStart w:id="186" w:name="_Toc184310287"/>
      <w:bookmarkEnd w:id="186"/>
      <w:bookmarkStart w:id="187" w:name="_Toc184314473"/>
      <w:bookmarkEnd w:id="187"/>
      <w:bookmarkStart w:id="188" w:name="_Toc184314447"/>
      <w:bookmarkEnd w:id="188"/>
      <w:bookmarkStart w:id="189" w:name="_Toc184308082"/>
      <w:bookmarkEnd w:id="189"/>
      <w:bookmarkStart w:id="190" w:name="_Toc184312124"/>
      <w:bookmarkEnd w:id="190"/>
      <w:bookmarkStart w:id="191" w:name="_Toc184314428"/>
      <w:bookmarkEnd w:id="191"/>
      <w:bookmarkStart w:id="192" w:name="_Toc184313286"/>
      <w:bookmarkEnd w:id="192"/>
      <w:bookmarkStart w:id="193" w:name="_Toc184313290"/>
      <w:bookmarkEnd w:id="193"/>
      <w:bookmarkStart w:id="194" w:name="_Toc184308060"/>
      <w:bookmarkEnd w:id="194"/>
      <w:bookmarkStart w:id="195" w:name="_Toc184308059"/>
      <w:bookmarkEnd w:id="195"/>
      <w:bookmarkStart w:id="196" w:name="_Toc184310344"/>
      <w:bookmarkEnd w:id="196"/>
      <w:bookmarkStart w:id="197" w:name="_Toc184313267"/>
      <w:bookmarkEnd w:id="197"/>
      <w:bookmarkStart w:id="198" w:name="_Toc184308044"/>
      <w:bookmarkEnd w:id="198"/>
      <w:bookmarkStart w:id="199" w:name="_Toc184312106"/>
      <w:bookmarkEnd w:id="199"/>
      <w:bookmarkStart w:id="200" w:name="_Toc184313261"/>
      <w:bookmarkEnd w:id="200"/>
      <w:bookmarkStart w:id="201" w:name="_Toc184312105"/>
      <w:bookmarkEnd w:id="201"/>
      <w:bookmarkStart w:id="202" w:name="_Toc184310336"/>
      <w:bookmarkEnd w:id="202"/>
      <w:bookmarkStart w:id="203" w:name="_Toc184314437"/>
      <w:bookmarkEnd w:id="203"/>
      <w:bookmarkStart w:id="204" w:name="_Toc184310296"/>
      <w:bookmarkEnd w:id="204"/>
      <w:bookmarkStart w:id="205" w:name="_Toc184310312"/>
      <w:bookmarkEnd w:id="205"/>
      <w:bookmarkStart w:id="206" w:name="_Toc184314457"/>
      <w:bookmarkEnd w:id="206"/>
      <w:bookmarkStart w:id="207" w:name="_Toc184308053"/>
      <w:bookmarkEnd w:id="207"/>
      <w:bookmarkStart w:id="208" w:name="_Toc184310314"/>
      <w:bookmarkEnd w:id="208"/>
      <w:bookmarkStart w:id="209" w:name="_Toc184308097"/>
      <w:bookmarkEnd w:id="209"/>
      <w:bookmarkStart w:id="210" w:name="_Toc184308056"/>
      <w:bookmarkEnd w:id="210"/>
      <w:bookmarkStart w:id="211" w:name="_Toc184312115"/>
      <w:bookmarkEnd w:id="211"/>
      <w:bookmarkStart w:id="212" w:name="_Toc184310291"/>
      <w:bookmarkEnd w:id="212"/>
      <w:bookmarkStart w:id="213" w:name="_Toc184312095"/>
      <w:bookmarkEnd w:id="213"/>
      <w:bookmarkStart w:id="214" w:name="_Toc184308080"/>
      <w:bookmarkEnd w:id="214"/>
      <w:bookmarkStart w:id="215" w:name="_Toc184313248"/>
      <w:bookmarkEnd w:id="215"/>
      <w:bookmarkStart w:id="216" w:name="_Toc184313284"/>
      <w:bookmarkEnd w:id="216"/>
      <w:bookmarkStart w:id="217" w:name="_Toc184314410"/>
      <w:bookmarkEnd w:id="217"/>
      <w:bookmarkStart w:id="218" w:name="_Toc184310279"/>
      <w:bookmarkEnd w:id="218"/>
      <w:bookmarkStart w:id="219" w:name="_Toc184308069"/>
      <w:bookmarkEnd w:id="219"/>
      <w:bookmarkStart w:id="220" w:name="_Toc184313251"/>
      <w:bookmarkEnd w:id="220"/>
      <w:bookmarkStart w:id="221" w:name="_Toc184310273"/>
      <w:bookmarkEnd w:id="221"/>
      <w:bookmarkStart w:id="222" w:name="_Toc184310275"/>
      <w:bookmarkEnd w:id="222"/>
      <w:bookmarkStart w:id="223" w:name="_Toc184308050"/>
      <w:bookmarkEnd w:id="223"/>
      <w:bookmarkStart w:id="224" w:name="_Toc184312138"/>
      <w:bookmarkEnd w:id="224"/>
      <w:bookmarkStart w:id="225" w:name="_Toc184312078"/>
      <w:bookmarkEnd w:id="225"/>
      <w:bookmarkStart w:id="226" w:name="_Toc184313275"/>
      <w:bookmarkEnd w:id="226"/>
      <w:bookmarkStart w:id="227" w:name="_Toc184310332"/>
      <w:bookmarkEnd w:id="227"/>
      <w:bookmarkStart w:id="228" w:name="_Toc184314429"/>
      <w:bookmarkEnd w:id="228"/>
      <w:bookmarkStart w:id="229" w:name="_Toc184312082"/>
      <w:bookmarkEnd w:id="229"/>
      <w:bookmarkStart w:id="230" w:name="_Toc184313269"/>
      <w:bookmarkEnd w:id="230"/>
      <w:bookmarkStart w:id="231" w:name="_Toc184308057"/>
      <w:bookmarkEnd w:id="231"/>
      <w:bookmarkStart w:id="232" w:name="_Toc184312102"/>
      <w:bookmarkEnd w:id="232"/>
      <w:bookmarkStart w:id="233" w:name="_Toc184308063"/>
      <w:bookmarkEnd w:id="233"/>
      <w:bookmarkStart w:id="234" w:name="_Toc184314451"/>
      <w:bookmarkEnd w:id="234"/>
      <w:bookmarkStart w:id="235" w:name="_Toc184312089"/>
      <w:bookmarkEnd w:id="235"/>
      <w:bookmarkStart w:id="236" w:name="_Toc184308072"/>
      <w:bookmarkEnd w:id="236"/>
      <w:bookmarkStart w:id="237" w:name="_Toc184312069"/>
      <w:bookmarkEnd w:id="237"/>
      <w:bookmarkStart w:id="238" w:name="_Toc184310303"/>
      <w:bookmarkEnd w:id="238"/>
      <w:bookmarkStart w:id="239" w:name="_Toc184313257"/>
      <w:bookmarkEnd w:id="239"/>
      <w:bookmarkStart w:id="240" w:name="_Toc184310290"/>
      <w:bookmarkEnd w:id="240"/>
      <w:bookmarkStart w:id="241" w:name="_Toc184313297"/>
      <w:bookmarkEnd w:id="241"/>
      <w:bookmarkStart w:id="242" w:name="_Toc184313305"/>
      <w:bookmarkEnd w:id="242"/>
      <w:bookmarkStart w:id="243" w:name="_Toc184312068"/>
      <w:bookmarkEnd w:id="243"/>
      <w:bookmarkStart w:id="244" w:name="_Toc184314419"/>
      <w:bookmarkEnd w:id="244"/>
      <w:bookmarkStart w:id="245" w:name="_Toc184314450"/>
      <w:bookmarkEnd w:id="245"/>
      <w:bookmarkStart w:id="246" w:name="_Toc184308048"/>
      <w:bookmarkEnd w:id="246"/>
      <w:bookmarkStart w:id="247" w:name="_Toc184308106"/>
      <w:bookmarkEnd w:id="247"/>
      <w:bookmarkStart w:id="248" w:name="_Toc184310339"/>
      <w:bookmarkEnd w:id="248"/>
      <w:bookmarkStart w:id="249" w:name="_Toc184312086"/>
      <w:bookmarkEnd w:id="249"/>
      <w:bookmarkStart w:id="250" w:name="_Toc184313307"/>
      <w:bookmarkEnd w:id="250"/>
      <w:bookmarkStart w:id="251" w:name="_Toc184308071"/>
      <w:bookmarkEnd w:id="251"/>
      <w:bookmarkStart w:id="252" w:name="_Toc184314482"/>
      <w:bookmarkEnd w:id="252"/>
      <w:bookmarkStart w:id="253" w:name="_Toc184308105"/>
      <w:bookmarkEnd w:id="253"/>
      <w:bookmarkStart w:id="254" w:name="_Toc184310320"/>
      <w:bookmarkEnd w:id="254"/>
      <w:bookmarkStart w:id="255" w:name="_Toc184312097"/>
      <w:bookmarkEnd w:id="255"/>
      <w:bookmarkStart w:id="256" w:name="_Toc184313291"/>
      <w:bookmarkEnd w:id="256"/>
      <w:bookmarkStart w:id="257" w:name="_Toc184312098"/>
      <w:bookmarkEnd w:id="257"/>
      <w:bookmarkStart w:id="258" w:name="_Toc184313262"/>
      <w:bookmarkEnd w:id="258"/>
      <w:bookmarkStart w:id="259" w:name="_Toc184310309"/>
      <w:bookmarkEnd w:id="259"/>
      <w:bookmarkStart w:id="260" w:name="_Toc184313259"/>
      <w:bookmarkEnd w:id="260"/>
      <w:bookmarkStart w:id="261" w:name="_Toc184314474"/>
      <w:bookmarkEnd w:id="261"/>
      <w:bookmarkStart w:id="262" w:name="_Toc184308058"/>
      <w:bookmarkEnd w:id="262"/>
      <w:bookmarkStart w:id="263" w:name="_Toc184312131"/>
      <w:bookmarkEnd w:id="263"/>
      <w:bookmarkStart w:id="264" w:name="_Toc184310318"/>
      <w:bookmarkEnd w:id="264"/>
      <w:bookmarkStart w:id="265" w:name="_Toc184314477"/>
      <w:bookmarkEnd w:id="265"/>
      <w:bookmarkStart w:id="266" w:name="_Toc184313256"/>
      <w:bookmarkEnd w:id="266"/>
      <w:bookmarkStart w:id="267" w:name="_Toc184312101"/>
      <w:bookmarkEnd w:id="267"/>
      <w:bookmarkStart w:id="268" w:name="_Toc184314460"/>
      <w:bookmarkEnd w:id="268"/>
      <w:bookmarkStart w:id="269" w:name="_Toc184308091"/>
      <w:bookmarkEnd w:id="269"/>
      <w:bookmarkStart w:id="270" w:name="_Toc184314424"/>
      <w:bookmarkEnd w:id="270"/>
      <w:bookmarkStart w:id="271" w:name="_Toc184312132"/>
      <w:bookmarkEnd w:id="271"/>
      <w:bookmarkStart w:id="272" w:name="_Toc184313292"/>
      <w:bookmarkEnd w:id="272"/>
      <w:bookmarkStart w:id="273" w:name="_Toc184313277"/>
      <w:bookmarkEnd w:id="273"/>
      <w:bookmarkStart w:id="274" w:name="_Toc184310295"/>
      <w:bookmarkEnd w:id="274"/>
      <w:bookmarkStart w:id="275" w:name="_Toc184310333"/>
      <w:bookmarkEnd w:id="275"/>
      <w:bookmarkStart w:id="276" w:name="_Toc184310341"/>
      <w:bookmarkEnd w:id="276"/>
      <w:bookmarkStart w:id="277" w:name="_Toc184313258"/>
      <w:bookmarkEnd w:id="277"/>
      <w:bookmarkStart w:id="278" w:name="_Toc184313273"/>
      <w:bookmarkEnd w:id="278"/>
      <w:bookmarkStart w:id="279" w:name="_Toc184310337"/>
      <w:bookmarkEnd w:id="279"/>
      <w:bookmarkStart w:id="280" w:name="_Toc184312126"/>
      <w:bookmarkEnd w:id="280"/>
      <w:bookmarkStart w:id="281" w:name="_Toc184313287"/>
      <w:bookmarkEnd w:id="281"/>
      <w:bookmarkStart w:id="282" w:name="_Toc184312120"/>
      <w:bookmarkEnd w:id="282"/>
      <w:bookmarkStart w:id="283" w:name="_Toc184308098"/>
      <w:bookmarkEnd w:id="283"/>
      <w:bookmarkStart w:id="284" w:name="_Toc184308101"/>
      <w:bookmarkEnd w:id="284"/>
      <w:bookmarkStart w:id="285" w:name="_Toc184310311"/>
      <w:bookmarkEnd w:id="285"/>
      <w:bookmarkStart w:id="286" w:name="_Toc184308036"/>
      <w:bookmarkEnd w:id="286"/>
      <w:bookmarkStart w:id="287" w:name="_Toc184310299"/>
      <w:bookmarkEnd w:id="287"/>
      <w:bookmarkStart w:id="288" w:name="_Toc184308074"/>
      <w:bookmarkEnd w:id="288"/>
      <w:bookmarkStart w:id="289" w:name="_Toc184313238"/>
      <w:bookmarkEnd w:id="289"/>
      <w:bookmarkStart w:id="290" w:name="_Toc184312107"/>
      <w:bookmarkEnd w:id="290"/>
      <w:bookmarkStart w:id="291" w:name="_Toc184314444"/>
      <w:bookmarkEnd w:id="291"/>
      <w:bookmarkStart w:id="292" w:name="_Toc184310281"/>
      <w:bookmarkEnd w:id="292"/>
      <w:bookmarkStart w:id="293" w:name="_Toc184314479"/>
      <w:bookmarkEnd w:id="293"/>
      <w:bookmarkStart w:id="294" w:name="_Toc184313268"/>
      <w:bookmarkEnd w:id="294"/>
      <w:bookmarkStart w:id="295" w:name="_Toc184308076"/>
      <w:bookmarkEnd w:id="295"/>
      <w:bookmarkStart w:id="296" w:name="_Toc184310282"/>
      <w:bookmarkEnd w:id="296"/>
      <w:bookmarkStart w:id="297" w:name="_Toc184313281"/>
      <w:bookmarkEnd w:id="297"/>
      <w:bookmarkStart w:id="298" w:name="_Toc184314418"/>
      <w:bookmarkEnd w:id="298"/>
      <w:bookmarkStart w:id="299" w:name="_Toc184308090"/>
      <w:bookmarkEnd w:id="299"/>
      <w:bookmarkStart w:id="300" w:name="_Toc184308046"/>
      <w:bookmarkEnd w:id="300"/>
      <w:bookmarkStart w:id="301" w:name="_Toc184310327"/>
      <w:bookmarkEnd w:id="301"/>
      <w:bookmarkStart w:id="302" w:name="_Toc184312080"/>
      <w:bookmarkEnd w:id="302"/>
      <w:bookmarkStart w:id="303" w:name="_Toc184312139"/>
      <w:bookmarkEnd w:id="303"/>
      <w:bookmarkStart w:id="304" w:name="_Toc184312135"/>
      <w:bookmarkEnd w:id="304"/>
      <w:bookmarkStart w:id="305" w:name="_Toc184314458"/>
      <w:bookmarkEnd w:id="305"/>
      <w:bookmarkStart w:id="306" w:name="_Toc184310342"/>
      <w:bookmarkEnd w:id="306"/>
      <w:bookmarkStart w:id="307" w:name="_Toc184314471"/>
      <w:bookmarkEnd w:id="307"/>
      <w:bookmarkStart w:id="308" w:name="_Toc184312081"/>
      <w:bookmarkEnd w:id="308"/>
      <w:bookmarkStart w:id="309" w:name="_Toc184314435"/>
      <w:bookmarkEnd w:id="309"/>
      <w:bookmarkStart w:id="310" w:name="_Toc184314431"/>
      <w:bookmarkEnd w:id="310"/>
      <w:bookmarkStart w:id="311" w:name="_Toc184312133"/>
      <w:bookmarkEnd w:id="311"/>
      <w:bookmarkStart w:id="312" w:name="_Toc184310297"/>
      <w:bookmarkEnd w:id="312"/>
      <w:bookmarkStart w:id="313" w:name="_Toc184308083"/>
      <w:bookmarkEnd w:id="313"/>
      <w:bookmarkStart w:id="314" w:name="_Toc184310330"/>
      <w:bookmarkEnd w:id="314"/>
      <w:bookmarkStart w:id="315" w:name="_Toc184314462"/>
      <w:bookmarkEnd w:id="315"/>
      <w:bookmarkStart w:id="316" w:name="_Toc184312070"/>
      <w:bookmarkEnd w:id="316"/>
      <w:bookmarkStart w:id="317" w:name="_Toc184312093"/>
      <w:bookmarkEnd w:id="317"/>
      <w:bookmarkStart w:id="318" w:name="_Toc184310323"/>
      <w:bookmarkEnd w:id="318"/>
      <w:bookmarkStart w:id="319" w:name="_Toc184308062"/>
      <w:bookmarkEnd w:id="319"/>
      <w:bookmarkStart w:id="320" w:name="_Toc184314411"/>
      <w:bookmarkEnd w:id="320"/>
      <w:bookmarkStart w:id="321" w:name="_Toc184308041"/>
      <w:bookmarkEnd w:id="321"/>
      <w:bookmarkStart w:id="322" w:name="_Toc184313283"/>
      <w:bookmarkEnd w:id="322"/>
      <w:bookmarkStart w:id="323" w:name="_Toc184310324"/>
      <w:bookmarkEnd w:id="323"/>
      <w:bookmarkStart w:id="324" w:name="_Toc184313239"/>
      <w:bookmarkEnd w:id="324"/>
      <w:bookmarkStart w:id="325" w:name="_Toc184313306"/>
      <w:bookmarkEnd w:id="325"/>
      <w:bookmarkStart w:id="326" w:name="_Toc184308107"/>
      <w:bookmarkEnd w:id="326"/>
      <w:bookmarkStart w:id="327" w:name="_Toc184308039"/>
      <w:bookmarkEnd w:id="327"/>
      <w:bookmarkStart w:id="328" w:name="_Toc184314455"/>
      <w:bookmarkEnd w:id="328"/>
      <w:bookmarkStart w:id="329" w:name="_Toc184313295"/>
      <w:bookmarkEnd w:id="329"/>
      <w:bookmarkStart w:id="330" w:name="_Toc184308103"/>
      <w:bookmarkEnd w:id="330"/>
      <w:bookmarkStart w:id="331" w:name="_Toc184313243"/>
      <w:bookmarkEnd w:id="331"/>
      <w:bookmarkStart w:id="332" w:name="_Toc184312111"/>
      <w:bookmarkEnd w:id="332"/>
      <w:bookmarkStart w:id="333" w:name="_Toc184308065"/>
      <w:bookmarkEnd w:id="333"/>
      <w:bookmarkStart w:id="334" w:name="_Toc184312130"/>
      <w:bookmarkEnd w:id="334"/>
      <w:bookmarkStart w:id="335" w:name="_Toc184312079"/>
      <w:bookmarkEnd w:id="335"/>
      <w:bookmarkStart w:id="336" w:name="_Toc184313282"/>
      <w:bookmarkEnd w:id="336"/>
      <w:bookmarkStart w:id="337" w:name="_Toc184308108"/>
      <w:bookmarkEnd w:id="337"/>
      <w:bookmarkStart w:id="338" w:name="_Toc184313254"/>
      <w:bookmarkEnd w:id="338"/>
      <w:bookmarkStart w:id="339" w:name="_Toc184312074"/>
      <w:bookmarkEnd w:id="339"/>
      <w:bookmarkStart w:id="340" w:name="_Toc184308066"/>
      <w:bookmarkEnd w:id="340"/>
      <w:bookmarkStart w:id="341" w:name="_Toc184308096"/>
      <w:bookmarkEnd w:id="341"/>
      <w:bookmarkStart w:id="342" w:name="_Toc184313309"/>
      <w:bookmarkEnd w:id="342"/>
      <w:bookmarkStart w:id="343" w:name="_Toc184314478"/>
      <w:bookmarkEnd w:id="343"/>
      <w:bookmarkStart w:id="344" w:name="_Toc184312110"/>
      <w:bookmarkEnd w:id="344"/>
      <w:bookmarkStart w:id="345" w:name="_Toc184313250"/>
      <w:bookmarkEnd w:id="345"/>
      <w:bookmarkStart w:id="346" w:name="_Toc184308075"/>
      <w:bookmarkEnd w:id="346"/>
      <w:bookmarkStart w:id="347" w:name="_Toc184314453"/>
      <w:bookmarkEnd w:id="347"/>
      <w:bookmarkStart w:id="348" w:name="_Toc184313270"/>
      <w:bookmarkEnd w:id="348"/>
      <w:bookmarkStart w:id="349" w:name="_Toc184314416"/>
      <w:bookmarkEnd w:id="349"/>
      <w:bookmarkStart w:id="350" w:name="_Toc184314456"/>
      <w:bookmarkEnd w:id="350"/>
      <w:bookmarkStart w:id="351" w:name="_Toc184313302"/>
      <w:bookmarkEnd w:id="351"/>
      <w:bookmarkStart w:id="352" w:name="_Toc184310326"/>
      <w:bookmarkEnd w:id="352"/>
      <w:bookmarkStart w:id="353" w:name="_Toc184312090"/>
      <w:bookmarkEnd w:id="353"/>
      <w:bookmarkStart w:id="354" w:name="_Toc184308094"/>
      <w:bookmarkEnd w:id="354"/>
      <w:bookmarkStart w:id="355" w:name="_Toc184310343"/>
      <w:bookmarkEnd w:id="355"/>
      <w:bookmarkStart w:id="356" w:name="_Toc184308043"/>
      <w:bookmarkEnd w:id="356"/>
      <w:bookmarkStart w:id="357" w:name="_Toc184313245"/>
      <w:bookmarkEnd w:id="357"/>
      <w:bookmarkStart w:id="358" w:name="_Toc184314463"/>
      <w:bookmarkEnd w:id="358"/>
      <w:bookmarkStart w:id="359" w:name="_Toc184312071"/>
      <w:bookmarkEnd w:id="359"/>
      <w:bookmarkStart w:id="360" w:name="_Toc184310283"/>
      <w:bookmarkEnd w:id="360"/>
      <w:bookmarkStart w:id="361" w:name="_Toc184314448"/>
      <w:bookmarkEnd w:id="361"/>
      <w:bookmarkStart w:id="362" w:name="_Toc184308087"/>
      <w:bookmarkEnd w:id="362"/>
      <w:bookmarkStart w:id="363" w:name="_Toc184308095"/>
      <w:bookmarkEnd w:id="363"/>
      <w:bookmarkStart w:id="364" w:name="_Toc184312084"/>
      <w:bookmarkEnd w:id="364"/>
      <w:bookmarkStart w:id="365" w:name="_Toc184313301"/>
      <w:bookmarkEnd w:id="365"/>
      <w:bookmarkStart w:id="366" w:name="_Toc184312083"/>
      <w:bookmarkEnd w:id="366"/>
      <w:bookmarkStart w:id="367" w:name="_Toc184314464"/>
      <w:bookmarkEnd w:id="367"/>
      <w:bookmarkStart w:id="368" w:name="_Toc184310317"/>
      <w:bookmarkEnd w:id="368"/>
      <w:r>
        <w:rPr>
          <w:rFonts w:hint="eastAsia" w:ascii="宋体" w:hAnsi="宋体" w:eastAsia="宋体" w:cs="宋体"/>
          <w:color w:val="auto"/>
          <w:highlight w:val="none"/>
        </w:rPr>
        <w:t>评标办法</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商务技术分（</w:t>
      </w:r>
      <w:r>
        <w:rPr>
          <w:rFonts w:hint="eastAsia" w:ascii="宋体" w:hAnsi="宋体" w:eastAsia="宋体" w:cs="宋体"/>
          <w:b/>
          <w:color w:val="auto"/>
          <w:highlight w:val="none"/>
          <w:lang w:val="en-US" w:eastAsia="zh-CN"/>
        </w:rPr>
        <w:t>90</w:t>
      </w:r>
      <w:r>
        <w:rPr>
          <w:rFonts w:hint="eastAsia" w:ascii="宋体" w:hAnsi="宋体" w:eastAsia="宋体" w:cs="宋体"/>
          <w:b/>
          <w:color w:val="auto"/>
          <w:highlight w:val="none"/>
        </w:rPr>
        <w:t>分）</w:t>
      </w:r>
    </w:p>
    <w:tbl>
      <w:tblPr>
        <w:tblStyle w:val="2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02"/>
        <w:gridCol w:w="669"/>
        <w:gridCol w:w="5599"/>
        <w:gridCol w:w="73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ign w:val="center"/>
          </w:tcPr>
          <w:p>
            <w:pPr>
              <w:widowControl w:val="0"/>
              <w:spacing w:after="0"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w:t>
            </w:r>
          </w:p>
          <w:p>
            <w:pPr>
              <w:widowControl w:val="0"/>
              <w:spacing w:after="0"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因素</w:t>
            </w:r>
          </w:p>
        </w:tc>
        <w:tc>
          <w:tcPr>
            <w:tcW w:w="702" w:type="dxa"/>
            <w:noWrap/>
            <w:vAlign w:val="center"/>
          </w:tcPr>
          <w:p>
            <w:pPr>
              <w:widowControl w:val="0"/>
              <w:spacing w:after="0"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6268" w:type="dxa"/>
            <w:gridSpan w:val="2"/>
            <w:noWrap/>
            <w:vAlign w:val="center"/>
          </w:tcPr>
          <w:p>
            <w:pPr>
              <w:widowControl w:val="0"/>
              <w:spacing w:after="0"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评分内容和标准</w:t>
            </w:r>
          </w:p>
        </w:tc>
        <w:tc>
          <w:tcPr>
            <w:tcW w:w="733" w:type="dxa"/>
            <w:noWrap/>
            <w:vAlign w:val="center"/>
          </w:tcPr>
          <w:p>
            <w:pPr>
              <w:widowControl w:val="0"/>
              <w:spacing w:after="0"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1044" w:type="dxa"/>
            <w:noWrap/>
            <w:vAlign w:val="center"/>
          </w:tcPr>
          <w:p>
            <w:pPr>
              <w:widowControl w:val="0"/>
              <w:spacing w:after="0"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0" w:type="dxa"/>
            <w:vMerge w:val="restart"/>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商务资信部分（18分）</w:t>
            </w:r>
          </w:p>
        </w:tc>
        <w:tc>
          <w:tcPr>
            <w:tcW w:w="702"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268" w:type="dxa"/>
            <w:gridSpan w:val="2"/>
            <w:noWrap/>
          </w:tcPr>
          <w:p>
            <w:pPr>
              <w:pStyle w:val="79"/>
              <w:widowControl w:val="0"/>
              <w:spacing w:after="0" w:line="288"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投标单位具有ISO9001质量管理体系认证、ISO14001环境管理体系认证、ISO20000信息技术服务管理体系认证、ISO27001信息安全管理体系认证证书，每项得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分，不提供</w:t>
            </w:r>
            <w:r>
              <w:rPr>
                <w:rFonts w:hint="eastAsia" w:ascii="宋体" w:hAnsi="宋体" w:eastAsia="宋体" w:cs="宋体"/>
                <w:kern w:val="2"/>
                <w:sz w:val="21"/>
                <w:szCs w:val="21"/>
                <w:highlight w:val="none"/>
                <w:lang w:val="en-US" w:bidi="ar-SA"/>
              </w:rPr>
              <w:t>不得分</w:t>
            </w:r>
            <w:r>
              <w:rPr>
                <w:rFonts w:hint="eastAsia" w:ascii="宋体" w:hAnsi="宋体" w:eastAsia="宋体" w:cs="宋体"/>
                <w:sz w:val="21"/>
                <w:szCs w:val="21"/>
                <w:highlight w:val="none"/>
                <w:lang w:val="en-US"/>
              </w:rPr>
              <w:t>；（须提供以上有效期内的证书复印件并加盖</w:t>
            </w:r>
            <w:r>
              <w:rPr>
                <w:rFonts w:hint="eastAsia" w:ascii="宋体" w:hAnsi="宋体" w:eastAsia="宋体" w:cs="宋体"/>
                <w:sz w:val="21"/>
                <w:szCs w:val="21"/>
                <w:highlight w:val="none"/>
                <w:lang w:val="en-US" w:eastAsia="zh-CN"/>
              </w:rPr>
              <w:t>电子签章</w:t>
            </w:r>
            <w:r>
              <w:rPr>
                <w:rFonts w:hint="eastAsia" w:ascii="宋体" w:hAnsi="宋体" w:eastAsia="宋体" w:cs="宋体"/>
                <w:sz w:val="21"/>
                <w:szCs w:val="21"/>
                <w:highlight w:val="none"/>
                <w:lang w:val="en-US"/>
              </w:rPr>
              <w:t xml:space="preserve">，不提供不得分） </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268" w:type="dxa"/>
            <w:gridSpan w:val="2"/>
            <w:noWrap/>
          </w:tcPr>
          <w:p>
            <w:pPr>
              <w:pStyle w:val="79"/>
              <w:widowControl w:val="0"/>
              <w:spacing w:after="0" w:line="288" w:lineRule="auto"/>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bidi="ar-SA"/>
              </w:rPr>
              <w:t>投标单位具有ISO22301业务连续性管理体系认证证书，提供得2分</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en-US" w:bidi="ar-SA"/>
              </w:rPr>
              <w:t>不提供不得分；（须提供以上有效期内的证书复印件并加盖</w:t>
            </w:r>
            <w:r>
              <w:rPr>
                <w:rFonts w:hint="eastAsia" w:ascii="宋体" w:hAnsi="宋体" w:eastAsia="宋体" w:cs="宋体"/>
                <w:sz w:val="21"/>
                <w:szCs w:val="21"/>
                <w:highlight w:val="none"/>
                <w:lang w:val="en-US" w:eastAsia="zh-CN"/>
              </w:rPr>
              <w:t>电子签章</w:t>
            </w:r>
            <w:r>
              <w:rPr>
                <w:rFonts w:hint="eastAsia" w:ascii="宋体" w:hAnsi="宋体" w:eastAsia="宋体" w:cs="宋体"/>
                <w:kern w:val="2"/>
                <w:sz w:val="21"/>
                <w:szCs w:val="21"/>
                <w:highlight w:val="none"/>
                <w:lang w:val="en-US" w:bidi="ar-SA"/>
              </w:rPr>
              <w:t>，不提供不得分）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6268" w:type="dxa"/>
            <w:gridSpan w:val="2"/>
            <w:noWrap/>
          </w:tcPr>
          <w:p>
            <w:pPr>
              <w:pStyle w:val="79"/>
              <w:widowControl w:val="0"/>
              <w:spacing w:after="0" w:line="288" w:lineRule="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bidi="ar-SA"/>
              </w:rPr>
              <w:t>投标单位具有DSMM数据安全能力成熟度模型等级</w:t>
            </w:r>
            <w:r>
              <w:rPr>
                <w:rFonts w:hint="eastAsia" w:ascii="宋体" w:hAnsi="宋体" w:eastAsia="宋体" w:cs="宋体"/>
                <w:kern w:val="2"/>
                <w:sz w:val="21"/>
                <w:szCs w:val="21"/>
                <w:highlight w:val="none"/>
                <w:lang w:val="en-US" w:eastAsia="zh-CN" w:bidi="ar-SA"/>
              </w:rPr>
              <w:t>证书，</w:t>
            </w:r>
            <w:r>
              <w:rPr>
                <w:rFonts w:hint="eastAsia" w:ascii="宋体" w:hAnsi="宋体" w:eastAsia="宋体" w:cs="宋体"/>
                <w:kern w:val="2"/>
                <w:sz w:val="21"/>
                <w:szCs w:val="21"/>
                <w:highlight w:val="none"/>
                <w:lang w:val="en-US" w:bidi="ar-SA"/>
              </w:rPr>
              <w:t>三级及以上的得3分，三级以下得1分，不提供不得分；（须提供以上有效期内的证书复印件并加盖</w:t>
            </w:r>
            <w:r>
              <w:rPr>
                <w:rFonts w:hint="eastAsia" w:ascii="宋体" w:hAnsi="宋体" w:eastAsia="宋体" w:cs="宋体"/>
                <w:sz w:val="21"/>
                <w:szCs w:val="21"/>
                <w:highlight w:val="none"/>
                <w:lang w:val="en-US" w:eastAsia="zh-CN"/>
              </w:rPr>
              <w:t>电子签章</w:t>
            </w:r>
            <w:r>
              <w:rPr>
                <w:rFonts w:hint="eastAsia" w:ascii="宋体" w:hAnsi="宋体" w:eastAsia="宋体" w:cs="宋体"/>
                <w:kern w:val="2"/>
                <w:sz w:val="21"/>
                <w:szCs w:val="21"/>
                <w:highlight w:val="none"/>
                <w:lang w:val="en-US" w:bidi="ar-SA"/>
              </w:rPr>
              <w:t xml:space="preserve">，不提供不得分） </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6268" w:type="dxa"/>
            <w:gridSpan w:val="2"/>
            <w:noWrap/>
          </w:tcPr>
          <w:p>
            <w:pPr>
              <w:pStyle w:val="79"/>
              <w:widowControl w:val="0"/>
              <w:spacing w:after="0" w:line="288" w:lineRule="auto"/>
              <w:rPr>
                <w:rFonts w:hint="eastAsia" w:ascii="宋体" w:hAnsi="宋体" w:eastAsia="宋体" w:cs="宋体"/>
                <w:kern w:val="2"/>
                <w:sz w:val="21"/>
                <w:szCs w:val="21"/>
                <w:highlight w:val="none"/>
                <w:lang w:val="en-US" w:bidi="ar-SA"/>
              </w:rPr>
            </w:pPr>
            <w:r>
              <w:rPr>
                <w:rFonts w:hint="eastAsia" w:ascii="宋体" w:hAnsi="宋体" w:eastAsia="宋体" w:cs="宋体"/>
                <w:kern w:val="2"/>
                <w:sz w:val="21"/>
                <w:szCs w:val="21"/>
                <w:highlight w:val="none"/>
                <w:lang w:val="en-US" w:eastAsia="zh-CN" w:bidi="ar-SA"/>
              </w:rPr>
              <w:t>投标单位提供</w:t>
            </w:r>
            <w:r>
              <w:rPr>
                <w:rFonts w:hint="eastAsia" w:ascii="宋体" w:hAnsi="宋体" w:eastAsia="宋体" w:cs="宋体"/>
                <w:kern w:val="2"/>
                <w:sz w:val="21"/>
                <w:szCs w:val="21"/>
                <w:highlight w:val="none"/>
                <w:lang w:val="en-US" w:bidi="ar-SA"/>
              </w:rPr>
              <w:t>2020年1月1日至今（以合同签订日期或中标通知书发出之日为准）承担过相同或相类似项目业绩的。每提供一个得0.5分，最高得1分。（投标文件提供合同复印件或中标通知书，不提供不得分）；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6268" w:type="dxa"/>
            <w:gridSpan w:val="2"/>
            <w:noWrap/>
          </w:tcPr>
          <w:p>
            <w:pPr>
              <w:pStyle w:val="79"/>
              <w:widowControl w:val="0"/>
              <w:spacing w:after="0" w:line="288" w:lineRule="auto"/>
              <w:rPr>
                <w:rFonts w:hint="eastAsia" w:ascii="宋体" w:hAnsi="宋体" w:eastAsia="宋体" w:cs="宋体"/>
                <w:kern w:val="2"/>
                <w:sz w:val="21"/>
                <w:szCs w:val="21"/>
                <w:highlight w:val="none"/>
                <w:lang w:val="en-US" w:bidi="ar-SA"/>
              </w:rPr>
            </w:pPr>
            <w:r>
              <w:rPr>
                <w:rFonts w:hint="eastAsia" w:ascii="宋体" w:hAnsi="宋体" w:eastAsia="宋体" w:cs="宋体"/>
                <w:kern w:val="2"/>
                <w:sz w:val="21"/>
                <w:szCs w:val="21"/>
                <w:highlight w:val="none"/>
                <w:lang w:val="en-US" w:bidi="ar-SA"/>
              </w:rPr>
              <w:t>投标单位具有智慧城市、未来社区、大数据、物联网4个类别软件著作权或专利，每提供一个以上类别的证明材料并加盖公章得1分，同一类别最多得1分，最高得4分。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restart"/>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技术服务（72分）</w:t>
            </w:r>
          </w:p>
        </w:tc>
        <w:tc>
          <w:tcPr>
            <w:tcW w:w="702"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69" w:type="dxa"/>
            <w:vMerge w:val="restart"/>
            <w:noWrap/>
            <w:vAlign w:val="center"/>
          </w:tcPr>
          <w:p>
            <w:pPr>
              <w:pStyle w:val="79"/>
              <w:widowControl w:val="0"/>
              <w:spacing w:after="0" w:line="288" w:lineRule="auto"/>
              <w:jc w:val="center"/>
              <w:rPr>
                <w:rFonts w:hint="eastAsia" w:ascii="宋体" w:hAnsi="宋体" w:eastAsia="宋体" w:cs="宋体"/>
                <w:kern w:val="2"/>
                <w:sz w:val="21"/>
                <w:szCs w:val="21"/>
                <w:highlight w:val="none"/>
                <w:lang w:val="en-US" w:bidi="ar-SA"/>
              </w:rPr>
            </w:pPr>
            <w:r>
              <w:rPr>
                <w:rFonts w:hint="eastAsia" w:ascii="宋体" w:hAnsi="宋体" w:eastAsia="宋体" w:cs="宋体"/>
                <w:sz w:val="21"/>
                <w:szCs w:val="21"/>
                <w:highlight w:val="none"/>
                <w:lang w:val="en-US"/>
              </w:rPr>
              <w:t>投标方案</w:t>
            </w:r>
          </w:p>
        </w:tc>
        <w:tc>
          <w:tcPr>
            <w:tcW w:w="5599" w:type="dxa"/>
            <w:noWrap/>
          </w:tcPr>
          <w:p>
            <w:pPr>
              <w:pStyle w:val="79"/>
              <w:widowControl w:val="0"/>
              <w:spacing w:after="0" w:line="288" w:lineRule="auto"/>
              <w:rPr>
                <w:rFonts w:hint="eastAsia" w:ascii="宋体" w:hAnsi="宋体" w:eastAsia="宋体" w:cs="宋体"/>
                <w:kern w:val="2"/>
                <w:sz w:val="21"/>
                <w:szCs w:val="21"/>
                <w:highlight w:val="none"/>
                <w:lang w:val="en-US" w:bidi="ar-SA"/>
              </w:rPr>
            </w:pPr>
            <w:r>
              <w:rPr>
                <w:rFonts w:hint="eastAsia" w:ascii="宋体" w:hAnsi="宋体" w:eastAsia="宋体" w:cs="宋体"/>
                <w:kern w:val="2"/>
                <w:sz w:val="21"/>
                <w:szCs w:val="21"/>
                <w:highlight w:val="none"/>
                <w:lang w:val="en-US" w:bidi="ar-SA"/>
              </w:rPr>
              <w:t>对本项目</w:t>
            </w:r>
            <w:r>
              <w:rPr>
                <w:rFonts w:hint="eastAsia" w:ascii="宋体" w:hAnsi="宋体" w:eastAsia="宋体" w:cs="宋体"/>
                <w:kern w:val="2"/>
                <w:sz w:val="21"/>
                <w:szCs w:val="21"/>
                <w:highlight w:val="none"/>
                <w:lang w:val="en-US" w:eastAsia="zh-CN" w:bidi="ar-SA"/>
              </w:rPr>
              <w:t>有</w:t>
            </w:r>
            <w:r>
              <w:rPr>
                <w:rFonts w:hint="eastAsia" w:ascii="宋体" w:hAnsi="宋体" w:eastAsia="宋体" w:cs="宋体"/>
                <w:kern w:val="2"/>
                <w:sz w:val="21"/>
                <w:szCs w:val="21"/>
                <w:highlight w:val="none"/>
                <w:lang w:val="en-US" w:bidi="ar-SA"/>
              </w:rPr>
              <w:t>充分的理解</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en-US" w:bidi="ar-SA"/>
              </w:rPr>
              <w:t>包括但不限于项目的建设目标、建设原则、建设要求、建设内容</w:t>
            </w:r>
            <w:r>
              <w:rPr>
                <w:rFonts w:hint="eastAsia" w:ascii="宋体" w:hAnsi="宋体" w:eastAsia="宋体" w:cs="宋体"/>
                <w:kern w:val="2"/>
                <w:sz w:val="21"/>
                <w:szCs w:val="21"/>
                <w:highlight w:val="none"/>
                <w:lang w:val="en-US" w:eastAsia="zh-CN" w:bidi="ar-SA"/>
              </w:rPr>
              <w:t>、建设思路</w:t>
            </w:r>
            <w:r>
              <w:rPr>
                <w:rFonts w:hint="eastAsia" w:ascii="宋体" w:hAnsi="宋体" w:eastAsia="宋体" w:cs="宋体"/>
                <w:kern w:val="2"/>
                <w:sz w:val="21"/>
                <w:szCs w:val="21"/>
                <w:highlight w:val="none"/>
                <w:lang w:val="en-US" w:bidi="ar-SA"/>
              </w:rPr>
              <w:t>等方面，整体理解</w:t>
            </w:r>
            <w:r>
              <w:rPr>
                <w:rFonts w:hint="eastAsia" w:ascii="宋体" w:hAnsi="宋体" w:eastAsia="宋体" w:cs="宋体"/>
                <w:kern w:val="2"/>
                <w:sz w:val="21"/>
                <w:szCs w:val="21"/>
                <w:highlight w:val="none"/>
              </w:rPr>
              <w:t>描述科学、完整、先进得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科学完整</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先进</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val="en-US" w:eastAsia="zh-CN"/>
              </w:rPr>
              <w:t>不提供或</w:t>
            </w:r>
            <w:r>
              <w:rPr>
                <w:rFonts w:hint="eastAsia" w:ascii="宋体" w:hAnsi="宋体" w:eastAsia="宋体" w:cs="宋体"/>
                <w:kern w:val="2"/>
                <w:sz w:val="21"/>
                <w:szCs w:val="21"/>
                <w:highlight w:val="none"/>
              </w:rPr>
              <w:t>存在明显缺陷的得0分。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针对本项目的现状及需求进行分析，</w:t>
            </w:r>
            <w:r>
              <w:rPr>
                <w:rFonts w:hint="eastAsia" w:ascii="宋体" w:hAnsi="宋体" w:eastAsia="宋体" w:cs="宋体"/>
                <w:kern w:val="2"/>
                <w:sz w:val="21"/>
                <w:szCs w:val="21"/>
                <w:highlight w:val="none"/>
              </w:rPr>
              <w:t>包括但不限于方案的</w:t>
            </w:r>
            <w:r>
              <w:rPr>
                <w:rFonts w:hint="eastAsia" w:ascii="宋体" w:hAnsi="宋体" w:eastAsia="宋体" w:cs="宋体"/>
                <w:kern w:val="2"/>
                <w:sz w:val="21"/>
                <w:szCs w:val="21"/>
                <w:highlight w:val="none"/>
                <w:lang w:val="en-US" w:eastAsia="zh-CN"/>
              </w:rPr>
              <w:t>总体</w:t>
            </w:r>
            <w:r>
              <w:rPr>
                <w:rFonts w:hint="eastAsia" w:ascii="宋体" w:hAnsi="宋体" w:eastAsia="宋体" w:cs="宋体"/>
                <w:kern w:val="2"/>
                <w:sz w:val="21"/>
                <w:szCs w:val="21"/>
                <w:highlight w:val="none"/>
              </w:rPr>
              <w:t>需求分析</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性能需求分析等</w:t>
            </w:r>
            <w:r>
              <w:rPr>
                <w:rFonts w:hint="eastAsia" w:ascii="宋体" w:hAnsi="宋体" w:eastAsia="宋体" w:cs="宋体"/>
                <w:kern w:val="2"/>
                <w:sz w:val="21"/>
                <w:szCs w:val="21"/>
                <w:highlight w:val="none"/>
              </w:rPr>
              <w:t>，描述清晰、全面、符合、科学得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清晰全面</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科学</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部分</w:t>
            </w:r>
            <w:r>
              <w:rPr>
                <w:rFonts w:hint="eastAsia" w:ascii="宋体" w:hAnsi="宋体" w:eastAsia="宋体" w:cs="宋体"/>
                <w:kern w:val="2"/>
                <w:sz w:val="21"/>
                <w:szCs w:val="21"/>
                <w:highlight w:val="none"/>
              </w:rPr>
              <w:t>符合得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4</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提供本项目的总体设计方案，包括但不限于系统架构、应用架构、技术架构、关键技术分析、</w:t>
            </w:r>
            <w:r>
              <w:rPr>
                <w:rFonts w:hint="eastAsia" w:ascii="宋体" w:hAnsi="宋体" w:eastAsia="宋体" w:cs="宋体"/>
                <w:kern w:val="2"/>
                <w:sz w:val="21"/>
                <w:szCs w:val="21"/>
                <w:highlight w:val="none"/>
              </w:rPr>
              <w:t>系统功能模块</w:t>
            </w:r>
            <w:r>
              <w:rPr>
                <w:rFonts w:hint="eastAsia" w:ascii="宋体" w:hAnsi="宋体" w:eastAsia="宋体" w:cs="宋体"/>
                <w:kern w:val="2"/>
                <w:sz w:val="21"/>
                <w:szCs w:val="21"/>
                <w:highlight w:val="none"/>
                <w:lang w:val="en-US" w:eastAsia="zh-CN"/>
              </w:rPr>
              <w:t>设计等</w:t>
            </w:r>
            <w:r>
              <w:rPr>
                <w:rFonts w:hint="eastAsia" w:ascii="宋体" w:hAnsi="宋体" w:eastAsia="宋体" w:cs="宋体"/>
                <w:kern w:val="2"/>
                <w:sz w:val="21"/>
                <w:szCs w:val="21"/>
                <w:highlight w:val="none"/>
              </w:rPr>
              <w:t>，描述清晰、全面、科学</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合理</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清晰全面</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科学</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合理</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提供本项目的系统部署方案，包括但不限于网络架构设计、数据分析与预测、云资源需求设计等</w:t>
            </w:r>
            <w:r>
              <w:rPr>
                <w:rFonts w:hint="eastAsia" w:ascii="宋体" w:hAnsi="宋体" w:eastAsia="宋体" w:cs="宋体"/>
                <w:kern w:val="2"/>
                <w:sz w:val="21"/>
                <w:szCs w:val="21"/>
                <w:highlight w:val="none"/>
              </w:rPr>
              <w:t>，描述清晰、全面、科学</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合理</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清晰全面</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科学</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合理</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分，不提供或存在明显缺陷的得0分</w:t>
            </w:r>
            <w:r>
              <w:rPr>
                <w:rFonts w:hint="eastAsia" w:ascii="宋体" w:hAnsi="宋体" w:eastAsia="宋体" w:cs="宋体"/>
                <w:kern w:val="2"/>
                <w:sz w:val="21"/>
                <w:szCs w:val="21"/>
                <w:highlight w:val="none"/>
                <w:lang w:eastAsia="zh-CN"/>
              </w:rPr>
              <w:t>。</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根据</w:t>
            </w:r>
            <w:r>
              <w:rPr>
                <w:rFonts w:hint="eastAsia" w:ascii="宋体" w:hAnsi="宋体" w:eastAsia="宋体" w:cs="宋体"/>
                <w:kern w:val="2"/>
                <w:sz w:val="21"/>
                <w:szCs w:val="21"/>
                <w:highlight w:val="none"/>
                <w:lang w:val="en-US" w:eastAsia="zh-CN"/>
              </w:rPr>
              <w:t>项目</w:t>
            </w:r>
            <w:r>
              <w:rPr>
                <w:rFonts w:hint="eastAsia" w:ascii="宋体" w:hAnsi="宋体" w:eastAsia="宋体" w:cs="宋体"/>
                <w:kern w:val="2"/>
                <w:sz w:val="21"/>
                <w:szCs w:val="21"/>
                <w:highlight w:val="none"/>
              </w:rPr>
              <w:t>采购</w:t>
            </w:r>
            <w:r>
              <w:rPr>
                <w:rFonts w:hint="eastAsia" w:ascii="宋体" w:hAnsi="宋体" w:eastAsia="宋体" w:cs="宋体"/>
                <w:kern w:val="2"/>
                <w:sz w:val="21"/>
                <w:szCs w:val="21"/>
                <w:highlight w:val="none"/>
                <w:lang w:val="en-US" w:eastAsia="zh-CN"/>
              </w:rPr>
              <w:t>需求</w:t>
            </w:r>
            <w:r>
              <w:rPr>
                <w:rFonts w:hint="eastAsia" w:ascii="宋体" w:hAnsi="宋体" w:eastAsia="宋体" w:cs="宋体"/>
                <w:kern w:val="2"/>
                <w:sz w:val="21"/>
                <w:szCs w:val="21"/>
                <w:highlight w:val="none"/>
              </w:rPr>
              <w:t>提供相应</w:t>
            </w:r>
            <w:r>
              <w:rPr>
                <w:rFonts w:hint="eastAsia" w:ascii="宋体" w:hAnsi="宋体" w:eastAsia="宋体" w:cs="宋体"/>
                <w:kern w:val="2"/>
                <w:sz w:val="21"/>
                <w:szCs w:val="21"/>
                <w:highlight w:val="none"/>
                <w:lang w:val="en-US" w:eastAsia="zh-CN"/>
              </w:rPr>
              <w:t>详细</w:t>
            </w:r>
            <w:r>
              <w:rPr>
                <w:rFonts w:hint="eastAsia" w:ascii="宋体" w:hAnsi="宋体" w:eastAsia="宋体" w:cs="宋体"/>
                <w:kern w:val="2"/>
                <w:sz w:val="21"/>
                <w:szCs w:val="21"/>
                <w:highlight w:val="none"/>
              </w:rPr>
              <w:t>设计</w:t>
            </w:r>
            <w:r>
              <w:rPr>
                <w:rFonts w:hint="eastAsia" w:ascii="宋体" w:hAnsi="宋体" w:eastAsia="宋体" w:cs="宋体"/>
                <w:kern w:val="2"/>
                <w:sz w:val="21"/>
                <w:szCs w:val="21"/>
                <w:highlight w:val="none"/>
                <w:lang w:val="en-US" w:eastAsia="zh-CN"/>
              </w:rPr>
              <w:t>方案</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包括数字底座设计、交互端设计、场景应用设计等，</w:t>
            </w:r>
            <w:r>
              <w:rPr>
                <w:rFonts w:hint="eastAsia" w:ascii="宋体" w:hAnsi="宋体" w:eastAsia="宋体" w:cs="宋体"/>
                <w:kern w:val="2"/>
                <w:sz w:val="21"/>
                <w:szCs w:val="21"/>
                <w:highlight w:val="none"/>
              </w:rPr>
              <w:t>描述清晰、全面、科学</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合理</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分，清晰</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全面</w:t>
            </w:r>
            <w:r>
              <w:rPr>
                <w:rFonts w:hint="eastAsia" w:ascii="宋体" w:hAnsi="宋体" w:eastAsia="宋体" w:cs="宋体"/>
                <w:kern w:val="2"/>
                <w:sz w:val="21"/>
                <w:szCs w:val="21"/>
                <w:highlight w:val="none"/>
              </w:rPr>
              <w:t>、科学</w:t>
            </w:r>
            <w:r>
              <w:rPr>
                <w:rFonts w:hint="eastAsia" w:ascii="宋体" w:hAnsi="宋体" w:eastAsia="宋体" w:cs="宋体"/>
                <w:kern w:val="2"/>
                <w:sz w:val="21"/>
                <w:szCs w:val="21"/>
                <w:highlight w:val="none"/>
                <w:lang w:val="en-US" w:eastAsia="zh-CN"/>
              </w:rPr>
              <w:t>性一般</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合理一般得4分，</w:t>
            </w:r>
            <w:r>
              <w:rPr>
                <w:rFonts w:hint="eastAsia" w:ascii="宋体" w:hAnsi="宋体" w:eastAsia="宋体" w:cs="宋体"/>
                <w:kern w:val="2"/>
                <w:sz w:val="21"/>
                <w:szCs w:val="21"/>
                <w:highlight w:val="none"/>
              </w:rPr>
              <w:t>清晰</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全面、科学</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不合理</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分，不提供或存在明显缺陷的得0分</w:t>
            </w:r>
            <w:r>
              <w:rPr>
                <w:rFonts w:hint="eastAsia" w:ascii="宋体" w:hAnsi="宋体" w:eastAsia="宋体" w:cs="宋体"/>
                <w:kern w:val="2"/>
                <w:sz w:val="21"/>
                <w:szCs w:val="21"/>
                <w:highlight w:val="none"/>
                <w:lang w:eastAsia="zh-CN"/>
              </w:rPr>
              <w:t>。</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6</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投标单位对物联引擎的设计方案具备物联网感知能力，通过简单的配置对接，即可完成智能设备的数据采集上报</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采集数据趋势分析能力。描述全面、符合得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分，全面、符合</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0.5</w:t>
            </w:r>
            <w:r>
              <w:rPr>
                <w:rFonts w:hint="eastAsia" w:ascii="宋体" w:hAnsi="宋体" w:eastAsia="宋体" w:cs="宋体"/>
                <w:kern w:val="2"/>
                <w:sz w:val="21"/>
                <w:szCs w:val="21"/>
                <w:highlight w:val="none"/>
              </w:rPr>
              <w:t>分，不提供存在明显缺陷的得0分。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投标单位对物联引擎的设计方案具备设备管控能力，</w:t>
            </w:r>
            <w:r>
              <w:rPr>
                <w:rFonts w:hint="eastAsia" w:ascii="宋体" w:hAnsi="宋体" w:eastAsia="宋体" w:cs="宋体"/>
                <w:kern w:val="2"/>
                <w:sz w:val="21"/>
                <w:szCs w:val="21"/>
                <w:highlight w:val="none"/>
                <w:lang w:val="en-US" w:eastAsia="zh-CN"/>
              </w:rPr>
              <w:t>具备</w:t>
            </w:r>
            <w:r>
              <w:rPr>
                <w:rFonts w:hint="eastAsia" w:ascii="宋体" w:hAnsi="宋体" w:eastAsia="宋体" w:cs="宋体"/>
                <w:kern w:val="2"/>
                <w:sz w:val="21"/>
                <w:szCs w:val="21"/>
                <w:highlight w:val="none"/>
              </w:rPr>
              <w:t>管理各厂商接入的设备数量，设备配额申请和审核</w:t>
            </w:r>
            <w:r>
              <w:rPr>
                <w:rFonts w:hint="eastAsia" w:ascii="宋体" w:hAnsi="宋体" w:eastAsia="宋体" w:cs="宋体"/>
                <w:kern w:val="2"/>
                <w:sz w:val="21"/>
                <w:szCs w:val="21"/>
                <w:highlight w:val="none"/>
                <w:lang w:val="en-US" w:eastAsia="zh-CN"/>
              </w:rPr>
              <w:t>功能</w:t>
            </w:r>
            <w:r>
              <w:rPr>
                <w:rFonts w:hint="eastAsia" w:ascii="宋体" w:hAnsi="宋体" w:eastAsia="宋体" w:cs="宋体"/>
                <w:kern w:val="2"/>
                <w:sz w:val="21"/>
                <w:szCs w:val="21"/>
                <w:highlight w:val="none"/>
              </w:rPr>
              <w:t>。支持对社区智能化设备的认证、接入、调试、控制的全生命周期管理。描述全面、符合得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分，全面、符合</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0.5</w:t>
            </w:r>
            <w:r>
              <w:rPr>
                <w:rFonts w:hint="eastAsia" w:ascii="宋体" w:hAnsi="宋体" w:eastAsia="宋体" w:cs="宋体"/>
                <w:kern w:val="2"/>
                <w:sz w:val="21"/>
                <w:szCs w:val="21"/>
                <w:highlight w:val="none"/>
              </w:rPr>
              <w:t>分，不提供存在明显缺陷的得0分。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投标单位对物联引擎的设计方案具备物联网运营能力，可以对设备标注多种场景特征的标签，提供感知设备与业务应用系统的通信能力，包括服务端订阅、数据转发、场景联动、告警推送等。描述全面、符合得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分，全面、符合</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0.5</w:t>
            </w:r>
            <w:r>
              <w:rPr>
                <w:rFonts w:hint="eastAsia" w:ascii="宋体" w:hAnsi="宋体" w:eastAsia="宋体" w:cs="宋体"/>
                <w:kern w:val="2"/>
                <w:sz w:val="21"/>
                <w:szCs w:val="21"/>
                <w:highlight w:val="none"/>
              </w:rPr>
              <w:t>分，不提供存在明显缺陷的得0分。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提供</w:t>
            </w:r>
            <w:r>
              <w:rPr>
                <w:rFonts w:hint="eastAsia" w:ascii="宋体" w:hAnsi="宋体" w:eastAsia="宋体" w:cs="宋体"/>
                <w:kern w:val="2"/>
                <w:sz w:val="21"/>
                <w:szCs w:val="21"/>
                <w:highlight w:val="none"/>
                <w:lang w:val="en-US" w:eastAsia="zh-CN"/>
              </w:rPr>
              <w:t>系统</w:t>
            </w:r>
            <w:r>
              <w:rPr>
                <w:rFonts w:hint="eastAsia" w:ascii="宋体" w:hAnsi="宋体" w:eastAsia="宋体" w:cs="宋体"/>
                <w:kern w:val="2"/>
                <w:sz w:val="21"/>
                <w:szCs w:val="21"/>
                <w:highlight w:val="none"/>
              </w:rPr>
              <w:t>与红领通平台对接</w:t>
            </w:r>
            <w:r>
              <w:rPr>
                <w:rFonts w:hint="eastAsia" w:ascii="宋体" w:hAnsi="宋体" w:eastAsia="宋体" w:cs="宋体"/>
                <w:kern w:val="2"/>
                <w:sz w:val="21"/>
                <w:szCs w:val="21"/>
                <w:highlight w:val="none"/>
                <w:lang w:val="en-US" w:eastAsia="zh-CN"/>
              </w:rPr>
              <w:t>设计</w:t>
            </w:r>
            <w:r>
              <w:rPr>
                <w:rFonts w:hint="eastAsia" w:ascii="宋体" w:hAnsi="宋体" w:eastAsia="宋体" w:cs="宋体"/>
                <w:kern w:val="2"/>
                <w:sz w:val="21"/>
                <w:szCs w:val="21"/>
                <w:highlight w:val="none"/>
              </w:rPr>
              <w:t>方案，包括对接系统现状、对接目标和对接方法等，整体描述科学、完整、可行得</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分，科学</w:t>
            </w:r>
            <w:r>
              <w:rPr>
                <w:rFonts w:hint="eastAsia" w:ascii="宋体" w:hAnsi="宋体" w:eastAsia="宋体" w:cs="宋体"/>
                <w:kern w:val="2"/>
                <w:sz w:val="21"/>
                <w:szCs w:val="21"/>
                <w:highlight w:val="none"/>
                <w:lang w:val="en-US" w:eastAsia="zh-CN"/>
              </w:rPr>
              <w:t>性较差、不</w:t>
            </w:r>
            <w:r>
              <w:rPr>
                <w:rFonts w:hint="eastAsia" w:ascii="宋体" w:hAnsi="宋体" w:eastAsia="宋体" w:cs="宋体"/>
                <w:kern w:val="2"/>
                <w:sz w:val="21"/>
                <w:szCs w:val="21"/>
                <w:highlight w:val="none"/>
              </w:rPr>
              <w:t>完整</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可行</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提供</w:t>
            </w:r>
            <w:r>
              <w:rPr>
                <w:rFonts w:hint="eastAsia" w:ascii="宋体" w:hAnsi="宋体" w:eastAsia="宋体" w:cs="宋体"/>
                <w:kern w:val="2"/>
                <w:sz w:val="21"/>
                <w:szCs w:val="21"/>
                <w:highlight w:val="none"/>
                <w:lang w:val="en-US" w:eastAsia="zh-CN"/>
              </w:rPr>
              <w:t>系统与</w:t>
            </w:r>
            <w:r>
              <w:rPr>
                <w:rFonts w:hint="eastAsia" w:ascii="宋体" w:hAnsi="宋体" w:eastAsia="宋体" w:cs="宋体"/>
                <w:kern w:val="2"/>
                <w:sz w:val="21"/>
                <w:szCs w:val="21"/>
                <w:highlight w:val="none"/>
              </w:rPr>
              <w:t>时空一张图（全量信息视图）对接</w:t>
            </w:r>
            <w:r>
              <w:rPr>
                <w:rFonts w:hint="eastAsia" w:ascii="宋体" w:hAnsi="宋体" w:eastAsia="宋体" w:cs="宋体"/>
                <w:kern w:val="2"/>
                <w:sz w:val="21"/>
                <w:szCs w:val="21"/>
                <w:highlight w:val="none"/>
                <w:lang w:val="en-US" w:eastAsia="zh-CN"/>
              </w:rPr>
              <w:t>设计</w:t>
            </w:r>
            <w:r>
              <w:rPr>
                <w:rFonts w:hint="eastAsia" w:ascii="宋体" w:hAnsi="宋体" w:eastAsia="宋体" w:cs="宋体"/>
                <w:kern w:val="2"/>
                <w:sz w:val="21"/>
                <w:szCs w:val="21"/>
                <w:highlight w:val="none"/>
              </w:rPr>
              <w:t>方案，包括对接系统现状、对接目标和对接方法等，整体描述科学、完整、可行得</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分，科学</w:t>
            </w:r>
            <w:r>
              <w:rPr>
                <w:rFonts w:hint="eastAsia" w:ascii="宋体" w:hAnsi="宋体" w:eastAsia="宋体" w:cs="宋体"/>
                <w:kern w:val="2"/>
                <w:sz w:val="21"/>
                <w:szCs w:val="21"/>
                <w:highlight w:val="none"/>
                <w:lang w:val="en-US" w:eastAsia="zh-CN"/>
              </w:rPr>
              <w:t>性较差、不</w:t>
            </w:r>
            <w:r>
              <w:rPr>
                <w:rFonts w:hint="eastAsia" w:ascii="宋体" w:hAnsi="宋体" w:eastAsia="宋体" w:cs="宋体"/>
                <w:kern w:val="2"/>
                <w:sz w:val="21"/>
                <w:szCs w:val="21"/>
                <w:highlight w:val="none"/>
              </w:rPr>
              <w:t>完整</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可行</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669" w:type="dxa"/>
            <w:vMerge w:val="continue"/>
            <w:noWrap/>
          </w:tcPr>
          <w:p>
            <w:pPr>
              <w:pStyle w:val="79"/>
              <w:widowControl w:val="0"/>
              <w:spacing w:after="0" w:line="288" w:lineRule="auto"/>
              <w:rPr>
                <w:rFonts w:hint="eastAsia" w:ascii="宋体" w:hAnsi="宋体" w:eastAsia="宋体" w:cs="宋体"/>
                <w:kern w:val="2"/>
                <w:sz w:val="21"/>
                <w:szCs w:val="21"/>
                <w:highlight w:val="none"/>
                <w:lang w:val="en-US" w:bidi="ar-SA"/>
              </w:rPr>
            </w:pPr>
          </w:p>
        </w:tc>
        <w:tc>
          <w:tcPr>
            <w:tcW w:w="5599" w:type="dxa"/>
            <w:noWrap/>
          </w:tcPr>
          <w:p>
            <w:pPr>
              <w:widowControl w:val="0"/>
              <w:spacing w:after="0" w:line="288" w:lineRule="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结合萧山区未来社区现有建设情况，提供单点社区接入区级平台的应对措施及接入方案，包括物联设备接入、人房数据贯通、社区特色接入、运营数据接入等方案，</w:t>
            </w:r>
            <w:r>
              <w:rPr>
                <w:rFonts w:hint="eastAsia" w:ascii="宋体" w:hAnsi="宋体" w:eastAsia="宋体" w:cs="宋体"/>
                <w:kern w:val="2"/>
                <w:sz w:val="21"/>
                <w:szCs w:val="21"/>
                <w:highlight w:val="none"/>
              </w:rPr>
              <w:t>整体描述科学、完整、可行得</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分，科学完整、可行</w:t>
            </w:r>
            <w:r>
              <w:rPr>
                <w:rFonts w:hint="eastAsia" w:ascii="宋体" w:hAnsi="宋体" w:eastAsia="宋体" w:cs="宋体"/>
                <w:kern w:val="2"/>
                <w:sz w:val="21"/>
                <w:szCs w:val="21"/>
                <w:highlight w:val="none"/>
                <w:lang w:val="en-US" w:eastAsia="zh-CN"/>
              </w:rPr>
              <w:t>性一般得3分，</w:t>
            </w:r>
            <w:r>
              <w:rPr>
                <w:rFonts w:hint="eastAsia" w:ascii="宋体" w:hAnsi="宋体" w:eastAsia="宋体" w:cs="宋体"/>
                <w:kern w:val="2"/>
                <w:sz w:val="21"/>
                <w:szCs w:val="21"/>
                <w:highlight w:val="none"/>
              </w:rPr>
              <w:t>完整、科学</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可行</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669"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组织实施方案</w:t>
            </w: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投标人针对本项目组织部署、项目管理方案、项目进度管理、项目质量管理、试运行及验收方案等，整体描述科学、合理、可操作得</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分，科学、合理、可操作</w:t>
            </w:r>
            <w:r>
              <w:rPr>
                <w:rFonts w:hint="eastAsia" w:ascii="宋体" w:hAnsi="宋体" w:eastAsia="宋体" w:cs="宋体"/>
                <w:kern w:val="2"/>
                <w:sz w:val="21"/>
                <w:szCs w:val="21"/>
                <w:highlight w:val="none"/>
                <w:lang w:val="en-US" w:eastAsia="zh-CN"/>
              </w:rPr>
              <w:t>一般得3分，</w:t>
            </w:r>
            <w:r>
              <w:rPr>
                <w:rFonts w:hint="eastAsia" w:ascii="宋体" w:hAnsi="宋体" w:eastAsia="宋体" w:cs="宋体"/>
                <w:kern w:val="2"/>
                <w:sz w:val="21"/>
                <w:szCs w:val="21"/>
                <w:highlight w:val="none"/>
              </w:rPr>
              <w:t>科学</w:t>
            </w:r>
            <w:r>
              <w:rPr>
                <w:rFonts w:hint="eastAsia" w:ascii="宋体" w:hAnsi="宋体" w:eastAsia="宋体" w:cs="宋体"/>
                <w:kern w:val="2"/>
                <w:sz w:val="21"/>
                <w:szCs w:val="21"/>
                <w:highlight w:val="none"/>
                <w:lang w:val="en-US" w:eastAsia="zh-CN"/>
              </w:rPr>
              <w:t>性较差</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合理、可操作</w:t>
            </w:r>
            <w:r>
              <w:rPr>
                <w:rFonts w:hint="eastAsia" w:ascii="宋体" w:hAnsi="宋体" w:eastAsia="宋体" w:cs="宋体"/>
                <w:kern w:val="2"/>
                <w:sz w:val="21"/>
                <w:szCs w:val="21"/>
                <w:highlight w:val="none"/>
                <w:lang w:val="en-US" w:eastAsia="zh-CN"/>
              </w:rPr>
              <w:t>较差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5</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669"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运营服务</w:t>
            </w: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投标人提供1名驻场应用超市运营服务人员，负责萧山区应用超市的日常应用上架审核、应用上架技术支持、应用配置下发等相关运营应用服务中心运营工作，运营服务方案整体描述详细、合理、可行性强得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分，详细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合理、可行性</w:t>
            </w:r>
            <w:r>
              <w:rPr>
                <w:rFonts w:hint="eastAsia" w:ascii="宋体" w:hAnsi="宋体" w:eastAsia="宋体" w:cs="宋体"/>
                <w:kern w:val="2"/>
                <w:sz w:val="21"/>
                <w:szCs w:val="21"/>
                <w:highlight w:val="none"/>
                <w:lang w:val="en-US" w:eastAsia="zh-CN"/>
              </w:rPr>
              <w:t>差</w:t>
            </w:r>
            <w:r>
              <w:rPr>
                <w:rFonts w:hint="eastAsia" w:ascii="宋体" w:hAnsi="宋体" w:eastAsia="宋体" w:cs="宋体"/>
                <w:kern w:val="2"/>
                <w:sz w:val="21"/>
                <w:szCs w:val="21"/>
                <w:highlight w:val="none"/>
              </w:rPr>
              <w:t>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4</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669" w:type="dxa"/>
            <w:vMerge w:val="restart"/>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sz w:val="21"/>
                <w:szCs w:val="21"/>
                <w:highlight w:val="none"/>
              </w:rPr>
              <w:t>项目实施能力</w:t>
            </w:r>
          </w:p>
        </w:tc>
        <w:tc>
          <w:tcPr>
            <w:tcW w:w="5599" w:type="dxa"/>
            <w:noWrap/>
          </w:tcPr>
          <w:p>
            <w:pPr>
              <w:pStyle w:val="79"/>
              <w:widowControl w:val="0"/>
              <w:spacing w:after="0" w:line="288" w:lineRule="auto"/>
              <w:rPr>
                <w:rFonts w:hint="eastAsia" w:ascii="宋体" w:hAnsi="宋体" w:eastAsia="宋体" w:cs="宋体"/>
                <w:kern w:val="2"/>
                <w:sz w:val="21"/>
                <w:szCs w:val="21"/>
                <w:highlight w:val="none"/>
                <w:lang w:val="en-US" w:bidi="ar-SA"/>
              </w:rPr>
            </w:pPr>
            <w:r>
              <w:rPr>
                <w:rFonts w:hint="eastAsia" w:ascii="宋体" w:hAnsi="宋体" w:eastAsia="宋体" w:cs="宋体"/>
                <w:kern w:val="2"/>
                <w:sz w:val="21"/>
                <w:szCs w:val="21"/>
                <w:highlight w:val="none"/>
                <w:lang w:val="en-US" w:bidi="ar-SA"/>
              </w:rPr>
              <w:t>本次项目拟派项目</w:t>
            </w:r>
            <w:r>
              <w:rPr>
                <w:rFonts w:hint="eastAsia" w:ascii="宋体" w:hAnsi="宋体" w:eastAsia="宋体" w:cs="宋体"/>
                <w:kern w:val="2"/>
                <w:sz w:val="21"/>
                <w:szCs w:val="21"/>
                <w:highlight w:val="none"/>
                <w:lang w:val="en-US" w:eastAsia="zh-CN" w:bidi="ar-SA"/>
              </w:rPr>
              <w:t>经理</w:t>
            </w:r>
            <w:r>
              <w:rPr>
                <w:rFonts w:hint="eastAsia" w:ascii="宋体" w:hAnsi="宋体" w:eastAsia="宋体" w:cs="宋体"/>
                <w:kern w:val="2"/>
                <w:sz w:val="21"/>
                <w:szCs w:val="21"/>
                <w:highlight w:val="none"/>
                <w:lang w:val="en-US" w:bidi="ar-SA"/>
              </w:rPr>
              <w:t>具备系统集成项目管理工程师、高级工程师、</w:t>
            </w:r>
            <w:r>
              <w:rPr>
                <w:rFonts w:hint="eastAsia" w:ascii="宋体" w:hAnsi="宋体" w:eastAsia="宋体" w:cs="宋体"/>
                <w:kern w:val="2"/>
                <w:sz w:val="21"/>
                <w:szCs w:val="21"/>
                <w:highlight w:val="none"/>
                <w:lang w:val="en-US" w:eastAsia="zh-CN" w:bidi="ar-SA"/>
              </w:rPr>
              <w:t>信息安全保障人员</w:t>
            </w:r>
            <w:r>
              <w:rPr>
                <w:rFonts w:hint="eastAsia" w:ascii="宋体" w:hAnsi="宋体" w:eastAsia="宋体" w:cs="宋体"/>
                <w:kern w:val="2"/>
                <w:sz w:val="21"/>
                <w:szCs w:val="21"/>
                <w:highlight w:val="none"/>
                <w:lang w:val="en-US" w:bidi="ar-SA"/>
              </w:rPr>
              <w:t>证书的，每个得1分，没有不得分</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en-US" w:bidi="ar-SA"/>
              </w:rPr>
              <w:t>提供2022年12月</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en-US" w:bidi="ar-SA"/>
              </w:rPr>
              <w:t>2023年3月中任意连续3个月的有效社保证明</w:t>
            </w:r>
            <w:r>
              <w:rPr>
                <w:rFonts w:hint="eastAsia" w:ascii="宋体" w:hAnsi="宋体" w:eastAsia="宋体" w:cs="宋体"/>
                <w:kern w:val="2"/>
                <w:sz w:val="21"/>
                <w:szCs w:val="21"/>
                <w:highlight w:val="none"/>
                <w:lang w:val="en-US" w:eastAsia="zh-CN" w:bidi="ar-SA"/>
              </w:rPr>
              <w:t>）</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669" w:type="dxa"/>
            <w:vMerge w:val="continue"/>
            <w:noWrap/>
            <w:vAlign w:val="center"/>
          </w:tcPr>
          <w:p>
            <w:pPr>
              <w:widowControl w:val="0"/>
              <w:spacing w:after="0" w:line="288" w:lineRule="auto"/>
              <w:jc w:val="center"/>
              <w:rPr>
                <w:rFonts w:hint="eastAsia" w:ascii="宋体" w:hAnsi="宋体" w:eastAsia="宋体" w:cs="宋体"/>
                <w:kern w:val="2"/>
                <w:sz w:val="21"/>
                <w:szCs w:val="21"/>
                <w:highlight w:val="none"/>
              </w:rPr>
            </w:pP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本次项目拟派技术负责人具备信息系统项目管理师证书、高级系统分析师证书的，每个得1分，没有不得分。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提供2022年12月</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rPr>
              <w:t>2023年3月中任意连续3个月的有效社保证明</w:t>
            </w:r>
            <w:r>
              <w:rPr>
                <w:rFonts w:hint="eastAsia" w:ascii="宋体" w:hAnsi="宋体" w:eastAsia="宋体" w:cs="宋体"/>
                <w:kern w:val="2"/>
                <w:sz w:val="21"/>
                <w:szCs w:val="21"/>
                <w:highlight w:val="none"/>
                <w:lang w:eastAsia="zh-CN"/>
              </w:rPr>
              <w:t>）</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rPr>
              <w:t>2</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p>
        </w:tc>
        <w:tc>
          <w:tcPr>
            <w:tcW w:w="669" w:type="dxa"/>
            <w:vMerge w:val="continue"/>
            <w:noWrap/>
            <w:vAlign w:val="center"/>
          </w:tcPr>
          <w:p>
            <w:pPr>
              <w:widowControl w:val="0"/>
              <w:spacing w:after="0" w:line="288" w:lineRule="auto"/>
              <w:jc w:val="center"/>
              <w:rPr>
                <w:rFonts w:hint="eastAsia" w:ascii="宋体" w:hAnsi="宋体" w:eastAsia="宋体" w:cs="宋体"/>
                <w:kern w:val="2"/>
                <w:sz w:val="21"/>
                <w:szCs w:val="21"/>
                <w:highlight w:val="none"/>
              </w:rPr>
            </w:pP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除项目</w:t>
            </w:r>
            <w:r>
              <w:rPr>
                <w:rFonts w:hint="eastAsia" w:ascii="宋体" w:hAnsi="宋体" w:eastAsia="宋体" w:cs="宋体"/>
                <w:kern w:val="2"/>
                <w:sz w:val="21"/>
                <w:szCs w:val="21"/>
                <w:highlight w:val="none"/>
                <w:lang w:val="en-US" w:eastAsia="zh-CN"/>
              </w:rPr>
              <w:t>经理和</w:t>
            </w:r>
            <w:r>
              <w:rPr>
                <w:rFonts w:hint="eastAsia" w:ascii="宋体" w:hAnsi="宋体" w:eastAsia="宋体" w:cs="宋体"/>
                <w:kern w:val="2"/>
                <w:sz w:val="21"/>
                <w:szCs w:val="21"/>
                <w:highlight w:val="none"/>
              </w:rPr>
              <w:t>技术负责人外，拟投入本项目团队其他成员中具有软件设计师、系统架构师、数据库系统工程师、信息系统项目管理师证书的，每具备一类证书得0.5分（同一人员具有多类证书的可重复计分，同一类证书重复的不得分），最高得2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提供2022年12月</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rPr>
              <w:t>2023年3月中任意连续3个月的有效社保证明</w:t>
            </w:r>
            <w:r>
              <w:rPr>
                <w:rFonts w:hint="eastAsia" w:ascii="宋体" w:hAnsi="宋体" w:eastAsia="宋体" w:cs="宋体"/>
                <w:kern w:val="2"/>
                <w:sz w:val="21"/>
                <w:szCs w:val="21"/>
                <w:highlight w:val="none"/>
                <w:lang w:eastAsia="zh-CN"/>
              </w:rPr>
              <w:t>）</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2</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p>
        </w:tc>
        <w:tc>
          <w:tcPr>
            <w:tcW w:w="669"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售后服务方案</w:t>
            </w:r>
          </w:p>
        </w:tc>
        <w:tc>
          <w:tcPr>
            <w:tcW w:w="5599" w:type="dxa"/>
            <w:noWrap/>
            <w:vAlign w:val="center"/>
          </w:tcPr>
          <w:p>
            <w:pPr>
              <w:widowControl w:val="0"/>
              <w:spacing w:after="0" w:line="288" w:lineRule="auto"/>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根据投标人针对本项目实际情况提供详细的售后服务方案：包括故障修复服务、定期巡检服务、系统评估及优化服务、重大节假日保障服务和保修期外服务等方面打分，方案描述详细、可行、实用得</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分，详细、可行</w:t>
            </w:r>
            <w:r>
              <w:rPr>
                <w:rFonts w:hint="eastAsia" w:ascii="宋体" w:hAnsi="宋体" w:eastAsia="宋体" w:cs="宋体"/>
                <w:kern w:val="2"/>
                <w:sz w:val="21"/>
                <w:szCs w:val="21"/>
                <w:highlight w:val="none"/>
                <w:lang w:val="en-US" w:eastAsia="zh-CN"/>
              </w:rPr>
              <w:t>性差</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实用得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分，不提供或存在明显缺陷的得0分。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p>
        </w:tc>
        <w:tc>
          <w:tcPr>
            <w:tcW w:w="669"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培训计划</w:t>
            </w:r>
          </w:p>
        </w:tc>
        <w:tc>
          <w:tcPr>
            <w:tcW w:w="5599" w:type="dxa"/>
            <w:noWrap/>
            <w:vAlign w:val="center"/>
          </w:tcPr>
          <w:p>
            <w:pPr>
              <w:widowControl w:val="0"/>
              <w:spacing w:after="0" w:line="288" w:lineRule="auto"/>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投标人针对本项目实际情况提供详细的培训方案：包括培训目标、培训内容、培训计划、培训管理、培训质量控制，方案描述详细、可行、实用、培训人员具有丰富的经验得</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分，详细、可行</w:t>
            </w:r>
            <w:r>
              <w:rPr>
                <w:rFonts w:hint="eastAsia" w:ascii="宋体" w:hAnsi="宋体" w:eastAsia="宋体" w:cs="宋体"/>
                <w:kern w:val="2"/>
                <w:sz w:val="21"/>
                <w:szCs w:val="21"/>
                <w:highlight w:val="none"/>
                <w:lang w:val="en-US" w:eastAsia="zh-CN"/>
              </w:rPr>
              <w:t>性差</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实用</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培训人员</w:t>
            </w:r>
            <w:r>
              <w:rPr>
                <w:rFonts w:hint="eastAsia" w:ascii="宋体" w:hAnsi="宋体" w:eastAsia="宋体" w:cs="宋体"/>
                <w:kern w:val="2"/>
                <w:sz w:val="21"/>
                <w:szCs w:val="21"/>
                <w:highlight w:val="none"/>
                <w:lang w:val="en-US" w:eastAsia="zh-CN"/>
              </w:rPr>
              <w:t>不</w:t>
            </w:r>
            <w:r>
              <w:rPr>
                <w:rFonts w:hint="eastAsia" w:ascii="宋体" w:hAnsi="宋体" w:eastAsia="宋体" w:cs="宋体"/>
                <w:kern w:val="2"/>
                <w:sz w:val="21"/>
                <w:szCs w:val="21"/>
                <w:highlight w:val="none"/>
              </w:rPr>
              <w:t>具有经验得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分，不提供存在明显缺陷的得0分。</w:t>
            </w:r>
          </w:p>
        </w:tc>
        <w:tc>
          <w:tcPr>
            <w:tcW w:w="733"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2</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0" w:type="dxa"/>
            <w:vMerge w:val="continue"/>
            <w:noWrap/>
            <w:vAlign w:val="center"/>
          </w:tcPr>
          <w:p>
            <w:pPr>
              <w:widowControl w:val="0"/>
              <w:spacing w:after="0" w:line="288" w:lineRule="auto"/>
              <w:jc w:val="center"/>
              <w:rPr>
                <w:rFonts w:hint="eastAsia" w:ascii="宋体" w:hAnsi="宋体" w:eastAsia="宋体" w:cs="宋体"/>
                <w:sz w:val="21"/>
                <w:szCs w:val="21"/>
                <w:highlight w:val="none"/>
              </w:rPr>
            </w:pPr>
          </w:p>
        </w:tc>
        <w:tc>
          <w:tcPr>
            <w:tcW w:w="702" w:type="dxa"/>
            <w:noWrap/>
            <w:vAlign w:val="center"/>
          </w:tcPr>
          <w:p>
            <w:pPr>
              <w:widowControl w:val="0"/>
              <w:spacing w:after="0" w:line="288"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17</w:t>
            </w:r>
          </w:p>
        </w:tc>
        <w:tc>
          <w:tcPr>
            <w:tcW w:w="669" w:type="dxa"/>
            <w:noWrap/>
            <w:vAlign w:val="center"/>
          </w:tcPr>
          <w:p>
            <w:pPr>
              <w:widowControl w:val="0"/>
              <w:spacing w:after="0" w:line="288"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系统演示</w:t>
            </w:r>
          </w:p>
        </w:tc>
        <w:tc>
          <w:tcPr>
            <w:tcW w:w="5599" w:type="dxa"/>
            <w:noWrap/>
          </w:tcPr>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（备注：项目采用现场演示，不得使用PPT或录屏、截图等其他方式演示。）演示时间不超过</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0分钟，无演示不得分。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由投标人自行准备环境进行demo</w:t>
            </w:r>
            <w:r>
              <w:rPr>
                <w:rFonts w:hint="eastAsia" w:ascii="宋体" w:hAnsi="宋体" w:eastAsia="宋体" w:cs="宋体"/>
                <w:kern w:val="2"/>
                <w:sz w:val="21"/>
                <w:szCs w:val="21"/>
                <w:highlight w:val="none"/>
                <w:lang w:val="en-US" w:eastAsia="zh-CN"/>
              </w:rPr>
              <w:t>或</w:t>
            </w:r>
            <w:r>
              <w:rPr>
                <w:rFonts w:hint="eastAsia" w:ascii="宋体" w:hAnsi="宋体" w:eastAsia="宋体" w:cs="宋体"/>
                <w:kern w:val="2"/>
                <w:sz w:val="21"/>
                <w:szCs w:val="21"/>
                <w:highlight w:val="none"/>
              </w:rPr>
              <w:t>真实</w:t>
            </w:r>
            <w:r>
              <w:rPr>
                <w:rFonts w:hint="eastAsia" w:ascii="宋体" w:hAnsi="宋体" w:eastAsia="宋体" w:cs="宋体"/>
                <w:kern w:val="2"/>
                <w:sz w:val="21"/>
                <w:szCs w:val="21"/>
                <w:highlight w:val="none"/>
                <w:lang w:val="en-US" w:eastAsia="zh-CN"/>
              </w:rPr>
              <w:t>案例</w:t>
            </w:r>
            <w:r>
              <w:rPr>
                <w:rFonts w:hint="eastAsia" w:ascii="宋体" w:hAnsi="宋体" w:eastAsia="宋体" w:cs="宋体"/>
                <w:kern w:val="2"/>
                <w:sz w:val="21"/>
                <w:szCs w:val="21"/>
                <w:highlight w:val="none"/>
              </w:rPr>
              <w:t>系统</w:t>
            </w:r>
            <w:r>
              <w:rPr>
                <w:rFonts w:hint="eastAsia" w:ascii="宋体" w:hAnsi="宋体" w:eastAsia="宋体" w:cs="宋体"/>
                <w:kern w:val="2"/>
                <w:sz w:val="21"/>
                <w:szCs w:val="21"/>
                <w:highlight w:val="none"/>
                <w:lang w:val="en-US" w:eastAsia="zh-CN"/>
              </w:rPr>
              <w:t>环境</w:t>
            </w:r>
            <w:r>
              <w:rPr>
                <w:rFonts w:hint="eastAsia" w:ascii="宋体" w:hAnsi="宋体" w:eastAsia="宋体" w:cs="宋体"/>
                <w:kern w:val="2"/>
                <w:sz w:val="21"/>
                <w:szCs w:val="21"/>
                <w:highlight w:val="none"/>
              </w:rPr>
              <w:t>的功能演示，应至少包含以下演示内容：</w:t>
            </w:r>
          </w:p>
          <w:p>
            <w:pPr>
              <w:widowControl w:val="0"/>
              <w:spacing w:after="0" w:line="288" w:lineRule="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1、</w:t>
            </w:r>
            <w:r>
              <w:rPr>
                <w:rFonts w:hint="eastAsia" w:ascii="宋体" w:hAnsi="宋体" w:eastAsia="宋体" w:cs="宋体"/>
                <w:b/>
                <w:bCs/>
                <w:kern w:val="2"/>
                <w:sz w:val="21"/>
                <w:szCs w:val="21"/>
                <w:highlight w:val="none"/>
                <w:lang w:val="en-US" w:eastAsia="zh-CN"/>
              </w:rPr>
              <w:t>数字</w:t>
            </w:r>
            <w:r>
              <w:rPr>
                <w:rFonts w:hint="eastAsia" w:ascii="宋体" w:hAnsi="宋体" w:eastAsia="宋体" w:cs="宋体"/>
                <w:b/>
                <w:bCs/>
                <w:kern w:val="2"/>
                <w:sz w:val="21"/>
                <w:szCs w:val="21"/>
                <w:highlight w:val="none"/>
              </w:rPr>
              <w:t>底座能力演示（</w:t>
            </w:r>
            <w:r>
              <w:rPr>
                <w:rFonts w:hint="eastAsia" w:ascii="宋体" w:hAnsi="宋体" w:eastAsia="宋体" w:cs="宋体"/>
                <w:b/>
                <w:bCs/>
                <w:kern w:val="2"/>
                <w:sz w:val="21"/>
                <w:szCs w:val="21"/>
                <w:highlight w:val="none"/>
                <w:lang w:val="en-US" w:eastAsia="zh-CN"/>
              </w:rPr>
              <w:t>10</w:t>
            </w:r>
            <w:r>
              <w:rPr>
                <w:rFonts w:hint="eastAsia" w:ascii="宋体" w:hAnsi="宋体" w:eastAsia="宋体" w:cs="宋体"/>
                <w:b/>
                <w:bCs/>
                <w:kern w:val="2"/>
                <w:sz w:val="21"/>
                <w:szCs w:val="21"/>
                <w:highlight w:val="none"/>
              </w:rPr>
              <w:t>分）：</w:t>
            </w:r>
          </w:p>
          <w:p>
            <w:pPr>
              <w:widowControl w:val="0"/>
              <w:spacing w:after="0" w:line="288" w:lineRule="auto"/>
              <w:rPr>
                <w:rFonts w:hint="eastAsia" w:ascii="宋体" w:hAnsi="宋体" w:eastAsia="宋体" w:cs="宋体"/>
                <w:b/>
                <w:bCs/>
                <w:kern w:val="2"/>
                <w:sz w:val="21"/>
                <w:szCs w:val="21"/>
                <w:highlight w:val="none"/>
                <w:lang w:eastAsia="zh-CN"/>
              </w:rPr>
            </w:pPr>
            <w:r>
              <w:rPr>
                <w:rFonts w:hint="eastAsia" w:ascii="宋体" w:hAnsi="宋体" w:eastAsia="宋体" w:cs="宋体"/>
                <w:b/>
                <w:bCs/>
                <w:kern w:val="2"/>
                <w:sz w:val="21"/>
                <w:szCs w:val="21"/>
                <w:highlight w:val="none"/>
              </w:rPr>
              <w:t>（1）分拨中心能力</w:t>
            </w:r>
            <w:r>
              <w:rPr>
                <w:rFonts w:hint="eastAsia" w:ascii="宋体" w:hAnsi="宋体" w:eastAsia="宋体" w:cs="宋体"/>
                <w:b/>
                <w:bCs/>
                <w:kern w:val="2"/>
                <w:sz w:val="21"/>
                <w:szCs w:val="21"/>
                <w:highlight w:val="none"/>
                <w:lang w:eastAsia="zh-CN"/>
              </w:rPr>
              <w:t>（</w:t>
            </w:r>
            <w:r>
              <w:rPr>
                <w:rFonts w:hint="eastAsia" w:ascii="宋体" w:hAnsi="宋体" w:eastAsia="宋体" w:cs="宋体"/>
                <w:b/>
                <w:bCs/>
                <w:kern w:val="2"/>
                <w:sz w:val="21"/>
                <w:szCs w:val="21"/>
                <w:highlight w:val="none"/>
                <w:lang w:val="en-US" w:eastAsia="zh-CN"/>
              </w:rPr>
              <w:t>2分</w:t>
            </w:r>
            <w:r>
              <w:rPr>
                <w:rFonts w:hint="eastAsia" w:ascii="宋体" w:hAnsi="宋体" w:eastAsia="宋体" w:cs="宋体"/>
                <w:b/>
                <w:bCs/>
                <w:kern w:val="2"/>
                <w:sz w:val="21"/>
                <w:szCs w:val="21"/>
                <w:highlight w:val="none"/>
                <w:lang w:eastAsia="zh-CN"/>
              </w:rPr>
              <w:t>）</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应用服务支持按场景查询应用，查看单应用的开发者、应用介绍、调用次数等信息，支持在线申请调用，填写所属地区、申请单位、调用原因、期望时间进行申请，申请记录在线查询审批进展；（0-</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支持区管理员对应用申请单操作审核，支持应用按应用授权或按组织权限两种方式进行分发；支持维护单社区添加应用、移除应用，自定义编辑应用名称、场景、图标等信息；演示打开新上架的该应用，应用能正常使用</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（0-</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rPr>
              <w:t>）事件中心能力</w:t>
            </w:r>
            <w:r>
              <w:rPr>
                <w:rFonts w:hint="eastAsia" w:ascii="宋体" w:hAnsi="宋体" w:eastAsia="宋体" w:cs="宋体"/>
                <w:b/>
                <w:bCs/>
                <w:kern w:val="2"/>
                <w:sz w:val="21"/>
                <w:szCs w:val="21"/>
                <w:highlight w:val="none"/>
                <w:lang w:eastAsia="zh-CN"/>
              </w:rPr>
              <w:t>（</w:t>
            </w:r>
            <w:r>
              <w:rPr>
                <w:rFonts w:hint="eastAsia" w:ascii="宋体" w:hAnsi="宋体" w:eastAsia="宋体" w:cs="宋体"/>
                <w:b/>
                <w:bCs/>
                <w:kern w:val="2"/>
                <w:sz w:val="21"/>
                <w:szCs w:val="21"/>
                <w:highlight w:val="none"/>
                <w:lang w:val="en-US" w:eastAsia="zh-CN"/>
              </w:rPr>
              <w:t>8分</w:t>
            </w:r>
            <w:r>
              <w:rPr>
                <w:rFonts w:hint="eastAsia" w:ascii="宋体" w:hAnsi="宋体" w:eastAsia="宋体" w:cs="宋体"/>
                <w:b/>
                <w:bCs/>
                <w:kern w:val="2"/>
                <w:sz w:val="21"/>
                <w:szCs w:val="21"/>
                <w:highlight w:val="none"/>
                <w:lang w:eastAsia="zh-CN"/>
              </w:rPr>
              <w:t>）</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支持配置事项的处理流程，包括定义事件流转范围、各处理节点及处理部门，事件受理支持按指定部门或按事件上报人所属组织进行流转派发；（0-1分）</w:t>
            </w:r>
          </w:p>
          <w:p>
            <w:pPr>
              <w:widowControl w:val="0"/>
              <w:spacing w:after="0" w:line="288" w:lineRule="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2）支持配置事件及单节点的处理时限，可按自然日、工作日等进行限定，支持规则关联到单个事件分类；（0-0.5分）</w:t>
            </w:r>
          </w:p>
          <w:p>
            <w:pPr>
              <w:widowControl w:val="0"/>
              <w:spacing w:after="0" w:line="288" w:lineRule="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3）支持配置事件提醒的渠道和频率，实现事件高效自动流转；（0-0.5分）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演示群众通过移动端上报事件，统一受理并派发至归属地社区进行受理，支持事件申请延时、申请退回、催办、督办等操作，高效灵活处理事件；（0-</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5）投标人充分调研红领通系统现状，演示系统具备</w:t>
            </w:r>
            <w:r>
              <w:rPr>
                <w:rFonts w:hint="eastAsia" w:ascii="宋体" w:hAnsi="宋体" w:eastAsia="宋体" w:cs="宋体"/>
                <w:kern w:val="2"/>
                <w:sz w:val="21"/>
                <w:szCs w:val="21"/>
                <w:highlight w:val="none"/>
              </w:rPr>
              <w:t>红领通</w:t>
            </w:r>
            <w:r>
              <w:rPr>
                <w:rFonts w:hint="eastAsia" w:ascii="宋体" w:hAnsi="宋体" w:eastAsia="宋体" w:cs="宋体"/>
                <w:kern w:val="2"/>
                <w:sz w:val="21"/>
                <w:szCs w:val="21"/>
                <w:highlight w:val="none"/>
                <w:lang w:val="en-US" w:eastAsia="zh-CN"/>
              </w:rPr>
              <w:t>对接贯通能力（需包含但不限于单点登录、事件协同待办）；</w:t>
            </w:r>
            <w:r>
              <w:rPr>
                <w:rFonts w:hint="eastAsia" w:ascii="宋体" w:hAnsi="宋体" w:eastAsia="宋体" w:cs="宋体"/>
                <w:kern w:val="2"/>
                <w:sz w:val="21"/>
                <w:szCs w:val="21"/>
                <w:highlight w:val="none"/>
              </w:rPr>
              <w:t>（0-2</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6）演示社区事件升级上报四平台的流程，四平台处置结果反馈回未来社区基础服务系统的事件中心模块。</w:t>
            </w:r>
            <w:r>
              <w:rPr>
                <w:rFonts w:hint="eastAsia" w:ascii="宋体" w:hAnsi="宋体" w:eastAsia="宋体" w:cs="宋体"/>
                <w:kern w:val="2"/>
                <w:sz w:val="21"/>
                <w:szCs w:val="21"/>
                <w:highlight w:val="none"/>
              </w:rPr>
              <w:t>（0-2</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2、全域驾驶舱演示（</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（1）全域驾驶舱能够实现“区、街道、社区”三级分级信息展示；需包括但不限于总体项目建设指标，应用商城中应用的使用及共享、所辖范围内的全域人员信息档案数据，以此来展现整个驾驶舱的统筹</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监管能力；（0-</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（2）演示社区驾驶舱的快速编辑能力，支持替换大屏组件的功能，以及组件数据源切换，可切换包括静态数据、动态数据、sql数据、csv文件等多种方式，以满足领导来访、企业参观、接待交流等场景。（0-</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3、全域统一</w:t>
            </w:r>
            <w:r>
              <w:rPr>
                <w:rFonts w:hint="eastAsia" w:ascii="宋体" w:hAnsi="宋体" w:eastAsia="宋体" w:cs="宋体"/>
                <w:b/>
                <w:bCs/>
                <w:kern w:val="2"/>
                <w:sz w:val="21"/>
                <w:szCs w:val="21"/>
                <w:highlight w:val="none"/>
                <w:lang w:val="en-US" w:eastAsia="zh-CN"/>
              </w:rPr>
              <w:t>居民</w:t>
            </w:r>
            <w:r>
              <w:rPr>
                <w:rFonts w:hint="eastAsia" w:ascii="宋体" w:hAnsi="宋体" w:eastAsia="宋体" w:cs="宋体"/>
                <w:b/>
                <w:bCs/>
                <w:kern w:val="2"/>
                <w:sz w:val="21"/>
                <w:szCs w:val="21"/>
                <w:highlight w:val="none"/>
              </w:rPr>
              <w:t>端演示（</w:t>
            </w:r>
            <w:r>
              <w:rPr>
                <w:rFonts w:hint="eastAsia" w:ascii="宋体" w:hAnsi="宋体" w:eastAsia="宋体" w:cs="宋体"/>
                <w:b/>
                <w:bCs/>
                <w:kern w:val="2"/>
                <w:sz w:val="21"/>
                <w:szCs w:val="21"/>
                <w:highlight w:val="none"/>
                <w:lang w:val="en-US" w:eastAsia="zh-CN"/>
              </w:rPr>
              <w:t>3</w:t>
            </w:r>
            <w:r>
              <w:rPr>
                <w:rFonts w:hint="eastAsia" w:ascii="宋体" w:hAnsi="宋体" w:eastAsia="宋体" w:cs="宋体"/>
                <w:b/>
                <w:bCs/>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投标人充分调研萧山未来社区区、街道、社区多层级现状，阐述对萧山区居民端层级架构的理解。居民可根据自身需要进行不同层级的切换，不同层级显示不同的应用及服务内容，服务内容包括公共服务、政务服务等；（0-</w:t>
            </w:r>
            <w:r>
              <w:rPr>
                <w:rFonts w:hint="eastAsia" w:ascii="宋体" w:hAnsi="宋体" w:eastAsia="宋体" w:cs="宋体"/>
                <w:kern w:val="2"/>
                <w:sz w:val="21"/>
                <w:szCs w:val="21"/>
                <w:highlight w:val="none"/>
                <w:lang w:val="en-US" w:eastAsia="zh-CN"/>
              </w:rPr>
              <w:t>1.5</w:t>
            </w:r>
            <w:r>
              <w:rPr>
                <w:rFonts w:hint="eastAsia" w:ascii="宋体" w:hAnsi="宋体" w:eastAsia="宋体" w:cs="宋体"/>
                <w:kern w:val="2"/>
                <w:sz w:val="21"/>
                <w:szCs w:val="21"/>
                <w:highlight w:val="none"/>
              </w:rPr>
              <w:t>分）</w:t>
            </w:r>
          </w:p>
          <w:p>
            <w:pPr>
              <w:widowControl w:val="0"/>
              <w:spacing w:after="0" w:line="288"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（2）全区新闻发布</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展示多层级的信息发布及展示能力。管理员可根据发布级别进行多层级资讯发布；支持居民在居民端查看区、街道、社区多级新闻资讯，进行点赞、评论等互动；</w:t>
            </w:r>
            <w:r>
              <w:rPr>
                <w:rFonts w:hint="eastAsia" w:ascii="宋体" w:hAnsi="宋体" w:eastAsia="宋体" w:cs="宋体"/>
                <w:kern w:val="2"/>
                <w:sz w:val="21"/>
                <w:szCs w:val="21"/>
                <w:highlight w:val="none"/>
              </w:rPr>
              <w:t>（0-</w:t>
            </w:r>
            <w:r>
              <w:rPr>
                <w:rFonts w:hint="eastAsia" w:ascii="宋体" w:hAnsi="宋体" w:eastAsia="宋体" w:cs="宋体"/>
                <w:kern w:val="2"/>
                <w:sz w:val="21"/>
                <w:szCs w:val="21"/>
                <w:highlight w:val="none"/>
                <w:lang w:val="en-US" w:eastAsia="zh-CN"/>
              </w:rPr>
              <w:t>1.5</w:t>
            </w:r>
            <w:r>
              <w:rPr>
                <w:rFonts w:hint="eastAsia" w:ascii="宋体" w:hAnsi="宋体" w:eastAsia="宋体" w:cs="宋体"/>
                <w:kern w:val="2"/>
                <w:sz w:val="21"/>
                <w:szCs w:val="21"/>
                <w:highlight w:val="none"/>
              </w:rPr>
              <w:t>分）</w:t>
            </w:r>
          </w:p>
        </w:tc>
        <w:tc>
          <w:tcPr>
            <w:tcW w:w="733" w:type="dxa"/>
            <w:noWrap/>
            <w:vAlign w:val="center"/>
          </w:tcPr>
          <w:p>
            <w:pPr>
              <w:widowControl w:val="0"/>
              <w:spacing w:after="0" w:line="288" w:lineRule="auto"/>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15</w:t>
            </w:r>
          </w:p>
        </w:tc>
        <w:tc>
          <w:tcPr>
            <w:tcW w:w="1044" w:type="dxa"/>
            <w:noWrap/>
            <w:vAlign w:val="center"/>
          </w:tcPr>
          <w:p>
            <w:pPr>
              <w:widowControl w:val="0"/>
              <w:spacing w:after="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bl>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价格分（</w:t>
      </w:r>
      <w:r>
        <w:rPr>
          <w:rFonts w:hint="eastAsia" w:ascii="宋体" w:hAnsi="宋体" w:eastAsia="宋体" w:cs="宋体"/>
          <w:b/>
          <w:color w:val="auto"/>
          <w:highlight w:val="none"/>
          <w:lang w:val="en-US" w:eastAsia="zh-CN"/>
        </w:rPr>
        <w:t>10</w:t>
      </w:r>
      <w:r>
        <w:rPr>
          <w:rFonts w:hint="eastAsia" w:ascii="宋体" w:hAnsi="宋体" w:eastAsia="宋体" w:cs="宋体"/>
          <w:b/>
          <w:color w:val="auto"/>
          <w:highlight w:val="none"/>
        </w:rPr>
        <w:t>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695"/>
        <w:gridCol w:w="509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88" w:type="dxa"/>
            <w:vAlign w:val="center"/>
          </w:tcPr>
          <w:p>
            <w:pPr>
              <w:tabs>
                <w:tab w:val="left" w:pos="1042"/>
              </w:tabs>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p>
        </w:tc>
        <w:tc>
          <w:tcPr>
            <w:tcW w:w="1695" w:type="dxa"/>
            <w:vAlign w:val="center"/>
          </w:tcPr>
          <w:p>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5099" w:type="dxa"/>
            <w:vAlign w:val="center"/>
          </w:tcPr>
          <w:p>
            <w:pPr>
              <w:spacing w:after="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pPr>
              <w:spacing w:after="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投标报价得分=(评标基准价／投标报价)×价格权值×100（计算得分保留小数点后2位）</w:t>
            </w:r>
          </w:p>
        </w:tc>
        <w:tc>
          <w:tcPr>
            <w:tcW w:w="709" w:type="dxa"/>
            <w:vAlign w:val="center"/>
          </w:tcPr>
          <w:p>
            <w:p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50" w:type="dxa"/>
            <w:vAlign w:val="center"/>
          </w:tcPr>
          <w:p>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bl>
    <w:p>
      <w:pPr>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b/>
          <w:color w:val="auto"/>
          <w:highlight w:val="none"/>
        </w:rPr>
        <w:t>备注：</w:t>
      </w:r>
      <w:r>
        <w:rPr>
          <w:rFonts w:hint="eastAsia" w:ascii="宋体" w:hAnsi="宋体" w:eastAsia="宋体" w:cs="宋体"/>
          <w:color w:val="auto"/>
          <w:highlight w:val="none"/>
        </w:rPr>
        <w:t>1、评分条款中涉及的业绩、荣誉、人员、社保等分公司均有效。</w:t>
      </w:r>
    </w:p>
    <w:p>
      <w:pPr>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3、投标人编制投标文件（商务技术文件部分）时，建议按此目录（序号和内容）提供评标标准相应的商务技术资料。 </w:t>
      </w:r>
    </w:p>
    <w:p>
      <w:pPr>
        <w:pStyle w:val="6"/>
        <w:keepNext w:val="0"/>
        <w:keepLines w:val="0"/>
        <w:pageBreakBefore w:val="0"/>
        <w:kinsoku/>
        <w:wordWrap/>
        <w:overflowPunct/>
        <w:topLinePunct w:val="0"/>
        <w:autoSpaceDE/>
        <w:autoSpaceDN/>
        <w:bidi w:val="0"/>
        <w:spacing w:before="0"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一、评标方法</w:t>
      </w:r>
    </w:p>
    <w:p>
      <w:pPr>
        <w:keepNext w:val="0"/>
        <w:keepLines w:val="0"/>
        <w:pageBreakBefore w:val="0"/>
        <w:kinsoku/>
        <w:wordWrap/>
        <w:overflowPunct/>
        <w:topLinePunct w:val="0"/>
        <w:autoSpaceDE/>
        <w:autoSpaceDN/>
        <w:bidi w:val="0"/>
        <w:spacing w:after="0" w:line="312" w:lineRule="auto"/>
        <w:ind w:left="0" w:leftChars="0" w:firstLine="472" w:firstLineChars="196"/>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1.本项目采用综合评分法。</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pPr>
        <w:pStyle w:val="6"/>
        <w:keepNext w:val="0"/>
        <w:keepLines w:val="0"/>
        <w:pageBreakBefore w:val="0"/>
        <w:kinsoku/>
        <w:wordWrap/>
        <w:overflowPunct/>
        <w:topLinePunct w:val="0"/>
        <w:autoSpaceDE/>
        <w:autoSpaceDN/>
        <w:bidi w:val="0"/>
        <w:spacing w:before="0" w:after="0" w:line="312"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二、评标标准</w:t>
      </w:r>
    </w:p>
    <w:p>
      <w:pPr>
        <w:keepNext w:val="0"/>
        <w:keepLines w:val="0"/>
        <w:pageBreakBefore w:val="0"/>
        <w:kinsoku/>
        <w:wordWrap/>
        <w:overflowPunct/>
        <w:topLinePunct w:val="0"/>
        <w:autoSpaceDE/>
        <w:autoSpaceDN/>
        <w:bidi w:val="0"/>
        <w:spacing w:after="0" w:line="312" w:lineRule="auto"/>
        <w:ind w:left="0" w:leftChars="0" w:firstLine="472" w:firstLineChars="196"/>
        <w:textAlignment w:val="auto"/>
        <w:rPr>
          <w:rFonts w:hint="eastAsia" w:ascii="宋体" w:hAnsi="宋体" w:eastAsia="宋体" w:cs="宋体"/>
          <w:b/>
          <w:color w:val="auto"/>
          <w:highlight w:val="none"/>
        </w:rPr>
      </w:pPr>
      <w:r>
        <w:rPr>
          <w:rStyle w:val="35"/>
          <w:rFonts w:hint="eastAsia" w:ascii="宋体" w:hAnsi="宋体" w:eastAsia="宋体" w:cs="宋体"/>
          <w:color w:val="auto"/>
          <w:highlight w:val="none"/>
        </w:rPr>
        <w:t>2. 评标标准：</w:t>
      </w:r>
      <w:r>
        <w:rPr>
          <w:rFonts w:hint="eastAsia" w:ascii="宋体" w:hAnsi="宋体" w:eastAsia="宋体" w:cs="宋体"/>
          <w:color w:val="auto"/>
          <w:highlight w:val="none"/>
        </w:rPr>
        <w:t>见评标办法前附表。</w:t>
      </w:r>
    </w:p>
    <w:p>
      <w:pPr>
        <w:pStyle w:val="6"/>
        <w:keepNext w:val="0"/>
        <w:keepLines w:val="0"/>
        <w:pageBreakBefore w:val="0"/>
        <w:kinsoku/>
        <w:wordWrap/>
        <w:overflowPunct/>
        <w:topLinePunct w:val="0"/>
        <w:autoSpaceDE/>
        <w:autoSpaceDN/>
        <w:bidi w:val="0"/>
        <w:spacing w:before="0"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三、评标程序</w:t>
      </w:r>
    </w:p>
    <w:p>
      <w:pPr>
        <w:keepNext w:val="0"/>
        <w:keepLines w:val="0"/>
        <w:pageBreakBefore w:val="0"/>
        <w:kinsoku/>
        <w:wordWrap/>
        <w:overflowPunct/>
        <w:topLinePunct w:val="0"/>
        <w:autoSpaceDE/>
        <w:autoSpaceDN/>
        <w:bidi w:val="0"/>
        <w:spacing w:after="0" w:line="312" w:lineRule="auto"/>
        <w:ind w:left="0" w:leftChars="0" w:firstLine="472" w:firstLineChars="196"/>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3.1符合性审查。</w:t>
      </w:r>
      <w:r>
        <w:rPr>
          <w:rFonts w:hint="eastAsia" w:ascii="宋体" w:hAnsi="宋体" w:eastAsia="宋体" w:cs="宋体"/>
          <w:color w:val="auto"/>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after="0" w:line="312" w:lineRule="auto"/>
        <w:ind w:left="0" w:leftChars="0" w:firstLine="472" w:firstLineChars="196"/>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3.2 比较与评价。</w:t>
      </w:r>
      <w:r>
        <w:rPr>
          <w:rFonts w:hint="eastAsia" w:ascii="宋体" w:hAnsi="宋体" w:eastAsia="宋体" w:cs="宋体"/>
          <w:color w:val="auto"/>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pacing w:after="0" w:line="312" w:lineRule="auto"/>
        <w:ind w:left="0" w:leftChars="0" w:firstLine="472" w:firstLineChars="196"/>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3.3汇总商务技术得分。</w:t>
      </w:r>
      <w:r>
        <w:rPr>
          <w:rFonts w:hint="eastAsia" w:ascii="宋体" w:hAnsi="宋体" w:eastAsia="宋体" w:cs="宋体"/>
          <w:color w:val="auto"/>
          <w:highlight w:val="none"/>
        </w:rPr>
        <w:t>评标委员会各成员应当独立对每个投标人的商务和技术文件进行评价，并汇总商务技术得分情况。</w:t>
      </w:r>
    </w:p>
    <w:p>
      <w:pPr>
        <w:pStyle w:val="7"/>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3.4报价评审。</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3.4.1投标文件报价出现前后不一致的，按照下列规定修正：</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3.4.1.1投标文件中开标一览表(报价表)内容与投标文件中相应内容不一致的，以开标一览表(报价表)为准;</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3.4.1.2大写金额和小写金额不一致的，以大写金额为准;</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3.4.1.3单价金额小数点或者百分比有明显错位的，以开标一览表的总价为准，并修改单价;</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3.4.1.4总价金额与按单价汇总金额不一致的，以单价金额计算结果为准。</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3.4.3投标报价超过招标文件中规定的预算金额或者最高限价的，投标无效。</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after="0" w:line="312" w:lineRule="auto"/>
        <w:ind w:left="0" w:leftChars="0" w:firstLine="482" w:firstLineChars="200"/>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3.5排序与推荐。</w:t>
      </w:r>
      <w:r>
        <w:rPr>
          <w:rFonts w:hint="eastAsia" w:ascii="宋体" w:hAnsi="宋体" w:eastAsia="宋体" w:cs="宋体"/>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b/>
          <w:color w:val="auto"/>
          <w:highlight w:val="none"/>
        </w:rPr>
      </w:pPr>
      <w:r>
        <w:rPr>
          <w:rFonts w:hint="eastAsia" w:ascii="宋体" w:hAnsi="宋体" w:eastAsia="宋体"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autoSpaceDE/>
        <w:autoSpaceDN/>
        <w:bidi w:val="0"/>
        <w:spacing w:after="0" w:line="312" w:lineRule="auto"/>
        <w:ind w:left="0" w:leftChars="0" w:firstLine="472" w:firstLineChars="196"/>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3.6编写评标报告。</w:t>
      </w:r>
      <w:r>
        <w:rPr>
          <w:rFonts w:hint="eastAsia" w:ascii="宋体" w:hAnsi="宋体" w:eastAsia="宋体" w:cs="宋体"/>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6"/>
        <w:keepNext w:val="0"/>
        <w:keepLines w:val="0"/>
        <w:pageBreakBefore w:val="0"/>
        <w:kinsoku/>
        <w:wordWrap/>
        <w:overflowPunct/>
        <w:topLinePunct w:val="0"/>
        <w:autoSpaceDE/>
        <w:autoSpaceDN/>
        <w:bidi w:val="0"/>
        <w:spacing w:before="0"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四、评标中的其他事项</w:t>
      </w:r>
    </w:p>
    <w:p>
      <w:pPr>
        <w:pStyle w:val="59"/>
        <w:keepNext w:val="0"/>
        <w:keepLines w:val="0"/>
        <w:pageBreakBefore w:val="0"/>
        <w:kinsoku/>
        <w:wordWrap/>
        <w:overflowPunct/>
        <w:topLinePunct w:val="0"/>
        <w:autoSpaceDE/>
        <w:autoSpaceDN/>
        <w:bidi w:val="0"/>
        <w:spacing w:after="0" w:line="312" w:lineRule="auto"/>
        <w:ind w:left="0" w:leftChars="0"/>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4.1投标人澄清、说明或者补正。</w:t>
      </w:r>
      <w:r>
        <w:rPr>
          <w:rFonts w:hint="eastAsia" w:ascii="宋体" w:hAnsi="宋体" w:eastAsia="宋体" w:cs="宋体"/>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keepNext w:val="0"/>
        <w:keepLines w:val="0"/>
        <w:pageBreakBefore w:val="0"/>
        <w:kinsoku/>
        <w:wordWrap/>
        <w:overflowPunct/>
        <w:topLinePunct w:val="0"/>
        <w:autoSpaceDE/>
        <w:autoSpaceDN/>
        <w:bidi w:val="0"/>
        <w:spacing w:after="0" w:line="312" w:lineRule="auto"/>
        <w:ind w:left="0" w:leftChars="0" w:hanging="479" w:firstLineChars="0"/>
        <w:textAlignment w:val="auto"/>
        <w:rPr>
          <w:rFonts w:hint="eastAsia" w:ascii="宋体" w:hAnsi="宋体" w:eastAsia="宋体" w:cs="宋体"/>
          <w:color w:val="auto"/>
          <w:szCs w:val="21"/>
          <w:highlight w:val="none"/>
        </w:rPr>
      </w:pPr>
      <w:r>
        <w:rPr>
          <w:rStyle w:val="35"/>
          <w:rFonts w:hint="eastAsia" w:ascii="宋体" w:hAnsi="宋体" w:eastAsia="宋体" w:cs="宋体"/>
          <w:color w:val="auto"/>
          <w:highlight w:val="none"/>
        </w:rPr>
        <w:t>4.2投标无效。</w:t>
      </w:r>
      <w:r>
        <w:rPr>
          <w:rFonts w:hint="eastAsia" w:ascii="宋体" w:hAnsi="宋体" w:eastAsia="宋体" w:cs="宋体"/>
          <w:color w:val="auto"/>
          <w:szCs w:val="21"/>
          <w:highlight w:val="none"/>
        </w:rPr>
        <w:t>有下列情形之一的，投标无效：</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4.2.2投标文件未按照招标文件要求签署、盖章的；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4.2.4投标文件含有采购人不能接受的附加条件的；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after="0" w:line="312" w:lineRule="auto"/>
        <w:ind w:left="0" w:leftChars="0" w:firstLine="120"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4.2.6投标文件出现不是唯一的、有选择性投标报价的;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4.2.7投标报价超过招标文件中规定的预算金额或者最高限价的;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4.2.9投标人对根据修正原则修正后的报价不确认的；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4.2.10投标人提供虚假材料投标的；</w:t>
      </w:r>
    </w:p>
    <w:p>
      <w:pPr>
        <w:keepNext w:val="0"/>
        <w:keepLines w:val="0"/>
        <w:pageBreakBefore w:val="0"/>
        <w:kinsoku/>
        <w:wordWrap/>
        <w:overflowPunct/>
        <w:topLinePunct w:val="0"/>
        <w:autoSpaceDE/>
        <w:autoSpaceDN/>
        <w:bidi w:val="0"/>
        <w:spacing w:after="0" w:line="312" w:lineRule="auto"/>
        <w:ind w:left="0" w:leftChars="0"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4.2.12投标人仅提交备份投标文件，未在电子交易平台传输递交投标文件的，投标无效；</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4.2.13 投标文件不满足招标文件的其它实质性要求的；</w:t>
      </w:r>
    </w:p>
    <w:p>
      <w:pPr>
        <w:keepNext w:val="0"/>
        <w:keepLines w:val="0"/>
        <w:pageBreakBefore w:val="0"/>
        <w:kinsoku/>
        <w:wordWrap/>
        <w:overflowPunct/>
        <w:topLinePunct w:val="0"/>
        <w:autoSpaceDE/>
        <w:autoSpaceDN/>
        <w:bidi w:val="0"/>
        <w:spacing w:after="0"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4.2.14法律、法规、规章（适用本市的）及省级以上规范性文件（适用本市的）规定的其他无效情形。</w:t>
      </w:r>
    </w:p>
    <w:p>
      <w:pPr>
        <w:pStyle w:val="16"/>
        <w:keepNext w:val="0"/>
        <w:keepLines w:val="0"/>
        <w:pageBreakBefore w:val="0"/>
        <w:kinsoku/>
        <w:wordWrap/>
        <w:overflowPunct/>
        <w:topLinePunct w:val="0"/>
        <w:autoSpaceDE/>
        <w:autoSpaceDN/>
        <w:bidi w:val="0"/>
        <w:snapToGrid w:val="0"/>
        <w:spacing w:after="0" w:line="312" w:lineRule="auto"/>
        <w:ind w:left="0" w:leftChars="0" w:firstLine="472" w:firstLineChars="196"/>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16"/>
        <w:keepNext w:val="0"/>
        <w:keepLines w:val="0"/>
        <w:pageBreakBefore w:val="0"/>
        <w:kinsoku/>
        <w:wordWrap/>
        <w:overflowPunct/>
        <w:topLinePunct w:val="0"/>
        <w:autoSpaceDE/>
        <w:autoSpaceDN/>
        <w:bidi w:val="0"/>
        <w:snapToGrid w:val="0"/>
        <w:spacing w:after="0" w:line="312" w:lineRule="auto"/>
        <w:ind w:left="0" w:leftChars="0" w:firstLine="590" w:firstLineChars="245"/>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keepNext w:val="0"/>
        <w:keepLines w:val="0"/>
        <w:pageBreakBefore w:val="0"/>
        <w:kinsoku/>
        <w:wordWrap/>
        <w:overflowPunct/>
        <w:topLinePunct w:val="0"/>
        <w:autoSpaceDE/>
        <w:autoSpaceDN/>
        <w:bidi w:val="0"/>
        <w:snapToGrid w:val="0"/>
        <w:spacing w:after="0" w:line="312" w:lineRule="auto"/>
        <w:ind w:left="0" w:leftChars="0" w:firstLine="590" w:firstLineChars="245"/>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16"/>
        <w:keepNext w:val="0"/>
        <w:keepLines w:val="0"/>
        <w:pageBreakBefore w:val="0"/>
        <w:kinsoku/>
        <w:wordWrap/>
        <w:overflowPunct/>
        <w:topLinePunct w:val="0"/>
        <w:autoSpaceDE/>
        <w:autoSpaceDN/>
        <w:bidi w:val="0"/>
        <w:snapToGrid w:val="0"/>
        <w:spacing w:after="0" w:line="312"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16"/>
        <w:keepNext w:val="0"/>
        <w:keepLines w:val="0"/>
        <w:pageBreakBefore w:val="0"/>
        <w:kinsoku/>
        <w:wordWrap/>
        <w:overflowPunct/>
        <w:topLinePunct w:val="0"/>
        <w:autoSpaceDE/>
        <w:autoSpaceDN/>
        <w:bidi w:val="0"/>
        <w:snapToGrid w:val="0"/>
        <w:spacing w:after="0" w:line="312"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keepNext w:val="0"/>
        <w:keepLines w:val="0"/>
        <w:pageBreakBefore w:val="0"/>
        <w:kinsoku/>
        <w:wordWrap/>
        <w:overflowPunct/>
        <w:topLinePunct w:val="0"/>
        <w:autoSpaceDE/>
        <w:autoSpaceDN/>
        <w:bidi w:val="0"/>
        <w:snapToGrid w:val="0"/>
        <w:spacing w:after="0" w:line="312"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16"/>
        <w:keepNext w:val="0"/>
        <w:keepLines w:val="0"/>
        <w:pageBreakBefore w:val="0"/>
        <w:kinsoku/>
        <w:wordWrap/>
        <w:overflowPunct/>
        <w:topLinePunct w:val="0"/>
        <w:autoSpaceDE/>
        <w:autoSpaceDN/>
        <w:bidi w:val="0"/>
        <w:snapToGrid w:val="0"/>
        <w:spacing w:after="0" w:line="312"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spacing w:line="240" w:lineRule="auto"/>
        <w:rPr>
          <w:rFonts w:hint="eastAsia"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kern w:val="2"/>
          <w:highlight w:val="none"/>
        </w:rPr>
      </w:pPr>
      <w:r>
        <w:rPr>
          <w:rFonts w:hint="eastAsia" w:ascii="宋体" w:hAnsi="宋体" w:eastAsia="宋体" w:cs="宋体"/>
          <w:color w:val="auto"/>
          <w:highlight w:val="none"/>
        </w:rPr>
        <w:t>第五部分 拟签订的合同文本</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服务类合同建议可按照参考格式按照实际情况调整修改。</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货物类参考范本</w:t>
      </w:r>
    </w:p>
    <w:p>
      <w:pPr>
        <w:spacing w:line="240" w:lineRule="auto"/>
        <w:jc w:val="right"/>
        <w:rPr>
          <w:rFonts w:hint="eastAsia" w:ascii="宋体" w:hAnsi="宋体" w:eastAsia="宋体" w:cs="宋体"/>
          <w:color w:val="auto"/>
          <w:highlight w:val="none"/>
          <w:u w:val="single"/>
        </w:rPr>
      </w:pPr>
      <w:r>
        <w:rPr>
          <w:rFonts w:hint="eastAsia" w:ascii="宋体" w:hAnsi="宋体" w:eastAsia="宋体" w:cs="宋体"/>
          <w:color w:val="auto"/>
          <w:highlight w:val="none"/>
        </w:rPr>
        <w:t>合同编号：</w:t>
      </w:r>
      <w:r>
        <w:rPr>
          <w:rFonts w:hint="eastAsia" w:ascii="宋体" w:hAnsi="宋体" w:eastAsia="宋体" w:cs="宋体"/>
          <w:color w:val="auto"/>
          <w:highlight w:val="none"/>
          <w:u w:val="single"/>
        </w:rPr>
        <w:t xml:space="preserve">           </w:t>
      </w:r>
    </w:p>
    <w:p>
      <w:pPr>
        <w:pStyle w:val="16"/>
        <w:snapToGrid w:val="0"/>
        <w:spacing w:line="240" w:lineRule="auto"/>
        <w:rPr>
          <w:rFonts w:hint="eastAsia" w:ascii="宋体" w:hAnsi="宋体" w:eastAsia="宋体" w:cs="宋体"/>
          <w:color w:val="auto"/>
          <w:highlight w:val="none"/>
        </w:rPr>
      </w:pPr>
    </w:p>
    <w:p>
      <w:pPr>
        <w:spacing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70"/>
        <w:spacing w:line="240" w:lineRule="auto"/>
        <w:ind w:left="480"/>
        <w:jc w:val="center"/>
        <w:rPr>
          <w:rFonts w:hint="eastAsia" w:ascii="宋体" w:hAnsi="宋体" w:eastAsia="宋体" w:cs="宋体"/>
          <w:color w:val="auto"/>
          <w:szCs w:val="24"/>
          <w:highlight w:val="none"/>
        </w:rPr>
      </w:pP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第一部分 合同书</w:t>
      </w:r>
    </w:p>
    <w:p>
      <w:pPr>
        <w:pStyle w:val="70"/>
        <w:spacing w:line="240" w:lineRule="auto"/>
        <w:ind w:left="480"/>
        <w:rPr>
          <w:rFonts w:hint="eastAsia" w:ascii="宋体" w:hAnsi="宋体" w:eastAsia="宋体" w:cs="宋体"/>
          <w:color w:val="auto"/>
          <w:szCs w:val="24"/>
          <w:highlight w:val="none"/>
        </w:rPr>
      </w:pPr>
    </w:p>
    <w:p>
      <w:pPr>
        <w:spacing w:before="120" w:line="240" w:lineRule="auto"/>
        <w:rPr>
          <w:rFonts w:hint="eastAsia" w:ascii="宋体" w:hAnsi="宋体" w:eastAsia="宋体" w:cs="宋体"/>
          <w:color w:val="auto"/>
          <w:highlight w:val="none"/>
        </w:rPr>
      </w:pPr>
    </w:p>
    <w:p>
      <w:pPr>
        <w:spacing w:before="120" w:line="240" w:lineRule="auto"/>
        <w:ind w:left="96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pStyle w:val="69"/>
        <w:spacing w:before="120" w:line="240" w:lineRule="auto"/>
        <w:rPr>
          <w:rFonts w:hint="eastAsia" w:ascii="宋体" w:hAnsi="宋体" w:eastAsia="宋体" w:cs="宋体"/>
          <w:color w:val="auto"/>
          <w:szCs w:val="24"/>
          <w:highlight w:val="none"/>
        </w:rPr>
      </w:pPr>
    </w:p>
    <w:p>
      <w:pPr>
        <w:pStyle w:val="69"/>
        <w:spacing w:before="120" w:line="240" w:lineRule="auto"/>
        <w:rPr>
          <w:rFonts w:hint="eastAsia" w:ascii="宋体" w:hAnsi="宋体" w:eastAsia="宋体" w:cs="宋体"/>
          <w:color w:val="auto"/>
          <w:szCs w:val="24"/>
          <w:highlight w:val="none"/>
        </w:rPr>
      </w:pPr>
    </w:p>
    <w:p>
      <w:pPr>
        <w:spacing w:line="240" w:lineRule="auto"/>
        <w:rPr>
          <w:rFonts w:hint="eastAsia" w:ascii="宋体" w:hAnsi="宋体" w:eastAsia="宋体" w:cs="宋体"/>
          <w:color w:val="auto"/>
          <w:highlight w:val="none"/>
        </w:rPr>
      </w:pPr>
    </w:p>
    <w:p>
      <w:pPr>
        <w:spacing w:before="120" w:line="240" w:lineRule="auto"/>
        <w:ind w:left="960"/>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p>
    <w:p>
      <w:pPr>
        <w:spacing w:before="120" w:line="240" w:lineRule="auto"/>
        <w:rPr>
          <w:rFonts w:hint="eastAsia" w:ascii="宋体" w:hAnsi="宋体" w:eastAsia="宋体" w:cs="宋体"/>
          <w:color w:val="auto"/>
          <w:highlight w:val="none"/>
        </w:rPr>
      </w:pPr>
    </w:p>
    <w:p>
      <w:pPr>
        <w:spacing w:before="120" w:line="240" w:lineRule="auto"/>
        <w:ind w:left="960"/>
        <w:rPr>
          <w:rFonts w:hint="eastAsia" w:ascii="宋体" w:hAnsi="宋体" w:eastAsia="宋体" w:cs="宋体"/>
          <w:color w:val="auto"/>
          <w:highlight w:val="none"/>
          <w:u w:val="singl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p>
    <w:p>
      <w:pPr>
        <w:spacing w:before="120" w:line="240" w:lineRule="auto"/>
        <w:rPr>
          <w:rFonts w:hint="eastAsia" w:ascii="宋体" w:hAnsi="宋体" w:eastAsia="宋体" w:cs="宋体"/>
          <w:color w:val="auto"/>
          <w:highlight w:val="none"/>
        </w:rPr>
      </w:pPr>
    </w:p>
    <w:p>
      <w:pPr>
        <w:spacing w:before="120" w:line="240" w:lineRule="auto"/>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签订地：</w:t>
      </w:r>
      <w:r>
        <w:rPr>
          <w:rFonts w:hint="eastAsia" w:ascii="宋体" w:hAnsi="宋体" w:eastAsia="宋体" w:cs="宋体"/>
          <w:color w:val="auto"/>
          <w:highlight w:val="none"/>
          <w:u w:val="single"/>
        </w:rPr>
        <w:t xml:space="preserve">                                     </w:t>
      </w:r>
    </w:p>
    <w:p>
      <w:pPr>
        <w:spacing w:before="120" w:line="240" w:lineRule="auto"/>
        <w:rPr>
          <w:rFonts w:hint="eastAsia" w:ascii="宋体" w:hAnsi="宋体" w:eastAsia="宋体" w:cs="宋体"/>
          <w:color w:val="auto"/>
          <w:highlight w:val="none"/>
        </w:rPr>
      </w:pPr>
    </w:p>
    <w:p>
      <w:pPr>
        <w:spacing w:before="120" w:line="240" w:lineRule="auto"/>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240" w:lineRule="auto"/>
        <w:rPr>
          <w:rFonts w:hint="eastAsia" w:ascii="宋体" w:hAnsi="宋体" w:eastAsia="宋体" w:cs="宋体"/>
          <w:color w:val="auto"/>
          <w:highlight w:val="none"/>
        </w:rPr>
        <w:sectPr>
          <w:headerReference r:id="rId4" w:type="default"/>
          <w:footerReference r:id="rId5" w:type="default"/>
          <w:pgSz w:w="11907" w:h="16840"/>
          <w:pgMar w:top="1474" w:right="1814" w:bottom="1474" w:left="1814" w:header="851" w:footer="851" w:gutter="0"/>
          <w:cols w:space="720" w:num="1"/>
        </w:sectPr>
      </w:pP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（采购人）   </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   （政府采购方式）  </w:t>
      </w:r>
      <w:r>
        <w:rPr>
          <w:rFonts w:hint="eastAsia" w:ascii="宋体" w:hAnsi="宋体" w:eastAsia="宋体" w:cs="宋体"/>
          <w:color w:val="auto"/>
          <w:highlight w:val="none"/>
        </w:rPr>
        <w:t>对</w:t>
      </w:r>
      <w:r>
        <w:rPr>
          <w:rFonts w:hint="eastAsia" w:ascii="宋体" w:hAnsi="宋体" w:eastAsia="宋体" w:cs="宋体"/>
          <w:color w:val="auto"/>
          <w:highlight w:val="none"/>
          <w:u w:val="single"/>
        </w:rPr>
        <w:t xml:space="preserve">   （同前页项目名称）   </w:t>
      </w:r>
      <w:r>
        <w:rPr>
          <w:rFonts w:hint="eastAsia" w:ascii="宋体" w:hAnsi="宋体" w:eastAsia="宋体" w:cs="宋体"/>
          <w:color w:val="auto"/>
          <w:highlight w:val="none"/>
        </w:rPr>
        <w:t>项目进行了采购。经</w:t>
      </w:r>
      <w:r>
        <w:rPr>
          <w:rFonts w:hint="eastAsia" w:ascii="宋体" w:hAnsi="宋体" w:eastAsia="宋体" w:cs="宋体"/>
          <w:color w:val="auto"/>
          <w:highlight w:val="none"/>
          <w:u w:val="single"/>
        </w:rPr>
        <w:t xml:space="preserve">   （相关评定主体名称）   </w:t>
      </w:r>
      <w:r>
        <w:rPr>
          <w:rFonts w:hint="eastAsia" w:ascii="宋体" w:hAnsi="宋体" w:eastAsia="宋体" w:cs="宋体"/>
          <w:color w:val="auto"/>
          <w:highlight w:val="none"/>
        </w:rPr>
        <w:t>评定，</w:t>
      </w:r>
      <w:r>
        <w:rPr>
          <w:rFonts w:hint="eastAsia" w:ascii="宋体" w:hAnsi="宋体" w:eastAsia="宋体" w:cs="宋体"/>
          <w:color w:val="auto"/>
          <w:highlight w:val="none"/>
          <w:u w:val="single"/>
        </w:rPr>
        <w:t xml:space="preserve">   （中标供应商名称）</w:t>
      </w:r>
      <w:r>
        <w:rPr>
          <w:rFonts w:hint="eastAsia" w:ascii="宋体" w:hAnsi="宋体" w:eastAsia="宋体" w:cs="宋体"/>
          <w:color w:val="auto"/>
          <w:highlight w:val="none"/>
        </w:rPr>
        <w:t>为该项目中标供应商。现于中标通知书发出之日起三十日内，按照采购文件确定的事项签订本合同。</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highlight w:val="none"/>
          <w:u w:val="single"/>
        </w:rPr>
        <w:t xml:space="preserve">   （采购人）   </w:t>
      </w:r>
      <w:r>
        <w:rPr>
          <w:rFonts w:hint="eastAsia" w:ascii="宋体" w:hAnsi="宋体" w:eastAsia="宋体" w:cs="宋体"/>
          <w:color w:val="auto"/>
          <w:highlight w:val="none"/>
          <w:lang w:val="zh-CN"/>
        </w:rPr>
        <w:t>(以下简称：甲方)和</w:t>
      </w:r>
      <w:r>
        <w:rPr>
          <w:rFonts w:hint="eastAsia" w:ascii="宋体" w:hAnsi="宋体" w:eastAsia="宋体" w:cs="宋体"/>
          <w:color w:val="auto"/>
          <w:highlight w:val="none"/>
          <w:u w:val="single"/>
        </w:rPr>
        <w:t xml:space="preserve">   （中标供应商名称）   </w:t>
      </w:r>
      <w:r>
        <w:rPr>
          <w:rFonts w:hint="eastAsia" w:ascii="宋体" w:hAnsi="宋体" w:eastAsia="宋体" w:cs="宋体"/>
          <w:color w:val="auto"/>
          <w:highlight w:val="none"/>
          <w:lang w:val="zh-CN"/>
        </w:rPr>
        <w:t>(以下简称：乙方)协商一致，约定以下合同</w:t>
      </w:r>
      <w:r>
        <w:rPr>
          <w:rFonts w:hint="eastAsia" w:ascii="宋体" w:hAnsi="宋体" w:eastAsia="宋体" w:cs="宋体"/>
          <w:color w:val="auto"/>
          <w:highlight w:val="none"/>
        </w:rPr>
        <w:t>条款，以兹共同遵守、全面履行。</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69" w:name="_Toc24059"/>
      <w:bookmarkStart w:id="370" w:name="_Toc3029"/>
      <w:bookmarkStart w:id="371" w:name="_Toc2232"/>
      <w:r>
        <w:rPr>
          <w:rFonts w:hint="eastAsia" w:ascii="宋体" w:hAnsi="宋体" w:eastAsia="宋体" w:cs="宋体"/>
          <w:color w:val="auto"/>
          <w:highlight w:val="none"/>
        </w:rPr>
        <w:t>1.1 合同组成部分</w:t>
      </w:r>
      <w:bookmarkEnd w:id="369"/>
      <w:bookmarkEnd w:id="370"/>
      <w:bookmarkEnd w:id="371"/>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本合同及其补充合同、变更协议；</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中标通知书；</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投标文件（含澄清或者说明文件）；</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招标文件（含澄清或者修改文件）；</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其他相关采购文件。</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72" w:name="_Toc21295"/>
      <w:bookmarkStart w:id="373" w:name="_Toc27126"/>
      <w:bookmarkStart w:id="374" w:name="_Toc24300"/>
      <w:r>
        <w:rPr>
          <w:rFonts w:hint="eastAsia" w:ascii="宋体" w:hAnsi="宋体" w:eastAsia="宋体" w:cs="宋体"/>
          <w:color w:val="auto"/>
          <w:highlight w:val="none"/>
        </w:rPr>
        <w:t>1.2 货物</w:t>
      </w:r>
      <w:bookmarkEnd w:id="372"/>
      <w:bookmarkEnd w:id="373"/>
      <w:bookmarkEnd w:id="374"/>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1.2.1 货物名称：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1.2.2 货物数量：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货物质量：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75" w:name="_Toc23292"/>
      <w:bookmarkStart w:id="376" w:name="_Toc21631"/>
      <w:bookmarkStart w:id="377" w:name="_Toc21551"/>
      <w:r>
        <w:rPr>
          <w:rFonts w:hint="eastAsia" w:ascii="宋体" w:hAnsi="宋体" w:eastAsia="宋体" w:cs="宋体"/>
          <w:color w:val="auto"/>
          <w:highlight w:val="none"/>
        </w:rPr>
        <w:t>1.3 价款</w:t>
      </w:r>
      <w:bookmarkEnd w:id="375"/>
      <w:bookmarkEnd w:id="376"/>
      <w:bookmarkEnd w:id="377"/>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本合同总价为：￥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keepNext w:val="0"/>
              <w:keepLines w:val="0"/>
              <w:pageBreakBefore w:val="0"/>
              <w:kinsoku/>
              <w:wordWrap/>
              <w:overflowPunct/>
              <w:topLinePunct w:val="0"/>
              <w:bidi w:val="0"/>
              <w:adjustRightInd/>
              <w:snapToGrid/>
              <w:spacing w:line="312" w:lineRule="auto"/>
              <w:ind w:firstLine="200"/>
              <w:jc w:val="center"/>
              <w:textAlignment w:val="auto"/>
              <w:rPr>
                <w:rFonts w:hint="eastAsia" w:ascii="宋体" w:hAnsi="宋体" w:eastAsia="宋体" w:cs="宋体"/>
                <w:color w:val="auto"/>
                <w:sz w:val="24"/>
                <w:szCs w:val="24"/>
                <w:highlight w:val="none"/>
              </w:rPr>
            </w:pPr>
          </w:p>
        </w:tc>
      </w:tr>
    </w:tbl>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78" w:name="_Toc22618"/>
      <w:bookmarkStart w:id="379" w:name="_Toc1814"/>
      <w:bookmarkStart w:id="380" w:name="_Toc10340"/>
      <w:r>
        <w:rPr>
          <w:rFonts w:hint="eastAsia" w:ascii="宋体" w:hAnsi="宋体" w:eastAsia="宋体" w:cs="宋体"/>
          <w:color w:val="auto"/>
          <w:highlight w:val="none"/>
        </w:rPr>
        <w:t>1.4 付款</w:t>
      </w:r>
      <w:bookmarkEnd w:id="378"/>
      <w:bookmarkEnd w:id="379"/>
      <w:bookmarkEnd w:id="380"/>
      <w:r>
        <w:rPr>
          <w:rFonts w:hint="eastAsia" w:ascii="宋体" w:hAnsi="宋体" w:eastAsia="宋体" w:cs="宋体"/>
          <w:color w:val="auto"/>
          <w:highlight w:val="none"/>
        </w:rPr>
        <w:t>方式、时间和条件</w:t>
      </w:r>
    </w:p>
    <w:p>
      <w:pPr>
        <w:pStyle w:val="71"/>
        <w:keepNext w:val="0"/>
        <w:keepLines w:val="0"/>
        <w:pageBreakBefore w:val="0"/>
        <w:kinsoku/>
        <w:wordWrap/>
        <w:overflowPunct/>
        <w:topLinePunct w:val="0"/>
        <w:bidi w:val="0"/>
        <w:adjustRightInd/>
        <w:snapToGrid/>
        <w:spacing w:before="0" w:beforeAutospacing="0" w:after="0" w:afterAutospacing="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1.4.4资金支付的方式、时间和条件详见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81" w:name="_Toc32071"/>
      <w:bookmarkStart w:id="382" w:name="_Toc19304"/>
      <w:bookmarkStart w:id="383" w:name="_Toc2846"/>
      <w:r>
        <w:rPr>
          <w:rFonts w:hint="eastAsia" w:ascii="宋体" w:hAnsi="宋体" w:eastAsia="宋体" w:cs="宋体"/>
          <w:color w:val="auto"/>
          <w:highlight w:val="none"/>
        </w:rPr>
        <w:t>1.5 货物交付期限、地点和方式</w:t>
      </w:r>
      <w:bookmarkEnd w:id="381"/>
      <w:bookmarkEnd w:id="382"/>
      <w:bookmarkEnd w:id="383"/>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1.5.1 交付期限：详见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1.5.2 交付地点：</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1.5.3 交付方式：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84" w:name="_Toc19554"/>
      <w:bookmarkStart w:id="385" w:name="_Toc21423"/>
      <w:bookmarkStart w:id="386" w:name="_Toc27250"/>
      <w:r>
        <w:rPr>
          <w:rFonts w:hint="eastAsia" w:ascii="宋体" w:hAnsi="宋体" w:eastAsia="宋体" w:cs="宋体"/>
          <w:color w:val="auto"/>
          <w:highlight w:val="none"/>
        </w:rPr>
        <w:t>1.6 违约责任</w:t>
      </w:r>
      <w:bookmarkEnd w:id="384"/>
      <w:bookmarkEnd w:id="385"/>
      <w:bookmarkEnd w:id="386"/>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adjustRightInd/>
        <w:snapToGrid/>
        <w:spacing w:line="312" w:lineRule="auto"/>
        <w:ind w:left="-480" w:leftChars="-200" w:right="-480" w:rightChars="-200"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1.6.7违约责任</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另有约定的，从其约定。</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87" w:name="_Toc16021"/>
      <w:bookmarkStart w:id="388" w:name="_Toc15583"/>
      <w:bookmarkStart w:id="389" w:name="_Toc28375"/>
      <w:r>
        <w:rPr>
          <w:rFonts w:hint="eastAsia" w:ascii="宋体" w:hAnsi="宋体" w:eastAsia="宋体" w:cs="宋体"/>
          <w:color w:val="auto"/>
          <w:highlight w:val="none"/>
        </w:rPr>
        <w:t>1.7 合同争议的解决</w:t>
      </w:r>
      <w:bookmarkEnd w:id="387"/>
      <w:bookmarkEnd w:id="388"/>
      <w:bookmarkEnd w:id="389"/>
    </w:p>
    <w:p>
      <w:pPr>
        <w:keepNext w:val="0"/>
        <w:keepLines w:val="0"/>
        <w:pageBreakBefore w:val="0"/>
        <w:kinsoku/>
        <w:wordWrap/>
        <w:overflowPunct/>
        <w:topLinePunct w:val="0"/>
        <w:bidi w:val="0"/>
        <w:adjustRightInd/>
        <w:snapToGrid/>
        <w:spacing w:line="312" w:lineRule="auto"/>
        <w:ind w:left="-70" w:leftChars="-29" w:right="-480" w:rightChars="-200"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highlight w:val="none"/>
          <w:u w:val="single"/>
        </w:rPr>
        <w:t xml:space="preserve"> 合同专用条款  </w:t>
      </w:r>
      <w:r>
        <w:rPr>
          <w:rFonts w:hint="eastAsia" w:ascii="宋体" w:hAnsi="宋体" w:eastAsia="宋体" w:cs="宋体"/>
          <w:color w:val="auto"/>
          <w:highlight w:val="none"/>
        </w:rPr>
        <w:t>条款规定的方式解决：</w:t>
      </w:r>
    </w:p>
    <w:p>
      <w:pPr>
        <w:keepNext w:val="0"/>
        <w:keepLines w:val="0"/>
        <w:pageBreakBefore w:val="0"/>
        <w:kinsoku/>
        <w:wordWrap/>
        <w:overflowPunct/>
        <w:topLinePunct w:val="0"/>
        <w:bidi w:val="0"/>
        <w:adjustRightInd/>
        <w:snapToGrid/>
        <w:spacing w:line="312" w:lineRule="auto"/>
        <w:ind w:left="-480" w:leftChars="-200" w:right="-480" w:rightChars="-20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将争议提交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仲裁委员会依申请仲裁时其现行有效的仲裁规则裁决；</w:t>
      </w:r>
    </w:p>
    <w:p>
      <w:pPr>
        <w:keepNext w:val="0"/>
        <w:keepLines w:val="0"/>
        <w:pageBreakBefore w:val="0"/>
        <w:kinsoku/>
        <w:wordWrap/>
        <w:overflowPunct/>
        <w:topLinePunct w:val="0"/>
        <w:bidi w:val="0"/>
        <w:adjustRightInd/>
        <w:snapToGrid/>
        <w:spacing w:line="312" w:lineRule="auto"/>
        <w:ind w:left="-480" w:leftChars="-200" w:right="-480" w:rightChars="-20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1.7.2 向</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人民法院起诉。</w:t>
      </w:r>
    </w:p>
    <w:p>
      <w:pPr>
        <w:pStyle w:val="7"/>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90" w:name="_Toc7245"/>
      <w:bookmarkStart w:id="391" w:name="_Toc11173"/>
      <w:bookmarkStart w:id="392" w:name="_Toc15322"/>
      <w:r>
        <w:rPr>
          <w:rFonts w:hint="eastAsia" w:ascii="宋体" w:hAnsi="宋体" w:eastAsia="宋体" w:cs="宋体"/>
          <w:color w:val="auto"/>
          <w:highlight w:val="none"/>
        </w:rPr>
        <w:t>1.8 合同生效</w:t>
      </w:r>
      <w:bookmarkEnd w:id="390"/>
      <w:bookmarkEnd w:id="391"/>
      <w:bookmarkEnd w:id="392"/>
    </w:p>
    <w:p>
      <w:pPr>
        <w:keepNext w:val="0"/>
        <w:keepLines w:val="0"/>
        <w:pageBreakBefore w:val="0"/>
        <w:kinsoku/>
        <w:wordWrap/>
        <w:overflowPunct/>
        <w:topLinePunct w:val="0"/>
        <w:bidi w:val="0"/>
        <w:adjustRightInd/>
        <w:snapToGrid/>
        <w:spacing w:line="312" w:lineRule="auto"/>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本合同自双方当事人盖章或者签字时生效。</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b/>
          <w:color w:val="auto"/>
          <w:highlight w:val="none"/>
          <w:lang w:val="zh-CN"/>
        </w:rPr>
        <w:t>甲方</w:t>
      </w:r>
      <w:r>
        <w:rPr>
          <w:rFonts w:hint="eastAsia" w:ascii="宋体" w:hAnsi="宋体" w:eastAsia="宋体" w:cs="宋体"/>
          <w:color w:val="auto"/>
          <w:highlight w:val="none"/>
          <w:lang w:val="zh-CN"/>
        </w:rPr>
        <w:t xml:space="preserve">：                             </w:t>
      </w:r>
      <w:r>
        <w:rPr>
          <w:rFonts w:hint="eastAsia" w:ascii="宋体" w:hAnsi="宋体" w:eastAsia="宋体" w:cs="宋体"/>
          <w:b/>
          <w:color w:val="auto"/>
          <w:highlight w:val="none"/>
          <w:lang w:val="zh-CN"/>
        </w:rPr>
        <w:t xml:space="preserve">      乙方</w:t>
      </w:r>
      <w:r>
        <w:rPr>
          <w:rFonts w:hint="eastAsia" w:ascii="宋体" w:hAnsi="宋体" w:eastAsia="宋体" w:cs="宋体"/>
          <w:color w:val="auto"/>
          <w:highlight w:val="none"/>
          <w:lang w:val="zh-CN"/>
        </w:rPr>
        <w:t>：</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住所：                                   住所：</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法定代表人或                             法定代表人</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授权代表（签字）：                        或授权代表（签字）: </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                                 联系人：</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约定送达地址：                           约定送达地址：</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邮政编码：                               邮政编码：</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电话:                                    电话: </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传真:                                    传真:</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电子邮箱：                               电子邮箱：</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开户名称：                               开户名称： </w:t>
      </w:r>
    </w:p>
    <w:p>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开户账号：</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开户账号：</w:t>
      </w:r>
    </w:p>
    <w:p>
      <w:pPr>
        <w:pStyle w:val="6"/>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bookmarkStart w:id="393" w:name="_Toc331685783"/>
      <w:r>
        <w:rPr>
          <w:rFonts w:hint="eastAsia" w:ascii="宋体" w:hAnsi="宋体" w:eastAsia="宋体" w:cs="宋体"/>
          <w:color w:val="auto"/>
          <w:highlight w:val="none"/>
        </w:rPr>
        <w:t>第二部分 合同一般条款</w:t>
      </w:r>
      <w:bookmarkEnd w:id="393"/>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394" w:name="_Ref467379109"/>
      <w:bookmarkStart w:id="395" w:name="_Ref467379094"/>
      <w:bookmarkStart w:id="396" w:name="_Toc19614"/>
      <w:bookmarkStart w:id="397" w:name="_Ref467378404"/>
      <w:bookmarkStart w:id="398" w:name="_Ref467379205"/>
      <w:bookmarkStart w:id="399" w:name="_Ref467379195"/>
      <w:bookmarkStart w:id="400" w:name="_Toc16917"/>
      <w:bookmarkStart w:id="401" w:name="_Ref467379214"/>
      <w:bookmarkStart w:id="402" w:name="_Toc28763"/>
      <w:bookmarkStart w:id="403" w:name="_Toc259093669"/>
      <w:bookmarkStart w:id="404" w:name="_Ref467379225"/>
      <w:bookmarkStart w:id="405" w:name="_Toc279701240"/>
      <w:bookmarkStart w:id="406" w:name="_Ref467379101"/>
      <w:bookmarkStart w:id="407" w:name="_Ref467378499"/>
      <w:bookmarkStart w:id="408" w:name="_Toc487900349"/>
      <w:bookmarkStart w:id="409" w:name="_Ref467378463"/>
      <w:r>
        <w:rPr>
          <w:rFonts w:hint="eastAsia" w:ascii="宋体" w:hAnsi="宋体" w:eastAsia="宋体" w:cs="宋体"/>
          <w:color w:val="auto"/>
          <w:highlight w:val="none"/>
        </w:rPr>
        <w:t>2.1 定义</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本合同中的下列词语应按以下内容进行解释：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 “合同”系指采购人和中标供应商签订的载明双方当事人所达成的协议，并包括所有的附件、附录和构成合同的其他文件。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 “合同价”系指根据合同约定，中标供应商在完全履行合同义务后，采购人应支付给中标供应商的价格。</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2.1.3 “货物”系指中标供应商根据合同约定应向采购人交付的一切各种形态和种类的物品，包括原材料、燃料、设备、机械、仪表、备件、计算机软件、产品等，并包括工具、手册等其他相关资料。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bookmarkStart w:id="410" w:name="_Ref467378840"/>
      <w:r>
        <w:rPr>
          <w:rFonts w:hint="eastAsia" w:ascii="宋体" w:hAnsi="宋体" w:eastAsia="宋体" w:cs="宋体"/>
          <w:color w:val="auto"/>
          <w:highlight w:val="none"/>
        </w:rPr>
        <w:t>2.1.4 “甲方”系指与中标供应商签署合同的采购人</w:t>
      </w:r>
      <w:bookmarkEnd w:id="410"/>
      <w:r>
        <w:rPr>
          <w:rFonts w:hint="eastAsia" w:ascii="宋体" w:hAnsi="宋体" w:eastAsia="宋体" w:cs="宋体"/>
          <w:color w:val="auto"/>
          <w:highlight w:val="none"/>
        </w:rPr>
        <w:t>；采购人委托采购代理机构代表其与乙方签订合同的，采购人的授权委托书作为合同附件。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bookmarkStart w:id="411" w:name="_Ref467379400"/>
      <w:r>
        <w:rPr>
          <w:rFonts w:hint="eastAsia" w:ascii="宋体" w:hAnsi="宋体" w:eastAsia="宋体" w:cs="宋体"/>
          <w:color w:val="auto"/>
          <w:highlight w:val="none"/>
        </w:rPr>
        <w:t>2.1.5 “乙方”系指根据合同约定交付货物的中标供应商</w:t>
      </w:r>
      <w:bookmarkEnd w:id="411"/>
      <w:r>
        <w:rPr>
          <w:rFonts w:hint="eastAsia" w:ascii="宋体" w:hAnsi="宋体" w:eastAsia="宋体" w:cs="宋体"/>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bookmarkStart w:id="412" w:name="_Ref467379436"/>
      <w:r>
        <w:rPr>
          <w:rFonts w:hint="eastAsia" w:ascii="宋体" w:hAnsi="宋体" w:eastAsia="宋体" w:cs="宋体"/>
          <w:color w:val="auto"/>
          <w:highlight w:val="none"/>
        </w:rPr>
        <w:t>2.1.6 “现场”系指合同约定货物将要运至或者安装的地点。</w:t>
      </w:r>
      <w:bookmarkEnd w:id="412"/>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13" w:name="_Toc13336"/>
      <w:bookmarkStart w:id="414" w:name="_Toc279701241"/>
      <w:bookmarkStart w:id="415" w:name="_Toc32504"/>
      <w:bookmarkStart w:id="416" w:name="_Toc259093670"/>
      <w:bookmarkStart w:id="417" w:name="_Toc27635"/>
      <w:bookmarkStart w:id="418" w:name="_Toc487900350"/>
      <w:r>
        <w:rPr>
          <w:rFonts w:hint="eastAsia" w:ascii="宋体" w:hAnsi="宋体" w:eastAsia="宋体" w:cs="宋体"/>
          <w:color w:val="auto"/>
          <w:highlight w:val="none"/>
        </w:rPr>
        <w:t>2.2 技术规范</w:t>
      </w:r>
      <w:bookmarkEnd w:id="413"/>
      <w:bookmarkEnd w:id="414"/>
      <w:bookmarkEnd w:id="415"/>
      <w:bookmarkEnd w:id="416"/>
      <w:bookmarkEnd w:id="417"/>
      <w:bookmarkEnd w:id="418"/>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19" w:name="_Toc27853"/>
      <w:bookmarkStart w:id="420" w:name="_Toc9829"/>
      <w:bookmarkStart w:id="421" w:name="_Toc259093671"/>
      <w:bookmarkStart w:id="422" w:name="_Toc487900351"/>
      <w:bookmarkStart w:id="423" w:name="_Toc279701242"/>
      <w:bookmarkStart w:id="424" w:name="_Toc31634"/>
      <w:r>
        <w:rPr>
          <w:rFonts w:hint="eastAsia" w:ascii="宋体" w:hAnsi="宋体" w:eastAsia="宋体" w:cs="宋体"/>
          <w:color w:val="auto"/>
          <w:highlight w:val="none"/>
        </w:rPr>
        <w:t>2.3 知识产权</w:t>
      </w:r>
      <w:bookmarkEnd w:id="419"/>
      <w:bookmarkEnd w:id="420"/>
      <w:bookmarkEnd w:id="421"/>
      <w:bookmarkEnd w:id="422"/>
      <w:bookmarkEnd w:id="423"/>
      <w:bookmarkEnd w:id="424"/>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2.3.2具有知识产权的计算机软件等货物的知识产权归属，详见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25" w:name="_Toc29149"/>
      <w:bookmarkStart w:id="426" w:name="_Toc4194"/>
      <w:bookmarkStart w:id="427" w:name="_Toc11932"/>
      <w:r>
        <w:rPr>
          <w:rFonts w:hint="eastAsia" w:ascii="宋体" w:hAnsi="宋体" w:eastAsia="宋体" w:cs="宋体"/>
          <w:color w:val="auto"/>
          <w:highlight w:val="none"/>
        </w:rPr>
        <w:t>2.4 包装和装运</w:t>
      </w:r>
      <w:bookmarkEnd w:id="425"/>
      <w:bookmarkEnd w:id="426"/>
      <w:bookmarkEnd w:id="427"/>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2.4.1除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2.4.2 装运货物的要求和通知，详见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28" w:name="_Toc487900354"/>
      <w:bookmarkStart w:id="429" w:name="_Ref467379536"/>
      <w:bookmarkStart w:id="430" w:name="_Toc259093674"/>
      <w:bookmarkStart w:id="431" w:name="_Toc279701245"/>
      <w:bookmarkStart w:id="432" w:name="_Ref467379527"/>
      <w:bookmarkStart w:id="433" w:name="_Ref467379542"/>
      <w:bookmarkStart w:id="434" w:name="_Ref467378591"/>
      <w:bookmarkStart w:id="435" w:name="_Ref467378541"/>
      <w:bookmarkStart w:id="436" w:name="_Toc26182"/>
      <w:bookmarkStart w:id="437" w:name="_Toc19074"/>
      <w:bookmarkStart w:id="438" w:name="_Toc30272"/>
      <w:r>
        <w:rPr>
          <w:rFonts w:hint="eastAsia" w:ascii="宋体" w:hAnsi="宋体" w:eastAsia="宋体" w:cs="宋体"/>
          <w:color w:val="auto"/>
          <w:highlight w:val="none"/>
        </w:rPr>
        <w:t>2.</w:t>
      </w:r>
      <w:bookmarkEnd w:id="428"/>
      <w:bookmarkEnd w:id="429"/>
      <w:bookmarkEnd w:id="430"/>
      <w:bookmarkEnd w:id="431"/>
      <w:bookmarkEnd w:id="432"/>
      <w:bookmarkEnd w:id="433"/>
      <w:bookmarkEnd w:id="434"/>
      <w:bookmarkEnd w:id="435"/>
      <w:r>
        <w:rPr>
          <w:rFonts w:hint="eastAsia" w:ascii="宋体" w:hAnsi="宋体" w:eastAsia="宋体" w:cs="宋体"/>
          <w:color w:val="auto"/>
          <w:highlight w:val="none"/>
        </w:rPr>
        <w:t>5 履约检查和问题反馈</w:t>
      </w:r>
      <w:bookmarkEnd w:id="436"/>
      <w:bookmarkEnd w:id="437"/>
      <w:bookmarkEnd w:id="438"/>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bookmarkStart w:id="439" w:name="_Ref467379657"/>
      <w:r>
        <w:rPr>
          <w:rFonts w:hint="eastAsia" w:ascii="宋体" w:hAnsi="宋体" w:eastAsia="宋体" w:cs="宋体"/>
          <w:color w:val="auto"/>
          <w:highlight w:val="none"/>
        </w:rPr>
        <w:t>2.5.1</w:t>
      </w:r>
      <w:bookmarkEnd w:id="439"/>
      <w:bookmarkStart w:id="440" w:name="_Toc186431854"/>
      <w:bookmarkStart w:id="441" w:name="_Toc279701247"/>
      <w:bookmarkStart w:id="442" w:name="_Toc487900357"/>
      <w:bookmarkStart w:id="443" w:name="_Ref467379807"/>
      <w:bookmarkStart w:id="444" w:name="_Ref467379793"/>
      <w:bookmarkStart w:id="445" w:name="_Toc259093676"/>
      <w:r>
        <w:rPr>
          <w:rFonts w:hint="eastAsia" w:ascii="宋体" w:hAnsi="宋体" w:eastAsia="宋体" w:cs="宋体"/>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2.5.2 合同履行期间，甲方有权将履行过程中出现的问题反馈给乙方，双方当事人应以书面形式约定需要完善和改进的内容</w:t>
      </w:r>
      <w:bookmarkEnd w:id="440"/>
      <w:bookmarkStart w:id="446" w:name="_Toc186431855"/>
      <w:r>
        <w:rPr>
          <w:rFonts w:hint="eastAsia" w:ascii="宋体" w:hAnsi="宋体" w:eastAsia="宋体" w:cs="宋体"/>
          <w:color w:val="auto"/>
          <w:highlight w:val="none"/>
        </w:rPr>
        <w:t>。</w:t>
      </w:r>
    </w:p>
    <w:bookmarkEnd w:id="441"/>
    <w:bookmarkEnd w:id="442"/>
    <w:bookmarkEnd w:id="443"/>
    <w:bookmarkEnd w:id="444"/>
    <w:bookmarkEnd w:id="445"/>
    <w:bookmarkEnd w:id="446"/>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47" w:name="_Toc259093677"/>
      <w:bookmarkStart w:id="448" w:name="_Ref467379852"/>
      <w:bookmarkStart w:id="449" w:name="_Ref467379863"/>
      <w:bookmarkStart w:id="450" w:name="_Ref467379923"/>
      <w:bookmarkStart w:id="451" w:name="_Toc279701248"/>
      <w:bookmarkStart w:id="452" w:name="_Toc487900358"/>
      <w:bookmarkStart w:id="453" w:name="_Toc774"/>
      <w:bookmarkStart w:id="454" w:name="_Toc3225"/>
      <w:bookmarkStart w:id="455" w:name="_Toc16110"/>
      <w:r>
        <w:rPr>
          <w:rFonts w:hint="eastAsia" w:ascii="宋体" w:hAnsi="宋体" w:eastAsia="宋体" w:cs="宋体"/>
          <w:color w:val="auto"/>
          <w:highlight w:val="none"/>
        </w:rPr>
        <w:t>2.6 技术资料</w:t>
      </w:r>
      <w:bookmarkEnd w:id="447"/>
      <w:bookmarkEnd w:id="448"/>
      <w:bookmarkEnd w:id="449"/>
      <w:bookmarkEnd w:id="450"/>
      <w:bookmarkEnd w:id="451"/>
      <w:bookmarkEnd w:id="452"/>
      <w:r>
        <w:rPr>
          <w:rFonts w:hint="eastAsia" w:ascii="宋体" w:hAnsi="宋体" w:eastAsia="宋体" w:cs="宋体"/>
          <w:color w:val="auto"/>
          <w:highlight w:val="none"/>
        </w:rPr>
        <w:t>和保密义务</w:t>
      </w:r>
      <w:bookmarkEnd w:id="453"/>
      <w:bookmarkEnd w:id="454"/>
      <w:bookmarkEnd w:id="455"/>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2.6.1 乙方有权依据合同约定和项目需要，向甲方了解有关情况，调阅有关资料等，甲方应予积极配合；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2.6.2 乙方有义务妥善保管和保护由甲方提供的前款信息和资料等；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56" w:name="_Toc7860"/>
      <w:r>
        <w:rPr>
          <w:rFonts w:hint="eastAsia" w:ascii="宋体" w:hAnsi="宋体" w:eastAsia="宋体" w:cs="宋体"/>
          <w:color w:val="auto"/>
          <w:highlight w:val="none"/>
        </w:rPr>
        <w:t>2.7 质量保证</w:t>
      </w:r>
      <w:bookmarkEnd w:id="456"/>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2.7.1 乙方应建立和完善履行合同的内部质量保证体系，并提供相关内部规章制度给甲方，以便甲方进行监督检查；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2.7.2 乙方应保证履行合同的人员数量和素质、软件和硬件设备的配置、场地、环境和设施等满足全面履行合同的要求，并应接受甲方的监督检查。</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57" w:name="_Toc17244"/>
      <w:bookmarkStart w:id="458" w:name="_Toc279701252"/>
      <w:bookmarkStart w:id="459" w:name="_Toc487900362"/>
      <w:bookmarkStart w:id="460" w:name="_Toc259093681"/>
      <w:r>
        <w:rPr>
          <w:rFonts w:hint="eastAsia" w:ascii="宋体" w:hAnsi="宋体" w:eastAsia="宋体" w:cs="宋体"/>
          <w:color w:val="auto"/>
          <w:highlight w:val="none"/>
        </w:rPr>
        <w:t>2.8 货物的风险负担</w:t>
      </w:r>
      <w:bookmarkEnd w:id="457"/>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货物或者在途货物或者交付给第一承运人后的货物毁损、灭失的风险负担详见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61" w:name="_Toc14055"/>
      <w:r>
        <w:rPr>
          <w:rFonts w:hint="eastAsia" w:ascii="宋体" w:hAnsi="宋体" w:eastAsia="宋体" w:cs="宋体"/>
          <w:color w:val="auto"/>
          <w:highlight w:val="none"/>
        </w:rPr>
        <w:t>2.9 延迟交货</w:t>
      </w:r>
      <w:bookmarkEnd w:id="458"/>
      <w:bookmarkEnd w:id="459"/>
      <w:bookmarkEnd w:id="460"/>
      <w:bookmarkEnd w:id="461"/>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62" w:name="_Toc7502"/>
      <w:bookmarkStart w:id="463" w:name="_Ref467378121"/>
      <w:bookmarkStart w:id="464" w:name="_Toc279701254"/>
      <w:bookmarkStart w:id="465" w:name="_Toc487900364"/>
      <w:bookmarkStart w:id="466" w:name="_Toc259093683"/>
      <w:r>
        <w:rPr>
          <w:rFonts w:hint="eastAsia" w:ascii="宋体" w:hAnsi="宋体" w:eastAsia="宋体" w:cs="宋体"/>
          <w:color w:val="auto"/>
          <w:highlight w:val="none"/>
        </w:rPr>
        <w:t>2.10 合同变更</w:t>
      </w:r>
      <w:bookmarkEnd w:id="462"/>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7" w:name="_Toc279701259"/>
      <w:bookmarkStart w:id="468" w:name="_Toc259093688"/>
      <w:bookmarkStart w:id="469" w:name="_Toc487900369"/>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70" w:name="_Toc10366"/>
      <w:bookmarkStart w:id="471" w:name="_Toc15237"/>
      <w:bookmarkStart w:id="472" w:name="_Toc22955"/>
      <w:r>
        <w:rPr>
          <w:rFonts w:hint="eastAsia" w:ascii="宋体" w:hAnsi="宋体" w:eastAsia="宋体" w:cs="宋体"/>
          <w:color w:val="auto"/>
          <w:highlight w:val="none"/>
        </w:rPr>
        <w:t>2.11 合同转让</w:t>
      </w:r>
      <w:bookmarkEnd w:id="467"/>
      <w:bookmarkEnd w:id="468"/>
      <w:bookmarkEnd w:id="469"/>
      <w:r>
        <w:rPr>
          <w:rFonts w:hint="eastAsia" w:ascii="宋体" w:hAnsi="宋体" w:eastAsia="宋体" w:cs="宋体"/>
          <w:color w:val="auto"/>
          <w:highlight w:val="none"/>
        </w:rPr>
        <w:t>和分包</w:t>
      </w:r>
      <w:bookmarkEnd w:id="470"/>
      <w:bookmarkEnd w:id="471"/>
      <w:bookmarkEnd w:id="472"/>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2.11.2乙方采取分包方式履行合同的，甲方可直接向分包供应商支付款项。</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73" w:name="_Toc13566"/>
      <w:bookmarkStart w:id="474" w:name="_Toc16508"/>
      <w:bookmarkStart w:id="475" w:name="_Toc14066"/>
      <w:r>
        <w:rPr>
          <w:rFonts w:hint="eastAsia" w:ascii="宋体" w:hAnsi="宋体" w:eastAsia="宋体" w:cs="宋体"/>
          <w:color w:val="auto"/>
          <w:highlight w:val="none"/>
        </w:rPr>
        <w:t>2.12 不可抗力</w:t>
      </w:r>
      <w:bookmarkEnd w:id="473"/>
      <w:bookmarkEnd w:id="474"/>
      <w:bookmarkEnd w:id="475"/>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2.12.1如果任何一方遭遇法律规定的不可抗力，致使合同履行受阻时，履行合同的期限应予延长，延长的期限应相当于不可抗力所影响的时间；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2.12.2 因不可抗力致使不能实现合同目的的，当事人可以解除合同；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2.12.3 因不可抗力致使合同有变更必要的，双方当事人应在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约定时间内以书面形式变更合同；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2.12.4受不可抗力影响的一方在不可抗力发生后，应在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约定时间内以书面形式通知对方当事人，并在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约定时间内，将有关部门出具的证明文件送达对方当事人。</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76" w:name="_Toc6969"/>
      <w:bookmarkStart w:id="477" w:name="_Toc689"/>
      <w:bookmarkStart w:id="478" w:name="_Toc259093684"/>
      <w:bookmarkStart w:id="479" w:name="_Toc487900365"/>
      <w:bookmarkStart w:id="480" w:name="_Toc30676"/>
      <w:bookmarkStart w:id="481" w:name="_Toc279701255"/>
      <w:r>
        <w:rPr>
          <w:rFonts w:hint="eastAsia" w:ascii="宋体" w:hAnsi="宋体" w:eastAsia="宋体" w:cs="宋体"/>
          <w:color w:val="auto"/>
          <w:highlight w:val="none"/>
        </w:rPr>
        <w:t>2.13 税费</w:t>
      </w:r>
      <w:bookmarkEnd w:id="476"/>
      <w:bookmarkEnd w:id="477"/>
      <w:bookmarkEnd w:id="478"/>
      <w:bookmarkEnd w:id="479"/>
      <w:bookmarkEnd w:id="480"/>
      <w:bookmarkEnd w:id="481"/>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与合同有关的一切税费，均按照中华人民共和国法律的相关规定。</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82" w:name="_Toc16959"/>
      <w:bookmarkStart w:id="483" w:name="_Toc259093687"/>
      <w:bookmarkStart w:id="484" w:name="_Toc8298"/>
      <w:bookmarkStart w:id="485" w:name="_Toc7102"/>
      <w:bookmarkStart w:id="486" w:name="_Toc279701258"/>
      <w:bookmarkStart w:id="487" w:name="_Toc487900368"/>
      <w:r>
        <w:rPr>
          <w:rFonts w:hint="eastAsia" w:ascii="宋体" w:hAnsi="宋体" w:eastAsia="宋体" w:cs="宋体"/>
          <w:color w:val="auto"/>
          <w:highlight w:val="none"/>
        </w:rPr>
        <w:t>2.14乙方破产</w:t>
      </w:r>
      <w:bookmarkEnd w:id="482"/>
      <w:bookmarkEnd w:id="483"/>
      <w:bookmarkEnd w:id="484"/>
      <w:bookmarkEnd w:id="485"/>
      <w:bookmarkEnd w:id="486"/>
      <w:bookmarkEnd w:id="487"/>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88" w:name="_Toc6134"/>
      <w:bookmarkStart w:id="489" w:name="_Toc15387"/>
      <w:bookmarkStart w:id="490" w:name="_Toc29333"/>
      <w:r>
        <w:rPr>
          <w:rFonts w:hint="eastAsia" w:ascii="宋体" w:hAnsi="宋体" w:eastAsia="宋体" w:cs="宋体"/>
          <w:color w:val="auto"/>
          <w:highlight w:val="none"/>
        </w:rPr>
        <w:t>2.15 合同中止、终止</w:t>
      </w:r>
      <w:bookmarkEnd w:id="488"/>
      <w:bookmarkEnd w:id="489"/>
      <w:bookmarkEnd w:id="490"/>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2.15.1 双方当事人不得擅自中止或者终止合同；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91" w:name="_Toc1125"/>
      <w:bookmarkStart w:id="492" w:name="_Toc14563"/>
      <w:bookmarkStart w:id="493" w:name="_Toc6596"/>
      <w:r>
        <w:rPr>
          <w:rFonts w:hint="eastAsia" w:ascii="宋体" w:hAnsi="宋体" w:eastAsia="宋体" w:cs="宋体"/>
          <w:color w:val="auto"/>
          <w:highlight w:val="none"/>
        </w:rPr>
        <w:t>2.16检验和验收</w:t>
      </w:r>
      <w:bookmarkEnd w:id="491"/>
      <w:bookmarkEnd w:id="492"/>
      <w:bookmarkEnd w:id="493"/>
    </w:p>
    <w:p>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约定时间内组织验收，并可依法邀请相关方参加，验收应出具验收书。</w:t>
      </w:r>
    </w:p>
    <w:p>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2.16.3 检验和验收标准、程序等具体内容以及前述验收书的效力详见</w:t>
      </w:r>
      <w:r>
        <w:rPr>
          <w:rFonts w:hint="eastAsia" w:ascii="宋体" w:hAnsi="宋体" w:eastAsia="宋体" w:cs="宋体"/>
          <w:b/>
          <w:i/>
          <w:color w:val="auto"/>
          <w:highlight w:val="none"/>
          <w:u w:val="single"/>
        </w:rPr>
        <w:t>合同专用条款</w:t>
      </w:r>
      <w:r>
        <w:rPr>
          <w:rFonts w:hint="eastAsia" w:ascii="宋体" w:hAnsi="宋体" w:eastAsia="宋体" w:cs="宋体"/>
          <w:i/>
          <w:color w:val="auto"/>
          <w:highlight w:val="none"/>
        </w:rPr>
        <w:t>。</w:t>
      </w:r>
    </w:p>
    <w:bookmarkEnd w:id="463"/>
    <w:bookmarkEnd w:id="464"/>
    <w:bookmarkEnd w:id="465"/>
    <w:bookmarkEnd w:id="466"/>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494" w:name="_Toc259093690"/>
      <w:bookmarkStart w:id="495" w:name="_Toc279701261"/>
      <w:bookmarkStart w:id="496" w:name="_Toc487900371"/>
      <w:bookmarkStart w:id="497" w:name="_Toc19604"/>
      <w:bookmarkStart w:id="498" w:name="_Toc25182"/>
      <w:bookmarkStart w:id="499" w:name="_Toc11284"/>
      <w:r>
        <w:rPr>
          <w:rFonts w:hint="eastAsia" w:ascii="宋体" w:hAnsi="宋体" w:eastAsia="宋体" w:cs="宋体"/>
          <w:color w:val="auto"/>
          <w:highlight w:val="none"/>
        </w:rPr>
        <w:t>2.17 通知</w:t>
      </w:r>
      <w:bookmarkEnd w:id="494"/>
      <w:bookmarkEnd w:id="495"/>
      <w:bookmarkEnd w:id="496"/>
      <w:r>
        <w:rPr>
          <w:rFonts w:hint="eastAsia" w:ascii="宋体" w:hAnsi="宋体" w:eastAsia="宋体" w:cs="宋体"/>
          <w:color w:val="auto"/>
          <w:highlight w:val="none"/>
        </w:rPr>
        <w:t>和送达</w:t>
      </w:r>
      <w:bookmarkEnd w:id="497"/>
      <w:bookmarkEnd w:id="498"/>
      <w:bookmarkEnd w:id="499"/>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bookmarkStart w:id="500" w:name="_Toc3135"/>
      <w:bookmarkStart w:id="501" w:name="_Toc6698"/>
      <w:bookmarkStart w:id="502" w:name="_Toc487900372"/>
      <w:bookmarkStart w:id="503" w:name="_Toc279701262"/>
      <w:bookmarkStart w:id="504" w:name="_Toc259093691"/>
      <w:r>
        <w:rPr>
          <w:rFonts w:hint="eastAsia" w:ascii="宋体" w:hAnsi="宋体" w:eastAsia="宋体" w:cs="宋体"/>
          <w:color w:val="auto"/>
          <w:highlight w:val="none"/>
        </w:rPr>
        <w:t xml:space="preserve">2.17.1任何一方因履行合同而以合同第一部分尾部所列明的传真或电子邮件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发出的所有通知、文件、材料，均视为已向对方当事人送达；任何一方变更上述送达方式或者地址的，应于</w:t>
      </w:r>
      <w:r>
        <w:rPr>
          <w:rFonts w:hint="eastAsia" w:ascii="宋体" w:hAnsi="宋体" w:eastAsia="宋体" w:cs="宋体"/>
          <w:color w:val="auto"/>
          <w:highlight w:val="none"/>
          <w:u w:val="single"/>
        </w:rPr>
        <w:t>3</w:t>
      </w:r>
      <w:r>
        <w:rPr>
          <w:rFonts w:hint="eastAsia" w:ascii="宋体" w:hAnsi="宋体" w:eastAsia="宋体" w:cs="宋体"/>
          <w:color w:val="auto"/>
          <w:highlight w:val="none"/>
        </w:rPr>
        <w:t>个工作日内书面通知对方当事人，在对方当事人收到有关变更通知之前，变更前的约定送达方式或者地址仍视为有效。</w:t>
      </w:r>
      <w:bookmarkEnd w:id="500"/>
      <w:bookmarkEnd w:id="501"/>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bookmarkStart w:id="505" w:name="_Toc23294"/>
      <w:bookmarkStart w:id="506" w:name="_Toc23128"/>
      <w:r>
        <w:rPr>
          <w:rFonts w:hint="eastAsia" w:ascii="宋体" w:hAnsi="宋体" w:eastAsia="宋体" w:cs="宋体"/>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507" w:name="_Toc30599"/>
      <w:bookmarkStart w:id="508" w:name="_Toc4355"/>
      <w:bookmarkStart w:id="509" w:name="_Toc18540"/>
      <w:r>
        <w:rPr>
          <w:rFonts w:hint="eastAsia" w:ascii="宋体" w:hAnsi="宋体" w:eastAsia="宋体" w:cs="宋体"/>
          <w:color w:val="auto"/>
          <w:highlight w:val="none"/>
        </w:rPr>
        <w:t>2.18 计量单位</w:t>
      </w:r>
      <w:bookmarkEnd w:id="502"/>
      <w:bookmarkEnd w:id="503"/>
      <w:bookmarkEnd w:id="504"/>
      <w:bookmarkEnd w:id="507"/>
      <w:bookmarkEnd w:id="508"/>
      <w:bookmarkEnd w:id="509"/>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除技术规范中另有规定外,合同的计量单位均使用国家法定计量单位。</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510" w:name="_Toc12773"/>
      <w:bookmarkStart w:id="511" w:name="_Toc10330"/>
      <w:bookmarkStart w:id="512" w:name="_Toc259093692"/>
      <w:bookmarkStart w:id="513" w:name="_Toc279701263"/>
      <w:bookmarkStart w:id="514" w:name="_Toc18567"/>
      <w:bookmarkStart w:id="515" w:name="_Toc487900373"/>
      <w:r>
        <w:rPr>
          <w:rFonts w:hint="eastAsia" w:ascii="宋体" w:hAnsi="宋体" w:eastAsia="宋体" w:cs="宋体"/>
          <w:color w:val="auto"/>
          <w:highlight w:val="none"/>
        </w:rPr>
        <w:t>2.19 合同使用的文字和适用的法律</w:t>
      </w:r>
      <w:bookmarkEnd w:id="510"/>
      <w:bookmarkEnd w:id="511"/>
      <w:bookmarkEnd w:id="512"/>
      <w:bookmarkEnd w:id="513"/>
      <w:bookmarkEnd w:id="514"/>
      <w:bookmarkEnd w:id="515"/>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2.19.1 合同使用汉语书就、变更和解释；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2.19.2 合同适用中华人民共和国法律。</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516" w:name="_Toc3148"/>
      <w:bookmarkStart w:id="517" w:name="_Toc259093693"/>
      <w:bookmarkStart w:id="518" w:name="_Toc279701264"/>
      <w:bookmarkStart w:id="519" w:name="_Toc16673"/>
      <w:bookmarkStart w:id="520" w:name="_Toc12004"/>
      <w:bookmarkStart w:id="521" w:name="_Toc487900374"/>
      <w:r>
        <w:rPr>
          <w:rFonts w:hint="eastAsia" w:ascii="宋体" w:hAnsi="宋体" w:eastAsia="宋体" w:cs="宋体"/>
          <w:color w:val="auto"/>
          <w:highlight w:val="none"/>
        </w:rPr>
        <w:t>2.20 履约保证金</w:t>
      </w:r>
      <w:bookmarkEnd w:id="516"/>
      <w:bookmarkEnd w:id="517"/>
      <w:bookmarkEnd w:id="518"/>
      <w:bookmarkEnd w:id="519"/>
      <w:bookmarkEnd w:id="520"/>
    </w:p>
    <w:p>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2.20.1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2.20.2  甲方在项目验收结束后及时退还履约保证金。甲方在项目通过验收之日起</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个工作日内，按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%计算，最高限额为本合同履约保证金的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2.20.4 甲方根据杭州市政府采购网公布的供应商履约评价情况减免履约保证金。乙方履约验收评价总分为100分的，甲方免收履约保证金。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2.20.5甲方在乙方履行完合同约定义务事项后及时退还，延迟退还的，应当按照合同约定和法律规定承担相应的赔偿责任。</w:t>
      </w:r>
    </w:p>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2.21对于因甲方原因导致变更、中止或者终止政府采购合同的，甲方应当依照合同约定对供应商受到的损失予以赔偿或者补偿。</w:t>
      </w:r>
    </w:p>
    <w:bookmarkEnd w:id="521"/>
    <w:p>
      <w:pPr>
        <w:pStyle w:val="7"/>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bookmarkStart w:id="522" w:name="_Toc14001"/>
      <w:bookmarkStart w:id="523" w:name="_Toc6885"/>
      <w:bookmarkStart w:id="524" w:name="_Toc19890"/>
      <w:r>
        <w:rPr>
          <w:rFonts w:hint="eastAsia" w:ascii="宋体" w:hAnsi="宋体" w:eastAsia="宋体" w:cs="宋体"/>
          <w:color w:val="auto"/>
          <w:highlight w:val="none"/>
        </w:rPr>
        <w:t>2.22合同份数</w:t>
      </w:r>
      <w:bookmarkEnd w:id="522"/>
      <w:bookmarkEnd w:id="523"/>
      <w:bookmarkEnd w:id="524"/>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合同份数按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规定，每份均具有同等法律效力。</w:t>
      </w:r>
    </w:p>
    <w:p>
      <w:pPr>
        <w:pStyle w:val="6"/>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第三部分  合同专用条款</w:t>
      </w:r>
    </w:p>
    <w:p>
      <w:pPr>
        <w:keepNext w:val="0"/>
        <w:keepLines w:val="0"/>
        <w:pageBreakBefore w:val="0"/>
        <w:kinsoku/>
        <w:wordWrap/>
        <w:overflowPunct/>
        <w:topLinePunct w:val="0"/>
        <w:bidi w:val="0"/>
        <w:adjustRightInd/>
        <w:snapToGrid/>
        <w:spacing w:line="312" w:lineRule="auto"/>
        <w:ind w:left="-480" w:leftChars="-200" w:right="-48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4534" w:type="pct"/>
            <w:vAlign w:val="center"/>
          </w:tcPr>
          <w:p>
            <w:pPr>
              <w:keepNext w:val="0"/>
              <w:keepLines w:val="0"/>
              <w:pageBreakBefore w:val="0"/>
              <w:kinsoku/>
              <w:wordWrap/>
              <w:overflowPunct/>
              <w:topLinePunct w:val="0"/>
              <w:bidi w:val="0"/>
              <w:adjustRightInd/>
              <w:snapToGrid/>
              <w:spacing w:line="312"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1.4.4</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1.5.1 </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1.5.2</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1.5.3 </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1.6.7</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4534" w:type="pct"/>
            <w:vAlign w:val="center"/>
          </w:tcPr>
          <w:p>
            <w:pPr>
              <w:keepNext w:val="0"/>
              <w:keepLines w:val="0"/>
              <w:pageBreakBefore w:val="0"/>
              <w:kinsoku/>
              <w:wordWrap/>
              <w:overflowPunct/>
              <w:topLinePunct w:val="0"/>
              <w:bidi w:val="0"/>
              <w:adjustRightInd/>
              <w:snapToGrid/>
              <w:spacing w:line="312" w:lineRule="auto"/>
              <w:ind w:left="-480" w:leftChars="-200" w:right="-480" w:rightChars="-200" w:firstLine="480" w:firstLineChars="200"/>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4534" w:type="pct"/>
            <w:vAlign w:val="center"/>
          </w:tcPr>
          <w:p>
            <w:pPr>
              <w:keepNext w:val="0"/>
              <w:keepLines w:val="0"/>
              <w:pageBreakBefore w:val="0"/>
              <w:kinsoku/>
              <w:wordWrap/>
              <w:overflowPunct/>
              <w:topLinePunct w:val="0"/>
              <w:bidi w:val="0"/>
              <w:adjustRightInd/>
              <w:snapToGrid/>
              <w:spacing w:line="312" w:lineRule="auto"/>
              <w:ind w:left="-480" w:leftChars="-200" w:right="-480" w:rightChars="-200" w:firstLine="480" w:firstLineChars="200"/>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2.4.2</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 </w:t>
            </w:r>
          </w:p>
        </w:tc>
        <w:tc>
          <w:tcPr>
            <w:tcW w:w="4534" w:type="pct"/>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2.12.3</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2.12.4</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2.16.1</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2.16.3</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2.20.1</w:t>
            </w:r>
          </w:p>
        </w:tc>
        <w:tc>
          <w:tcPr>
            <w:tcW w:w="4534" w:type="pct"/>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2.20.2 </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keepNext w:val="0"/>
              <w:keepLines w:val="0"/>
              <w:pageBreakBefore w:val="0"/>
              <w:kinsoku/>
              <w:wordWrap/>
              <w:overflowPunct/>
              <w:topLinePunct w:val="0"/>
              <w:bidi w:val="0"/>
              <w:adjustRightInd/>
              <w:snapToGrid/>
              <w:spacing w:line="312" w:lineRule="auto"/>
              <w:ind w:left="-480" w:leftChars="-200" w:right="-480" w:rightChars="-200" w:firstLine="480" w:firstLineChars="200"/>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 xml:space="preserve">2.22 </w:t>
            </w:r>
          </w:p>
        </w:tc>
        <w:tc>
          <w:tcPr>
            <w:tcW w:w="4534" w:type="pct"/>
            <w:vAlign w:val="center"/>
          </w:tcPr>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tc>
      </w:tr>
    </w:tbl>
    <w:p>
      <w:pPr>
        <w:keepNext w:val="0"/>
        <w:keepLines w:val="0"/>
        <w:pageBreakBefore w:val="0"/>
        <w:kinsoku/>
        <w:wordWrap/>
        <w:overflowPunct/>
        <w:topLinePunct w:val="0"/>
        <w:bidi w:val="0"/>
        <w:adjustRightInd/>
        <w:snapToGrid/>
        <w:spacing w:line="312" w:lineRule="auto"/>
        <w:textAlignment w:val="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第六部分 应提交的有关格式范例</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资格文件部分</w:t>
      </w:r>
    </w:p>
    <w:p>
      <w:pPr>
        <w:spacing w:line="24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目录</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（1）符合参加政府采购活动应当具备的一般条件的承诺函……………（页码）</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（2）落实政府采购政策需满足的资格要求………………………………（页码）</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（3）本项目的特定资格要求………………………………………………（页码）</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 符合参加政府采购活动应当具备的一般条件的承诺函</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我方参与（项目名称）【招标编号：（采购编号）】政府采购活动，郑重承诺：</w:t>
      </w:r>
    </w:p>
    <w:p>
      <w:pPr>
        <w:snapToGrid w:val="0"/>
        <w:spacing w:line="24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（一）具备《中华人民共和国政府采购法》第二十二条第一款规定的条件：</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2、具有良好的商业信誉和健全的财务会计制度； </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（三）不存在以下情况：</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1、单位负责人为同一人或者存在直接控股、管理关系的不同供应商参加同一合同项下的政府采购活动的；</w:t>
      </w:r>
    </w:p>
    <w:p>
      <w:pPr>
        <w:snapToGrid w:val="0"/>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2、为采购项目提供整体设计、规范编制或者项目管理、监理、检测等服务后再参加该采购项目的其他采购活动的。</w:t>
      </w:r>
    </w:p>
    <w:p>
      <w:pPr>
        <w:snapToGrid w:val="0"/>
        <w:spacing w:line="24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投标人名称(电子签名)：</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snapToGrid w:val="0"/>
        <w:spacing w:line="240" w:lineRule="auto"/>
        <w:ind w:right="480"/>
        <w:jc w:val="center"/>
        <w:rPr>
          <w:rFonts w:hint="eastAsia" w:ascii="宋体" w:hAnsi="宋体" w:eastAsia="宋体" w:cs="宋体"/>
          <w:b/>
          <w:color w:val="auto"/>
          <w:sz w:val="32"/>
          <w:szCs w:val="32"/>
          <w:highlight w:val="none"/>
        </w:rPr>
      </w:pPr>
    </w:p>
    <w:p>
      <w:pPr>
        <w:pStyle w:val="5"/>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5"/>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二、落实政府采购政策需满足的资格要求</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（根据招标公告落实政府采购政策需满足的资格要求选择提供相应的材料；未要求的，无需提供）</w:t>
      </w:r>
    </w:p>
    <w:p>
      <w:pPr>
        <w:spacing w:line="240" w:lineRule="auto"/>
        <w:rPr>
          <w:rFonts w:hint="eastAsia" w:ascii="宋体" w:hAnsi="宋体" w:eastAsia="宋体" w:cs="宋体"/>
          <w:color w:val="auto"/>
          <w:highlight w:val="none"/>
        </w:rPr>
      </w:pPr>
      <w:r>
        <w:rPr>
          <w:rFonts w:hint="eastAsia" w:ascii="宋体" w:hAnsi="宋体" w:eastAsia="宋体" w:cs="宋体"/>
          <w:b/>
          <w:color w:val="auto"/>
          <w:highlight w:val="none"/>
        </w:rPr>
        <w:t>A</w:t>
      </w:r>
      <w:r>
        <w:rPr>
          <w:rFonts w:hint="eastAsia" w:ascii="宋体" w:hAnsi="宋体" w:eastAsia="宋体" w:cs="宋体"/>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spacing w:line="240" w:lineRule="auto"/>
        <w:rPr>
          <w:rFonts w:hint="eastAsia" w:ascii="宋体" w:hAnsi="宋体" w:eastAsia="宋体" w:cs="宋体"/>
          <w:color w:val="auto"/>
          <w:highlight w:val="none"/>
        </w:rPr>
      </w:pPr>
      <w:r>
        <w:rPr>
          <w:rFonts w:hint="eastAsia" w:ascii="宋体" w:hAnsi="宋体" w:eastAsia="宋体" w:cs="宋体"/>
          <w:b/>
          <w:color w:val="auto"/>
          <w:highlight w:val="none"/>
        </w:rPr>
        <w:t>B.</w:t>
      </w:r>
      <w:r>
        <w:rPr>
          <w:rFonts w:hint="eastAsia" w:ascii="宋体" w:hAnsi="宋体" w:eastAsia="宋体" w:cs="宋体"/>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240" w:lineRule="auto"/>
        <w:rPr>
          <w:rFonts w:hint="eastAsia" w:ascii="宋体" w:hAnsi="宋体" w:eastAsia="宋体" w:cs="宋体"/>
          <w:color w:val="auto"/>
          <w:highlight w:val="none"/>
        </w:rPr>
      </w:pPr>
      <w:r>
        <w:rPr>
          <w:rFonts w:hint="eastAsia" w:ascii="宋体" w:hAnsi="宋体" w:eastAsia="宋体" w:cs="宋体"/>
          <w:b/>
          <w:color w:val="auto"/>
          <w:highlight w:val="none"/>
        </w:rPr>
        <w:t>C、</w:t>
      </w:r>
      <w:r>
        <w:rPr>
          <w:rFonts w:hint="eastAsia" w:ascii="宋体" w:hAnsi="宋体" w:eastAsia="宋体" w:cs="宋体"/>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pacing w:line="240" w:lineRule="auto"/>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联合协议</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（联合体所有成员名称）</w:t>
      </w:r>
      <w:r>
        <w:rPr>
          <w:rFonts w:hint="eastAsia" w:ascii="宋体" w:hAnsi="宋体" w:eastAsia="宋体" w:cs="宋体"/>
          <w:color w:val="auto"/>
          <w:highlight w:val="none"/>
        </w:rPr>
        <w:t>自愿</w:t>
      </w:r>
      <w:r>
        <w:rPr>
          <w:rFonts w:hint="eastAsia" w:ascii="宋体" w:hAnsi="宋体" w:eastAsia="宋体" w:cs="宋体"/>
          <w:color w:val="auto"/>
          <w:highlight w:val="none"/>
          <w:lang w:val="zh-CN"/>
        </w:rPr>
        <w:t>组成一个联合体，以一个投标人的身份</w:t>
      </w:r>
      <w:r>
        <w:rPr>
          <w:rFonts w:hint="eastAsia" w:ascii="宋体" w:hAnsi="宋体" w:eastAsia="宋体" w:cs="宋体"/>
          <w:color w:val="auto"/>
          <w:highlight w:val="none"/>
        </w:rPr>
        <w:t>参加（项目名称）【招标编号：（采购编号）】</w:t>
      </w:r>
      <w:r>
        <w:rPr>
          <w:rFonts w:hint="eastAsia" w:ascii="宋体" w:hAnsi="宋体" w:eastAsia="宋体" w:cs="宋体"/>
          <w:color w:val="auto"/>
          <w:highlight w:val="none"/>
          <w:lang w:val="zh-CN"/>
        </w:rPr>
        <w:t xml:space="preserve">投标。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一、各方一致决定，</w:t>
      </w:r>
      <w:r>
        <w:rPr>
          <w:rFonts w:hint="eastAsia" w:ascii="宋体" w:hAnsi="宋体" w:eastAsia="宋体" w:cs="宋体"/>
          <w:color w:val="auto"/>
          <w:highlight w:val="none"/>
          <w:u w:val="single"/>
        </w:rPr>
        <w:t>（某联合体成员名称）</w:t>
      </w:r>
      <w:r>
        <w:rPr>
          <w:rFonts w:hint="eastAsia" w:ascii="宋体" w:hAnsi="宋体" w:eastAsia="宋体" w:cs="宋体"/>
          <w:color w:val="auto"/>
          <w:highlight w:val="none"/>
        </w:rPr>
        <w:t>为联合体</w:t>
      </w:r>
      <w:r>
        <w:rPr>
          <w:rFonts w:hint="eastAsia" w:ascii="宋体" w:hAnsi="宋体" w:eastAsia="宋体" w:cs="宋体"/>
          <w:color w:val="auto"/>
          <w:highlight w:val="none"/>
          <w:lang w:val="zh-CN"/>
        </w:rPr>
        <w:t>牵头人</w:t>
      </w:r>
      <w:r>
        <w:rPr>
          <w:rFonts w:hint="eastAsia" w:ascii="宋体" w:hAnsi="宋体" w:eastAsia="宋体" w:cs="宋体"/>
          <w:color w:val="auto"/>
          <w:highlight w:val="none"/>
        </w:rPr>
        <w:t>，代表所有联合体成员负责投标和合同实施阶段的主办、协调工作</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w:t>
      </w:r>
      <w:r>
        <w:rPr>
          <w:rFonts w:hint="eastAsia" w:ascii="宋体" w:hAnsi="宋体" w:eastAsia="宋体" w:cs="宋体"/>
          <w:color w:val="auto"/>
          <w:highlight w:val="none"/>
        </w:rPr>
        <w:t>所有联合体成员各方签署授权书，授权书载明的</w:t>
      </w:r>
      <w:r>
        <w:rPr>
          <w:rFonts w:hint="eastAsia" w:ascii="宋体" w:hAnsi="宋体" w:eastAsia="宋体" w:cs="宋体"/>
          <w:color w:val="auto"/>
          <w:highlight w:val="none"/>
          <w:lang w:val="zh-CN"/>
        </w:rPr>
        <w:t>授权代表根据招标文件规定及投标内容而对采购人、采购机构所作的任何合法承诺，包括书面澄清及相应等均对联合投标各方产生约束力。</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三、本次联合投标中，分工如下：</w:t>
      </w:r>
      <w:r>
        <w:rPr>
          <w:rFonts w:hint="eastAsia" w:ascii="宋体" w:hAnsi="宋体" w:eastAsia="宋体" w:cs="宋体"/>
          <w:color w:val="auto"/>
          <w:highlight w:val="none"/>
          <w:u w:val="single"/>
        </w:rPr>
        <w:t>（联合体其中一方成员名称）</w:t>
      </w:r>
      <w:r>
        <w:rPr>
          <w:rFonts w:hint="eastAsia" w:ascii="宋体" w:hAnsi="宋体" w:eastAsia="宋体" w:cs="宋体"/>
          <w:color w:val="auto"/>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rPr>
        <w:t>（联合体其中一方成员名称）</w:t>
      </w:r>
      <w:r>
        <w:rPr>
          <w:rFonts w:hint="eastAsia" w:ascii="宋体" w:hAnsi="宋体" w:eastAsia="宋体" w:cs="宋体"/>
          <w:color w:val="auto"/>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w:t>
      </w:r>
      <w:r>
        <w:rPr>
          <w:rFonts w:hint="eastAsia" w:ascii="宋体" w:hAnsi="宋体" w:eastAsia="宋体" w:cs="宋体"/>
          <w:color w:val="auto"/>
          <w:highlight w:val="none"/>
        </w:rPr>
        <w:t>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五、如果中标，</w:t>
      </w:r>
      <w:r>
        <w:rPr>
          <w:rFonts w:hint="eastAsia" w:ascii="宋体" w:hAnsi="宋体" w:eastAsia="宋体" w:cs="宋体"/>
          <w:color w:val="auto"/>
          <w:highlight w:val="none"/>
        </w:rPr>
        <w:t>联合体各成员方共同与采购人签订合同，并就采购合同约定的事项对采购人承担连带责任。</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六、有关本次联合投标的其他事宜：</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1、联合体各方不再单独参加或者与其他供应商另外组成联合体参加同一合同项下的政府采购活动。</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2、联合体中有同类资质的各方按照联合体分工承担相同工作的，按照资质等级较低的供应商确定资质等级。</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3、本协议提交采购人、采购机构后，联合体各方不得以任何形式对上述内容进行修改或撤销。</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分包意向协议</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highlight w:val="none"/>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lang w:val="zh-CN"/>
        </w:rPr>
        <w:t>若成为</w:t>
      </w:r>
      <w:r>
        <w:rPr>
          <w:rFonts w:hint="eastAsia" w:ascii="宋体" w:hAnsi="宋体" w:eastAsia="宋体" w:cs="宋体"/>
          <w:color w:val="auto"/>
          <w:highlight w:val="none"/>
        </w:rPr>
        <w:t>（项目名称）【招标编号：（采购编号）】</w:t>
      </w:r>
      <w:r>
        <w:rPr>
          <w:rFonts w:hint="eastAsia" w:ascii="宋体" w:hAnsi="宋体" w:eastAsia="宋体" w:cs="宋体"/>
          <w:color w:val="auto"/>
          <w:highlight w:val="none"/>
          <w:lang w:val="zh-CN"/>
        </w:rPr>
        <w:t>的中标供应商，将依法采取分包方式履行合同。</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与</w:t>
      </w:r>
      <w:r>
        <w:rPr>
          <w:rFonts w:hint="eastAsia" w:ascii="宋体" w:hAnsi="宋体" w:eastAsia="宋体" w:cs="宋体"/>
          <w:color w:val="auto"/>
          <w:highlight w:val="none"/>
          <w:u w:val="single"/>
        </w:rPr>
        <w:t>（所有分包供应商名称）</w:t>
      </w:r>
      <w:r>
        <w:rPr>
          <w:rFonts w:hint="eastAsia" w:ascii="宋体" w:hAnsi="宋体" w:eastAsia="宋体" w:cs="宋体"/>
          <w:color w:val="auto"/>
          <w:highlight w:val="none"/>
        </w:rPr>
        <w:t>达成分包意向协议</w:t>
      </w:r>
      <w:r>
        <w:rPr>
          <w:rFonts w:hint="eastAsia" w:ascii="宋体" w:hAnsi="宋体" w:eastAsia="宋体" w:cs="宋体"/>
          <w:color w:val="auto"/>
          <w:highlight w:val="none"/>
          <w:lang w:val="zh-CN"/>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一、分包标的及数量</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highlight w:val="none"/>
        </w:rPr>
        <w:t>分包给</w:t>
      </w:r>
      <w:r>
        <w:rPr>
          <w:rFonts w:hint="eastAsia" w:ascii="宋体" w:hAnsi="宋体" w:eastAsia="宋体" w:cs="宋体"/>
          <w:color w:val="auto"/>
          <w:highlight w:val="none"/>
          <w:u w:val="single"/>
        </w:rPr>
        <w:t>（某分包供应商名称）</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rPr>
        <w:t>（某分包供应商名称），</w:t>
      </w:r>
      <w:r>
        <w:rPr>
          <w:rFonts w:hint="eastAsia" w:ascii="宋体" w:hAnsi="宋体" w:eastAsia="宋体" w:cs="宋体"/>
          <w:color w:val="auto"/>
          <w:highlight w:val="none"/>
          <w:lang w:val="zh-CN"/>
        </w:rPr>
        <w:t>具备承</w:t>
      </w:r>
      <w:r>
        <w:rPr>
          <w:rFonts w:hint="eastAsia" w:ascii="宋体" w:hAnsi="宋体" w:eastAsia="宋体" w:cs="宋体"/>
          <w:color w:val="auto"/>
          <w:highlight w:val="none"/>
        </w:rPr>
        <w:t>担</w:t>
      </w:r>
      <w:r>
        <w:rPr>
          <w:rFonts w:hint="eastAsia" w:ascii="宋体" w:hAnsi="宋体" w:eastAsia="宋体" w:cs="宋体"/>
          <w:color w:val="auto"/>
          <w:highlight w:val="none"/>
          <w:u w:val="single"/>
          <w:lang w:val="zh-CN"/>
        </w:rPr>
        <w:t>XX工作内容</w:t>
      </w:r>
      <w:r>
        <w:rPr>
          <w:rFonts w:hint="eastAsia" w:ascii="宋体" w:hAnsi="宋体" w:eastAsia="宋体" w:cs="宋体"/>
          <w:color w:val="auto"/>
          <w:highlight w:val="none"/>
          <w:lang w:val="zh-CN"/>
        </w:rPr>
        <w:t>相应资质条件且不得再次分包；</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二、分包工作履行期限、地点、方式</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三、质量</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四、价款或者报酬</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五、违约责任</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六、争议解决的办法</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七、其他</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                                           投标人名称(电子签名)：</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分包供应商名称：</w:t>
      </w:r>
    </w:p>
    <w:p>
      <w:pPr>
        <w:spacing w:line="240" w:lineRule="auto"/>
        <w:jc w:val="right"/>
        <w:rPr>
          <w:rFonts w:hint="eastAsia" w:ascii="宋体" w:hAnsi="宋体" w:eastAsia="宋体" w:cs="宋体"/>
          <w:color w:val="auto"/>
          <w:highlight w:val="none"/>
        </w:rPr>
      </w:pPr>
      <w:r>
        <w:rPr>
          <w:rFonts w:hint="eastAsia" w:ascii="宋体" w:hAnsi="宋体" w:eastAsia="宋体" w:cs="宋体"/>
          <w:color w:val="auto"/>
          <w:highlight w:val="none"/>
          <w:lang w:val="zh-CN"/>
        </w:rPr>
        <w:t>……    日期：  年  月   日</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三、本项目的特定资格要求</w:t>
      </w:r>
    </w:p>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（根据招标公告本项目的特定资格要求提供相应的材料；未要求的，无需提供）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40"/>
          <w:highlight w:val="none"/>
        </w:rPr>
      </w:pPr>
      <w:r>
        <w:rPr>
          <w:rFonts w:hint="eastAsia" w:ascii="宋体" w:hAnsi="宋体" w:eastAsia="宋体" w:cs="宋体"/>
          <w:color w:val="auto"/>
          <w:sz w:val="40"/>
          <w:highlight w:val="none"/>
        </w:rPr>
        <w:t>目录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（1）投标函……………………………………………………………………（页码）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（2）授权委托书或法定代表人（单位负责人、自然人本人）身份证明……（页码）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（3）联合协议……………………………………………………………………（页码）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（4）分包意向协议………………………………………………………………（页码）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（5）符合性审查资料…………………………………………………………（页码）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评标标准相应的商务技术资料……………………………………………（页码）（7）投标标的清单………………………………………………………………（页码）（8）商务技术偏离表……………………………………………………………（页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）政府采购供应商廉洁自律承诺书</w:t>
      </w:r>
      <w:r>
        <w:rPr>
          <w:rFonts w:hint="eastAsia" w:ascii="宋体" w:hAnsi="宋体" w:eastAsia="宋体" w:cs="宋体"/>
          <w:color w:val="auto"/>
          <w:highlight w:val="none"/>
        </w:rPr>
        <w:t>…………………………………………（页码）</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我方参加你方组织的（项目名称）【招标编号：（采购编号）】招标的有关活动，并对此项目进行投标。为此：</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1、我方承诺投标有效期从提交投标文件的截止之日起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2、我方的投标文件包括以下内容：</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2.1资格文件：</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2.1.1承诺函；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2.1.2落实政府采购政策需满足的资格要求（如果有）；</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2.1.3本项目的特定资格要求（如果有）。</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2.2.1投标函；</w:t>
      </w:r>
      <w:r>
        <w:rPr>
          <w:rFonts w:hint="eastAsia" w:ascii="宋体" w:hAnsi="宋体" w:eastAsia="宋体" w:cs="宋体"/>
          <w:color w:val="auto"/>
          <w:highlight w:val="none"/>
          <w:lang w:val="zh-CN"/>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2.2.3联合协议（如果有）；</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2.2.4分包意向协议（如果有）；</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2.2.5符合性审查资料；</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2.2.6评标标准相应的商务技术资料；</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2.2.7投标标的清单；</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2.2.8商务技术偏离表；</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政府采购供应商廉洁自律承诺书；</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2.3.1开标一览表（报价表）；</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2.3.2中小企业声明函（如果有）。</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3、我方承诺除商务技术偏离表列出的偏离外，我方响应招标文件的全部要求。</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4.1在收到中标通知书后，在中标通知书规定的期限内与你方签订合同；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4.3按照招标文件要求提交履约保证金；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投标人名称（电子签名）：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pPr>
        <w:spacing w:line="240" w:lineRule="auto"/>
        <w:rPr>
          <w:rFonts w:hint="eastAsia" w:ascii="宋体" w:hAnsi="宋体" w:eastAsia="宋体" w:cs="宋体"/>
          <w:color w:val="auto"/>
          <w:highlight w:val="none"/>
          <w:u w:val="singl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24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lang w:val="zh-CN"/>
        </w:rPr>
        <w:t>授权委托书（适用于非联合体投标）</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现</w:t>
      </w:r>
      <w:r>
        <w:rPr>
          <w:rFonts w:hint="eastAsia" w:ascii="宋体" w:hAnsi="宋体" w:eastAsia="宋体" w:cs="宋体"/>
          <w:color w:val="auto"/>
          <w:highlight w:val="none"/>
          <w:lang w:val="zh-CN"/>
        </w:rPr>
        <w:t>委托</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（姓名）为我方代理人（身份证号码：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），以我方名义处理</w:t>
      </w:r>
      <w:r>
        <w:rPr>
          <w:rFonts w:hint="eastAsia" w:ascii="宋体" w:hAnsi="宋体" w:eastAsia="宋体" w:cs="宋体"/>
          <w:color w:val="auto"/>
          <w:highlight w:val="none"/>
        </w:rPr>
        <w:t>（项目名称）【招标编号：（采购编号）】</w:t>
      </w:r>
      <w:r>
        <w:rPr>
          <w:rFonts w:hint="eastAsia" w:ascii="宋体" w:hAnsi="宋体" w:eastAsia="宋体" w:cs="宋体"/>
          <w:color w:val="auto"/>
          <w:highlight w:val="none"/>
          <w:lang w:val="zh-CN"/>
        </w:rPr>
        <w:t>政府采购投标的一切事项，其法律后果由我方承担。</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委托期限</w:t>
      </w:r>
      <w:r>
        <w:rPr>
          <w:rFonts w:hint="eastAsia" w:ascii="宋体" w:hAnsi="宋体" w:eastAsia="宋体" w:cs="宋体"/>
          <w:color w:val="auto"/>
          <w:highlight w:val="none"/>
        </w:rPr>
        <w:t>：</w:t>
      </w:r>
      <w:r>
        <w:rPr>
          <w:rFonts w:hint="eastAsia" w:ascii="宋体" w:hAnsi="宋体" w:eastAsia="宋体" w:cs="宋体"/>
          <w:color w:val="auto"/>
          <w:highlight w:val="none"/>
          <w:lang w:val="zh-CN"/>
        </w:rPr>
        <w:t>自</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日起至</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日止。</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特此告知。</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投标人名称(电子签名)：</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签发日期：  年  月   日</w:t>
      </w:r>
    </w:p>
    <w:p>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授权委托书（适用于联合体投标）</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现</w:t>
      </w:r>
      <w:r>
        <w:rPr>
          <w:rFonts w:hint="eastAsia" w:ascii="宋体" w:hAnsi="宋体" w:eastAsia="宋体" w:cs="宋体"/>
          <w:color w:val="auto"/>
          <w:highlight w:val="none"/>
          <w:lang w:val="zh-CN"/>
        </w:rPr>
        <w:t>委托</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（姓名）为我方代理人（身份证号码：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），以我方名义处理</w:t>
      </w:r>
      <w:r>
        <w:rPr>
          <w:rFonts w:hint="eastAsia" w:ascii="宋体" w:hAnsi="宋体" w:eastAsia="宋体" w:cs="宋体"/>
          <w:color w:val="auto"/>
          <w:highlight w:val="none"/>
        </w:rPr>
        <w:t>（项目名称）【招标编号：（采购编号）】</w:t>
      </w:r>
      <w:r>
        <w:rPr>
          <w:rFonts w:hint="eastAsia" w:ascii="宋体" w:hAnsi="宋体" w:eastAsia="宋体" w:cs="宋体"/>
          <w:color w:val="auto"/>
          <w:highlight w:val="none"/>
          <w:lang w:val="zh-CN"/>
        </w:rPr>
        <w:t>政府采购投标的一切事项，其法律后果由我方承担。</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委托期限</w:t>
      </w:r>
      <w:r>
        <w:rPr>
          <w:rFonts w:hint="eastAsia" w:ascii="宋体" w:hAnsi="宋体" w:eastAsia="宋体" w:cs="宋体"/>
          <w:color w:val="auto"/>
          <w:highlight w:val="none"/>
        </w:rPr>
        <w:t>：</w:t>
      </w:r>
      <w:r>
        <w:rPr>
          <w:rFonts w:hint="eastAsia" w:ascii="宋体" w:hAnsi="宋体" w:eastAsia="宋体" w:cs="宋体"/>
          <w:color w:val="auto"/>
          <w:highlight w:val="none"/>
          <w:lang w:val="zh-CN"/>
        </w:rPr>
        <w:t>自</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日起至</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日止。</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特此告知。</w:t>
      </w:r>
    </w:p>
    <w:p>
      <w:pPr>
        <w:spacing w:line="240" w:lineRule="auto"/>
        <w:rPr>
          <w:rFonts w:hint="eastAsia" w:ascii="宋体" w:hAnsi="宋体" w:eastAsia="宋体" w:cs="宋体"/>
          <w:color w:val="auto"/>
          <w:highlight w:val="none"/>
        </w:rPr>
      </w:pPr>
    </w:p>
    <w:p>
      <w:pPr>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pPr>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pPr>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pPr>
        <w:spacing w:line="240" w:lineRule="auto"/>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br w:type="page"/>
      </w:r>
    </w:p>
    <w:p>
      <w:pPr>
        <w:autoSpaceDE w:val="0"/>
        <w:autoSpaceDN w:val="0"/>
        <w:spacing w:line="240" w:lineRule="auto"/>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73"/>
        <w:spacing w:line="24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24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73"/>
              <w:adjustRightInd w:val="0"/>
              <w:spacing w:line="240" w:lineRule="auto"/>
              <w:rPr>
                <w:rFonts w:hint="eastAsia" w:ascii="宋体" w:hAnsi="宋体" w:eastAsia="宋体" w:cs="宋体"/>
                <w:bCs/>
                <w:color w:val="auto"/>
                <w:sz w:val="24"/>
                <w:highlight w:val="none"/>
              </w:rPr>
            </w:pPr>
          </w:p>
        </w:tc>
      </w:tr>
    </w:tbl>
    <w:p>
      <w:pPr>
        <w:snapToGrid w:val="0"/>
        <w:spacing w:line="240" w:lineRule="auto"/>
        <w:ind w:firstLine="57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spacing w:line="240" w:lineRule="auto"/>
        <w:ind w:firstLine="57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投标人名称(电子签名)：                              </w:t>
      </w:r>
    </w:p>
    <w:p>
      <w:pPr>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pPr>
        <w:pStyle w:val="6"/>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三、</w:t>
      </w:r>
      <w:r>
        <w:rPr>
          <w:rFonts w:hint="eastAsia" w:ascii="宋体" w:hAnsi="宋体" w:eastAsia="宋体" w:cs="宋体"/>
          <w:color w:val="auto"/>
          <w:highlight w:val="none"/>
          <w:lang w:val="zh-CN"/>
        </w:rPr>
        <w:t>联合协议</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（以联合体形式投标的，提供联合协议；本项目不接受联合体投标或者投标人不以联合体形式投标的，则不需要提供）</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（联合体所有成员名称）</w:t>
      </w:r>
      <w:r>
        <w:rPr>
          <w:rFonts w:hint="eastAsia" w:ascii="宋体" w:hAnsi="宋体" w:eastAsia="宋体" w:cs="宋体"/>
          <w:color w:val="auto"/>
          <w:highlight w:val="none"/>
        </w:rPr>
        <w:t>自愿</w:t>
      </w:r>
      <w:r>
        <w:rPr>
          <w:rFonts w:hint="eastAsia" w:ascii="宋体" w:hAnsi="宋体" w:eastAsia="宋体" w:cs="宋体"/>
          <w:color w:val="auto"/>
          <w:highlight w:val="none"/>
          <w:lang w:val="zh-CN"/>
        </w:rPr>
        <w:t>组成一个联合体，以一个投标人的身份</w:t>
      </w:r>
      <w:r>
        <w:rPr>
          <w:rFonts w:hint="eastAsia" w:ascii="宋体" w:hAnsi="宋体" w:eastAsia="宋体" w:cs="宋体"/>
          <w:color w:val="auto"/>
          <w:highlight w:val="none"/>
        </w:rPr>
        <w:t>参加（项目名称）【招标编号：（采购编号）】</w:t>
      </w:r>
      <w:r>
        <w:rPr>
          <w:rFonts w:hint="eastAsia" w:ascii="宋体" w:hAnsi="宋体" w:eastAsia="宋体" w:cs="宋体"/>
          <w:color w:val="auto"/>
          <w:highlight w:val="none"/>
          <w:lang w:val="zh-CN"/>
        </w:rPr>
        <w:t xml:space="preserve">投标。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一、各方一致决定，</w:t>
      </w:r>
      <w:r>
        <w:rPr>
          <w:rFonts w:hint="eastAsia" w:ascii="宋体" w:hAnsi="宋体" w:eastAsia="宋体" w:cs="宋体"/>
          <w:color w:val="auto"/>
          <w:highlight w:val="none"/>
          <w:u w:val="single"/>
        </w:rPr>
        <w:t>（某联合体成员名称）</w:t>
      </w:r>
      <w:r>
        <w:rPr>
          <w:rFonts w:hint="eastAsia" w:ascii="宋体" w:hAnsi="宋体" w:eastAsia="宋体" w:cs="宋体"/>
          <w:color w:val="auto"/>
          <w:highlight w:val="none"/>
        </w:rPr>
        <w:t>为联合体</w:t>
      </w:r>
      <w:r>
        <w:rPr>
          <w:rFonts w:hint="eastAsia" w:ascii="宋体" w:hAnsi="宋体" w:eastAsia="宋体" w:cs="宋体"/>
          <w:color w:val="auto"/>
          <w:highlight w:val="none"/>
          <w:lang w:val="zh-CN"/>
        </w:rPr>
        <w:t>牵头人</w:t>
      </w:r>
      <w:r>
        <w:rPr>
          <w:rFonts w:hint="eastAsia" w:ascii="宋体" w:hAnsi="宋体" w:eastAsia="宋体" w:cs="宋体"/>
          <w:color w:val="auto"/>
          <w:highlight w:val="none"/>
        </w:rPr>
        <w:t>，代表所有联合体成员负责投标和合同实施阶段的主办、协调工作</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w:t>
      </w:r>
      <w:r>
        <w:rPr>
          <w:rFonts w:hint="eastAsia" w:ascii="宋体" w:hAnsi="宋体" w:eastAsia="宋体" w:cs="宋体"/>
          <w:color w:val="auto"/>
          <w:highlight w:val="none"/>
        </w:rPr>
        <w:t>所有联合体成员各方签署授权书，授权书载明的</w:t>
      </w:r>
      <w:r>
        <w:rPr>
          <w:rFonts w:hint="eastAsia" w:ascii="宋体" w:hAnsi="宋体" w:eastAsia="宋体" w:cs="宋体"/>
          <w:color w:val="auto"/>
          <w:highlight w:val="none"/>
          <w:lang w:val="zh-CN"/>
        </w:rPr>
        <w:t>授权代表根据招标文件规定及投标内容而对采购人、采购机构所作的任何合法承诺，包括书面澄清及相应等均对联合投标各方产生约束力。</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三、本次联合投标中，分工如下：</w:t>
      </w:r>
      <w:r>
        <w:rPr>
          <w:rFonts w:hint="eastAsia" w:ascii="宋体" w:hAnsi="宋体" w:eastAsia="宋体" w:cs="宋体"/>
          <w:color w:val="auto"/>
          <w:highlight w:val="none"/>
          <w:u w:val="single"/>
        </w:rPr>
        <w:t>（联合体其中一方成员名称）</w:t>
      </w:r>
      <w:r>
        <w:rPr>
          <w:rFonts w:hint="eastAsia" w:ascii="宋体" w:hAnsi="宋体" w:eastAsia="宋体" w:cs="宋体"/>
          <w:color w:val="auto"/>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w:t>
      </w:r>
      <w:r>
        <w:rPr>
          <w:rFonts w:hint="eastAsia" w:ascii="宋体" w:hAnsi="宋体" w:eastAsia="宋体" w:cs="宋体"/>
          <w:color w:val="auto"/>
          <w:highlight w:val="none"/>
          <w:u w:val="single"/>
        </w:rPr>
        <w:t>（联合体其中一方成员名称）</w:t>
      </w:r>
      <w:r>
        <w:rPr>
          <w:rFonts w:hint="eastAsia" w:ascii="宋体" w:hAnsi="宋体" w:eastAsia="宋体" w:cs="宋体"/>
          <w:color w:val="auto"/>
          <w:highlight w:val="none"/>
        </w:rPr>
        <w:t>提供的全部货物由小微企业制造，其合同份额占到合同总金额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%以上；</w:t>
      </w:r>
      <w:r>
        <w:rPr>
          <w:rFonts w:hint="eastAsia" w:ascii="宋体" w:hAnsi="宋体" w:eastAsia="宋体" w:cs="宋体"/>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五、如果中标，</w:t>
      </w:r>
      <w:r>
        <w:rPr>
          <w:rFonts w:hint="eastAsia" w:ascii="宋体" w:hAnsi="宋体" w:eastAsia="宋体" w:cs="宋体"/>
          <w:color w:val="auto"/>
          <w:highlight w:val="none"/>
        </w:rPr>
        <w:t>联合体各成员方共同与采购人签订合同，并就采购合同约定的事项对采购人承担连带责任。</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六、有关本次联合投标的其他事宜：</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1、联合体各方不再单独参加或者与其他供应商另外组成联合体参加同一合同项下的政府采购活动。</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2、联合体中有同类资质的各方按照联合体分工承担相同工作的，按照资质等级较低的供应商确定资质等级。</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3、本协议提交采购人、采购机构后，联合体各方不得以任何形式对上述内容进行修改或撤销。</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四、分包意向协议</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（中标后以分包方式履行合同的，提供分包意向协议；采购人不同意分包或者投标人中标后不以分包方式履行合同的，则不需要提供。）</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lang w:val="zh-CN"/>
        </w:rPr>
        <w:t>若成为</w:t>
      </w:r>
      <w:r>
        <w:rPr>
          <w:rFonts w:hint="eastAsia" w:ascii="宋体" w:hAnsi="宋体" w:eastAsia="宋体" w:cs="宋体"/>
          <w:color w:val="auto"/>
          <w:highlight w:val="none"/>
        </w:rPr>
        <w:t>（项目名称）【招标编号：（采购编号）】</w:t>
      </w:r>
      <w:r>
        <w:rPr>
          <w:rFonts w:hint="eastAsia" w:ascii="宋体" w:hAnsi="宋体" w:eastAsia="宋体" w:cs="宋体"/>
          <w:color w:val="auto"/>
          <w:highlight w:val="none"/>
          <w:lang w:val="zh-CN"/>
        </w:rPr>
        <w:t>的中标供应商，将依法采取分包方式履行合同。</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与</w:t>
      </w:r>
      <w:r>
        <w:rPr>
          <w:rFonts w:hint="eastAsia" w:ascii="宋体" w:hAnsi="宋体" w:eastAsia="宋体" w:cs="宋体"/>
          <w:color w:val="auto"/>
          <w:highlight w:val="none"/>
          <w:u w:val="single"/>
        </w:rPr>
        <w:t>（所有分包供应商名称）</w:t>
      </w:r>
      <w:r>
        <w:rPr>
          <w:rFonts w:hint="eastAsia" w:ascii="宋体" w:hAnsi="宋体" w:eastAsia="宋体" w:cs="宋体"/>
          <w:color w:val="auto"/>
          <w:highlight w:val="none"/>
        </w:rPr>
        <w:t>达成分包意向协议</w:t>
      </w:r>
      <w:r>
        <w:rPr>
          <w:rFonts w:hint="eastAsia" w:ascii="宋体" w:hAnsi="宋体" w:eastAsia="宋体" w:cs="宋体"/>
          <w:color w:val="auto"/>
          <w:highlight w:val="none"/>
          <w:lang w:val="zh-CN"/>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一、分包标的及数量</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highlight w:val="none"/>
        </w:rPr>
        <w:t>分包给</w:t>
      </w:r>
      <w:r>
        <w:rPr>
          <w:rFonts w:hint="eastAsia" w:ascii="宋体" w:hAnsi="宋体" w:eastAsia="宋体" w:cs="宋体"/>
          <w:color w:val="auto"/>
          <w:highlight w:val="none"/>
          <w:u w:val="single"/>
        </w:rPr>
        <w:t>（某分包供应商名称）</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rPr>
        <w:t>（某分包供应商名称），</w:t>
      </w:r>
      <w:r>
        <w:rPr>
          <w:rFonts w:hint="eastAsia" w:ascii="宋体" w:hAnsi="宋体" w:eastAsia="宋体" w:cs="宋体"/>
          <w:color w:val="auto"/>
          <w:highlight w:val="none"/>
          <w:lang w:val="zh-CN"/>
        </w:rPr>
        <w:t>具备承</w:t>
      </w:r>
      <w:r>
        <w:rPr>
          <w:rFonts w:hint="eastAsia" w:ascii="宋体" w:hAnsi="宋体" w:eastAsia="宋体" w:cs="宋体"/>
          <w:color w:val="auto"/>
          <w:highlight w:val="none"/>
        </w:rPr>
        <w:t>担</w:t>
      </w:r>
      <w:r>
        <w:rPr>
          <w:rFonts w:hint="eastAsia" w:ascii="宋体" w:hAnsi="宋体" w:eastAsia="宋体" w:cs="宋体"/>
          <w:color w:val="auto"/>
          <w:highlight w:val="none"/>
          <w:u w:val="single"/>
          <w:lang w:val="zh-CN"/>
        </w:rPr>
        <w:t>XX工作内容</w:t>
      </w:r>
      <w:r>
        <w:rPr>
          <w:rFonts w:hint="eastAsia" w:ascii="宋体" w:hAnsi="宋体" w:eastAsia="宋体" w:cs="宋体"/>
          <w:color w:val="auto"/>
          <w:highlight w:val="none"/>
          <w:lang w:val="zh-CN"/>
        </w:rPr>
        <w:t>相应资质条件且不得再次分包；</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二、分包工作履行期限、地点、方式</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三、质量</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四、价款或者报酬</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五、违约责任</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六、争议解决的办法</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七、其他</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（分包供应商名称）提供的货物全部由小微企业制造，</w:t>
      </w:r>
      <w:r>
        <w:rPr>
          <w:rFonts w:hint="eastAsia" w:ascii="宋体" w:hAnsi="宋体" w:eastAsia="宋体" w:cs="宋体"/>
          <w:color w:val="auto"/>
          <w:highlight w:val="none"/>
        </w:rPr>
        <w:t>其合同份额占到合同总金额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%以上。</w:t>
      </w:r>
      <w:r>
        <w:rPr>
          <w:rFonts w:hint="eastAsia" w:ascii="宋体" w:hAnsi="宋体" w:eastAsia="宋体" w:cs="宋体"/>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投标人名称(电子签名)：</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分包供应商名称：</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4140" w:type="dxa"/>
            <w:vAlign w:val="center"/>
          </w:tcPr>
          <w:p>
            <w:pPr>
              <w:snapToGrid w:val="0"/>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实质性要求</w:t>
            </w:r>
          </w:p>
        </w:tc>
        <w:tc>
          <w:tcPr>
            <w:tcW w:w="2410" w:type="dxa"/>
            <w:vAlign w:val="center"/>
          </w:tcPr>
          <w:p>
            <w:pPr>
              <w:snapToGrid w:val="0"/>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701" w:type="dxa"/>
            <w:vAlign w:val="center"/>
          </w:tcPr>
          <w:p>
            <w:pPr>
              <w:snapToGrid w:val="0"/>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投标文件中的</w:t>
            </w:r>
          </w:p>
          <w:p>
            <w:pPr>
              <w:snapToGrid w:val="0"/>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140" w:type="dxa"/>
            <w:vAlign w:val="center"/>
          </w:tcPr>
          <w:p>
            <w:pPr>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投标文件按照招标文件要求签署、盖章。</w:t>
            </w:r>
          </w:p>
        </w:tc>
        <w:tc>
          <w:tcPr>
            <w:tcW w:w="2410"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需要使用电子签名或者签字盖章的投标文件的组成部分</w:t>
            </w:r>
          </w:p>
        </w:tc>
        <w:tc>
          <w:tcPr>
            <w:tcW w:w="1701" w:type="dxa"/>
          </w:tcPr>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见投标文件</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140" w:type="dxa"/>
            <w:vAlign w:val="center"/>
          </w:tcPr>
          <w:p>
            <w:pPr>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节能产品认证证书（本项目拟采购的产品不属于政府强制采购的节能产品品目清单范围的，无需提供）</w:t>
            </w:r>
          </w:p>
        </w:tc>
        <w:tc>
          <w:tcPr>
            <w:tcW w:w="1701" w:type="dxa"/>
          </w:tcPr>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见投标文件</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140" w:type="dxa"/>
            <w:vAlign w:val="center"/>
          </w:tcPr>
          <w:p>
            <w:pPr>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投标文件中承诺的投标有效期不少于招标文件中载明的投标有效期。</w:t>
            </w:r>
          </w:p>
        </w:tc>
        <w:tc>
          <w:tcPr>
            <w:tcW w:w="2410"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投标函</w:t>
            </w:r>
          </w:p>
        </w:tc>
        <w:tc>
          <w:tcPr>
            <w:tcW w:w="1701" w:type="dxa"/>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4140" w:type="dxa"/>
            <w:vAlign w:val="center"/>
          </w:tcPr>
          <w:p>
            <w:pPr>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投标文件满足招标文件的其它实质性要求。</w:t>
            </w:r>
          </w:p>
        </w:tc>
        <w:tc>
          <w:tcPr>
            <w:tcW w:w="2410"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招标文件其它实质性要求相应的材料（“▲” 系指实质性要求条款，招标文件无其它实质性要求的，无需提供）</w:t>
            </w:r>
          </w:p>
        </w:tc>
        <w:tc>
          <w:tcPr>
            <w:tcW w:w="1701" w:type="dxa"/>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bl>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六、评标标准相应的商务技术资料</w:t>
      </w:r>
    </w:p>
    <w:p>
      <w:pPr>
        <w:snapToGrid w:val="0"/>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（按招标文件第四部分评标办法前附表中“投标文件中评标标准相应的商务技术资料目录”提供资料。）</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highlight w:val="none"/>
              </w:rPr>
            </w:pPr>
          </w:p>
        </w:tc>
      </w:tr>
    </w:tbl>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tcPr>
          <w:p>
            <w:pPr>
              <w:spacing w:after="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tcPr>
          <w:p>
            <w:pPr>
              <w:spacing w:after="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tcPr>
          <w:p>
            <w:pPr>
              <w:spacing w:after="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683" w:type="dxa"/>
          </w:tcPr>
          <w:p>
            <w:pPr>
              <w:spacing w:after="0" w:line="240" w:lineRule="auto"/>
              <w:jc w:val="center"/>
              <w:rPr>
                <w:rFonts w:hint="eastAsia" w:ascii="宋体" w:hAnsi="宋体" w:eastAsia="宋体" w:cs="宋体"/>
                <w:b/>
                <w:color w:val="auto"/>
                <w:sz w:val="32"/>
                <w:szCs w:val="32"/>
                <w:highlight w:val="none"/>
              </w:rPr>
            </w:pPr>
          </w:p>
        </w:tc>
        <w:tc>
          <w:tcPr>
            <w:tcW w:w="3546" w:type="dxa"/>
          </w:tcPr>
          <w:p>
            <w:pPr>
              <w:spacing w:after="0" w:line="240" w:lineRule="auto"/>
              <w:jc w:val="center"/>
              <w:rPr>
                <w:rFonts w:hint="eastAsia" w:ascii="宋体" w:hAnsi="宋体" w:eastAsia="宋体" w:cs="宋体"/>
                <w:b/>
                <w:color w:val="auto"/>
                <w:sz w:val="32"/>
                <w:szCs w:val="32"/>
                <w:highlight w:val="none"/>
              </w:rPr>
            </w:pPr>
          </w:p>
        </w:tc>
        <w:tc>
          <w:tcPr>
            <w:tcW w:w="1276" w:type="dxa"/>
          </w:tcPr>
          <w:p>
            <w:pPr>
              <w:spacing w:after="0" w:line="240" w:lineRule="auto"/>
              <w:jc w:val="center"/>
              <w:rPr>
                <w:rFonts w:hint="eastAsia" w:ascii="宋体" w:hAnsi="宋体" w:eastAsia="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683" w:type="dxa"/>
          </w:tcPr>
          <w:p>
            <w:pPr>
              <w:spacing w:after="0" w:line="240" w:lineRule="auto"/>
              <w:jc w:val="center"/>
              <w:rPr>
                <w:rFonts w:hint="eastAsia" w:ascii="宋体" w:hAnsi="宋体" w:eastAsia="宋体" w:cs="宋体"/>
                <w:b/>
                <w:color w:val="auto"/>
                <w:sz w:val="32"/>
                <w:szCs w:val="32"/>
                <w:highlight w:val="none"/>
              </w:rPr>
            </w:pPr>
          </w:p>
        </w:tc>
        <w:tc>
          <w:tcPr>
            <w:tcW w:w="3546" w:type="dxa"/>
          </w:tcPr>
          <w:p>
            <w:pPr>
              <w:spacing w:after="0" w:line="240" w:lineRule="auto"/>
              <w:jc w:val="center"/>
              <w:rPr>
                <w:rFonts w:hint="eastAsia" w:ascii="宋体" w:hAnsi="宋体" w:eastAsia="宋体" w:cs="宋体"/>
                <w:b/>
                <w:color w:val="auto"/>
                <w:sz w:val="32"/>
                <w:szCs w:val="32"/>
                <w:highlight w:val="none"/>
              </w:rPr>
            </w:pPr>
          </w:p>
        </w:tc>
        <w:tc>
          <w:tcPr>
            <w:tcW w:w="1276" w:type="dxa"/>
          </w:tcPr>
          <w:p>
            <w:pPr>
              <w:spacing w:after="0" w:line="240" w:lineRule="auto"/>
              <w:jc w:val="center"/>
              <w:rPr>
                <w:rFonts w:hint="eastAsia" w:ascii="宋体" w:hAnsi="宋体" w:eastAsia="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683" w:type="dxa"/>
          </w:tcPr>
          <w:p>
            <w:pPr>
              <w:spacing w:after="0" w:line="240" w:lineRule="auto"/>
              <w:jc w:val="center"/>
              <w:rPr>
                <w:rFonts w:hint="eastAsia" w:ascii="宋体" w:hAnsi="宋体" w:eastAsia="宋体" w:cs="宋体"/>
                <w:b/>
                <w:color w:val="auto"/>
                <w:sz w:val="32"/>
                <w:szCs w:val="32"/>
                <w:highlight w:val="none"/>
              </w:rPr>
            </w:pPr>
          </w:p>
        </w:tc>
        <w:tc>
          <w:tcPr>
            <w:tcW w:w="3546" w:type="dxa"/>
          </w:tcPr>
          <w:p>
            <w:pPr>
              <w:spacing w:after="0" w:line="240" w:lineRule="auto"/>
              <w:jc w:val="center"/>
              <w:rPr>
                <w:rFonts w:hint="eastAsia" w:ascii="宋体" w:hAnsi="宋体" w:eastAsia="宋体" w:cs="宋体"/>
                <w:b/>
                <w:color w:val="auto"/>
                <w:sz w:val="32"/>
                <w:szCs w:val="32"/>
                <w:highlight w:val="none"/>
              </w:rPr>
            </w:pPr>
          </w:p>
        </w:tc>
        <w:tc>
          <w:tcPr>
            <w:tcW w:w="1276" w:type="dxa"/>
          </w:tcPr>
          <w:p>
            <w:pPr>
              <w:spacing w:after="0" w:line="240" w:lineRule="auto"/>
              <w:jc w:val="center"/>
              <w:rPr>
                <w:rFonts w:hint="eastAsia" w:ascii="宋体" w:hAnsi="宋体" w:eastAsia="宋体" w:cs="宋体"/>
                <w:b/>
                <w:color w:val="auto"/>
                <w:sz w:val="32"/>
                <w:szCs w:val="32"/>
                <w:highlight w:val="none"/>
              </w:rPr>
            </w:pPr>
          </w:p>
        </w:tc>
      </w:tr>
    </w:tbl>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投标人保证：除商务技术偏离表列出的偏离外，投标人响应招标文件的全部要求</w:t>
      </w:r>
    </w:p>
    <w:p>
      <w:pPr>
        <w:spacing w:line="24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bCs/>
          <w:color w:val="auto"/>
          <w:highlight w:val="none"/>
        </w:rPr>
        <w:t>九</w:t>
      </w:r>
      <w:r>
        <w:rPr>
          <w:rFonts w:hint="eastAsia" w:ascii="宋体" w:hAnsi="宋体" w:eastAsia="宋体" w:cs="宋体"/>
          <w:color w:val="auto"/>
          <w:highlight w:val="none"/>
        </w:rPr>
        <w:t>、</w:t>
      </w:r>
      <w:r>
        <w:rPr>
          <w:rFonts w:hint="eastAsia" w:ascii="宋体" w:hAnsi="宋体" w:eastAsia="宋体" w:cs="宋体"/>
          <w:color w:val="auto"/>
          <w:highlight w:val="none"/>
          <w:lang w:val="zh-CN"/>
        </w:rPr>
        <w:t>政府采购供应商廉洁自律承诺书</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我单位响应你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项目招标要求参加投标。在这次投标过程中和中标后，我们将严格遵守国家法律法规要求，并郑重承诺：</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一、不向项目有关人员及部门赠送礼金礼物、有价证券、回扣以及中介费、介绍费、咨询费等好处费；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二、不为项目有关人员及部门报销应由你方单位或个人支付的费用；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三、不向项目有关人员及部门提供有可能影响公正的宴请和健身娱乐等活动；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四、不为项目有关人员及部门出国（境）、旅游等提供方便；</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五、不为项目有关人员个人装修住房、婚丧嫁娶、配偶子女工作安排等提供</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好处；</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六、严格遵守《中华人民共和国政府采购法》《中华人民共和国招标投标</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法》《中华人民共和国民法典》等法律法规，诚实守信，合法经营，坚决抵制各种违法违纪行为。 </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如违反上述承诺，你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有权立即取消我单位投标、中标或在建项目的建设资格，有权拒绝我单位在一定时期内进入你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进行项目建设或其他经营活动，并通报市财政局。由此引起的相应损失均由我单位承担。</w:t>
      </w:r>
    </w:p>
    <w:p>
      <w:pPr>
        <w:spacing w:line="240" w:lineRule="auto"/>
        <w:rPr>
          <w:rFonts w:hint="eastAsia" w:ascii="宋体" w:hAnsi="宋体" w:eastAsia="宋体" w:cs="宋体"/>
          <w:color w:val="auto"/>
          <w:highlight w:val="none"/>
          <w:lang w:val="zh-CN"/>
        </w:rPr>
      </w:pPr>
    </w:p>
    <w:p>
      <w:pPr>
        <w:spacing w:line="240" w:lineRule="auto"/>
        <w:rPr>
          <w:rFonts w:hint="eastAsia" w:ascii="宋体" w:hAnsi="宋体" w:eastAsia="宋体" w:cs="宋体"/>
          <w:color w:val="auto"/>
          <w:highlight w:val="none"/>
          <w:lang w:val="zh-CN"/>
        </w:rPr>
      </w:pPr>
    </w:p>
    <w:p>
      <w:pPr>
        <w:spacing w:line="240" w:lineRule="auto"/>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投标人名称（</w:t>
      </w:r>
      <w:r>
        <w:rPr>
          <w:rFonts w:hint="eastAsia" w:ascii="宋体" w:hAnsi="宋体" w:eastAsia="宋体" w:cs="宋体"/>
          <w:color w:val="auto"/>
          <w:highlight w:val="none"/>
        </w:rPr>
        <w:t>电子签名</w:t>
      </w:r>
      <w:r>
        <w:rPr>
          <w:rFonts w:hint="eastAsia" w:ascii="宋体" w:hAnsi="宋体" w:eastAsia="宋体" w:cs="宋体"/>
          <w:color w:val="auto"/>
          <w:highlight w:val="none"/>
          <w:lang w:val="zh-CN"/>
        </w:rPr>
        <w:t xml:space="preserve">）： </w:t>
      </w:r>
    </w:p>
    <w:p>
      <w:pPr>
        <w:spacing w:line="240" w:lineRule="auto"/>
        <w:jc w:val="right"/>
        <w:rPr>
          <w:rFonts w:hint="eastAsia"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年   月   日</w:t>
      </w:r>
    </w:p>
    <w:p>
      <w:pPr>
        <w:spacing w:line="240" w:lineRule="auto"/>
        <w:rPr>
          <w:rFonts w:hint="eastAsia" w:ascii="宋体" w:hAnsi="宋体" w:eastAsia="宋体" w:cs="宋体"/>
          <w:b/>
          <w:bCs/>
          <w:color w:val="auto"/>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报价文件部分</w:t>
      </w:r>
    </w:p>
    <w:p>
      <w:pPr>
        <w:spacing w:line="240" w:lineRule="auto"/>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目录</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（1）开标一览表（报价表）…………………………………………………（页码）</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（2）中小企业声明函…………………………………………………………（页码）</w:t>
      </w:r>
    </w:p>
    <w:p>
      <w:pPr>
        <w:snapToGrid w:val="0"/>
        <w:spacing w:line="240" w:lineRule="auto"/>
        <w:ind w:right="480"/>
        <w:jc w:val="center"/>
        <w:rPr>
          <w:rFonts w:hint="eastAsia" w:ascii="宋体" w:hAnsi="宋体" w:eastAsia="宋体" w:cs="宋体"/>
          <w:b/>
          <w:color w:val="auto"/>
          <w:sz w:val="32"/>
          <w:szCs w:val="32"/>
          <w:highlight w:val="none"/>
        </w:rPr>
      </w:pPr>
    </w:p>
    <w:p>
      <w:pPr>
        <w:pStyle w:val="74"/>
        <w:keepNext w:val="0"/>
        <w:pageBreakBefore w:val="0"/>
        <w:tabs>
          <w:tab w:val="clear" w:pos="720"/>
        </w:tabs>
        <w:snapToGrid w:val="0"/>
        <w:spacing w:before="120" w:after="120" w:line="240" w:lineRule="auto"/>
        <w:ind w:firstLine="643"/>
        <w:outlineLvl w:val="9"/>
        <w:rPr>
          <w:rFonts w:hint="eastAsia" w:ascii="宋体" w:hAnsi="宋体" w:eastAsia="宋体" w:cs="宋体"/>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一、开标一览表（报价表）</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highlight w:val="none"/>
        </w:rPr>
        <w:t>（项目名称）</w:t>
      </w:r>
      <w:r>
        <w:rPr>
          <w:rFonts w:hint="eastAsia" w:ascii="宋体" w:hAnsi="宋体" w:eastAsia="宋体" w:cs="宋体"/>
          <w:color w:val="auto"/>
          <w:highlight w:val="none"/>
          <w:lang w:val="zh-CN"/>
        </w:rPr>
        <w:t>【招标编号：</w:t>
      </w:r>
      <w:r>
        <w:rPr>
          <w:rFonts w:hint="eastAsia" w:ascii="宋体" w:hAnsi="宋体" w:eastAsia="宋体" w:cs="宋体"/>
          <w:color w:val="auto"/>
          <w:highlight w:val="none"/>
        </w:rPr>
        <w:t>（采购编号）】的实施</w:t>
      </w:r>
      <w:r>
        <w:rPr>
          <w:rFonts w:hint="eastAsia" w:ascii="宋体" w:hAnsi="宋体" w:eastAsia="宋体" w:cs="宋体"/>
          <w:color w:val="auto"/>
          <w:highlight w:val="none"/>
          <w:lang w:val="zh-CN"/>
        </w:rPr>
        <w:t>。</w:t>
      </w:r>
    </w:p>
    <w:p>
      <w:pPr>
        <w:spacing w:line="240" w:lineRule="auto"/>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417" w:type="dxa"/>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1843" w:type="dxa"/>
          </w:tcPr>
          <w:p>
            <w:pPr>
              <w:spacing w:line="240" w:lineRule="auto"/>
              <w:rPr>
                <w:rFonts w:hint="eastAsia" w:ascii="宋体" w:hAnsi="宋体" w:eastAsia="宋体" w:cs="宋体"/>
                <w:b/>
                <w:color w:val="auto"/>
                <w:highlight w:val="none"/>
              </w:rPr>
            </w:pP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品牌（如果有）</w:t>
            </w:r>
          </w:p>
        </w:tc>
        <w:tc>
          <w:tcPr>
            <w:tcW w:w="3118" w:type="dxa"/>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规格型号（或具体服务）</w:t>
            </w:r>
          </w:p>
        </w:tc>
        <w:tc>
          <w:tcPr>
            <w:tcW w:w="993" w:type="dxa"/>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59" w:type="dxa"/>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984" w:type="dxa"/>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总价</w:t>
            </w:r>
          </w:p>
        </w:tc>
        <w:tc>
          <w:tcPr>
            <w:tcW w:w="3119" w:type="dxa"/>
            <w:vAlign w:val="center"/>
          </w:tcPr>
          <w:p>
            <w:pPr>
              <w:spacing w:line="240" w:lineRule="auto"/>
              <w:rPr>
                <w:rFonts w:hint="eastAsia" w:ascii="宋体" w:hAnsi="宋体" w:eastAsia="宋体" w:cs="宋体"/>
                <w:b/>
                <w:color w:val="auto"/>
                <w:highlight w:val="none"/>
              </w:rPr>
            </w:pP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质保或服务年限</w:t>
            </w:r>
          </w:p>
          <w:p>
            <w:pPr>
              <w:spacing w:line="240" w:lineRule="auto"/>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17" w:type="dxa"/>
            <w:vAlign w:val="center"/>
          </w:tcPr>
          <w:p>
            <w:pPr>
              <w:spacing w:line="240" w:lineRule="auto"/>
              <w:rPr>
                <w:rFonts w:hint="eastAsia" w:ascii="宋体" w:hAnsi="宋体" w:eastAsia="宋体" w:cs="宋体"/>
                <w:color w:val="auto"/>
                <w:highlight w:val="none"/>
              </w:rPr>
            </w:pPr>
          </w:p>
        </w:tc>
        <w:tc>
          <w:tcPr>
            <w:tcW w:w="1843" w:type="dxa"/>
            <w:vAlign w:val="center"/>
          </w:tcPr>
          <w:p>
            <w:pPr>
              <w:spacing w:line="240" w:lineRule="auto"/>
              <w:rPr>
                <w:rFonts w:hint="eastAsia" w:ascii="宋体" w:hAnsi="宋体" w:eastAsia="宋体" w:cs="宋体"/>
                <w:color w:val="auto"/>
                <w:highlight w:val="none"/>
              </w:rPr>
            </w:pPr>
          </w:p>
        </w:tc>
        <w:tc>
          <w:tcPr>
            <w:tcW w:w="3118" w:type="dxa"/>
            <w:vAlign w:val="center"/>
          </w:tcPr>
          <w:p>
            <w:pPr>
              <w:spacing w:line="240" w:lineRule="auto"/>
              <w:rPr>
                <w:rFonts w:hint="eastAsia" w:ascii="宋体" w:hAnsi="宋体" w:eastAsia="宋体" w:cs="宋体"/>
                <w:color w:val="auto"/>
                <w:highlight w:val="none"/>
              </w:rPr>
            </w:pPr>
          </w:p>
        </w:tc>
        <w:tc>
          <w:tcPr>
            <w:tcW w:w="993" w:type="dxa"/>
            <w:vAlign w:val="center"/>
          </w:tcPr>
          <w:p>
            <w:pPr>
              <w:spacing w:line="240" w:lineRule="auto"/>
              <w:rPr>
                <w:rFonts w:hint="eastAsia" w:ascii="宋体" w:hAnsi="宋体" w:eastAsia="宋体" w:cs="宋体"/>
                <w:color w:val="auto"/>
                <w:highlight w:val="none"/>
              </w:rPr>
            </w:pPr>
          </w:p>
        </w:tc>
        <w:tc>
          <w:tcPr>
            <w:tcW w:w="1559" w:type="dxa"/>
            <w:vAlign w:val="center"/>
          </w:tcPr>
          <w:p>
            <w:pPr>
              <w:spacing w:line="240" w:lineRule="auto"/>
              <w:rPr>
                <w:rFonts w:hint="eastAsia" w:ascii="宋体" w:hAnsi="宋体" w:eastAsia="宋体" w:cs="宋体"/>
                <w:color w:val="auto"/>
                <w:highlight w:val="none"/>
              </w:rPr>
            </w:pPr>
          </w:p>
        </w:tc>
        <w:tc>
          <w:tcPr>
            <w:tcW w:w="1984" w:type="dxa"/>
            <w:vAlign w:val="center"/>
          </w:tcPr>
          <w:p>
            <w:pPr>
              <w:spacing w:line="240" w:lineRule="auto"/>
              <w:rPr>
                <w:rFonts w:hint="eastAsia" w:ascii="宋体" w:hAnsi="宋体" w:eastAsia="宋体" w:cs="宋体"/>
                <w:color w:val="auto"/>
                <w:highlight w:val="none"/>
              </w:rPr>
            </w:pPr>
          </w:p>
        </w:tc>
        <w:tc>
          <w:tcPr>
            <w:tcW w:w="3119" w:type="dxa"/>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17" w:type="dxa"/>
            <w:vAlign w:val="center"/>
          </w:tcPr>
          <w:p>
            <w:pPr>
              <w:spacing w:line="240" w:lineRule="auto"/>
              <w:rPr>
                <w:rFonts w:hint="eastAsia" w:ascii="宋体" w:hAnsi="宋体" w:eastAsia="宋体" w:cs="宋体"/>
                <w:color w:val="auto"/>
                <w:highlight w:val="none"/>
              </w:rPr>
            </w:pPr>
          </w:p>
        </w:tc>
        <w:tc>
          <w:tcPr>
            <w:tcW w:w="1843" w:type="dxa"/>
            <w:vAlign w:val="center"/>
          </w:tcPr>
          <w:p>
            <w:pPr>
              <w:spacing w:line="240" w:lineRule="auto"/>
              <w:rPr>
                <w:rFonts w:hint="eastAsia" w:ascii="宋体" w:hAnsi="宋体" w:eastAsia="宋体" w:cs="宋体"/>
                <w:color w:val="auto"/>
                <w:highlight w:val="none"/>
              </w:rPr>
            </w:pPr>
          </w:p>
        </w:tc>
        <w:tc>
          <w:tcPr>
            <w:tcW w:w="3118" w:type="dxa"/>
            <w:vAlign w:val="center"/>
          </w:tcPr>
          <w:p>
            <w:pPr>
              <w:spacing w:line="240" w:lineRule="auto"/>
              <w:rPr>
                <w:rFonts w:hint="eastAsia" w:ascii="宋体" w:hAnsi="宋体" w:eastAsia="宋体" w:cs="宋体"/>
                <w:color w:val="auto"/>
                <w:highlight w:val="none"/>
              </w:rPr>
            </w:pPr>
          </w:p>
        </w:tc>
        <w:tc>
          <w:tcPr>
            <w:tcW w:w="993" w:type="dxa"/>
            <w:vAlign w:val="center"/>
          </w:tcPr>
          <w:p>
            <w:pPr>
              <w:spacing w:line="240" w:lineRule="auto"/>
              <w:rPr>
                <w:rFonts w:hint="eastAsia" w:ascii="宋体" w:hAnsi="宋体" w:eastAsia="宋体" w:cs="宋体"/>
                <w:color w:val="auto"/>
                <w:highlight w:val="none"/>
              </w:rPr>
            </w:pPr>
          </w:p>
        </w:tc>
        <w:tc>
          <w:tcPr>
            <w:tcW w:w="1559" w:type="dxa"/>
            <w:vAlign w:val="center"/>
          </w:tcPr>
          <w:p>
            <w:pPr>
              <w:spacing w:line="240" w:lineRule="auto"/>
              <w:rPr>
                <w:rFonts w:hint="eastAsia" w:ascii="宋体" w:hAnsi="宋体" w:eastAsia="宋体" w:cs="宋体"/>
                <w:color w:val="auto"/>
                <w:highlight w:val="none"/>
              </w:rPr>
            </w:pPr>
          </w:p>
        </w:tc>
        <w:tc>
          <w:tcPr>
            <w:tcW w:w="1984" w:type="dxa"/>
            <w:vAlign w:val="center"/>
          </w:tcPr>
          <w:p>
            <w:pPr>
              <w:spacing w:line="240" w:lineRule="auto"/>
              <w:rPr>
                <w:rFonts w:hint="eastAsia" w:ascii="宋体" w:hAnsi="宋体" w:eastAsia="宋体" w:cs="宋体"/>
                <w:color w:val="auto"/>
                <w:highlight w:val="none"/>
              </w:rPr>
            </w:pPr>
          </w:p>
        </w:tc>
        <w:tc>
          <w:tcPr>
            <w:tcW w:w="3119" w:type="dxa"/>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17" w:type="dxa"/>
            <w:vAlign w:val="center"/>
          </w:tcPr>
          <w:p>
            <w:pPr>
              <w:spacing w:line="240" w:lineRule="auto"/>
              <w:rPr>
                <w:rFonts w:hint="eastAsia" w:ascii="宋体" w:hAnsi="宋体" w:eastAsia="宋体" w:cs="宋体"/>
                <w:color w:val="auto"/>
                <w:highlight w:val="none"/>
              </w:rPr>
            </w:pPr>
          </w:p>
        </w:tc>
        <w:tc>
          <w:tcPr>
            <w:tcW w:w="1843" w:type="dxa"/>
            <w:vAlign w:val="center"/>
          </w:tcPr>
          <w:p>
            <w:pPr>
              <w:spacing w:line="240" w:lineRule="auto"/>
              <w:rPr>
                <w:rFonts w:hint="eastAsia" w:ascii="宋体" w:hAnsi="宋体" w:eastAsia="宋体" w:cs="宋体"/>
                <w:color w:val="auto"/>
                <w:highlight w:val="none"/>
              </w:rPr>
            </w:pPr>
          </w:p>
        </w:tc>
        <w:tc>
          <w:tcPr>
            <w:tcW w:w="3118" w:type="dxa"/>
            <w:vAlign w:val="center"/>
          </w:tcPr>
          <w:p>
            <w:pPr>
              <w:spacing w:line="240" w:lineRule="auto"/>
              <w:rPr>
                <w:rFonts w:hint="eastAsia" w:ascii="宋体" w:hAnsi="宋体" w:eastAsia="宋体" w:cs="宋体"/>
                <w:color w:val="auto"/>
                <w:highlight w:val="none"/>
              </w:rPr>
            </w:pPr>
          </w:p>
        </w:tc>
        <w:tc>
          <w:tcPr>
            <w:tcW w:w="993" w:type="dxa"/>
            <w:vAlign w:val="center"/>
          </w:tcPr>
          <w:p>
            <w:pPr>
              <w:spacing w:line="240" w:lineRule="auto"/>
              <w:rPr>
                <w:rFonts w:hint="eastAsia" w:ascii="宋体" w:hAnsi="宋体" w:eastAsia="宋体" w:cs="宋体"/>
                <w:color w:val="auto"/>
                <w:highlight w:val="none"/>
              </w:rPr>
            </w:pPr>
          </w:p>
        </w:tc>
        <w:tc>
          <w:tcPr>
            <w:tcW w:w="1559" w:type="dxa"/>
            <w:vAlign w:val="center"/>
          </w:tcPr>
          <w:p>
            <w:pPr>
              <w:spacing w:line="240" w:lineRule="auto"/>
              <w:rPr>
                <w:rFonts w:hint="eastAsia" w:ascii="宋体" w:hAnsi="宋体" w:eastAsia="宋体" w:cs="宋体"/>
                <w:color w:val="auto"/>
                <w:highlight w:val="none"/>
              </w:rPr>
            </w:pPr>
          </w:p>
        </w:tc>
        <w:tc>
          <w:tcPr>
            <w:tcW w:w="1984" w:type="dxa"/>
            <w:vAlign w:val="center"/>
          </w:tcPr>
          <w:p>
            <w:pPr>
              <w:spacing w:line="240" w:lineRule="auto"/>
              <w:rPr>
                <w:rFonts w:hint="eastAsia" w:ascii="宋体" w:hAnsi="宋体" w:eastAsia="宋体" w:cs="宋体"/>
                <w:color w:val="auto"/>
                <w:highlight w:val="none"/>
              </w:rPr>
            </w:pPr>
          </w:p>
        </w:tc>
        <w:tc>
          <w:tcPr>
            <w:tcW w:w="3119" w:type="dxa"/>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40" w:lineRule="auto"/>
              <w:rPr>
                <w:rFonts w:hint="eastAsia" w:ascii="宋体" w:hAnsi="宋体" w:eastAsia="宋体" w:cs="宋体"/>
                <w:color w:val="auto"/>
                <w:highlight w:val="none"/>
              </w:rPr>
            </w:pPr>
          </w:p>
        </w:tc>
        <w:tc>
          <w:tcPr>
            <w:tcW w:w="1417" w:type="dxa"/>
            <w:vAlign w:val="center"/>
          </w:tcPr>
          <w:p>
            <w:pPr>
              <w:spacing w:line="240" w:lineRule="auto"/>
              <w:rPr>
                <w:rFonts w:hint="eastAsia" w:ascii="宋体" w:hAnsi="宋体" w:eastAsia="宋体" w:cs="宋体"/>
                <w:color w:val="auto"/>
                <w:highlight w:val="none"/>
              </w:rPr>
            </w:pPr>
          </w:p>
        </w:tc>
        <w:tc>
          <w:tcPr>
            <w:tcW w:w="1843" w:type="dxa"/>
            <w:vAlign w:val="center"/>
          </w:tcPr>
          <w:p>
            <w:pPr>
              <w:spacing w:line="240" w:lineRule="auto"/>
              <w:rPr>
                <w:rFonts w:hint="eastAsia" w:ascii="宋体" w:hAnsi="宋体" w:eastAsia="宋体" w:cs="宋体"/>
                <w:color w:val="auto"/>
                <w:highlight w:val="none"/>
              </w:rPr>
            </w:pPr>
          </w:p>
        </w:tc>
        <w:tc>
          <w:tcPr>
            <w:tcW w:w="3118" w:type="dxa"/>
            <w:vAlign w:val="center"/>
          </w:tcPr>
          <w:p>
            <w:pPr>
              <w:spacing w:line="240" w:lineRule="auto"/>
              <w:rPr>
                <w:rFonts w:hint="eastAsia" w:ascii="宋体" w:hAnsi="宋体" w:eastAsia="宋体" w:cs="宋体"/>
                <w:color w:val="auto"/>
                <w:highlight w:val="none"/>
              </w:rPr>
            </w:pPr>
          </w:p>
        </w:tc>
        <w:tc>
          <w:tcPr>
            <w:tcW w:w="993" w:type="dxa"/>
            <w:vAlign w:val="center"/>
          </w:tcPr>
          <w:p>
            <w:pPr>
              <w:spacing w:line="240" w:lineRule="auto"/>
              <w:rPr>
                <w:rFonts w:hint="eastAsia" w:ascii="宋体" w:hAnsi="宋体" w:eastAsia="宋体" w:cs="宋体"/>
                <w:color w:val="auto"/>
                <w:highlight w:val="none"/>
              </w:rPr>
            </w:pPr>
          </w:p>
        </w:tc>
        <w:tc>
          <w:tcPr>
            <w:tcW w:w="1559" w:type="dxa"/>
            <w:vAlign w:val="center"/>
          </w:tcPr>
          <w:p>
            <w:pPr>
              <w:spacing w:line="240" w:lineRule="auto"/>
              <w:rPr>
                <w:rFonts w:hint="eastAsia" w:ascii="宋体" w:hAnsi="宋体" w:eastAsia="宋体" w:cs="宋体"/>
                <w:color w:val="auto"/>
                <w:highlight w:val="none"/>
              </w:rPr>
            </w:pPr>
          </w:p>
        </w:tc>
        <w:tc>
          <w:tcPr>
            <w:tcW w:w="1984" w:type="dxa"/>
            <w:vAlign w:val="center"/>
          </w:tcPr>
          <w:p>
            <w:pPr>
              <w:spacing w:line="240" w:lineRule="auto"/>
              <w:rPr>
                <w:rFonts w:hint="eastAsia" w:ascii="宋体" w:hAnsi="宋体" w:eastAsia="宋体" w:cs="宋体"/>
                <w:color w:val="auto"/>
                <w:highlight w:val="none"/>
              </w:rPr>
            </w:pPr>
          </w:p>
        </w:tc>
        <w:tc>
          <w:tcPr>
            <w:tcW w:w="3119" w:type="dxa"/>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40" w:lineRule="auto"/>
              <w:rPr>
                <w:rFonts w:hint="eastAsia" w:ascii="宋体" w:hAnsi="宋体" w:eastAsia="宋体" w:cs="宋体"/>
                <w:color w:val="auto"/>
                <w:highlight w:val="none"/>
              </w:rPr>
            </w:pPr>
          </w:p>
        </w:tc>
        <w:tc>
          <w:tcPr>
            <w:tcW w:w="1417" w:type="dxa"/>
            <w:vAlign w:val="center"/>
          </w:tcPr>
          <w:p>
            <w:pPr>
              <w:spacing w:line="240" w:lineRule="auto"/>
              <w:rPr>
                <w:rFonts w:hint="eastAsia" w:ascii="宋体" w:hAnsi="宋体" w:eastAsia="宋体" w:cs="宋体"/>
                <w:color w:val="auto"/>
                <w:highlight w:val="none"/>
              </w:rPr>
            </w:pPr>
          </w:p>
        </w:tc>
        <w:tc>
          <w:tcPr>
            <w:tcW w:w="1843" w:type="dxa"/>
            <w:vAlign w:val="center"/>
          </w:tcPr>
          <w:p>
            <w:pPr>
              <w:spacing w:line="240" w:lineRule="auto"/>
              <w:rPr>
                <w:rFonts w:hint="eastAsia" w:ascii="宋体" w:hAnsi="宋体" w:eastAsia="宋体" w:cs="宋体"/>
                <w:color w:val="auto"/>
                <w:highlight w:val="none"/>
              </w:rPr>
            </w:pPr>
          </w:p>
        </w:tc>
        <w:tc>
          <w:tcPr>
            <w:tcW w:w="3118" w:type="dxa"/>
            <w:vAlign w:val="center"/>
          </w:tcPr>
          <w:p>
            <w:pPr>
              <w:spacing w:line="240" w:lineRule="auto"/>
              <w:rPr>
                <w:rFonts w:hint="eastAsia" w:ascii="宋体" w:hAnsi="宋体" w:eastAsia="宋体" w:cs="宋体"/>
                <w:color w:val="auto"/>
                <w:highlight w:val="none"/>
              </w:rPr>
            </w:pPr>
          </w:p>
        </w:tc>
        <w:tc>
          <w:tcPr>
            <w:tcW w:w="993" w:type="dxa"/>
            <w:vAlign w:val="center"/>
          </w:tcPr>
          <w:p>
            <w:pPr>
              <w:spacing w:line="240" w:lineRule="auto"/>
              <w:rPr>
                <w:rFonts w:hint="eastAsia" w:ascii="宋体" w:hAnsi="宋体" w:eastAsia="宋体" w:cs="宋体"/>
                <w:color w:val="auto"/>
                <w:highlight w:val="none"/>
              </w:rPr>
            </w:pPr>
          </w:p>
        </w:tc>
        <w:tc>
          <w:tcPr>
            <w:tcW w:w="1559" w:type="dxa"/>
            <w:vAlign w:val="center"/>
          </w:tcPr>
          <w:p>
            <w:pPr>
              <w:spacing w:line="240" w:lineRule="auto"/>
              <w:rPr>
                <w:rFonts w:hint="eastAsia" w:ascii="宋体" w:hAnsi="宋体" w:eastAsia="宋体" w:cs="宋体"/>
                <w:color w:val="auto"/>
                <w:highlight w:val="none"/>
              </w:rPr>
            </w:pPr>
          </w:p>
        </w:tc>
        <w:tc>
          <w:tcPr>
            <w:tcW w:w="1984" w:type="dxa"/>
            <w:vAlign w:val="center"/>
          </w:tcPr>
          <w:p>
            <w:pPr>
              <w:spacing w:line="240" w:lineRule="auto"/>
              <w:rPr>
                <w:rFonts w:hint="eastAsia" w:ascii="宋体" w:hAnsi="宋体" w:eastAsia="宋体" w:cs="宋体"/>
                <w:color w:val="auto"/>
                <w:highlight w:val="none"/>
              </w:rPr>
            </w:pPr>
          </w:p>
        </w:tc>
        <w:tc>
          <w:tcPr>
            <w:tcW w:w="3119" w:type="dxa"/>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投标报价（小写）</w:t>
            </w:r>
          </w:p>
        </w:tc>
        <w:tc>
          <w:tcPr>
            <w:tcW w:w="7655" w:type="dxa"/>
            <w:gridSpan w:val="4"/>
            <w:vAlign w:val="center"/>
          </w:tcPr>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投标报价（大写）</w:t>
            </w:r>
          </w:p>
        </w:tc>
        <w:tc>
          <w:tcPr>
            <w:tcW w:w="7655" w:type="dxa"/>
            <w:gridSpan w:val="4"/>
            <w:vAlign w:val="center"/>
          </w:tcPr>
          <w:p>
            <w:pPr>
              <w:spacing w:line="240" w:lineRule="auto"/>
              <w:rPr>
                <w:rFonts w:hint="eastAsia" w:ascii="宋体" w:hAnsi="宋体" w:eastAsia="宋体" w:cs="宋体"/>
                <w:color w:val="auto"/>
                <w:highlight w:val="none"/>
              </w:rPr>
            </w:pPr>
          </w:p>
        </w:tc>
      </w:tr>
    </w:tbl>
    <w:p>
      <w:pPr>
        <w:spacing w:line="240" w:lineRule="auto"/>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注：</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1、投标人需按本表格式填写，不得自行更改。</w:t>
      </w:r>
      <w:r>
        <w:rPr>
          <w:rFonts w:hint="eastAsia" w:ascii="宋体" w:hAnsi="宋体" w:eastAsia="宋体" w:cs="宋体"/>
          <w:color w:val="auto"/>
          <w:highlight w:val="none"/>
          <w:lang w:val="zh-CN"/>
        </w:rPr>
        <w:tab/>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2、有关本项目实施所涉及的一切费用均计入报价。</w:t>
      </w:r>
      <w:r>
        <w:rPr>
          <w:rFonts w:hint="eastAsia" w:ascii="宋体" w:hAnsi="宋体" w:eastAsia="宋体" w:cs="宋体"/>
          <w:b/>
          <w:color w:val="auto"/>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highlight w:val="none"/>
          <w:lang w:val="zh-CN"/>
        </w:rPr>
        <w:t>，</w:t>
      </w:r>
      <w:r>
        <w:rPr>
          <w:rFonts w:hint="eastAsia" w:ascii="宋体" w:hAnsi="宋体" w:eastAsia="宋体" w:cs="宋体"/>
          <w:b/>
          <w:color w:val="auto"/>
          <w:highlight w:val="none"/>
          <w:lang w:val="zh-CN"/>
        </w:rPr>
        <w:t>不得出现“0元”“免费赠送”等形式的无偿报价，</w:t>
      </w:r>
      <w:r>
        <w:rPr>
          <w:rFonts w:hint="eastAsia" w:ascii="宋体" w:hAnsi="宋体" w:eastAsia="宋体" w:cs="宋体"/>
          <w:b/>
          <w:color w:val="auto"/>
          <w:highlight w:val="none"/>
        </w:rPr>
        <w:t>否则视为投标文件含有采购人不能接受的附加条件的，投标无效</w:t>
      </w:r>
      <w:r>
        <w:rPr>
          <w:rFonts w:hint="eastAsia" w:ascii="宋体" w:hAnsi="宋体" w:eastAsia="宋体" w:cs="宋体"/>
          <w:b/>
          <w:color w:val="auto"/>
          <w:highlight w:val="none"/>
          <w:lang w:val="zh-CN"/>
        </w:rPr>
        <w:t>；采购内容未包含在《开标一览表（报价表）》名称栏中，投标人不能作出合理解释的，</w:t>
      </w:r>
      <w:r>
        <w:rPr>
          <w:rFonts w:hint="eastAsia" w:ascii="宋体" w:hAnsi="宋体" w:eastAsia="宋体" w:cs="宋体"/>
          <w:b/>
          <w:color w:val="auto"/>
          <w:highlight w:val="none"/>
        </w:rPr>
        <w:t>视为投标文件含有采购人不能接受的附加条件的，投标无效。</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3、以上表格要求细分项目及报价，在“规格型号（或具体服务）”一栏中，货物类项目填写规格型号，服务类项目填写具体服务。</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4、特别提示：采购机构将对项目名称和项目编号，中标供应商名称、地址和中标金额，主要中标标的的名称、规格型号、数量、单价、服务要求等予以公示。</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szCs w:val="22"/>
          <w:highlight w:val="none"/>
          <w:lang w:val="zh-CN"/>
        </w:rPr>
        <w:t>5、</w:t>
      </w:r>
      <w:r>
        <w:rPr>
          <w:rFonts w:hint="eastAsia" w:ascii="宋体" w:hAnsi="宋体" w:eastAsia="宋体" w:cs="宋体"/>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240" w:lineRule="auto"/>
        <w:ind w:firstLine="482" w:firstLineChars="200"/>
        <w:rPr>
          <w:rFonts w:hint="eastAsia" w:ascii="宋体" w:hAnsi="宋体" w:eastAsia="宋体" w:cs="宋体"/>
          <w:b/>
          <w:color w:val="auto"/>
          <w:highlight w:val="none"/>
        </w:rPr>
        <w:sectPr>
          <w:pgSz w:w="16838" w:h="11906" w:orient="landscape"/>
          <w:pgMar w:top="1800" w:right="1440" w:bottom="1700" w:left="1440" w:header="851" w:footer="992" w:gutter="0"/>
          <w:cols w:space="425" w:num="1"/>
          <w:docGrid w:type="lines" w:linePitch="326" w:charSpace="0"/>
        </w:sectPr>
      </w:pP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kern w:val="2"/>
          <w:highlight w:val="none"/>
        </w:rPr>
        <w:t>二、</w:t>
      </w:r>
      <w:r>
        <w:rPr>
          <w:rFonts w:hint="eastAsia" w:ascii="宋体" w:hAnsi="宋体" w:eastAsia="宋体" w:cs="宋体"/>
          <w:color w:val="auto"/>
          <w:highlight w:val="none"/>
        </w:rPr>
        <w:t>中小企业声明函</w:t>
      </w:r>
    </w:p>
    <w:p>
      <w:pPr>
        <w:spacing w:line="240" w:lineRule="auto"/>
        <w:ind w:firstLine="120" w:firstLineChars="50"/>
        <w:rPr>
          <w:rFonts w:hint="eastAsia" w:ascii="宋体" w:hAnsi="宋体" w:eastAsia="宋体" w:cs="宋体"/>
          <w:b/>
          <w:color w:val="auto"/>
          <w:highlight w:val="none"/>
        </w:rPr>
      </w:pPr>
      <w:r>
        <w:rPr>
          <w:rFonts w:hint="eastAsia" w:ascii="宋体" w:hAnsi="宋体" w:eastAsia="宋体" w:cs="宋体"/>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政府采购支持中小企业信用融资相关事项通知</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中国银保监会浙江监管局、杭州市地方金融监督管理局、杭州市经济和信息化局制定《杭州市政府采购支持中小企业信用融资管理办法》。相关事项通知如下：</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一、适用对象</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凡已在浙江政府采购网上注册入库，并取得杭州市政府采购合同的中小企业供应商（以下简称“供应商”），均可申请政府采购信用融资。</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二、相关信息获取方式</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三、　政府采购信用融资操作流程：</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（一）线上融资模式：</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1.供应商根据合作银行提供的方案，自行选择金融产品，并办理开户等手续；</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2.供应商中标后，可通过杭州市政府采购网或“浙里办”测算授信额度；</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3.采购合同签订后，供应商在杭州市政府采购网或“浙里办”向合作银行发出融资申请；</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4.审批通过后，在线办理放贷手续。</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（二）线下融资模式：</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1.供应商根据合作银行提供的方案，自行选择金融产品，向合作银行提出信用资格预审，并办理开户等手续；</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2.采购合同签订后，供应商在杭州市政府采购网或“浙里办”向合作银行发出融资申请；</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3.合作银行在信用融资模块受理申请后，供应商提供审批材料。合作银行应对申请信用融资的供应商及备案的政府采购合同信息进行核对和审查；</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4.审批通过后，合作银行应按照合作备忘录中约定的审批放款期限和优惠利率及时予以放款。</w:t>
      </w:r>
    </w:p>
    <w:p>
      <w:pPr>
        <w:spacing w:line="240" w:lineRule="auto"/>
        <w:rPr>
          <w:rFonts w:hint="eastAsia" w:ascii="宋体" w:hAnsi="宋体" w:eastAsia="宋体" w:cs="宋体"/>
          <w:b/>
          <w:bCs/>
          <w:color w:val="auto"/>
          <w:highlight w:val="none"/>
        </w:rPr>
      </w:pPr>
      <w:r>
        <w:rPr>
          <w:rFonts w:hint="eastAsia" w:ascii="宋体" w:hAnsi="宋体" w:eastAsia="宋体" w:cs="宋体"/>
          <w:color w:val="auto"/>
          <w:highlight w:val="none"/>
        </w:rPr>
        <w:t>（三）杭州e融平台申请融资</w:t>
      </w:r>
    </w:p>
    <w:p>
      <w:pPr>
        <w:spacing w:line="240" w:lineRule="auto"/>
        <w:rPr>
          <w:rFonts w:hint="eastAsia" w:ascii="宋体" w:hAnsi="宋体" w:eastAsia="宋体" w:cs="宋体"/>
          <w:b/>
          <w:bCs/>
          <w:color w:val="auto"/>
          <w:highlight w:val="none"/>
        </w:rPr>
      </w:pPr>
      <w:r>
        <w:rPr>
          <w:rFonts w:hint="eastAsia" w:ascii="宋体" w:hAnsi="宋体" w:eastAsia="宋体" w:cs="宋体"/>
          <w:color w:val="auto"/>
          <w:highlight w:val="none"/>
        </w:rPr>
        <w:t>供应商通过杭州e融平台政采贷专区，自行选择金融产品，按规定手续办理贷款流程。</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四、注意事项</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1、对拟用于信用融资的政府采购合同，供应商在签订合同时应当在合同中注明融资银行名称及账号，作为在该银行的唯一收款账号。</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240" w:lineRule="auto"/>
        <w:ind w:left="5060" w:hanging="5060" w:hangingChars="2100"/>
        <w:rPr>
          <w:rFonts w:hint="eastAsia" w:ascii="宋体" w:hAnsi="宋体" w:eastAsia="宋体" w:cs="宋体"/>
          <w:b/>
          <w:bCs/>
          <w:color w:val="auto"/>
          <w:highlight w:val="none"/>
        </w:rPr>
      </w:pPr>
    </w:p>
    <w:p>
      <w:pPr>
        <w:spacing w:line="240" w:lineRule="auto"/>
        <w:ind w:firstLine="120" w:firstLineChars="50"/>
        <w:rPr>
          <w:rFonts w:hint="eastAsia" w:ascii="宋体" w:hAnsi="宋体" w:eastAsia="宋体" w:cs="宋体"/>
          <w:b/>
          <w:color w:val="auto"/>
          <w:highlight w:val="none"/>
        </w:rPr>
      </w:pPr>
    </w:p>
    <w:p>
      <w:pPr>
        <w:spacing w:line="240" w:lineRule="auto"/>
        <w:ind w:firstLine="482" w:firstLineChars="200"/>
        <w:rPr>
          <w:rFonts w:hint="eastAsia" w:ascii="宋体" w:hAnsi="宋体" w:eastAsia="宋体" w:cs="宋体"/>
          <w:b/>
          <w:color w:val="auto"/>
          <w:highlight w:val="none"/>
        </w:rPr>
      </w:pPr>
    </w:p>
    <w:p>
      <w:pPr>
        <w:pStyle w:val="74"/>
        <w:keepNext w:val="0"/>
        <w:pageBreakBefore w:val="0"/>
        <w:tabs>
          <w:tab w:val="clear" w:pos="720"/>
        </w:tabs>
        <w:snapToGrid w:val="0"/>
        <w:spacing w:before="120" w:after="120" w:line="240" w:lineRule="auto"/>
        <w:ind w:firstLine="643"/>
        <w:outlineLvl w:val="9"/>
        <w:rPr>
          <w:rFonts w:hint="eastAsia" w:ascii="宋体" w:hAnsi="宋体" w:eastAsia="宋体" w:cs="宋体"/>
          <w:color w:val="auto"/>
          <w:kern w:val="2"/>
          <w:sz w:val="32"/>
          <w:szCs w:val="32"/>
          <w:highlight w:val="none"/>
        </w:rPr>
      </w:pP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240" w:lineRule="auto"/>
        <w:jc w:val="left"/>
        <w:rPr>
          <w:rFonts w:hint="eastAsia" w:ascii="宋体" w:hAnsi="宋体" w:eastAsia="宋体" w:cs="宋体"/>
          <w:color w:val="auto"/>
          <w:highlight w:val="none"/>
        </w:rPr>
      </w:pPr>
      <w:bookmarkStart w:id="525" w:name="_Toc465665161"/>
      <w:r>
        <w:rPr>
          <w:rFonts w:hint="eastAsia" w:ascii="宋体" w:hAnsi="宋体" w:eastAsia="宋体" w:cs="宋体"/>
          <w:color w:val="auto"/>
          <w:highlight w:val="none"/>
        </w:rPr>
        <w:t>附件</w:t>
      </w:r>
      <w:bookmarkEnd w:id="525"/>
    </w:p>
    <w:p>
      <w:pPr>
        <w:pStyle w:val="6"/>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附件1：残疾人福利性单位声明函</w:t>
      </w:r>
    </w:p>
    <w:p>
      <w:pPr>
        <w:spacing w:line="240" w:lineRule="auto"/>
        <w:jc w:val="center"/>
        <w:rPr>
          <w:rFonts w:hint="eastAsia" w:ascii="宋体" w:hAnsi="宋体" w:eastAsia="宋体" w:cs="宋体"/>
          <w:b/>
          <w:color w:val="auto"/>
          <w:spacing w:val="6"/>
          <w:sz w:val="32"/>
          <w:szCs w:val="32"/>
          <w:highlight w:val="none"/>
        </w:rPr>
      </w:pPr>
      <w:bookmarkStart w:id="526" w:name="OLE_LINK14"/>
      <w:bookmarkStart w:id="527" w:name="OLE_LINK13"/>
      <w:r>
        <w:rPr>
          <w:rFonts w:hint="eastAsia" w:ascii="宋体" w:hAnsi="宋体" w:eastAsia="宋体" w:cs="宋体"/>
          <w:b/>
          <w:color w:val="auto"/>
          <w:spacing w:val="6"/>
          <w:sz w:val="32"/>
          <w:szCs w:val="32"/>
          <w:highlight w:val="none"/>
        </w:rPr>
        <w:t>残疾人福利性单位声明函</w:t>
      </w:r>
    </w:p>
    <w:bookmarkEnd w:id="526"/>
    <w:bookmarkEnd w:id="527"/>
    <w:p>
      <w:pPr>
        <w:spacing w:line="240" w:lineRule="auto"/>
        <w:rPr>
          <w:rFonts w:hint="eastAsia" w:ascii="宋体" w:hAnsi="宋体" w:eastAsia="宋体" w:cs="宋体"/>
          <w:b/>
          <w:color w:val="auto"/>
          <w:spacing w:val="6"/>
          <w:sz w:val="30"/>
          <w:szCs w:val="30"/>
          <w:highlight w:val="none"/>
        </w:rPr>
      </w:pP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59"/>
        <w:spacing w:line="240" w:lineRule="auto"/>
        <w:rPr>
          <w:rFonts w:hint="eastAsia" w:ascii="宋体" w:hAnsi="宋体" w:eastAsia="宋体" w:cs="宋体"/>
          <w:color w:val="auto"/>
          <w:highlight w:val="none"/>
        </w:rPr>
      </w:pPr>
    </w:p>
    <w:p>
      <w:pPr>
        <w:pStyle w:val="59"/>
        <w:spacing w:line="240" w:lineRule="auto"/>
        <w:rPr>
          <w:rFonts w:hint="eastAsia" w:ascii="宋体" w:hAnsi="宋体" w:eastAsia="宋体" w:cs="宋体"/>
          <w:color w:val="auto"/>
          <w:highlight w:val="none"/>
        </w:rPr>
      </w:pPr>
    </w:p>
    <w:p>
      <w:pPr>
        <w:pStyle w:val="59"/>
        <w:spacing w:line="24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投标人名称（电子签名）：</w:t>
      </w:r>
    </w:p>
    <w:p>
      <w:pPr>
        <w:pStyle w:val="59"/>
        <w:spacing w:line="24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附件2：质疑函范本及制作说明</w:t>
      </w:r>
    </w:p>
    <w:p>
      <w:pPr>
        <w:spacing w:line="24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一、质疑供应商基本信息</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二、质疑项目基本情况</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三、质疑事项具体内容</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四、与质疑事项相关的质疑请求</w:t>
      </w:r>
    </w:p>
    <w:p>
      <w:pPr>
        <w:pStyle w:val="59"/>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质疑函制作说明：</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pPr>
        <w:pStyle w:val="59"/>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pPr>
        <w:spacing w:line="240" w:lineRule="auto"/>
        <w:ind w:firstLine="600" w:firstLineChars="200"/>
        <w:rPr>
          <w:rFonts w:hint="eastAsia" w:ascii="宋体" w:hAnsi="宋体" w:eastAsia="宋体" w:cs="宋体"/>
          <w:color w:val="auto"/>
          <w:sz w:val="30"/>
          <w:szCs w:val="30"/>
          <w:highlight w:val="none"/>
        </w:rPr>
      </w:pPr>
    </w:p>
    <w:p>
      <w:pPr>
        <w:spacing w:line="240" w:lineRule="auto"/>
        <w:jc w:val="center"/>
        <w:rPr>
          <w:rFonts w:hint="eastAsia" w:ascii="宋体" w:hAnsi="宋体" w:eastAsia="宋体" w:cs="宋体"/>
          <w:b/>
          <w:color w:val="auto"/>
          <w:spacing w:val="6"/>
          <w:sz w:val="32"/>
          <w:szCs w:val="32"/>
          <w:highlight w:val="none"/>
        </w:rPr>
      </w:pPr>
    </w:p>
    <w:p>
      <w:pPr>
        <w:pStyle w:val="5"/>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p>
    <w:p>
      <w:pPr>
        <w:pStyle w:val="5"/>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p>
    <w:p>
      <w:pPr>
        <w:pStyle w:val="5"/>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p>
    <w:p>
      <w:pPr>
        <w:pStyle w:val="5"/>
        <w:rPr>
          <w:rFonts w:hint="eastAsia" w:ascii="宋体" w:hAnsi="宋体" w:eastAsia="宋体" w:cs="宋体"/>
          <w:color w:val="auto"/>
          <w:highlight w:val="none"/>
        </w:rPr>
      </w:pPr>
    </w:p>
    <w:p>
      <w:pPr>
        <w:spacing w:line="240" w:lineRule="auto"/>
        <w:jc w:val="center"/>
        <w:rPr>
          <w:rFonts w:hint="eastAsia" w:ascii="宋体" w:hAnsi="宋体" w:eastAsia="宋体" w:cs="宋体"/>
          <w:b/>
          <w:color w:val="auto"/>
          <w:spacing w:val="6"/>
          <w:sz w:val="32"/>
          <w:szCs w:val="32"/>
          <w:highlight w:val="none"/>
        </w:rPr>
      </w:pPr>
    </w:p>
    <w:p>
      <w:pPr>
        <w:pStyle w:val="6"/>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附件3：投诉书范本及制作说明</w:t>
      </w:r>
    </w:p>
    <w:p>
      <w:pPr>
        <w:spacing w:line="240" w:lineRule="auto"/>
        <w:jc w:val="center"/>
        <w:rPr>
          <w:rFonts w:hint="eastAsia" w:ascii="宋体" w:hAnsi="宋体" w:eastAsia="宋体" w:cs="宋体"/>
          <w:b/>
          <w:color w:val="auto"/>
          <w:highlight w:val="none"/>
        </w:rPr>
      </w:pPr>
    </w:p>
    <w:p>
      <w:pPr>
        <w:spacing w:line="24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一、投诉相关主体基本情况</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投诉人：</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tabs>
          <w:tab w:val="left" w:pos="6510"/>
        </w:tabs>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tabs>
          <w:tab w:val="left" w:pos="6510"/>
        </w:tabs>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被投诉人1：</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被投诉人2</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二、投诉项目基本情况</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采购项目编号：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采购文件公告: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采购结果公告: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三、质疑基本情况</w:t>
      </w:r>
    </w:p>
    <w:p>
      <w:pPr>
        <w:spacing w:line="240" w:lineRule="auto"/>
        <w:ind w:firstLine="480" w:firstLineChars="200"/>
        <w:rPr>
          <w:rFonts w:hint="eastAsia" w:ascii="宋体" w:hAnsi="宋体" w:eastAsia="宋体" w:cs="宋体"/>
          <w:color w:val="auto"/>
          <w:highlight w:val="none"/>
          <w:u w:val="dotted"/>
        </w:rPr>
      </w:pPr>
      <w:r>
        <w:rPr>
          <w:rFonts w:hint="eastAsia" w:ascii="宋体" w:hAnsi="宋体" w:eastAsia="宋体" w:cs="宋体"/>
          <w:color w:val="auto"/>
          <w:highlight w:val="none"/>
        </w:rPr>
        <w:t>投诉人于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日,向</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提出质疑，质疑事项为：</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spacing w:line="24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u w:val="dotted"/>
        </w:rPr>
        <w:t>采购人/代理机构</w:t>
      </w:r>
      <w:r>
        <w:rPr>
          <w:rFonts w:hint="eastAsia" w:ascii="宋体" w:hAnsi="宋体" w:eastAsia="宋体" w:cs="宋体"/>
          <w:color w:val="auto"/>
          <w:highlight w:val="none"/>
        </w:rPr>
        <w:t>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日,就质疑事项作出了答复/没有在法定期限内作出答复。</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四、投诉事项具体内容</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投诉事项 1：</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投诉事项2</w:t>
      </w:r>
    </w:p>
    <w:p>
      <w:pPr>
        <w:spacing w:line="240" w:lineRule="auto"/>
        <w:rPr>
          <w:rFonts w:hint="eastAsia" w:ascii="宋体" w:hAnsi="宋体" w:eastAsia="宋体" w:cs="宋体"/>
          <w:color w:val="auto"/>
          <w:highlight w:val="none"/>
          <w:u w:val="dotted"/>
        </w:rPr>
      </w:pPr>
      <w:r>
        <w:rPr>
          <w:rFonts w:hint="eastAsia" w:ascii="宋体" w:hAnsi="宋体" w:eastAsia="宋体" w:cs="宋体"/>
          <w:color w:val="auto"/>
          <w:highlight w:val="none"/>
        </w:rPr>
        <w:t>……</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五、与投诉事项相关的投诉请求</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spacing w:line="24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spacing w:line="240" w:lineRule="auto"/>
        <w:rPr>
          <w:rFonts w:hint="eastAsia" w:ascii="宋体" w:hAnsi="宋体" w:eastAsia="宋体" w:cs="宋体"/>
          <w:b/>
          <w:color w:val="auto"/>
          <w:highlight w:val="none"/>
        </w:rPr>
      </w:pPr>
    </w:p>
    <w:p>
      <w:pPr>
        <w:spacing w:line="240" w:lineRule="auto"/>
        <w:rPr>
          <w:rFonts w:hint="eastAsia" w:ascii="宋体" w:hAnsi="宋体" w:eastAsia="宋体" w:cs="宋体"/>
          <w:b/>
          <w:color w:val="auto"/>
          <w:highlight w:val="none"/>
        </w:rPr>
      </w:pP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投诉书制作说明：</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1.投诉人提起投诉时，应当提交投诉书和必要的证明材料，并按照被投诉人和与投诉事项有关的供应商数量提供投诉书副本。</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3.投诉人若对项目的某一分包进行投诉，投诉书应列明具体分包号。</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4.投诉书应简要列明质疑事项，质疑函、质疑答复等作为附件材料提供。</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5.投诉书的投诉事项应具体、明确，并有必要的事实依据和法律依据。</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6.投诉书的投诉请求应与投诉事项相关。</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7.投诉人为自然人的，投诉书应当由本人签字；投诉人为法人或者其他组织的，投诉书应当由法定代表人、主要负责人，或者其授权代表签字或者盖章，并加盖公章。</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spacing w:line="240" w:lineRule="auto"/>
        <w:jc w:val="left"/>
        <w:rPr>
          <w:rFonts w:hint="eastAsia" w:ascii="宋体" w:hAnsi="宋体" w:eastAsia="宋体" w:cs="宋体"/>
          <w:color w:val="auto"/>
          <w:highlight w:val="none"/>
        </w:rPr>
      </w:pPr>
      <w:r>
        <w:rPr>
          <w:rFonts w:hint="eastAsia" w:ascii="宋体" w:hAnsi="宋体" w:eastAsia="宋体" w:cs="宋体"/>
          <w:color w:val="auto"/>
          <w:spacing w:val="6"/>
          <w:highlight w:val="none"/>
        </w:rPr>
        <w:t>附件4：</w:t>
      </w:r>
      <w:r>
        <w:rPr>
          <w:rFonts w:hint="eastAsia" w:ascii="宋体" w:hAnsi="宋体" w:eastAsia="宋体" w:cs="宋体"/>
          <w:color w:val="auto"/>
          <w:highlight w:val="none"/>
        </w:rPr>
        <w:t>业务专用章使用说明函</w:t>
      </w:r>
    </w:p>
    <w:p>
      <w:pPr>
        <w:spacing w:line="240" w:lineRule="auto"/>
        <w:jc w:val="center"/>
        <w:rPr>
          <w:rFonts w:hint="eastAsia" w:ascii="宋体" w:hAnsi="宋体" w:eastAsia="宋体" w:cs="宋体"/>
          <w:b/>
          <w:smallCaps/>
          <w:color w:val="auto"/>
          <w:spacing w:val="6"/>
          <w:sz w:val="36"/>
          <w:szCs w:val="28"/>
          <w:highlight w:val="none"/>
        </w:rPr>
      </w:pPr>
      <w:r>
        <w:rPr>
          <w:rFonts w:hint="eastAsia" w:ascii="宋体" w:hAnsi="宋体" w:eastAsia="宋体" w:cs="宋体"/>
          <w:b/>
          <w:color w:val="auto"/>
          <w:sz w:val="32"/>
          <w:highlight w:val="none"/>
        </w:rPr>
        <w:t>业务专用章使用说明函</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（采购人）、（采购代理机构）</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我方</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rPr>
        <w:t>(投标人全称)是中华人民共和国依法登记注册的合法企业，</w:t>
      </w:r>
      <w:r>
        <w:rPr>
          <w:rFonts w:hint="eastAsia" w:ascii="宋体" w:hAnsi="宋体" w:eastAsia="宋体" w:cs="宋体"/>
          <w:bCs/>
          <w:color w:val="auto"/>
          <w:highlight w:val="none"/>
        </w:rPr>
        <w:t>在参加</w:t>
      </w:r>
      <w:r>
        <w:rPr>
          <w:rFonts w:hint="eastAsia" w:ascii="宋体" w:hAnsi="宋体" w:eastAsia="宋体" w:cs="宋体"/>
          <w:color w:val="auto"/>
          <w:highlight w:val="none"/>
        </w:rPr>
        <w:t>你方组织的（项目名称）项目【招标编号：（采购编号）】</w:t>
      </w:r>
      <w:r>
        <w:rPr>
          <w:rFonts w:hint="eastAsia" w:ascii="宋体" w:hAnsi="宋体" w:eastAsia="宋体" w:cs="宋体"/>
          <w:bCs/>
          <w:color w:val="auto"/>
          <w:highlight w:val="none"/>
        </w:rPr>
        <w:t>投标活动中作如下说明：</w:t>
      </w:r>
      <w:r>
        <w:rPr>
          <w:rFonts w:hint="eastAsia" w:ascii="宋体" w:hAnsi="宋体" w:eastAsia="宋体" w:cs="宋体"/>
          <w:color w:val="auto"/>
          <w:highlight w:val="none"/>
        </w:rPr>
        <w:t xml:space="preserve">我方所使用的“XX专用章”与法定名称章具有同等的法律效力，对使用“XX专用章”的行为予以完全承认，并愿意承担相应责任。   </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特此说明。</w:t>
      </w:r>
    </w:p>
    <w:p>
      <w:pPr>
        <w:spacing w:line="240" w:lineRule="auto"/>
        <w:ind w:firstLine="494"/>
        <w:rPr>
          <w:rFonts w:hint="eastAsia" w:ascii="宋体" w:hAnsi="宋体" w:eastAsia="宋体" w:cs="宋体"/>
          <w:color w:val="auto"/>
          <w:highlight w:val="none"/>
        </w:rPr>
      </w:pPr>
    </w:p>
    <w:p>
      <w:pPr>
        <w:spacing w:line="240" w:lineRule="auto"/>
        <w:ind w:firstLine="494"/>
        <w:rPr>
          <w:rFonts w:hint="eastAsia" w:ascii="宋体" w:hAnsi="宋体" w:eastAsia="宋体" w:cs="宋体"/>
          <w:color w:val="auto"/>
          <w:highlight w:val="none"/>
        </w:rPr>
      </w:pPr>
    </w:p>
    <w:p>
      <w:pPr>
        <w:spacing w:line="240" w:lineRule="auto"/>
        <w:ind w:firstLine="494"/>
        <w:rPr>
          <w:rFonts w:hint="eastAsia" w:ascii="宋体" w:hAnsi="宋体" w:eastAsia="宋体" w:cs="宋体"/>
          <w:color w:val="auto"/>
          <w:highlight w:val="none"/>
        </w:rPr>
      </w:pPr>
    </w:p>
    <w:p>
      <w:pPr>
        <w:spacing w:line="240" w:lineRule="auto"/>
        <w:ind w:firstLine="494"/>
        <w:rPr>
          <w:rFonts w:hint="eastAsia" w:ascii="宋体" w:hAnsi="宋体" w:eastAsia="宋体" w:cs="宋体"/>
          <w:color w:val="auto"/>
          <w:highlight w:val="none"/>
        </w:rPr>
      </w:pPr>
    </w:p>
    <w:p>
      <w:pPr>
        <w:spacing w:line="240" w:lineRule="auto"/>
        <w:ind w:right="480"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rPr>
        <w:t>投标单位（法定名称章）：</w:t>
      </w:r>
    </w:p>
    <w:p>
      <w:pPr>
        <w:spacing w:line="240" w:lineRule="auto"/>
        <w:ind w:right="1440" w:firstLine="494"/>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pPr>
        <w:spacing w:line="240" w:lineRule="auto"/>
        <w:rPr>
          <w:rFonts w:hint="eastAsia" w:ascii="宋体" w:hAnsi="宋体" w:eastAsia="宋体" w:cs="宋体"/>
          <w:color w:val="auto"/>
          <w:highlight w:val="none"/>
        </w:rPr>
      </w:pPr>
      <w:r>
        <w:rPr>
          <w:rFonts w:hint="eastAsia" w:ascii="宋体" w:hAnsi="宋体" w:eastAsia="宋体" w:cs="宋体"/>
          <w:b/>
          <w:bCs/>
          <w:color w:val="auto"/>
          <w:highlight w:val="none"/>
        </w:rPr>
        <w:t>附：</w:t>
      </w:r>
    </w:p>
    <w:p>
      <w:pPr>
        <w:spacing w:line="240" w:lineRule="auto"/>
        <w:rPr>
          <w:rFonts w:hint="eastAsia" w:ascii="宋体" w:hAnsi="宋体" w:eastAsia="宋体" w:cs="宋体"/>
          <w:bCs/>
          <w:color w:val="auto"/>
          <w:highlight w:val="none"/>
        </w:rPr>
      </w:pPr>
      <w:r>
        <w:rPr>
          <w:rFonts w:hint="eastAsia" w:ascii="宋体" w:hAnsi="宋体" w:eastAsia="宋体" w:cs="宋体"/>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highlight w:val="none"/>
        </w:rPr>
        <w:t>投标单位法定名称章（印模）                投标单位“XX专用章”（印模）</w:t>
      </w:r>
    </w:p>
    <w:p>
      <w:pPr>
        <w:spacing w:line="240" w:lineRule="auto"/>
        <w:rPr>
          <w:rFonts w:hint="eastAsia" w:ascii="宋体" w:hAnsi="宋体" w:eastAsia="宋体" w:cs="宋体"/>
          <w:b/>
          <w:color w:val="auto"/>
          <w:spacing w:val="6"/>
          <w:sz w:val="32"/>
          <w:szCs w:val="32"/>
          <w:highlight w:val="none"/>
        </w:rPr>
      </w:pPr>
    </w:p>
    <w:p>
      <w:pPr>
        <w:spacing w:line="240" w:lineRule="auto"/>
        <w:rPr>
          <w:rFonts w:hint="eastAsia" w:ascii="宋体" w:hAnsi="宋体" w:eastAsia="宋体" w:cs="宋体"/>
          <w:b/>
          <w:smallCaps/>
          <w:color w:val="auto"/>
          <w:spacing w:val="6"/>
          <w:sz w:val="28"/>
          <w:szCs w:val="28"/>
          <w:highlight w:val="none"/>
        </w:rPr>
      </w:pPr>
    </w:p>
    <w:p>
      <w:pPr>
        <w:spacing w:line="240" w:lineRule="auto"/>
        <w:rPr>
          <w:rFonts w:hint="eastAsia" w:ascii="宋体" w:hAnsi="宋体" w:eastAsia="宋体" w:cs="宋体"/>
          <w:b/>
          <w:smallCaps/>
          <w:color w:val="auto"/>
          <w:spacing w:val="6"/>
          <w:sz w:val="28"/>
          <w:szCs w:val="28"/>
          <w:highlight w:val="none"/>
        </w:rPr>
      </w:pPr>
      <w:r>
        <w:rPr>
          <w:rFonts w:hint="eastAsia" w:ascii="宋体" w:hAnsi="宋体" w:eastAsia="宋体" w:cs="宋体"/>
          <w:color w:val="auto"/>
          <w:spacing w:val="6"/>
          <w:highlight w:val="none"/>
        </w:rPr>
        <w:br w:type="page"/>
      </w:r>
    </w:p>
    <w:p>
      <w:pPr>
        <w:pStyle w:val="6"/>
        <w:spacing w:line="240" w:lineRule="auto"/>
        <w:rPr>
          <w:rFonts w:hint="eastAsia" w:ascii="宋体" w:hAnsi="宋体" w:eastAsia="宋体" w:cs="宋体"/>
          <w:bCs/>
          <w:color w:val="auto"/>
          <w:highlight w:val="none"/>
        </w:rPr>
      </w:pPr>
      <w:r>
        <w:rPr>
          <w:rFonts w:hint="eastAsia" w:ascii="宋体" w:hAnsi="宋体" w:eastAsia="宋体" w:cs="宋体"/>
          <w:color w:val="auto"/>
          <w:spacing w:val="6"/>
          <w:highlight w:val="none"/>
        </w:rPr>
        <w:t>附件5：</w:t>
      </w:r>
      <w:r>
        <w:rPr>
          <w:rFonts w:hint="eastAsia" w:ascii="宋体" w:hAnsi="宋体" w:eastAsia="宋体" w:cs="宋体"/>
          <w:color w:val="auto"/>
          <w:highlight w:val="none"/>
        </w:rPr>
        <w:t>中小企业声明函</w:t>
      </w:r>
    </w:p>
    <w:p>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 xml:space="preserve">（单位名称） </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 采购活动，提供的货物全部由符合政策要求的中小企业制造。相关企业（含联合体中的中小企业、签订分包意向协议的中小企业）的具体情况如下：</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 ，属于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 ；制造商为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w:t>
      </w:r>
      <w:r>
        <w:rPr>
          <w:rFonts w:hint="eastAsia" w:ascii="宋体" w:hAnsi="宋体" w:eastAsia="宋体" w:cs="宋体"/>
          <w:color w:val="auto"/>
          <w:highlight w:val="none"/>
        </w:rPr>
        <w:t xml:space="preserve"> ；</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 ，属于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 ；制造商为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w:t>
      </w:r>
      <w:r>
        <w:rPr>
          <w:rFonts w:hint="eastAsia" w:ascii="宋体" w:hAnsi="宋体" w:eastAsia="宋体" w:cs="宋体"/>
          <w:color w:val="auto"/>
          <w:highlight w:val="none"/>
        </w:rPr>
        <w:t xml:space="preserve"> ；</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snapToGrid w:val="0"/>
        <w:spacing w:line="240" w:lineRule="auto"/>
        <w:ind w:firstLine="5160" w:firstLineChars="215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投标人名称(电子签名)：</w:t>
      </w:r>
    </w:p>
    <w:p>
      <w:pPr>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24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24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4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240" w:lineRule="auto"/>
        <w:rPr>
          <w:rFonts w:hint="eastAsia" w:ascii="宋体" w:hAnsi="宋体" w:eastAsia="宋体" w:cs="宋体"/>
          <w:color w:val="auto"/>
          <w:highlight w:val="none"/>
        </w:rPr>
      </w:pPr>
    </w:p>
    <w:p>
      <w:pPr>
        <w:spacing w:line="24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 xml:space="preserve">（单位名称）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spacing w:line="240" w:lineRule="auto"/>
        <w:ind w:right="1760"/>
        <w:jc w:val="right"/>
        <w:rPr>
          <w:rFonts w:hint="eastAsia" w:ascii="宋体" w:hAnsi="宋体" w:eastAsia="宋体" w:cs="宋体"/>
          <w:color w:val="auto"/>
          <w:highlight w:val="none"/>
        </w:rPr>
      </w:pPr>
      <w:r>
        <w:rPr>
          <w:rFonts w:hint="eastAsia" w:ascii="宋体" w:hAnsi="宋体" w:eastAsia="宋体" w:cs="宋体"/>
          <w:color w:val="auto"/>
          <w:highlight w:val="none"/>
        </w:rPr>
        <w:t>投标人名称（电子签名）：</w:t>
      </w:r>
    </w:p>
    <w:p>
      <w:pPr>
        <w:spacing w:line="240" w:lineRule="auto"/>
        <w:ind w:right="1120" w:firstLine="4680" w:firstLineChars="195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ind w:firstLine="354"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240" w:lineRule="auto"/>
        <w:ind w:right="420"/>
        <w:rPr>
          <w:rFonts w:hint="eastAsia" w:ascii="宋体" w:hAnsi="宋体" w:eastAsia="宋体" w:cs="宋体"/>
          <w:color w:val="auto"/>
          <w:highlight w:val="none"/>
        </w:rPr>
      </w:pPr>
    </w:p>
    <w:p>
      <w:pPr>
        <w:spacing w:line="24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 xml:space="preserve">   注：</w:t>
      </w:r>
    </w:p>
    <w:p>
      <w:pPr>
        <w:spacing w:line="24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240" w:lineRule="auto"/>
        <w:ind w:right="420"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附件6样品（演示）授权委托书</w:t>
      </w:r>
    </w:p>
    <w:p>
      <w:pPr>
        <w:spacing w:line="240" w:lineRule="auto"/>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pPr>
        <w:spacing w:line="240" w:lineRule="auto"/>
        <w:jc w:val="center"/>
        <w:rPr>
          <w:rFonts w:hint="eastAsia" w:ascii="宋体" w:hAnsi="宋体" w:eastAsia="宋体" w:cs="宋体"/>
          <w:color w:val="auto"/>
          <w:sz w:val="40"/>
          <w:highlight w:val="none"/>
        </w:rPr>
      </w:pP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pPr>
        <w:snapToGrid w:val="0"/>
        <w:spacing w:line="240" w:lineRule="auto"/>
        <w:ind w:left="290" w:leftChars="121" w:firstLine="48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pPr>
        <w:snapToGrid w:val="0"/>
        <w:spacing w:line="240" w:lineRule="auto"/>
        <w:ind w:left="290" w:leftChars="121"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pPr>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24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pPr>
        <w:snapToGrid w:val="0"/>
        <w:spacing w:line="240" w:lineRule="auto"/>
        <w:ind w:right="240"/>
        <w:jc w:val="right"/>
        <w:rPr>
          <w:rFonts w:hint="eastAsia" w:ascii="宋体" w:hAnsi="宋体" w:eastAsia="宋体" w:cs="宋体"/>
          <w:color w:val="auto"/>
          <w:highlight w:val="none"/>
          <w:lang w:val="zh-CN"/>
        </w:rPr>
      </w:pPr>
    </w:p>
    <w:p>
      <w:pPr>
        <w:snapToGrid w:val="0"/>
        <w:spacing w:line="240" w:lineRule="auto"/>
        <w:ind w:right="1920"/>
        <w:rPr>
          <w:rFonts w:hint="eastAsia" w:ascii="宋体" w:hAnsi="宋体" w:eastAsia="宋体" w:cs="宋体"/>
          <w:color w:val="auto"/>
          <w:highlight w:val="none"/>
          <w:lang w:val="zh-CN"/>
        </w:rPr>
      </w:pPr>
    </w:p>
    <w:p>
      <w:pPr>
        <w:snapToGrid w:val="0"/>
        <w:spacing w:line="240" w:lineRule="auto"/>
        <w:ind w:right="240"/>
        <w:jc w:val="right"/>
        <w:rPr>
          <w:rFonts w:hint="eastAsia" w:ascii="宋体" w:hAnsi="宋体" w:eastAsia="宋体" w:cs="宋体"/>
          <w:color w:val="auto"/>
          <w:highlight w:val="none"/>
          <w:lang w:val="zh-CN"/>
        </w:rPr>
      </w:pPr>
    </w:p>
    <w:p>
      <w:pPr>
        <w:snapToGrid w:val="0"/>
        <w:spacing w:line="24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pPr>
        <w:snapToGrid w:val="0"/>
        <w:spacing w:line="240" w:lineRule="auto"/>
        <w:ind w:right="240"/>
        <w:rPr>
          <w:rFonts w:hint="eastAsia" w:ascii="宋体" w:hAnsi="宋体" w:eastAsia="宋体" w:cs="宋体"/>
          <w:color w:val="auto"/>
          <w:highlight w:val="none"/>
          <w:lang w:val="zh-CN"/>
        </w:rPr>
      </w:pPr>
    </w:p>
    <w:p>
      <w:pPr>
        <w:snapToGrid w:val="0"/>
        <w:spacing w:line="24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pPr>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pPr>
        <w:spacing w:line="240" w:lineRule="auto"/>
        <w:ind w:right="420"/>
        <w:rPr>
          <w:rFonts w:hint="eastAsia" w:ascii="宋体" w:hAnsi="宋体" w:eastAsia="宋体" w:cs="宋体"/>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4"/>
      </w:pBdr>
      <w:jc w:val="right"/>
      <w:rPr>
        <w:rFonts w:ascii="仿宋_GB2312" w:eastAsia="仿宋_GB2312"/>
        <w:b/>
        <w:i/>
        <w:sz w:val="18"/>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88749"/>
    <w:multiLevelType w:val="singleLevel"/>
    <w:tmpl w:val="DE188749"/>
    <w:lvl w:ilvl="0" w:tentative="0">
      <w:start w:val="1"/>
      <w:numFmt w:val="decimal"/>
      <w:suff w:val="nothing"/>
      <w:lvlText w:val="（%1）"/>
      <w:lvlJc w:val="left"/>
      <w:pPr>
        <w:ind w:left="-480"/>
      </w:p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BA7EDD"/>
    <w:multiLevelType w:val="multilevel"/>
    <w:tmpl w:val="6BBA7ED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7C5B7D6F"/>
    <w:multiLevelType w:val="multilevel"/>
    <w:tmpl w:val="7C5B7D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ZGQwNDM4MDAxMDg2MjIzZWY3ZGNjMjg4Y2M0NTg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348FB"/>
    <w:rsid w:val="0035778E"/>
    <w:rsid w:val="00380ED1"/>
    <w:rsid w:val="00381B1D"/>
    <w:rsid w:val="003A3435"/>
    <w:rsid w:val="003E2487"/>
    <w:rsid w:val="004105E2"/>
    <w:rsid w:val="00424619"/>
    <w:rsid w:val="00424A1D"/>
    <w:rsid w:val="00457178"/>
    <w:rsid w:val="00462F9D"/>
    <w:rsid w:val="004A31C0"/>
    <w:rsid w:val="004F46D6"/>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BE3C05"/>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A4176"/>
    <w:rsid w:val="00FD5896"/>
    <w:rsid w:val="016E2A74"/>
    <w:rsid w:val="1242089E"/>
    <w:rsid w:val="149317C5"/>
    <w:rsid w:val="16717DCF"/>
    <w:rsid w:val="18213688"/>
    <w:rsid w:val="1CE441A5"/>
    <w:rsid w:val="1CF10478"/>
    <w:rsid w:val="2ECD7AFE"/>
    <w:rsid w:val="2FAB2BD4"/>
    <w:rsid w:val="315C12B4"/>
    <w:rsid w:val="31866A5D"/>
    <w:rsid w:val="328F5F4B"/>
    <w:rsid w:val="35A500A4"/>
    <w:rsid w:val="3BFF3ABD"/>
    <w:rsid w:val="3FFB4C43"/>
    <w:rsid w:val="419E5213"/>
    <w:rsid w:val="4C0D7735"/>
    <w:rsid w:val="4C9E7AE4"/>
    <w:rsid w:val="4CA16C8C"/>
    <w:rsid w:val="5A212D30"/>
    <w:rsid w:val="5D151243"/>
    <w:rsid w:val="6162052B"/>
    <w:rsid w:val="61AA1963"/>
    <w:rsid w:val="635F5FE7"/>
    <w:rsid w:val="64DC40DB"/>
    <w:rsid w:val="650869CE"/>
    <w:rsid w:val="66656576"/>
    <w:rsid w:val="673C55B0"/>
    <w:rsid w:val="725757C7"/>
    <w:rsid w:val="72687C7B"/>
    <w:rsid w:val="74A8092F"/>
    <w:rsid w:val="7B6F19C8"/>
    <w:rsid w:val="7BCC3610"/>
    <w:rsid w:val="7CBA0C24"/>
    <w:rsid w:val="7FD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5">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7">
    <w:name w:val="heading 3"/>
    <w:basedOn w:val="1"/>
    <w:next w:val="1"/>
    <w:link w:val="35"/>
    <w:unhideWhenUsed/>
    <w:qFormat/>
    <w:uiPriority w:val="9"/>
    <w:pPr>
      <w:outlineLvl w:val="2"/>
    </w:pPr>
    <w:rPr>
      <w:b/>
    </w:rPr>
  </w:style>
  <w:style w:type="paragraph" w:styleId="8">
    <w:name w:val="heading 4"/>
    <w:basedOn w:val="1"/>
    <w:next w:val="1"/>
    <w:link w:val="36"/>
    <w:unhideWhenUsed/>
    <w:qFormat/>
    <w:uiPriority w:val="9"/>
    <w:pPr>
      <w:spacing w:after="0" w:line="271" w:lineRule="auto"/>
      <w:outlineLvl w:val="3"/>
    </w:pPr>
    <w:rPr>
      <w:b/>
      <w:bCs/>
      <w:spacing w:val="5"/>
    </w:rPr>
  </w:style>
  <w:style w:type="paragraph" w:styleId="9">
    <w:name w:val="heading 5"/>
    <w:basedOn w:val="1"/>
    <w:next w:val="1"/>
    <w:link w:val="37"/>
    <w:unhideWhenUsed/>
    <w:qFormat/>
    <w:uiPriority w:val="9"/>
    <w:pPr>
      <w:spacing w:after="0" w:line="271" w:lineRule="auto"/>
      <w:outlineLvl w:val="4"/>
    </w:pPr>
    <w:rPr>
      <w:i/>
      <w:iCs/>
    </w:rPr>
  </w:style>
  <w:style w:type="paragraph" w:styleId="10">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1">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2">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3">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unhideWhenUsed/>
    <w:qFormat/>
    <w:uiPriority w:val="99"/>
    <w:pPr>
      <w:ind w:firstLine="420" w:firstLineChars="100"/>
    </w:pPr>
  </w:style>
  <w:style w:type="paragraph" w:styleId="4">
    <w:name w:val="toc 6"/>
    <w:basedOn w:val="1"/>
    <w:next w:val="1"/>
    <w:qFormat/>
    <w:uiPriority w:val="0"/>
    <w:pPr>
      <w:ind w:left="2100" w:leftChars="1000"/>
    </w:pPr>
  </w:style>
  <w:style w:type="paragraph" w:styleId="14">
    <w:name w:val="Normal Indent"/>
    <w:basedOn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5">
    <w:name w:val="caption"/>
    <w:basedOn w:val="1"/>
    <w:next w:val="1"/>
    <w:semiHidden/>
    <w:unhideWhenUsed/>
    <w:qFormat/>
    <w:uiPriority w:val="35"/>
    <w:rPr>
      <w:b/>
      <w:bCs/>
      <w:caps/>
      <w:sz w:val="16"/>
      <w:szCs w:val="18"/>
    </w:rPr>
  </w:style>
  <w:style w:type="paragraph" w:styleId="16">
    <w:name w:val="Body Text Indent"/>
    <w:basedOn w:val="1"/>
    <w:next w:val="14"/>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75"/>
    <w:semiHidden/>
    <w:unhideWhenUsed/>
    <w:qFormat/>
    <w:uiPriority w:val="99"/>
    <w:pPr>
      <w:spacing w:after="0"/>
    </w:pPr>
    <w:rPr>
      <w:sz w:val="18"/>
      <w:szCs w:val="18"/>
    </w:rPr>
  </w:style>
  <w:style w:type="paragraph" w:styleId="19">
    <w:name w:val="footer"/>
    <w:basedOn w:val="1"/>
    <w:link w:val="32"/>
    <w:unhideWhenUsed/>
    <w:qFormat/>
    <w:uiPriority w:val="99"/>
    <w:pPr>
      <w:tabs>
        <w:tab w:val="center" w:pos="4153"/>
        <w:tab w:val="right" w:pos="8306"/>
      </w:tabs>
      <w:snapToGrid w:val="0"/>
    </w:pPr>
    <w:rPr>
      <w:sz w:val="18"/>
      <w:szCs w:val="18"/>
    </w:rPr>
  </w:style>
  <w:style w:type="paragraph" w:styleId="2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3"/>
    <w:qFormat/>
    <w:uiPriority w:val="11"/>
    <w:rPr>
      <w:i/>
      <w:iCs/>
      <w:smallCaps/>
      <w:spacing w:val="10"/>
      <w:sz w:val="28"/>
      <w:szCs w:val="28"/>
    </w:rPr>
  </w:style>
  <w:style w:type="paragraph" w:styleId="22">
    <w:name w:val="Normal (Web)"/>
    <w:basedOn w:val="1"/>
    <w:semiHidden/>
    <w:unhideWhenUsed/>
    <w:qFormat/>
    <w:uiPriority w:val="99"/>
    <w:pPr>
      <w:spacing w:beforeAutospacing="1" w:after="0" w:afterAutospacing="1"/>
    </w:pPr>
    <w:rPr>
      <w:rFonts w:cs="Times New Roman"/>
    </w:rPr>
  </w:style>
  <w:style w:type="paragraph" w:styleId="23">
    <w:name w:val="Title"/>
    <w:basedOn w:val="1"/>
    <w:next w:val="1"/>
    <w:link w:val="42"/>
    <w:qFormat/>
    <w:uiPriority w:val="10"/>
    <w:pPr>
      <w:spacing w:after="300"/>
      <w:contextualSpacing/>
    </w:pPr>
    <w:rPr>
      <w:smallCaps/>
      <w:sz w:val="52"/>
      <w:szCs w:val="52"/>
    </w:rPr>
  </w:style>
  <w:style w:type="paragraph" w:styleId="24">
    <w:name w:val="Body Text First Indent 2"/>
    <w:basedOn w:val="16"/>
    <w:semiHidden/>
    <w:unhideWhenUsed/>
    <w:qFormat/>
    <w:uiPriority w:val="99"/>
    <w:pPr>
      <w:adjustRightInd/>
      <w:spacing w:after="120" w:line="240" w:lineRule="auto"/>
      <w:ind w:left="420" w:leftChars="200" w:firstLine="420" w:firstLineChars="200"/>
      <w:jc w:val="both"/>
    </w:pPr>
    <w:rPr>
      <w:rFonts w:ascii="Times New Roman" w:hAnsi="Times New Roman" w:eastAsia="宋体"/>
      <w:sz w:val="21"/>
      <w:szCs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character" w:customStyle="1" w:styleId="31">
    <w:name w:val="页眉 字符"/>
    <w:basedOn w:val="27"/>
    <w:link w:val="20"/>
    <w:qFormat/>
    <w:uiPriority w:val="99"/>
    <w:rPr>
      <w:sz w:val="18"/>
      <w:szCs w:val="18"/>
    </w:rPr>
  </w:style>
  <w:style w:type="character" w:customStyle="1" w:styleId="32">
    <w:name w:val="页脚 字符"/>
    <w:basedOn w:val="27"/>
    <w:link w:val="19"/>
    <w:qFormat/>
    <w:uiPriority w:val="99"/>
    <w:rPr>
      <w:sz w:val="18"/>
      <w:szCs w:val="18"/>
    </w:rPr>
  </w:style>
  <w:style w:type="character" w:customStyle="1" w:styleId="33">
    <w:name w:val="标题 1 字符"/>
    <w:basedOn w:val="27"/>
    <w:link w:val="5"/>
    <w:qFormat/>
    <w:uiPriority w:val="9"/>
    <w:rPr>
      <w:rFonts w:ascii="仿宋_GB2312" w:hAnsi="仿宋" w:eastAsia="仿宋_GB2312"/>
      <w:b/>
      <w:smallCaps/>
      <w:spacing w:val="5"/>
      <w:sz w:val="36"/>
      <w:szCs w:val="36"/>
    </w:rPr>
  </w:style>
  <w:style w:type="character" w:customStyle="1" w:styleId="34">
    <w:name w:val="标题 2 字符"/>
    <w:basedOn w:val="27"/>
    <w:link w:val="6"/>
    <w:qFormat/>
    <w:uiPriority w:val="9"/>
    <w:rPr>
      <w:rFonts w:ascii="仿宋" w:hAnsi="仿宋" w:eastAsia="仿宋"/>
      <w:b/>
      <w:smallCaps/>
      <w:sz w:val="28"/>
      <w:szCs w:val="28"/>
    </w:rPr>
  </w:style>
  <w:style w:type="character" w:customStyle="1" w:styleId="35">
    <w:name w:val="标题 3 字符"/>
    <w:basedOn w:val="27"/>
    <w:link w:val="7"/>
    <w:qFormat/>
    <w:uiPriority w:val="9"/>
    <w:rPr>
      <w:rFonts w:ascii="仿宋" w:hAnsi="仿宋" w:eastAsia="仿宋"/>
      <w:b/>
      <w:sz w:val="24"/>
      <w:szCs w:val="24"/>
    </w:rPr>
  </w:style>
  <w:style w:type="character" w:customStyle="1" w:styleId="36">
    <w:name w:val="标题 4 字符"/>
    <w:basedOn w:val="27"/>
    <w:link w:val="8"/>
    <w:qFormat/>
    <w:uiPriority w:val="9"/>
    <w:rPr>
      <w:b/>
      <w:bCs/>
      <w:spacing w:val="5"/>
      <w:sz w:val="24"/>
      <w:szCs w:val="24"/>
    </w:rPr>
  </w:style>
  <w:style w:type="character" w:customStyle="1" w:styleId="37">
    <w:name w:val="标题 5 字符"/>
    <w:basedOn w:val="27"/>
    <w:link w:val="9"/>
    <w:qFormat/>
    <w:uiPriority w:val="9"/>
    <w:rPr>
      <w:i/>
      <w:iCs/>
      <w:sz w:val="24"/>
      <w:szCs w:val="24"/>
    </w:rPr>
  </w:style>
  <w:style w:type="character" w:customStyle="1" w:styleId="38">
    <w:name w:val="标题 6 字符"/>
    <w:basedOn w:val="27"/>
    <w:link w:val="10"/>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字符"/>
    <w:basedOn w:val="27"/>
    <w:link w:val="11"/>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字符"/>
    <w:basedOn w:val="27"/>
    <w:link w:val="12"/>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字符"/>
    <w:basedOn w:val="27"/>
    <w:link w:val="13"/>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字符"/>
    <w:basedOn w:val="27"/>
    <w:link w:val="23"/>
    <w:qFormat/>
    <w:uiPriority w:val="10"/>
    <w:rPr>
      <w:smallCaps/>
      <w:sz w:val="52"/>
      <w:szCs w:val="52"/>
    </w:rPr>
  </w:style>
  <w:style w:type="character" w:customStyle="1" w:styleId="43">
    <w:name w:val="副标题 字符"/>
    <w:basedOn w:val="27"/>
    <w:link w:val="21"/>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字符"/>
    <w:basedOn w:val="27"/>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字符"/>
    <w:basedOn w:val="27"/>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7"/>
    <w:qFormat/>
    <w:uiPriority w:val="31"/>
    <w:rPr>
      <w:smallCaps/>
    </w:rPr>
  </w:style>
  <w:style w:type="character" w:customStyle="1" w:styleId="53">
    <w:name w:val="明显参考1"/>
    <w:qFormat/>
    <w:uiPriority w:val="32"/>
    <w:rPr>
      <w:b/>
      <w:bCs/>
      <w:smallCaps/>
    </w:rPr>
  </w:style>
  <w:style w:type="character" w:customStyle="1" w:styleId="54">
    <w:name w:val="书籍标题1"/>
    <w:basedOn w:val="27"/>
    <w:qFormat/>
    <w:uiPriority w:val="33"/>
    <w:rPr>
      <w:i/>
      <w:iCs/>
      <w:smallCaps/>
      <w:spacing w:val="5"/>
    </w:rPr>
  </w:style>
  <w:style w:type="paragraph" w:customStyle="1" w:styleId="55">
    <w:name w:val="TOC 标题1"/>
    <w:basedOn w:val="5"/>
    <w:next w:val="1"/>
    <w:semiHidden/>
    <w:unhideWhenUsed/>
    <w:qFormat/>
    <w:uiPriority w:val="39"/>
    <w:pPr>
      <w:outlineLvl w:val="9"/>
    </w:pPr>
    <w:rPr>
      <w:lang w:bidi="en-US"/>
    </w:rPr>
  </w:style>
  <w:style w:type="character" w:customStyle="1" w:styleId="56">
    <w:name w:val="无间隔 字符"/>
    <w:basedOn w:val="27"/>
    <w:link w:val="44"/>
    <w:qFormat/>
    <w:uiPriority w:val="1"/>
  </w:style>
  <w:style w:type="paragraph" w:customStyle="1" w:styleId="57">
    <w:name w:val="Personal Name"/>
    <w:basedOn w:val="23"/>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字符"/>
    <w:link w:val="14"/>
    <w:qFormat/>
    <w:uiPriority w:val="0"/>
    <w:rPr>
      <w:rFonts w:ascii="宋体" w:hAnsi="Times New Roman" w:eastAsia="宋体" w:cs="Times New Roman"/>
      <w:snapToGrid w:val="0"/>
      <w:color w:val="000000"/>
      <w:kern w:val="28"/>
      <w:sz w:val="28"/>
      <w:szCs w:val="20"/>
    </w:rPr>
  </w:style>
  <w:style w:type="character" w:customStyle="1" w:styleId="61">
    <w:name w:val="纯文本 字符"/>
    <w:basedOn w:val="27"/>
    <w:link w:val="17"/>
    <w:qFormat/>
    <w:uiPriority w:val="0"/>
    <w:rPr>
      <w:rFonts w:ascii="宋体" w:hAnsi="Courier New" w:eastAsia="宋体" w:cs="Arial"/>
      <w:snapToGrid w:val="0"/>
      <w:kern w:val="2"/>
      <w:sz w:val="21"/>
      <w:szCs w:val="21"/>
    </w:rPr>
  </w:style>
  <w:style w:type="character" w:customStyle="1" w:styleId="62">
    <w:name w:val="正文文本缩进 Char"/>
    <w:basedOn w:val="27"/>
    <w:semiHidden/>
    <w:qFormat/>
    <w:uiPriority w:val="99"/>
    <w:rPr>
      <w:rFonts w:ascii="仿宋" w:hAnsi="仿宋" w:eastAsia="仿宋"/>
      <w:sz w:val="24"/>
      <w:szCs w:val="24"/>
    </w:rPr>
  </w:style>
  <w:style w:type="character" w:customStyle="1" w:styleId="63">
    <w:name w:val="正文文本缩进 字符"/>
    <w:link w:val="16"/>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字符"/>
    <w:basedOn w:val="27"/>
    <w:link w:val="18"/>
    <w:semiHidden/>
    <w:qFormat/>
    <w:uiPriority w:val="99"/>
    <w:rPr>
      <w:rFonts w:ascii="仿宋" w:hAnsi="仿宋" w:eastAsia="仿宋"/>
      <w:sz w:val="18"/>
      <w:szCs w:val="18"/>
    </w:rPr>
  </w:style>
  <w:style w:type="paragraph" w:customStyle="1" w:styleId="76">
    <w:name w:val="11111"/>
    <w:basedOn w:val="1"/>
    <w:qFormat/>
    <w:uiPriority w:val="0"/>
    <w:pPr>
      <w:widowControl/>
      <w:adjustRightInd w:val="0"/>
      <w:snapToGrid w:val="0"/>
      <w:spacing w:line="360" w:lineRule="auto"/>
      <w:jc w:val="left"/>
      <w:textAlignment w:val="center"/>
    </w:pPr>
    <w:rPr>
      <w:rFonts w:hint="eastAsia" w:ascii="宋体" w:hAnsi="宋体"/>
      <w:color w:val="000000"/>
      <w:kern w:val="0"/>
      <w:sz w:val="22"/>
      <w:szCs w:val="22"/>
    </w:rPr>
  </w:style>
  <w:style w:type="character" w:customStyle="1" w:styleId="77">
    <w:name w:val="标题 1 Char Char"/>
    <w:qFormat/>
    <w:uiPriority w:val="0"/>
    <w:rPr>
      <w:rFonts w:hint="eastAsia" w:ascii="宋体" w:hAnsi="宋体" w:eastAsia="宋体"/>
      <w:b/>
      <w:spacing w:val="-2"/>
      <w:sz w:val="24"/>
      <w:lang w:val="en-US" w:eastAsia="zh-CN" w:bidi="ar-SA"/>
    </w:rPr>
  </w:style>
  <w:style w:type="paragraph" w:customStyle="1" w:styleId="78">
    <w:name w:val="_Style 1"/>
    <w:basedOn w:val="1"/>
    <w:qFormat/>
    <w:uiPriority w:val="34"/>
    <w:pPr>
      <w:adjustRightInd/>
      <w:ind w:firstLine="420" w:firstLineChars="200"/>
    </w:pPr>
    <w:rPr>
      <w:rFonts w:eastAsia="仿宋_GB2312"/>
      <w:sz w:val="28"/>
    </w:rPr>
  </w:style>
  <w:style w:type="paragraph" w:customStyle="1" w:styleId="79">
    <w:name w:val="Table Paragraph"/>
    <w:basedOn w:val="1"/>
    <w:qFormat/>
    <w:uiPriority w:val="1"/>
    <w:rPr>
      <w:rFonts w:ascii="宋体" w:hAnsi="宋体" w:eastAsia="宋体" w:cs="宋体"/>
      <w:lang w:val="zh-CN" w:eastAsia="zh-CN" w:bidi="zh-CN"/>
    </w:rPr>
  </w:style>
  <w:style w:type="paragraph" w:customStyle="1" w:styleId="80">
    <w:name w:val="Default"/>
    <w:next w:val="8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_Style 2"/>
    <w:basedOn w:val="1"/>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Template>
  <Pages>99</Pages>
  <Words>57209</Words>
  <Characters>60398</Characters>
  <Lines>309</Lines>
  <Paragraphs>87</Paragraphs>
  <TotalTime>1</TotalTime>
  <ScaleCrop>false</ScaleCrop>
  <LinksUpToDate>false</LinksUpToDate>
  <CharactersWithSpaces>66027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遗忘D远方</cp:lastModifiedBy>
  <cp:lastPrinted>2022-06-10T09:02:00Z</cp:lastPrinted>
  <dcterms:modified xsi:type="dcterms:W3CDTF">2023-04-03T07:11:14Z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0C9154BC991D4ACB87A94C5ED85EEF6D</vt:lpwstr>
  </property>
</Properties>
</file>