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48"/>
          <w:szCs w:val="48"/>
        </w:rPr>
      </w:pPr>
      <w:r>
        <w:rPr>
          <w:rFonts w:hint="eastAsia" w:ascii="宋体" w:cs="宋体"/>
          <w:b/>
          <w:bCs/>
          <w:kern w:val="0"/>
          <w:sz w:val="48"/>
          <w:szCs w:val="48"/>
        </w:rPr>
        <w:t>温岭市新河镇</w:t>
      </w:r>
      <w:r>
        <w:rPr>
          <w:rFonts w:hint="eastAsia" w:ascii="宋体" w:cs="宋体"/>
          <w:b/>
          <w:bCs/>
          <w:kern w:val="0"/>
          <w:sz w:val="48"/>
          <w:szCs w:val="48"/>
          <w:lang w:eastAsia="zh-CN"/>
        </w:rPr>
        <w:t>2022</w:t>
      </w:r>
      <w:r>
        <w:rPr>
          <w:rFonts w:hint="eastAsia" w:ascii="宋体" w:cs="宋体"/>
          <w:b/>
          <w:bCs/>
          <w:kern w:val="0"/>
          <w:sz w:val="48"/>
          <w:szCs w:val="48"/>
        </w:rPr>
        <w:t>年度病媒生物防制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b/>
          <w:bCs/>
          <w:kern w:val="0"/>
          <w:sz w:val="52"/>
          <w:szCs w:val="52"/>
        </w:rPr>
      </w:pPr>
      <w:r>
        <w:rPr>
          <w:rFonts w:hint="eastAsia" w:ascii="宋体" w:cs="宋体"/>
          <w:b/>
          <w:bCs/>
          <w:kern w:val="0"/>
          <w:sz w:val="48"/>
          <w:szCs w:val="48"/>
        </w:rPr>
        <w:t>专业化服务项目采购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96"/>
          <w:szCs w:val="96"/>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rPr>
      </w:pPr>
      <w:r>
        <w:rPr>
          <w:rFonts w:hint="eastAsia" w:ascii="宋体" w:hAnsi="宋体"/>
          <w:b/>
          <w:sz w:val="36"/>
        </w:rPr>
        <w:t xml:space="preserve"> （线上电子招投标）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lang w:eastAsia="zh-CN"/>
        </w:rPr>
      </w:pPr>
      <w:r>
        <w:rPr>
          <w:rFonts w:hint="eastAsia" w:ascii="宋体" w:cs="宋体"/>
          <w:kern w:val="0"/>
          <w:sz w:val="32"/>
          <w:szCs w:val="32"/>
        </w:rPr>
        <w:t>项目编号：</w:t>
      </w:r>
      <w:r>
        <w:rPr>
          <w:rFonts w:hint="eastAsia" w:ascii="宋体" w:hAnsi="宋体" w:cs="宋体"/>
          <w:kern w:val="0"/>
          <w:sz w:val="32"/>
          <w:szCs w:val="32"/>
          <w:lang w:eastAsia="zh-CN"/>
        </w:rPr>
        <w:t>JJWL22030950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pPr>
        <w:autoSpaceDE w:val="0"/>
        <w:autoSpaceDN w:val="0"/>
        <w:adjustRightInd w:val="0"/>
        <w:spacing w:line="360" w:lineRule="auto"/>
        <w:rPr>
          <w:rFonts w:ascii="宋体"/>
          <w:b/>
          <w:bCs/>
          <w:kern w:val="0"/>
          <w:sz w:val="52"/>
          <w:szCs w:val="52"/>
        </w:rPr>
      </w:pPr>
    </w:p>
    <w:p>
      <w:pPr>
        <w:autoSpaceDE w:val="0"/>
        <w:autoSpaceDN w:val="0"/>
        <w:adjustRightInd w:val="0"/>
        <w:spacing w:line="360" w:lineRule="auto"/>
        <w:jc w:val="left"/>
        <w:rPr>
          <w:rFonts w:ascii="宋体"/>
          <w:kern w:val="0"/>
          <w:sz w:val="32"/>
          <w:szCs w:val="32"/>
        </w:rPr>
      </w:pPr>
    </w:p>
    <w:tbl>
      <w:tblPr>
        <w:tblStyle w:val="19"/>
        <w:tblW w:w="0" w:type="auto"/>
        <w:tblInd w:w="1137" w:type="dxa"/>
        <w:tblLayout w:type="fixed"/>
        <w:tblCellMar>
          <w:top w:w="0" w:type="dxa"/>
          <w:left w:w="108" w:type="dxa"/>
          <w:bottom w:w="0" w:type="dxa"/>
          <w:right w:w="108" w:type="dxa"/>
        </w:tblCellMar>
      </w:tblPr>
      <w:tblGrid>
        <w:gridCol w:w="2340"/>
        <w:gridCol w:w="4745"/>
      </w:tblGrid>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采购人：</w:t>
            </w:r>
          </w:p>
        </w:tc>
        <w:tc>
          <w:tcPr>
            <w:tcW w:w="4745" w:type="dxa"/>
          </w:tcPr>
          <w:p>
            <w:pPr>
              <w:widowControl/>
              <w:snapToGrid w:val="0"/>
              <w:spacing w:line="500" w:lineRule="exact"/>
              <w:rPr>
                <w:rFonts w:ascii="宋体" w:hAnsi="宋体" w:cs="宋体"/>
                <w:sz w:val="32"/>
                <w:szCs w:val="32"/>
              </w:rPr>
            </w:pPr>
            <w:r>
              <w:rPr>
                <w:rFonts w:hint="eastAsia" w:ascii="宋体" w:hAnsi="宋体" w:cs="宋体"/>
                <w:kern w:val="0"/>
                <w:sz w:val="32"/>
                <w:szCs w:val="32"/>
              </w:rPr>
              <w:t xml:space="preserve">温岭市新河镇人民政府         </w:t>
            </w:r>
          </w:p>
        </w:tc>
      </w:tr>
      <w:tr>
        <w:tblPrEx>
          <w:tblCellMar>
            <w:top w:w="0" w:type="dxa"/>
            <w:left w:w="108" w:type="dxa"/>
            <w:bottom w:w="0" w:type="dxa"/>
            <w:right w:w="108" w:type="dxa"/>
          </w:tblCellMar>
        </w:tblPrEx>
        <w:trPr>
          <w:trHeight w:val="516" w:hRule="atLeast"/>
        </w:trPr>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采购代理机构：</w:t>
            </w:r>
          </w:p>
        </w:tc>
        <w:tc>
          <w:tcPr>
            <w:tcW w:w="4745" w:type="dxa"/>
          </w:tcPr>
          <w:p>
            <w:pPr>
              <w:widowControl/>
              <w:snapToGrid w:val="0"/>
              <w:spacing w:line="500" w:lineRule="exact"/>
              <w:rPr>
                <w:rFonts w:ascii="宋体" w:hAnsi="宋体" w:cs="宋体"/>
                <w:b/>
                <w:sz w:val="32"/>
                <w:szCs w:val="32"/>
              </w:rPr>
            </w:pPr>
            <w:r>
              <w:rPr>
                <w:rFonts w:hint="eastAsia" w:ascii="宋体" w:hAnsi="宋体" w:cs="宋体"/>
                <w:kern w:val="0"/>
                <w:sz w:val="32"/>
                <w:szCs w:val="32"/>
              </w:rPr>
              <w:t>建经投资咨询有限公司</w:t>
            </w:r>
          </w:p>
        </w:tc>
      </w:tr>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备案单位：</w:t>
            </w:r>
          </w:p>
        </w:tc>
        <w:tc>
          <w:tcPr>
            <w:tcW w:w="4745" w:type="dxa"/>
          </w:tcPr>
          <w:p>
            <w:pPr>
              <w:widowControl/>
              <w:snapToGrid w:val="0"/>
              <w:spacing w:line="500" w:lineRule="exact"/>
              <w:rPr>
                <w:rFonts w:ascii="宋体" w:hAnsi="宋体" w:cs="宋体"/>
                <w:sz w:val="32"/>
                <w:szCs w:val="32"/>
              </w:rPr>
            </w:pPr>
            <w:r>
              <w:rPr>
                <w:rFonts w:hint="eastAsia" w:ascii="宋体" w:hAnsi="宋体" w:cs="宋体"/>
                <w:kern w:val="0"/>
                <w:sz w:val="32"/>
                <w:szCs w:val="32"/>
              </w:rPr>
              <w:t>温岭市财政局政府采购监管科</w:t>
            </w:r>
          </w:p>
        </w:tc>
      </w:tr>
      <w:tr>
        <w:tblPrEx>
          <w:tblCellMar>
            <w:top w:w="0" w:type="dxa"/>
            <w:left w:w="108" w:type="dxa"/>
            <w:bottom w:w="0" w:type="dxa"/>
            <w:right w:w="108" w:type="dxa"/>
          </w:tblCellMar>
        </w:tblPrEx>
        <w:trPr>
          <w:trHeight w:val="716" w:hRule="atLeast"/>
        </w:trPr>
        <w:tc>
          <w:tcPr>
            <w:tcW w:w="7085" w:type="dxa"/>
            <w:gridSpan w:val="2"/>
          </w:tcPr>
          <w:p>
            <w:pPr>
              <w:widowControl/>
              <w:snapToGrid w:val="0"/>
              <w:spacing w:beforeLines="50" w:line="500" w:lineRule="exact"/>
              <w:jc w:val="center"/>
              <w:rPr>
                <w:rFonts w:ascii="宋体" w:hAnsi="宋体" w:cs="宋体"/>
                <w:spacing w:val="24"/>
                <w:sz w:val="32"/>
                <w:szCs w:val="32"/>
              </w:rPr>
            </w:pPr>
            <w:r>
              <w:rPr>
                <w:rFonts w:hint="eastAsia" w:ascii="宋体" w:hAnsi="宋体" w:cs="宋体"/>
                <w:spacing w:val="24"/>
                <w:kern w:val="0"/>
                <w:sz w:val="32"/>
                <w:szCs w:val="32"/>
              </w:rPr>
              <w:t>二○二</w:t>
            </w:r>
            <w:r>
              <w:rPr>
                <w:rFonts w:hint="eastAsia" w:ascii="宋体" w:hAnsi="宋体" w:cs="宋体"/>
                <w:spacing w:val="24"/>
                <w:kern w:val="0"/>
                <w:sz w:val="32"/>
                <w:szCs w:val="32"/>
                <w:lang w:eastAsia="zh-CN"/>
              </w:rPr>
              <w:t>二</w:t>
            </w:r>
            <w:r>
              <w:rPr>
                <w:rFonts w:hint="eastAsia" w:ascii="宋体" w:hAnsi="宋体" w:cs="宋体"/>
                <w:spacing w:val="24"/>
                <w:kern w:val="0"/>
                <w:sz w:val="32"/>
                <w:szCs w:val="32"/>
              </w:rPr>
              <w:t>年</w:t>
            </w:r>
            <w:r>
              <w:rPr>
                <w:rFonts w:hint="eastAsia" w:ascii="宋体" w:hAnsi="宋体" w:cs="宋体"/>
                <w:spacing w:val="24"/>
                <w:kern w:val="0"/>
                <w:sz w:val="32"/>
                <w:szCs w:val="32"/>
                <w:lang w:eastAsia="zh-CN"/>
              </w:rPr>
              <w:t>四</w:t>
            </w:r>
            <w:r>
              <w:rPr>
                <w:rFonts w:hint="eastAsia" w:ascii="宋体" w:hAnsi="宋体" w:cs="宋体"/>
                <w:spacing w:val="24"/>
                <w:kern w:val="0"/>
                <w:sz w:val="32"/>
                <w:szCs w:val="32"/>
              </w:rPr>
              <w:t>月</w:t>
            </w:r>
          </w:p>
        </w:tc>
      </w:tr>
    </w:tbl>
    <w:p>
      <w:pPr>
        <w:pStyle w:val="17"/>
        <w:sectPr>
          <w:headerReference r:id="rId3" w:type="default"/>
          <w:footerReference r:id="rId4" w:type="default"/>
          <w:pgSz w:w="11906" w:h="16838"/>
          <w:pgMar w:top="1588" w:right="1797" w:bottom="1304" w:left="1797" w:header="851" w:footer="992" w:gutter="0"/>
          <w:pgNumType w:start="1"/>
          <w:cols w:space="720" w:num="1"/>
          <w:docGrid w:type="lines" w:linePitch="312" w:charSpace="0"/>
        </w:sectPr>
      </w:pPr>
    </w:p>
    <w:p/>
    <w:sdt>
      <w:sdtPr>
        <w:rPr>
          <w:rFonts w:hint="eastAsia" w:ascii="宋体" w:hAnsi="宋体" w:cs="宋体"/>
          <w:b/>
          <w:bCs/>
          <w:sz w:val="48"/>
          <w:szCs w:val="48"/>
        </w:rPr>
        <w:id w:val="147481734"/>
        <w:docPartObj>
          <w:docPartGallery w:val="Table of Contents"/>
          <w:docPartUnique/>
        </w:docPartObj>
      </w:sdtPr>
      <w:sdtEndPr>
        <w:rPr>
          <w:rFonts w:hint="eastAsia" w:ascii="Times New Roman" w:hAnsi="Times New Roman" w:cs="Times New Roman"/>
          <w:b/>
          <w:bCs/>
          <w:sz w:val="21"/>
          <w:szCs w:val="21"/>
        </w:rPr>
      </w:sdtEndPr>
      <w:sdtContent>
        <w:p>
          <w:pPr>
            <w:jc w:val="center"/>
            <w:rPr>
              <w:rFonts w:ascii="宋体" w:hAnsi="宋体" w:cs="宋体"/>
              <w:b/>
              <w:bCs/>
              <w:sz w:val="48"/>
              <w:szCs w:val="48"/>
            </w:rPr>
          </w:pPr>
          <w:r>
            <w:rPr>
              <w:rFonts w:hint="eastAsia" w:ascii="宋体" w:hAnsi="宋体" w:cs="宋体"/>
              <w:b/>
              <w:bCs/>
              <w:sz w:val="48"/>
              <w:szCs w:val="48"/>
            </w:rPr>
            <w:t>目  录</w:t>
          </w:r>
        </w:p>
        <w:p>
          <w:pPr>
            <w:pStyle w:val="59"/>
            <w:tabs>
              <w:tab w:val="right" w:leader="dot" w:pos="8448"/>
            </w:tabs>
            <w:spacing w:line="480" w:lineRule="auto"/>
            <w:rPr>
              <w:sz w:val="24"/>
              <w:szCs w:val="24"/>
            </w:rPr>
          </w:pPr>
          <w:r>
            <w:fldChar w:fldCharType="begin"/>
          </w:r>
          <w:r>
            <w:instrText xml:space="preserve">TOC \o "1-1" \h \u </w:instrText>
          </w:r>
          <w:r>
            <w:fldChar w:fldCharType="separate"/>
          </w:r>
          <w:r>
            <w:fldChar w:fldCharType="begin"/>
          </w:r>
          <w:r>
            <w:instrText xml:space="preserve"> HYPERLINK \l "_Toc30135" </w:instrText>
          </w:r>
          <w:r>
            <w:fldChar w:fldCharType="separate"/>
          </w:r>
          <w:r>
            <w:rPr>
              <w:rFonts w:hint="eastAsia" w:ascii="宋体" w:hAnsi="宋体" w:cs="宋体"/>
              <w:bCs/>
              <w:sz w:val="24"/>
              <w:szCs w:val="48"/>
            </w:rPr>
            <w:t>第一章</w:t>
          </w:r>
          <w:r>
            <w:rPr>
              <w:rFonts w:ascii="宋体" w:hAnsi="宋体" w:cs="宋体"/>
              <w:bCs/>
              <w:sz w:val="24"/>
              <w:szCs w:val="48"/>
            </w:rPr>
            <w:t xml:space="preserve"> </w:t>
          </w:r>
          <w:r>
            <w:rPr>
              <w:rFonts w:hint="eastAsia" w:ascii="宋体" w:hAnsi="宋体" w:cs="宋体"/>
              <w:bCs/>
              <w:sz w:val="24"/>
              <w:szCs w:val="48"/>
            </w:rPr>
            <w:t>招标公告</w:t>
          </w:r>
          <w:r>
            <w:rPr>
              <w:sz w:val="24"/>
              <w:szCs w:val="24"/>
            </w:rPr>
            <w:tab/>
          </w:r>
          <w:r>
            <w:rPr>
              <w:sz w:val="24"/>
              <w:szCs w:val="24"/>
            </w:rPr>
            <w:fldChar w:fldCharType="begin"/>
          </w:r>
          <w:r>
            <w:rPr>
              <w:sz w:val="24"/>
              <w:szCs w:val="24"/>
            </w:rPr>
            <w:instrText xml:space="preserve"> PAGEREF _Toc30135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59"/>
            <w:tabs>
              <w:tab w:val="right" w:leader="dot" w:pos="8448"/>
            </w:tabs>
            <w:spacing w:line="480" w:lineRule="auto"/>
            <w:rPr>
              <w:sz w:val="24"/>
              <w:szCs w:val="24"/>
            </w:rPr>
          </w:pPr>
          <w:r>
            <w:fldChar w:fldCharType="begin"/>
          </w:r>
          <w:r>
            <w:instrText xml:space="preserve"> HYPERLINK \l "_Toc32386" </w:instrText>
          </w:r>
          <w:r>
            <w:fldChar w:fldCharType="separate"/>
          </w:r>
          <w:r>
            <w:rPr>
              <w:rFonts w:hint="eastAsia" w:ascii="宋体" w:hAnsi="宋体" w:cs="宋体"/>
              <w:bCs/>
              <w:sz w:val="24"/>
              <w:szCs w:val="48"/>
            </w:rPr>
            <w:t>第二章 投标人须知</w:t>
          </w:r>
          <w:r>
            <w:rPr>
              <w:sz w:val="24"/>
              <w:szCs w:val="24"/>
            </w:rPr>
            <w:tab/>
          </w:r>
          <w:r>
            <w:rPr>
              <w:sz w:val="24"/>
              <w:szCs w:val="24"/>
            </w:rPr>
            <w:fldChar w:fldCharType="begin"/>
          </w:r>
          <w:r>
            <w:rPr>
              <w:sz w:val="24"/>
              <w:szCs w:val="24"/>
            </w:rPr>
            <w:instrText xml:space="preserve"> PAGEREF _Toc32386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59"/>
            <w:tabs>
              <w:tab w:val="right" w:leader="dot" w:pos="8448"/>
            </w:tabs>
            <w:spacing w:line="480" w:lineRule="auto"/>
            <w:rPr>
              <w:sz w:val="24"/>
              <w:szCs w:val="24"/>
            </w:rPr>
          </w:pPr>
          <w:r>
            <w:fldChar w:fldCharType="begin"/>
          </w:r>
          <w:r>
            <w:instrText xml:space="preserve"> HYPERLINK \l "_Toc11236" </w:instrText>
          </w:r>
          <w:r>
            <w:fldChar w:fldCharType="separate"/>
          </w:r>
          <w:r>
            <w:rPr>
              <w:rFonts w:hint="eastAsia" w:ascii="宋体" w:hAnsi="宋体" w:cs="宋体"/>
              <w:bCs/>
              <w:sz w:val="24"/>
              <w:szCs w:val="48"/>
            </w:rPr>
            <w:t>第三章</w:t>
          </w:r>
          <w:r>
            <w:rPr>
              <w:rFonts w:ascii="宋体" w:hAnsi="宋体" w:cs="宋体"/>
              <w:bCs/>
              <w:sz w:val="24"/>
              <w:szCs w:val="48"/>
            </w:rPr>
            <w:t xml:space="preserve"> </w:t>
          </w:r>
          <w:r>
            <w:rPr>
              <w:rFonts w:hint="eastAsia" w:ascii="宋体" w:hAnsi="宋体" w:cs="宋体"/>
              <w:bCs/>
              <w:sz w:val="24"/>
              <w:szCs w:val="48"/>
            </w:rPr>
            <w:t>评标办法及评分标准</w:t>
          </w:r>
          <w:r>
            <w:rPr>
              <w:sz w:val="24"/>
              <w:szCs w:val="24"/>
            </w:rPr>
            <w:tab/>
          </w:r>
          <w:r>
            <w:rPr>
              <w:sz w:val="24"/>
              <w:szCs w:val="24"/>
            </w:rPr>
            <w:fldChar w:fldCharType="begin"/>
          </w:r>
          <w:r>
            <w:rPr>
              <w:sz w:val="24"/>
              <w:szCs w:val="24"/>
            </w:rPr>
            <w:instrText xml:space="preserve"> PAGEREF _Toc11236 </w:instrText>
          </w:r>
          <w:r>
            <w:rPr>
              <w:sz w:val="24"/>
              <w:szCs w:val="24"/>
            </w:rPr>
            <w:fldChar w:fldCharType="separate"/>
          </w:r>
          <w:r>
            <w:rPr>
              <w:sz w:val="24"/>
              <w:szCs w:val="24"/>
            </w:rPr>
            <w:t>- 23 -</w:t>
          </w:r>
          <w:r>
            <w:rPr>
              <w:sz w:val="24"/>
              <w:szCs w:val="24"/>
            </w:rPr>
            <w:fldChar w:fldCharType="end"/>
          </w:r>
          <w:r>
            <w:rPr>
              <w:sz w:val="24"/>
              <w:szCs w:val="24"/>
            </w:rPr>
            <w:fldChar w:fldCharType="end"/>
          </w:r>
        </w:p>
        <w:p>
          <w:pPr>
            <w:pStyle w:val="59"/>
            <w:tabs>
              <w:tab w:val="right" w:leader="dot" w:pos="8448"/>
            </w:tabs>
            <w:spacing w:line="480" w:lineRule="auto"/>
            <w:rPr>
              <w:sz w:val="24"/>
              <w:szCs w:val="24"/>
            </w:rPr>
          </w:pPr>
          <w:r>
            <w:fldChar w:fldCharType="begin"/>
          </w:r>
          <w:r>
            <w:instrText xml:space="preserve"> HYPERLINK \l "_Toc24146" </w:instrText>
          </w:r>
          <w:r>
            <w:fldChar w:fldCharType="separate"/>
          </w:r>
          <w:r>
            <w:rPr>
              <w:rFonts w:hint="eastAsia" w:ascii="宋体" w:hAnsi="宋体" w:cs="宋体"/>
              <w:bCs/>
              <w:sz w:val="24"/>
              <w:szCs w:val="48"/>
            </w:rPr>
            <w:t>第四章</w:t>
          </w:r>
          <w:r>
            <w:rPr>
              <w:rFonts w:ascii="宋体" w:hAnsi="宋体" w:cs="宋体"/>
              <w:bCs/>
              <w:sz w:val="24"/>
              <w:szCs w:val="48"/>
            </w:rPr>
            <w:t xml:space="preserve"> </w:t>
          </w:r>
          <w:r>
            <w:rPr>
              <w:rFonts w:hint="eastAsia" w:ascii="宋体" w:hAnsi="宋体" w:cs="宋体"/>
              <w:bCs/>
              <w:sz w:val="24"/>
              <w:szCs w:val="48"/>
            </w:rPr>
            <w:t>采购需求</w:t>
          </w:r>
          <w:r>
            <w:rPr>
              <w:sz w:val="24"/>
              <w:szCs w:val="24"/>
            </w:rPr>
            <w:tab/>
          </w:r>
          <w:r>
            <w:rPr>
              <w:sz w:val="24"/>
              <w:szCs w:val="24"/>
            </w:rPr>
            <w:fldChar w:fldCharType="begin"/>
          </w:r>
          <w:r>
            <w:rPr>
              <w:sz w:val="24"/>
              <w:szCs w:val="24"/>
            </w:rPr>
            <w:instrText xml:space="preserve"> PAGEREF _Toc24146 </w:instrText>
          </w:r>
          <w:r>
            <w:rPr>
              <w:sz w:val="24"/>
              <w:szCs w:val="24"/>
            </w:rPr>
            <w:fldChar w:fldCharType="separate"/>
          </w:r>
          <w:r>
            <w:rPr>
              <w:sz w:val="24"/>
              <w:szCs w:val="24"/>
            </w:rPr>
            <w:t>- 26 -</w:t>
          </w:r>
          <w:r>
            <w:rPr>
              <w:sz w:val="24"/>
              <w:szCs w:val="24"/>
            </w:rPr>
            <w:fldChar w:fldCharType="end"/>
          </w:r>
          <w:r>
            <w:rPr>
              <w:sz w:val="24"/>
              <w:szCs w:val="24"/>
            </w:rPr>
            <w:fldChar w:fldCharType="end"/>
          </w:r>
        </w:p>
        <w:p>
          <w:pPr>
            <w:pStyle w:val="59"/>
            <w:tabs>
              <w:tab w:val="right" w:leader="dot" w:pos="8448"/>
            </w:tabs>
            <w:spacing w:line="480" w:lineRule="auto"/>
            <w:rPr>
              <w:sz w:val="24"/>
              <w:szCs w:val="24"/>
            </w:rPr>
          </w:pPr>
          <w:r>
            <w:fldChar w:fldCharType="begin"/>
          </w:r>
          <w:r>
            <w:instrText xml:space="preserve"> HYPERLINK \l "_Toc3866" </w:instrText>
          </w:r>
          <w:r>
            <w:fldChar w:fldCharType="separate"/>
          </w:r>
          <w:r>
            <w:rPr>
              <w:rFonts w:hint="eastAsia" w:ascii="宋体" w:hAnsi="宋体" w:cs="宋体"/>
              <w:bCs/>
              <w:sz w:val="24"/>
              <w:szCs w:val="48"/>
            </w:rPr>
            <w:t>第五章</w:t>
          </w:r>
          <w:r>
            <w:rPr>
              <w:rFonts w:ascii="宋体" w:hAnsi="宋体" w:cs="宋体"/>
              <w:bCs/>
              <w:sz w:val="24"/>
              <w:szCs w:val="48"/>
            </w:rPr>
            <w:t xml:space="preserve"> </w:t>
          </w:r>
          <w:r>
            <w:rPr>
              <w:rFonts w:hint="eastAsia" w:ascii="宋体" w:hAnsi="宋体" w:cs="宋体"/>
              <w:bCs/>
              <w:sz w:val="24"/>
              <w:szCs w:val="48"/>
            </w:rPr>
            <w:t>合同文本</w:t>
          </w:r>
          <w:r>
            <w:rPr>
              <w:sz w:val="24"/>
              <w:szCs w:val="24"/>
            </w:rPr>
            <w:tab/>
          </w:r>
          <w:r>
            <w:rPr>
              <w:sz w:val="24"/>
              <w:szCs w:val="24"/>
            </w:rPr>
            <w:fldChar w:fldCharType="begin"/>
          </w:r>
          <w:r>
            <w:rPr>
              <w:sz w:val="24"/>
              <w:szCs w:val="24"/>
            </w:rPr>
            <w:instrText xml:space="preserve"> PAGEREF _Toc3866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59"/>
            <w:tabs>
              <w:tab w:val="right" w:leader="dot" w:pos="8448"/>
            </w:tabs>
            <w:spacing w:line="480" w:lineRule="auto"/>
          </w:pPr>
          <w:r>
            <w:fldChar w:fldCharType="begin"/>
          </w:r>
          <w:r>
            <w:instrText xml:space="preserve"> HYPERLINK \l "_Toc19126" </w:instrText>
          </w:r>
          <w:r>
            <w:fldChar w:fldCharType="separate"/>
          </w:r>
          <w:r>
            <w:rPr>
              <w:rFonts w:hint="eastAsia" w:ascii="宋体" w:hAnsi="宋体" w:cs="宋体"/>
              <w:bCs/>
              <w:sz w:val="24"/>
              <w:szCs w:val="48"/>
            </w:rPr>
            <w:t>第六章</w:t>
          </w:r>
          <w:r>
            <w:rPr>
              <w:rFonts w:ascii="宋体" w:hAnsi="宋体" w:cs="宋体"/>
              <w:bCs/>
              <w:sz w:val="24"/>
              <w:szCs w:val="48"/>
            </w:rPr>
            <w:t xml:space="preserve"> </w:t>
          </w:r>
          <w:r>
            <w:rPr>
              <w:rFonts w:hint="eastAsia" w:ascii="宋体" w:hAnsi="宋体" w:cs="宋体"/>
              <w:bCs/>
              <w:sz w:val="24"/>
              <w:szCs w:val="48"/>
            </w:rPr>
            <w:t>投标文件格式附件</w:t>
          </w:r>
          <w:r>
            <w:rPr>
              <w:sz w:val="24"/>
              <w:szCs w:val="24"/>
            </w:rPr>
            <w:tab/>
          </w:r>
          <w:r>
            <w:rPr>
              <w:sz w:val="24"/>
              <w:szCs w:val="24"/>
            </w:rPr>
            <w:fldChar w:fldCharType="begin"/>
          </w:r>
          <w:r>
            <w:rPr>
              <w:sz w:val="24"/>
              <w:szCs w:val="24"/>
            </w:rPr>
            <w:instrText xml:space="preserve"> PAGEREF _Toc19126 </w:instrText>
          </w:r>
          <w:r>
            <w:rPr>
              <w:sz w:val="24"/>
              <w:szCs w:val="24"/>
            </w:rPr>
            <w:fldChar w:fldCharType="separate"/>
          </w:r>
          <w:r>
            <w:rPr>
              <w:sz w:val="24"/>
              <w:szCs w:val="24"/>
            </w:rPr>
            <w:t>- 35 -</w:t>
          </w:r>
          <w:r>
            <w:rPr>
              <w:sz w:val="24"/>
              <w:szCs w:val="24"/>
            </w:rPr>
            <w:fldChar w:fldCharType="end"/>
          </w:r>
          <w:r>
            <w:rPr>
              <w:sz w:val="24"/>
              <w:szCs w:val="24"/>
            </w:rPr>
            <w:fldChar w:fldCharType="end"/>
          </w:r>
        </w:p>
        <w:p>
          <w:pPr>
            <w:pStyle w:val="59"/>
            <w:tabs>
              <w:tab w:val="right" w:leader="dot" w:pos="8448"/>
            </w:tabs>
          </w:pPr>
        </w:p>
        <w:p>
          <w:pPr>
            <w:spacing w:line="360" w:lineRule="auto"/>
          </w:pPr>
          <w: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center"/>
        <w:outlineLvl w:val="0"/>
        <w:rPr>
          <w:rFonts w:ascii="宋体" w:cs="宋体"/>
          <w:b/>
          <w:bCs/>
          <w:kern w:val="0"/>
          <w:sz w:val="36"/>
          <w:szCs w:val="36"/>
        </w:rPr>
      </w:pPr>
      <w:r>
        <w:rPr>
          <w:rFonts w:ascii="宋体" w:cs="宋体"/>
          <w:b/>
          <w:bCs/>
          <w:kern w:val="0"/>
          <w:sz w:val="36"/>
          <w:szCs w:val="36"/>
        </w:rPr>
        <w:br w:type="page"/>
      </w:r>
      <w:bookmarkStart w:id="0" w:name="_Toc30135"/>
      <w:r>
        <w:rPr>
          <w:rFonts w:hint="eastAsia" w:ascii="宋体" w:hAnsi="宋体" w:cs="宋体"/>
          <w:b/>
          <w:bCs/>
          <w:kern w:val="0"/>
          <w:sz w:val="36"/>
          <w:szCs w:val="36"/>
        </w:rPr>
        <w:t>第一章</w:t>
      </w:r>
      <w:r>
        <w:rPr>
          <w:rFonts w:ascii="宋体" w:hAnsi="宋体" w:cs="宋体"/>
          <w:b/>
          <w:bCs/>
          <w:kern w:val="0"/>
          <w:sz w:val="36"/>
          <w:szCs w:val="36"/>
        </w:rPr>
        <w:t xml:space="preserve"> </w:t>
      </w:r>
      <w:r>
        <w:rPr>
          <w:rFonts w:hint="eastAsia" w:ascii="宋体" w:hAnsi="宋体" w:cs="宋体"/>
          <w:b/>
          <w:bCs/>
          <w:sz w:val="36"/>
          <w:szCs w:val="36"/>
        </w:rPr>
        <w:t>招标公告</w:t>
      </w:r>
      <w:bookmarkEnd w:id="0"/>
    </w:p>
    <w:tbl>
      <w:tblPr>
        <w:tblStyle w:val="19"/>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jc w:val="left"/>
              <w:rPr>
                <w:rFonts w:ascii="宋体" w:cs="宋体"/>
                <w:kern w:val="0"/>
                <w:sz w:val="24"/>
                <w:szCs w:val="24"/>
              </w:rPr>
            </w:pPr>
            <w:r>
              <w:rPr>
                <w:rFonts w:hint="eastAsia" w:ascii="宋体" w:hAnsi="宋体" w:cs="宋体"/>
                <w:kern w:val="0"/>
                <w:sz w:val="24"/>
                <w:szCs w:val="24"/>
              </w:rPr>
              <w:t>项目概况</w:t>
            </w:r>
          </w:p>
          <w:p>
            <w:pPr>
              <w:pStyle w:val="26"/>
              <w:keepNext w:val="0"/>
              <w:keepLines w:val="0"/>
              <w:pageBreakBefore w:val="0"/>
              <w:kinsoku/>
              <w:wordWrap/>
              <w:overflowPunct/>
              <w:topLinePunct w:val="0"/>
              <w:bidi w:val="0"/>
              <w:snapToGrid w:val="0"/>
              <w:spacing w:line="324" w:lineRule="auto"/>
              <w:ind w:firstLine="480" w:firstLineChars="200"/>
              <w:rPr>
                <w:lang w:val="en-US"/>
              </w:rPr>
            </w:pPr>
            <w:r>
              <w:rPr>
                <w:rFonts w:hint="eastAsia" w:cs="宋体"/>
                <w:szCs w:val="24"/>
                <w:lang w:val="en-US" w:eastAsia="zh-CN"/>
              </w:rPr>
              <w:t>温岭市新河镇2022年度病媒生物防制专业化服务项目采购招标项目</w:t>
            </w:r>
            <w:r>
              <w:rPr>
                <w:rFonts w:hint="eastAsia" w:cs="宋体"/>
                <w:szCs w:val="24"/>
                <w:lang w:val="en-US"/>
              </w:rPr>
              <w:t>的潜在投标人应在浙江政府采购网本项目公告附件获取（下载）招标文件，并于</w:t>
            </w:r>
            <w:r>
              <w:rPr>
                <w:rFonts w:hint="eastAsia" w:cs="宋体"/>
                <w:szCs w:val="24"/>
                <w:lang w:val="en-US" w:eastAsia="zh-CN"/>
              </w:rPr>
              <w:t>2022</w:t>
            </w:r>
            <w:r>
              <w:rPr>
                <w:rFonts w:hint="eastAsia" w:cs="宋体"/>
                <w:szCs w:val="24"/>
                <w:lang w:val="en-US"/>
              </w:rPr>
              <w:t>年</w:t>
            </w:r>
            <w:r>
              <w:rPr>
                <w:rFonts w:hint="eastAsia" w:cs="宋体"/>
                <w:szCs w:val="24"/>
                <w:lang w:val="en-US" w:eastAsia="zh-CN"/>
              </w:rPr>
              <w:t xml:space="preserve">  4</w:t>
            </w:r>
            <w:r>
              <w:rPr>
                <w:rFonts w:hint="eastAsia" w:cs="宋体"/>
                <w:szCs w:val="24"/>
                <w:lang w:val="en-US"/>
              </w:rPr>
              <w:t>月</w:t>
            </w:r>
            <w:r>
              <w:rPr>
                <w:rFonts w:hint="eastAsia" w:cs="宋体"/>
                <w:szCs w:val="24"/>
                <w:lang w:val="en-US" w:eastAsia="zh-CN"/>
              </w:rPr>
              <w:t>29</w:t>
            </w:r>
            <w:r>
              <w:rPr>
                <w:rFonts w:hint="eastAsia" w:cs="宋体"/>
                <w:szCs w:val="24"/>
                <w:lang w:val="en-US"/>
              </w:rPr>
              <w:t>日</w:t>
            </w:r>
            <w:r>
              <w:rPr>
                <w:rFonts w:hint="eastAsia" w:cs="宋体"/>
                <w:szCs w:val="24"/>
                <w:lang w:val="en-US" w:eastAsia="zh-CN"/>
              </w:rPr>
              <w:t>9</w:t>
            </w:r>
            <w:r>
              <w:rPr>
                <w:rFonts w:hint="eastAsia" w:cs="宋体"/>
                <w:szCs w:val="24"/>
                <w:lang w:val="en-US"/>
              </w:rPr>
              <w:t>:</w:t>
            </w:r>
            <w:r>
              <w:rPr>
                <w:rFonts w:hint="eastAsia" w:cs="宋体"/>
                <w:szCs w:val="24"/>
                <w:lang w:val="en-US" w:eastAsia="zh-CN"/>
              </w:rPr>
              <w:t>00</w:t>
            </w:r>
            <w:r>
              <w:rPr>
                <w:rFonts w:hint="eastAsia" w:cs="宋体"/>
                <w:szCs w:val="24"/>
                <w:lang w:val="en-US"/>
              </w:rPr>
              <w:t>分（北京时间）前递交（上传）投标文件。</w:t>
            </w:r>
            <w:r>
              <w:rPr>
                <w:rFonts w:cs="宋体"/>
                <w:szCs w:val="24"/>
                <w:lang w:val="en-US"/>
              </w:rPr>
              <w:t xml:space="preserve">    </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kern w:val="0"/>
          <w:sz w:val="24"/>
          <w:szCs w:val="24"/>
        </w:rPr>
      </w:pPr>
      <w:r>
        <w:rPr>
          <w:rFonts w:hint="eastAsia" w:ascii="宋体" w:hAnsi="宋体" w:cs="宋体"/>
          <w:b/>
          <w:bCs/>
          <w:kern w:val="0"/>
          <w:sz w:val="24"/>
          <w:szCs w:val="24"/>
        </w:rPr>
        <w:t>一、项目基本情况</w:t>
      </w:r>
      <w:r>
        <w:rPr>
          <w:rFonts w:ascii="宋体" w:cs="宋体"/>
          <w:b/>
          <w:bCs/>
          <w:kern w:val="0"/>
          <w:sz w:val="24"/>
          <w:szCs w:val="24"/>
        </w:rPr>
        <w:t>  </w:t>
      </w:r>
      <w:r>
        <w:rPr>
          <w:rFonts w:ascii="宋体" w:hAnsi="宋体" w:cs="宋体"/>
          <w:b/>
          <w:bCs/>
          <w:kern w:val="0"/>
          <w:sz w:val="24"/>
          <w:szCs w:val="24"/>
        </w:rPr>
        <w:t xml:space="preserve">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JJWL22030950</w:t>
      </w:r>
      <w:r>
        <w:rPr>
          <w:rFonts w:ascii="宋体" w:hAnsi="宋体" w:cs="宋体"/>
          <w:sz w:val="24"/>
          <w:szCs w:val="24"/>
        </w:rPr>
        <w:t> </w:t>
      </w:r>
    </w:p>
    <w:p>
      <w:pPr>
        <w:keepNext w:val="0"/>
        <w:keepLines w:val="0"/>
        <w:pageBreakBefore w:val="0"/>
        <w:kinsoku/>
        <w:wordWrap/>
        <w:overflowPunct/>
        <w:topLinePunct w:val="0"/>
        <w:bidi w:val="0"/>
        <w:snapToGrid w:val="0"/>
        <w:spacing w:line="324" w:lineRule="auto"/>
        <w:ind w:firstLine="480" w:firstLineChars="200"/>
        <w:rPr>
          <w:rFonts w:hint="eastAsia" w:asci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温岭市新河镇2022年度病媒生物防制专业化服务项目采购</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预算金额（元）：</w:t>
      </w:r>
      <w:r>
        <w:rPr>
          <w:rFonts w:hint="eastAsia" w:ascii="宋体" w:hAnsi="宋体" w:cs="宋体"/>
          <w:sz w:val="24"/>
          <w:szCs w:val="24"/>
          <w:lang w:val="en-US" w:eastAsia="zh-CN"/>
        </w:rPr>
        <w:t>40</w:t>
      </w:r>
      <w:r>
        <w:rPr>
          <w:rFonts w:hint="eastAsia" w:ascii="宋体" w:hAnsi="宋体" w:cs="宋体"/>
          <w:sz w:val="24"/>
          <w:szCs w:val="24"/>
        </w:rPr>
        <w:t>0000</w:t>
      </w:r>
      <w:r>
        <w:rPr>
          <w:rFonts w:ascii="宋体" w:hAnsi="宋体" w:cs="宋体"/>
          <w:sz w:val="24"/>
          <w:szCs w:val="24"/>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最高限价（元）</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采购需求：</w:t>
      </w:r>
    </w:p>
    <w:p>
      <w:pPr>
        <w:keepNext w:val="0"/>
        <w:keepLines w:val="0"/>
        <w:pageBreakBefore w:val="0"/>
        <w:kinsoku/>
        <w:wordWrap/>
        <w:overflowPunct/>
        <w:topLinePunct w:val="0"/>
        <w:bidi w:val="0"/>
        <w:snapToGrid w:val="0"/>
        <w:spacing w:line="324" w:lineRule="auto"/>
        <w:ind w:left="478" w:leftChars="228"/>
        <w:rPr>
          <w:rFonts w:ascii="宋体" w:cs="宋体"/>
          <w:sz w:val="24"/>
          <w:szCs w:val="24"/>
        </w:rPr>
      </w:pPr>
      <w:r>
        <w:rPr>
          <w:rFonts w:hint="eastAsia" w:ascii="宋体" w:hAnsi="宋体" w:cs="宋体"/>
          <w:b/>
          <w:bCs/>
          <w:sz w:val="24"/>
          <w:szCs w:val="24"/>
          <w:lang w:eastAsia="zh-CN"/>
        </w:rPr>
        <w:t>标项一</w:t>
      </w:r>
      <w:r>
        <w:rPr>
          <w:rFonts w:ascii="宋体" w:cs="宋体"/>
          <w:sz w:val="24"/>
          <w:szCs w:val="24"/>
        </w:rPr>
        <w:br w:type="textWrapping"/>
      </w:r>
      <w:r>
        <w:rPr>
          <w:rFonts w:hint="eastAsia" w:ascii="宋体" w:hAnsi="宋体" w:cs="宋体"/>
          <w:sz w:val="24"/>
          <w:szCs w:val="24"/>
        </w:rPr>
        <w:t>标段名称</w:t>
      </w:r>
      <w:r>
        <w:rPr>
          <w:rFonts w:hint="eastAsia" w:ascii="宋体" w:hAnsi="宋体" w:cs="宋体"/>
          <w:sz w:val="24"/>
          <w:szCs w:val="24"/>
          <w:lang w:eastAsia="zh-CN"/>
        </w:rPr>
        <w:t>：温岭市新河镇2022年度病媒生物防制专业化服务项目采购</w:t>
      </w:r>
      <w:r>
        <w:rPr>
          <w:rFonts w:ascii="宋体" w:cs="宋体"/>
          <w:sz w:val="24"/>
          <w:szCs w:val="24"/>
        </w:rPr>
        <w:t>  </w:t>
      </w:r>
      <w:r>
        <w:rPr>
          <w:rFonts w:ascii="宋体" w:cs="宋体"/>
          <w:sz w:val="24"/>
          <w:szCs w:val="24"/>
        </w:rPr>
        <w:br w:type="textWrapping"/>
      </w:r>
      <w:r>
        <w:rPr>
          <w:rFonts w:hint="eastAsia" w:ascii="宋体" w:hAnsi="宋体" w:cs="宋体"/>
          <w:sz w:val="24"/>
          <w:szCs w:val="24"/>
        </w:rPr>
        <w:t>数量</w:t>
      </w:r>
      <w:r>
        <w:rPr>
          <w:rFonts w:hint="eastAsia" w:ascii="宋体" w:hAnsi="宋体" w:cs="宋体"/>
          <w:sz w:val="24"/>
          <w:szCs w:val="24"/>
          <w:lang w:eastAsia="zh-CN"/>
        </w:rPr>
        <w:t>：</w:t>
      </w:r>
      <w:r>
        <w:rPr>
          <w:rFonts w:ascii="宋体" w:hAnsi="宋体" w:cs="宋体"/>
          <w:sz w:val="24"/>
          <w:szCs w:val="24"/>
        </w:rPr>
        <w:t> 1  </w:t>
      </w:r>
      <w:r>
        <w:rPr>
          <w:rFonts w:ascii="宋体" w:hAnsi="宋体" w:cs="宋体"/>
          <w:sz w:val="24"/>
          <w:szCs w:val="24"/>
        </w:rPr>
        <w:br w:type="textWrapping"/>
      </w:r>
      <w:r>
        <w:rPr>
          <w:rFonts w:hint="eastAsia" w:ascii="宋体" w:hAnsi="宋体" w:cs="宋体"/>
          <w:sz w:val="24"/>
          <w:szCs w:val="24"/>
        </w:rPr>
        <w:t>预算金额（元）</w:t>
      </w:r>
      <w:r>
        <w:rPr>
          <w:rFonts w:ascii="宋体" w:hAnsi="宋体" w:cs="宋体"/>
          <w:sz w:val="24"/>
          <w:szCs w:val="24"/>
        </w:rPr>
        <w:t>:</w:t>
      </w:r>
      <w:r>
        <w:rPr>
          <w:rFonts w:hint="eastAsia" w:ascii="宋体" w:hAnsi="宋体" w:cs="宋体"/>
          <w:sz w:val="24"/>
          <w:szCs w:val="24"/>
          <w:lang w:val="en-US" w:eastAsia="zh-CN"/>
        </w:rPr>
        <w:t>40</w:t>
      </w:r>
      <w:r>
        <w:rPr>
          <w:rFonts w:hint="eastAsia" w:ascii="宋体" w:hAnsi="宋体" w:cs="宋体"/>
          <w:sz w:val="24"/>
          <w:szCs w:val="24"/>
        </w:rPr>
        <w:t>0000</w:t>
      </w:r>
      <w:r>
        <w:rPr>
          <w:rFonts w:ascii="宋体" w:hAnsi="宋体" w:cs="宋体"/>
          <w:sz w:val="24"/>
          <w:szCs w:val="24"/>
        </w:rPr>
        <w:t> </w:t>
      </w:r>
      <w:r>
        <w:rPr>
          <w:rFonts w:ascii="宋体" w:hAnsi="宋体" w:cs="宋体"/>
          <w:sz w:val="24"/>
          <w:szCs w:val="24"/>
        </w:rPr>
        <w:br w:type="textWrapping"/>
      </w:r>
      <w:r>
        <w:rPr>
          <w:rFonts w:hint="eastAsia" w:ascii="宋体" w:hAnsi="宋体" w:cs="宋体"/>
          <w:sz w:val="24"/>
          <w:szCs w:val="24"/>
        </w:rPr>
        <w:t>简要规格描述或项目基本概况介绍、用途：新河镇【</w:t>
      </w:r>
      <w:r>
        <w:rPr>
          <w:rFonts w:hint="eastAsia" w:ascii="宋体" w:hAnsi="宋体" w:cs="宋体"/>
          <w:sz w:val="24"/>
          <w:szCs w:val="24"/>
          <w:lang w:eastAsia="zh-CN"/>
        </w:rPr>
        <w:t>新河镇建成区消杀范围</w:t>
      </w:r>
      <w:r>
        <w:rPr>
          <w:rFonts w:hint="eastAsia" w:ascii="宋体" w:hAnsi="宋体" w:cs="宋体"/>
          <w:sz w:val="24"/>
          <w:szCs w:val="24"/>
        </w:rPr>
        <w:t>约</w:t>
      </w:r>
      <w:r>
        <w:rPr>
          <w:rFonts w:hint="eastAsia" w:ascii="宋体" w:hAnsi="宋体" w:cs="宋体"/>
          <w:sz w:val="24"/>
          <w:szCs w:val="24"/>
          <w:lang w:eastAsia="zh-CN"/>
        </w:rPr>
        <w:t>8.74</w:t>
      </w:r>
      <w:r>
        <w:rPr>
          <w:rFonts w:hint="eastAsia" w:ascii="宋体" w:hAnsi="宋体" w:cs="宋体"/>
          <w:sz w:val="24"/>
          <w:szCs w:val="24"/>
        </w:rPr>
        <w:t>平方公里；辖区内居民户约40952户（包括外来人口）】范围内的公共环境（包括居民楼、重点场所、垃圾收集点、建筑工地、绿化带、下水道、河岸边、窨井、水体、公园、闲置空地、地下室、地下车库、车棚雨棚、垃圾桶[箱]、公共厕所等）、企事业单位及六小行业【小餐饮店、小食品店（含小副食品店、小超市）、小美容美发店、小浴室（含小足浴）、小旅店、小歌舞厅等】至少3000家，农副产品市场（含菜市场）9个及其他沿街店铺等的除“四害”专业性治理服务（含居民户的灭蟑、蚊、蝇、鼠药物的供应约（40952）户）。详见第四章采购需求。</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480" w:firstLineChars="200"/>
        <w:rPr>
          <w:rFonts w:ascii="宋体" w:hAnsi="宋体" w:cs="宋体"/>
          <w:sz w:val="24"/>
          <w:szCs w:val="24"/>
        </w:rPr>
      </w:pPr>
      <w:r>
        <w:rPr>
          <w:rFonts w:hint="eastAsia" w:ascii="宋体" w:hAnsi="宋体" w:cs="宋体"/>
          <w:sz w:val="24"/>
          <w:szCs w:val="24"/>
        </w:rPr>
        <w:t>合同履约期限：合同签订之日起一年。</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FF0000"/>
          <w:kern w:val="0"/>
          <w:sz w:val="24"/>
          <w:szCs w:val="24"/>
        </w:rPr>
      </w:pPr>
      <w:r>
        <w:rPr>
          <w:rFonts w:hint="eastAsia" w:ascii="宋体" w:hAnsi="宋体" w:cs="宋体"/>
          <w:sz w:val="24"/>
          <w:szCs w:val="24"/>
        </w:rPr>
        <w:t>（二）</w:t>
      </w:r>
      <w:r>
        <w:rPr>
          <w:rFonts w:hint="eastAsia" w:ascii="宋体" w:hAnsi="宋体" w:cs="宋体"/>
          <w:b/>
          <w:bCs/>
          <w:color w:val="FF0000"/>
          <w:kern w:val="0"/>
          <w:sz w:val="24"/>
          <w:szCs w:val="24"/>
        </w:rPr>
        <w:t>落实政府采购政策需满足的资格要求：本项目按照《政府采购促进中小企业发展管理办法》【财库（2020）46号】第七条规定：专门面向中小企业采购；</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kern w:val="0"/>
          <w:sz w:val="24"/>
          <w:szCs w:val="24"/>
        </w:rPr>
      </w:pPr>
      <w:r>
        <w:rPr>
          <w:rFonts w:hint="eastAsia" w:ascii="宋体" w:hAnsi="宋体" w:cs="宋体"/>
          <w:kern w:val="0"/>
          <w:sz w:val="24"/>
          <w:szCs w:val="24"/>
        </w:rPr>
        <w:t>（三）单位负责人为同一人或者存在直接控股、管理关系的不同供应商，不得参加同一合同项下的政府采购活动。</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rPr>
      </w:pPr>
      <w:r>
        <w:rPr>
          <w:rFonts w:hint="eastAsia" w:ascii="宋体" w:hAnsi="宋体" w:cs="宋体"/>
          <w:sz w:val="24"/>
          <w:szCs w:val="24"/>
        </w:rPr>
        <w:t>（四）为采购项目提供整体设计、规范编制或者项目管理、监理、检测等服务的供应商，不得再参加该采购项目的其他采购活动。</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rPr>
      </w:pPr>
      <w:r>
        <w:rPr>
          <w:rFonts w:hint="eastAsia" w:ascii="宋体" w:hAnsi="宋体" w:cs="宋体"/>
          <w:sz w:val="24"/>
          <w:szCs w:val="24"/>
        </w:rPr>
        <w:t>（五）公益一类事业单位不属于政府购买服务的承接主体，不得参与承接政府购买服务。</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sz w:val="24"/>
          <w:szCs w:val="24"/>
        </w:rPr>
      </w:pPr>
      <w:r>
        <w:rPr>
          <w:rFonts w:hint="eastAsia" w:ascii="宋体" w:hAnsi="宋体" w:cs="宋体"/>
          <w:b/>
          <w:bCs/>
          <w:sz w:val="24"/>
          <w:szCs w:val="24"/>
        </w:rPr>
        <w:t>三、获取招标文件：</w:t>
      </w:r>
      <w:r>
        <w:rPr>
          <w:rFonts w:ascii="宋体" w:hAnsi="宋体" w:cs="宋体"/>
          <w:b/>
          <w:bCs/>
          <w:sz w:val="24"/>
          <w:szCs w:val="24"/>
        </w:rPr>
        <w:t xml:space="preserve">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（一）获取时间：公告发布之日起至</w:t>
      </w:r>
      <w:r>
        <w:rPr>
          <w:rFonts w:hint="eastAsia" w:ascii="宋体" w:hAnsi="宋体" w:cs="宋体"/>
          <w:sz w:val="24"/>
          <w:szCs w:val="24"/>
          <w:lang w:eastAsia="zh-CN"/>
        </w:rPr>
        <w:t>2022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日，每天上午</w:t>
      </w:r>
      <w:r>
        <w:rPr>
          <w:rFonts w:ascii="宋体" w:hAnsi="宋体" w:cs="宋体"/>
          <w:sz w:val="24"/>
          <w:szCs w:val="24"/>
        </w:rPr>
        <w:t>00:00</w:t>
      </w:r>
      <w:r>
        <w:rPr>
          <w:rFonts w:hint="eastAsia" w:ascii="宋体" w:hAnsi="宋体" w:cs="宋体"/>
          <w:sz w:val="24"/>
          <w:szCs w:val="24"/>
        </w:rPr>
        <w:t>至</w:t>
      </w:r>
      <w:r>
        <w:rPr>
          <w:rFonts w:ascii="宋体" w:hAnsi="宋体" w:cs="宋体"/>
          <w:sz w:val="24"/>
          <w:szCs w:val="24"/>
        </w:rPr>
        <w:t>12:00</w:t>
      </w:r>
      <w:r>
        <w:rPr>
          <w:rFonts w:hint="eastAsia" w:ascii="宋体" w:hAnsi="宋体" w:cs="宋体"/>
          <w:sz w:val="24"/>
          <w:szCs w:val="24"/>
        </w:rPr>
        <w:t>，下午</w:t>
      </w:r>
      <w:r>
        <w:rPr>
          <w:rFonts w:ascii="宋体" w:hAnsi="宋体" w:cs="宋体"/>
          <w:sz w:val="24"/>
          <w:szCs w:val="24"/>
        </w:rPr>
        <w:t>12:00</w:t>
      </w:r>
      <w:r>
        <w:rPr>
          <w:rFonts w:hint="eastAsia" w:ascii="宋体" w:hAnsi="宋体" w:cs="宋体"/>
          <w:sz w:val="24"/>
          <w:szCs w:val="24"/>
        </w:rPr>
        <w:t>至</w:t>
      </w:r>
      <w:r>
        <w:rPr>
          <w:rFonts w:ascii="宋体" w:hAnsi="宋体" w:cs="宋体"/>
          <w:sz w:val="24"/>
          <w:szCs w:val="24"/>
        </w:rPr>
        <w:t>23:59</w:t>
      </w:r>
      <w:r>
        <w:rPr>
          <w:rFonts w:hint="eastAsia" w:ascii="宋体" w:hAnsi="宋体" w:cs="宋体"/>
          <w:sz w:val="24"/>
          <w:szCs w:val="24"/>
        </w:rPr>
        <w:t>（北京时间，线上获取法定节假日均可）</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（二）获取地址：浙江政府采购网本项目公告附件</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（三）获取方式：</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、采购公告上附件里的招标文件仅供阅览使用，供应商应当在“政采云”平台注册登记后再获取招标文件，没有通过注册登记而获取招标文件的潜在供应商，对招标文件提起质疑投诉的，不予受理。</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、采购代理机构将拒绝接受非通过以上方式获取招标文件的供应商投标文件。</w:t>
      </w:r>
    </w:p>
    <w:p>
      <w:pPr>
        <w:pStyle w:val="26"/>
        <w:keepNext w:val="0"/>
        <w:keepLines w:val="0"/>
        <w:pageBreakBefore w:val="0"/>
        <w:kinsoku/>
        <w:wordWrap/>
        <w:overflowPunct/>
        <w:topLinePunct w:val="0"/>
        <w:bidi w:val="0"/>
        <w:snapToGrid w:val="0"/>
        <w:spacing w:line="324" w:lineRule="auto"/>
        <w:ind w:firstLine="480" w:firstLineChars="200"/>
      </w:pPr>
      <w:r>
        <w:rPr>
          <w:rFonts w:hint="eastAsia"/>
        </w:rPr>
        <w:t>（</w:t>
      </w:r>
      <w:r>
        <w:rPr>
          <w:rFonts w:hint="eastAsia"/>
          <w:lang w:val="en-US"/>
        </w:rPr>
        <w:t>四</w:t>
      </w:r>
      <w:r>
        <w:rPr>
          <w:rFonts w:hint="eastAsia"/>
        </w:rPr>
        <w:t>）售价（元）：</w:t>
      </w:r>
      <w:r>
        <w:t>0 </w:t>
      </w:r>
    </w:p>
    <w:p>
      <w:pPr>
        <w:keepNext w:val="0"/>
        <w:keepLines w:val="0"/>
        <w:pageBreakBefore w:val="0"/>
        <w:kinsoku/>
        <w:wordWrap/>
        <w:overflowPunct/>
        <w:topLinePunct w:val="0"/>
        <w:bidi w:val="0"/>
        <w:snapToGrid w:val="0"/>
        <w:spacing w:line="324" w:lineRule="auto"/>
        <w:ind w:firstLine="480" w:firstLineChars="200"/>
        <w:rPr>
          <w:rFonts w:asci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、提交投标文件截止时间、开标时间和地点</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eastAsia="zh-CN"/>
        </w:rPr>
        <w:t>2022年0</w:t>
      </w:r>
      <w:r>
        <w:rPr>
          <w:rFonts w:hint="eastAsia" w:ascii="宋体" w:hAnsi="宋体" w:cs="宋体"/>
          <w:sz w:val="24"/>
          <w:szCs w:val="24"/>
          <w:lang w:val="en-US" w:eastAsia="zh-CN"/>
        </w:rPr>
        <w:t>4</w:t>
      </w:r>
      <w:r>
        <w:rPr>
          <w:rFonts w:hint="eastAsia" w:ascii="宋体" w:hAnsi="宋体" w:cs="宋体"/>
          <w:sz w:val="24"/>
          <w:szCs w:val="24"/>
          <w:lang w:eastAsia="zh-CN"/>
        </w:rPr>
        <w:t>月</w:t>
      </w:r>
      <w:r>
        <w:rPr>
          <w:rFonts w:hint="eastAsia" w:ascii="宋体" w:hAnsi="宋体" w:cs="宋体"/>
          <w:sz w:val="24"/>
          <w:szCs w:val="24"/>
          <w:lang w:val="en-US" w:eastAsia="zh-CN"/>
        </w:rPr>
        <w:t>29</w:t>
      </w:r>
      <w:r>
        <w:rPr>
          <w:rFonts w:hint="eastAsia" w:ascii="宋体" w:hAnsi="宋体" w:cs="宋体"/>
          <w:sz w:val="24"/>
          <w:szCs w:val="24"/>
          <w:lang w:eastAsia="zh-CN"/>
        </w:rPr>
        <w:t>日 9：00 分</w:t>
      </w:r>
      <w:r>
        <w:rPr>
          <w:rFonts w:hint="eastAsia" w:ascii="宋体" w:hAnsi="宋体" w:cs="宋体"/>
          <w:sz w:val="24"/>
          <w:szCs w:val="24"/>
        </w:rPr>
        <w:t>（北京时间）</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投标地点（网址）：“政府采购云平台”线上上传</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2022年0</w:t>
      </w:r>
      <w:r>
        <w:rPr>
          <w:rFonts w:hint="eastAsia" w:ascii="宋体" w:hAnsi="宋体" w:cs="宋体"/>
          <w:sz w:val="24"/>
          <w:szCs w:val="24"/>
          <w:lang w:val="en-US" w:eastAsia="zh-CN"/>
        </w:rPr>
        <w:t>4</w:t>
      </w:r>
      <w:r>
        <w:rPr>
          <w:rFonts w:hint="eastAsia" w:ascii="宋体" w:hAnsi="宋体" w:cs="宋体"/>
          <w:sz w:val="24"/>
          <w:szCs w:val="24"/>
          <w:lang w:eastAsia="zh-CN"/>
        </w:rPr>
        <w:t>月</w:t>
      </w:r>
      <w:r>
        <w:rPr>
          <w:rFonts w:hint="eastAsia" w:ascii="宋体" w:hAnsi="宋体" w:cs="宋体"/>
          <w:sz w:val="24"/>
          <w:szCs w:val="24"/>
          <w:lang w:val="en-US" w:eastAsia="zh-CN"/>
        </w:rPr>
        <w:t>29</w:t>
      </w:r>
      <w:bookmarkStart w:id="34" w:name="_GoBack"/>
      <w:bookmarkEnd w:id="34"/>
      <w:r>
        <w:rPr>
          <w:rFonts w:hint="eastAsia" w:ascii="宋体" w:hAnsi="宋体" w:cs="宋体"/>
          <w:sz w:val="24"/>
          <w:szCs w:val="24"/>
          <w:lang w:eastAsia="zh-CN"/>
        </w:rPr>
        <w:t>日 9：00 分</w:t>
      </w:r>
      <w:r>
        <w:rPr>
          <w:rFonts w:hint="eastAsia" w:ascii="宋体" w:hAnsi="宋体" w:cs="宋体"/>
          <w:sz w:val="24"/>
          <w:szCs w:val="24"/>
        </w:rPr>
        <w:t>（北京时间）</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开标地点（网址）：“政府采购云平台”线上开标</w:t>
      </w:r>
    </w:p>
    <w:p>
      <w:pPr>
        <w:keepNext w:val="0"/>
        <w:keepLines w:val="0"/>
        <w:pageBreakBefore w:val="0"/>
        <w:kinsoku/>
        <w:wordWrap/>
        <w:overflowPunct/>
        <w:topLinePunct w:val="0"/>
        <w:bidi w:val="0"/>
        <w:snapToGrid w:val="0"/>
        <w:spacing w:line="324" w:lineRule="auto"/>
        <w:ind w:firstLine="480" w:firstLineChars="200"/>
        <w:rPr>
          <w:rFonts w:asci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、公告期限</w:t>
      </w:r>
      <w:r>
        <w:rPr>
          <w:rFonts w:ascii="宋体" w:cs="宋体"/>
          <w:b/>
          <w:bCs/>
          <w:sz w:val="24"/>
          <w:szCs w:val="24"/>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pPr>
        <w:keepNext w:val="0"/>
        <w:keepLines w:val="0"/>
        <w:pageBreakBefore w:val="0"/>
        <w:kinsoku/>
        <w:wordWrap/>
        <w:overflowPunct/>
        <w:topLinePunct w:val="0"/>
        <w:bidi w:val="0"/>
        <w:spacing w:line="400" w:lineRule="exact"/>
        <w:textAlignment w:val="auto"/>
        <w:outlineLvl w:val="0"/>
        <w:rPr>
          <w:rFonts w:hint="eastAsia" w:ascii="宋体" w:hAnsi="宋体" w:eastAsia="宋体" w:cs="宋体"/>
          <w:b/>
          <w:bCs/>
          <w:color w:val="auto"/>
          <w:sz w:val="24"/>
          <w:szCs w:val="24"/>
          <w:highlight w:val="none"/>
        </w:rPr>
      </w:pPr>
      <w:bookmarkStart w:id="1" w:name="_Toc7785"/>
      <w:bookmarkStart w:id="2" w:name="_Toc27005"/>
      <w:bookmarkStart w:id="3" w:name="_Toc15948"/>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bookmarkEnd w:id="1"/>
      <w:bookmarkEnd w:id="2"/>
      <w:bookmarkEnd w:id="3"/>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项目采购</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询问质疑投诉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询问列表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鼓励供应商在线提起质疑，路径为：政采云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项目采购</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询问质疑投诉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质疑列表。质疑供应商对在线质疑答复不满意的，可在线提起投诉，路径为：浙江政府服务网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政府采购投诉处理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在线办理。</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4.其他事项：</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（一）电子招投标相关事宜：</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供应商注册：投标人应为浙江政府采购注册供应商，如尚未注册，务必在投标截止</w:t>
      </w:r>
      <w:r>
        <w:rPr>
          <w:rFonts w:hint="eastAsia" w:ascii="宋体" w:hAnsi="宋体" w:eastAsia="宋体" w:cs="宋体"/>
          <w:color w:val="auto"/>
          <w:kern w:val="0"/>
          <w:sz w:val="24"/>
          <w:szCs w:val="24"/>
          <w:highlight w:val="none"/>
          <w:lang w:val="en-US" w:eastAsia="zh-CN"/>
        </w:rPr>
        <w:t>时间</w:t>
      </w:r>
      <w:r>
        <w:rPr>
          <w:rFonts w:hint="eastAsia" w:ascii="宋体" w:hAnsi="宋体" w:eastAsia="宋体" w:cs="宋体"/>
          <w:color w:val="auto"/>
          <w:kern w:val="0"/>
          <w:sz w:val="24"/>
          <w:szCs w:val="24"/>
          <w:highlight w:val="none"/>
        </w:rPr>
        <w:t>前登陆浙江政府采购网进行注册。</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 本项目采取电子招投标，</w:t>
      </w:r>
      <w:r>
        <w:rPr>
          <w:rFonts w:hint="eastAsia" w:ascii="宋体" w:hAnsi="宋体" w:eastAsia="宋体" w:cs="宋体"/>
          <w:color w:val="auto"/>
          <w:kern w:val="0"/>
          <w:sz w:val="24"/>
          <w:szCs w:val="24"/>
          <w:highlight w:val="none"/>
        </w:rPr>
        <w:t>电子招投标有关事项说明</w:t>
      </w:r>
      <w:r>
        <w:rPr>
          <w:rFonts w:hint="eastAsia" w:ascii="宋体" w:hAnsi="宋体" w:eastAsia="宋体" w:cs="宋体"/>
          <w:color w:val="auto"/>
          <w:kern w:val="0"/>
          <w:sz w:val="24"/>
          <w:szCs w:val="24"/>
          <w:highlight w:val="none"/>
          <w:lang w:val="en-US" w:eastAsia="zh-CN"/>
        </w:rPr>
        <w:t>如下</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通过“政府采购云平台（www.zcygov.cn）”实行电子投标，供应商须安装客户端软件，并按照采购文件和电子交易平台的要求编制并加密投标、响应文件。供应商未按规定加密的投标、响应文件，电子交易平台</w:t>
      </w:r>
      <w:r>
        <w:rPr>
          <w:rFonts w:hint="eastAsia" w:ascii="宋体" w:hAnsi="宋体" w:eastAsia="宋体" w:cs="宋体"/>
          <w:color w:val="auto"/>
          <w:kern w:val="0"/>
          <w:sz w:val="24"/>
          <w:szCs w:val="24"/>
          <w:highlight w:val="none"/>
          <w:lang w:val="en-US" w:eastAsia="zh-CN"/>
        </w:rPr>
        <w:t>将</w:t>
      </w:r>
      <w:r>
        <w:rPr>
          <w:rFonts w:hint="eastAsia" w:ascii="宋体" w:hAnsi="宋体" w:eastAsia="宋体" w:cs="宋体"/>
          <w:color w:val="auto"/>
          <w:kern w:val="0"/>
          <w:sz w:val="24"/>
          <w:szCs w:val="24"/>
          <w:highlight w:val="none"/>
        </w:rPr>
        <w:t>拒收并提示。</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客户端软件下载方式：供应商可通过“浙江政府采购网</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下载专区</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电子交易客户端”进行下载。</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2）供应商须申领CA，并在政采云平台完成绑定方可进行投标文件的编制，CA相关操作可参考“浙江政府采购网</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下载专区</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电子交易客户端</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CA驱动和申领流程”。</w:t>
      </w:r>
    </w:p>
    <w:p>
      <w:pPr>
        <w:keepNext w:val="0"/>
        <w:keepLines w:val="0"/>
        <w:pageBreakBefore w:val="0"/>
        <w:widowControl/>
        <w:kinsoku/>
        <w:wordWrap/>
        <w:overflowPunct/>
        <w:topLinePunct w:val="0"/>
        <w:bidi w:val="0"/>
        <w:adjustRightInd w:val="0"/>
        <w:snapToGrid w:val="0"/>
        <w:spacing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供应商在进行上述操作时，如遇技术问题可致电400-881-7190进行咨询</w:t>
      </w:r>
      <w:r>
        <w:rPr>
          <w:rFonts w:hint="eastAsia" w:ascii="宋体" w:hAnsi="宋体" w:cs="宋体"/>
          <w:color w:val="auto"/>
          <w:kern w:val="0"/>
          <w:sz w:val="24"/>
          <w:szCs w:val="24"/>
          <w:highlight w:val="none"/>
          <w:lang w:eastAsia="zh-CN"/>
        </w:rPr>
        <w:t>，</w:t>
      </w:r>
      <w:r>
        <w:rPr>
          <w:rFonts w:hint="eastAsia" w:ascii="宋体" w:hAnsi="宋体" w:cs="宋体"/>
          <w:b/>
          <w:bCs/>
          <w:color w:val="FF0000"/>
          <w:sz w:val="24"/>
          <w:szCs w:val="24"/>
          <w:highlight w:val="none"/>
        </w:rPr>
        <w:t>在项目开、评标活动过程中，投标人需保持联系渠道畅通</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投标保证金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本项目不收取投标保证金。</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公告发布媒体：</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浙江省政府采购网（http://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"http://www.zjzfcg.gov.cn）和温岭市公共资源交易中心网（http:/new.wl.gov.cn/col/col1402172/index.html）。"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www.zjzfcg.gov.cn）和温岭市公共资源交易中心网（http://new.wl.gov.cn/col/col1402172/index.html）。</w:t>
      </w:r>
      <w:r>
        <w:rPr>
          <w:rFonts w:hint="eastAsia" w:ascii="宋体" w:hAnsi="宋体" w:eastAsia="宋体" w:cs="宋体"/>
          <w:color w:val="auto"/>
          <w:sz w:val="24"/>
          <w:szCs w:val="24"/>
          <w:highlight w:val="none"/>
        </w:rPr>
        <w:fldChar w:fldCharType="end"/>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其他事项：</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4" w:name="_Toc35393627"/>
      <w:bookmarkStart w:id="5" w:name="_Toc28359085"/>
      <w:bookmarkStart w:id="6" w:name="_Toc35393796"/>
      <w:bookmarkStart w:id="7" w:name="_Toc28359008"/>
      <w:r>
        <w:rPr>
          <w:rFonts w:hint="eastAsia" w:ascii="宋体" w:hAnsi="宋体" w:eastAsia="宋体" w:cs="宋体"/>
          <w:color w:val="auto"/>
          <w:sz w:val="24"/>
          <w:szCs w:val="24"/>
          <w:highlight w:val="none"/>
        </w:rPr>
        <w:t>为优化政府采购营商环境，缓解供应商资金难题，政采云平台已推广应用“政采贷”服务，中标供应商如有融资需求，可使用以下政采贷及政采保服务。</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
          <w:bCs/>
          <w:color w:val="auto"/>
          <w:sz w:val="24"/>
          <w:szCs w:val="24"/>
          <w:highlight w:val="none"/>
          <w:lang w:val="en-US" w:eastAsia="zh-CN"/>
        </w:rPr>
      </w:pPr>
      <w:bookmarkStart w:id="8" w:name="_Toc1092"/>
      <w:bookmarkStart w:id="9" w:name="_Toc9871"/>
      <w:bookmarkStart w:id="10" w:name="_Toc18253"/>
      <w:r>
        <w:rPr>
          <w:rFonts w:hint="eastAsia" w:ascii="宋体" w:hAnsi="宋体" w:eastAsia="宋体" w:cs="宋体"/>
          <w:b/>
          <w:bCs/>
          <w:color w:val="auto"/>
          <w:sz w:val="24"/>
          <w:szCs w:val="24"/>
          <w:highlight w:val="none"/>
          <w:lang w:val="en-US" w:eastAsia="zh-CN"/>
        </w:rPr>
        <w:t>政采贷服务：</w:t>
      </w:r>
      <w:bookmarkEnd w:id="8"/>
      <w:bookmarkEnd w:id="9"/>
      <w:bookmarkEnd w:id="10"/>
    </w:p>
    <w:tbl>
      <w:tblPr>
        <w:tblStyle w:val="19"/>
        <w:tblW w:w="9559" w:type="dxa"/>
        <w:tblInd w:w="19" w:type="dxa"/>
        <w:tblLayout w:type="autofit"/>
        <w:tblCellMar>
          <w:top w:w="0" w:type="dxa"/>
          <w:left w:w="0" w:type="dxa"/>
          <w:bottom w:w="0" w:type="dxa"/>
          <w:right w:w="0" w:type="dxa"/>
        </w:tblCellMar>
      </w:tblPr>
      <w:tblGrid>
        <w:gridCol w:w="2764"/>
        <w:gridCol w:w="2221"/>
        <w:gridCol w:w="2126"/>
        <w:gridCol w:w="2448"/>
      </w:tblGrid>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银  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贷款年利率</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中国农业银行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赵莉鹏</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15267630808</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中国交通银行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王培洁</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13819666299</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中国建设银行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基准利率</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范  融</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13958680866</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中国工商银行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王晨晓</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18858658025</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3.85%起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朱  虹</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13806588208</w:t>
            </w:r>
          </w:p>
        </w:tc>
      </w:tr>
      <w:tr>
        <w:tblPrEx>
          <w:tblCellMar>
            <w:top w:w="0" w:type="dxa"/>
            <w:left w:w="0" w:type="dxa"/>
            <w:bottom w:w="0" w:type="dxa"/>
            <w:right w:w="0" w:type="dxa"/>
          </w:tblCellMar>
        </w:tblPrEx>
        <w:trPr>
          <w:trHeight w:val="504"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中国邮政储蓄银行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3.85%起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王彬彬</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13173718881</w:t>
            </w:r>
          </w:p>
        </w:tc>
      </w:tr>
    </w:tbl>
    <w:p>
      <w:pPr>
        <w:snapToGrid w:val="0"/>
        <w:spacing w:line="38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政采保</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en-US" w:eastAsia="zh-CN"/>
        </w:rPr>
        <w:t>：</w:t>
      </w:r>
    </w:p>
    <w:tbl>
      <w:tblPr>
        <w:tblStyle w:val="19"/>
        <w:tblW w:w="9555" w:type="dxa"/>
        <w:tblInd w:w="55" w:type="dxa"/>
        <w:tblLayout w:type="autofit"/>
        <w:tblCellMar>
          <w:top w:w="0" w:type="dxa"/>
          <w:left w:w="0" w:type="dxa"/>
          <w:bottom w:w="0" w:type="dxa"/>
          <w:right w:w="0" w:type="dxa"/>
        </w:tblCellMar>
      </w:tblPr>
      <w:tblGrid>
        <w:gridCol w:w="4233"/>
        <w:gridCol w:w="2519"/>
        <w:gridCol w:w="1108"/>
        <w:gridCol w:w="1695"/>
      </w:tblGrid>
      <w:tr>
        <w:tblPrEx>
          <w:tblCellMar>
            <w:top w:w="0" w:type="dxa"/>
            <w:left w:w="0" w:type="dxa"/>
            <w:bottom w:w="0" w:type="dxa"/>
            <w:right w:w="0" w:type="dxa"/>
          </w:tblCellMar>
        </w:tblPrEx>
        <w:trPr>
          <w:trHeight w:val="669"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中国人民财产保险股份有限公司温岭市支公司</w:t>
            </w:r>
          </w:p>
        </w:tc>
        <w:tc>
          <w:tcPr>
            <w:tcW w:w="2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合同（质量）履约按履约保证金年费率1%（1.5%），每单保函最低保险费为500元（300元）</w:t>
            </w: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李微微</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13605861319</w:t>
            </w:r>
          </w:p>
        </w:tc>
      </w:tr>
      <w:tr>
        <w:tblPrEx>
          <w:tblCellMar>
            <w:top w:w="0" w:type="dxa"/>
            <w:left w:w="0" w:type="dxa"/>
            <w:bottom w:w="0" w:type="dxa"/>
            <w:right w:w="0" w:type="dxa"/>
          </w:tblCellMar>
        </w:tblPrEx>
        <w:trPr>
          <w:trHeight w:val="669"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中国平安财产保险股份有限公司温岭支公司</w:t>
            </w:r>
          </w:p>
        </w:tc>
        <w:tc>
          <w:tcPr>
            <w:tcW w:w="2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宋体" w:hAnsi="宋体" w:eastAsia="宋体" w:cs="宋体"/>
                <w:color w:val="auto"/>
                <w:sz w:val="21"/>
                <w:szCs w:val="21"/>
                <w:highlight w:val="none"/>
                <w:lang w:val="en-US" w:eastAsia="zh-CN"/>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郑海珍</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13906560678</w:t>
            </w:r>
          </w:p>
        </w:tc>
      </w:tr>
      <w:tr>
        <w:tblPrEx>
          <w:tblCellMar>
            <w:top w:w="0" w:type="dxa"/>
            <w:left w:w="0" w:type="dxa"/>
            <w:bottom w:w="0" w:type="dxa"/>
            <w:right w:w="0" w:type="dxa"/>
          </w:tblCellMar>
        </w:tblPrEx>
        <w:trPr>
          <w:trHeight w:val="685"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阳光财产保险股份有限公司温岭支公司</w:t>
            </w:r>
          </w:p>
        </w:tc>
        <w:tc>
          <w:tcPr>
            <w:tcW w:w="2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宋体" w:hAnsi="宋体" w:eastAsia="宋体" w:cs="宋体"/>
                <w:color w:val="auto"/>
                <w:sz w:val="21"/>
                <w:szCs w:val="21"/>
                <w:highlight w:val="none"/>
                <w:lang w:val="en-US" w:eastAsia="zh-CN"/>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王巧萍</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13967691616</w:t>
            </w:r>
          </w:p>
        </w:tc>
      </w:tr>
    </w:tbl>
    <w:p>
      <w:pPr>
        <w:keepNext w:val="0"/>
        <w:keepLines w:val="0"/>
        <w:pageBreakBefore w:val="0"/>
        <w:widowControl w:val="0"/>
        <w:kinsoku/>
        <w:wordWrap/>
        <w:overflowPunct/>
        <w:topLinePunct w:val="0"/>
        <w:autoSpaceDE/>
        <w:autoSpaceDN/>
        <w:bidi w:val="0"/>
        <w:adjustRightInd/>
        <w:spacing w:line="400" w:lineRule="exact"/>
        <w:textAlignment w:val="auto"/>
        <w:outlineLvl w:val="0"/>
        <w:rPr>
          <w:rFonts w:hint="eastAsia" w:ascii="宋体" w:hAnsi="宋体" w:eastAsia="宋体" w:cs="宋体"/>
          <w:b/>
          <w:bCs/>
          <w:color w:val="auto"/>
          <w:sz w:val="24"/>
          <w:szCs w:val="24"/>
          <w:highlight w:val="none"/>
          <w:lang w:eastAsia="zh-CN"/>
        </w:rPr>
      </w:pPr>
      <w:bookmarkStart w:id="11" w:name="_Toc7808"/>
      <w:bookmarkStart w:id="12" w:name="_Toc9822"/>
      <w:bookmarkStart w:id="13" w:name="_Toc32481"/>
      <w:r>
        <w:rPr>
          <w:rFonts w:hint="eastAsia" w:ascii="宋体" w:hAnsi="宋体" w:eastAsia="宋体" w:cs="宋体"/>
          <w:b/>
          <w:bCs/>
          <w:color w:val="auto"/>
          <w:sz w:val="24"/>
          <w:szCs w:val="24"/>
          <w:highlight w:val="none"/>
          <w:lang w:eastAsia="zh-CN"/>
        </w:rPr>
        <w:t>七、对本次招标提出询问，请按以下方式联系</w:t>
      </w:r>
      <w:bookmarkEnd w:id="4"/>
      <w:bookmarkEnd w:id="5"/>
      <w:bookmarkEnd w:id="6"/>
      <w:bookmarkEnd w:id="7"/>
      <w:bookmarkEnd w:id="11"/>
      <w:bookmarkEnd w:id="12"/>
      <w:bookmarkEnd w:id="13"/>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snapToGrid w:val="0"/>
        <w:spacing w:line="324" w:lineRule="auto"/>
        <w:ind w:firstLine="600" w:firstLineChars="250"/>
        <w:rPr>
          <w:rFonts w:ascii="宋体" w:cs="宋体"/>
          <w:b/>
          <w:bCs/>
          <w:sz w:val="24"/>
          <w:szCs w:val="24"/>
        </w:rPr>
      </w:pPr>
      <w:r>
        <w:rPr>
          <w:rFonts w:ascii="宋体" w:cs="宋体"/>
          <w:b/>
          <w:bCs/>
          <w:sz w:val="24"/>
          <w:szCs w:val="24"/>
        </w:rPr>
        <w:t>1.</w:t>
      </w:r>
      <w:r>
        <w:rPr>
          <w:rFonts w:hint="eastAsia" w:ascii="宋体" w:cs="宋体"/>
          <w:b/>
          <w:bCs/>
          <w:sz w:val="24"/>
          <w:szCs w:val="24"/>
        </w:rPr>
        <w:t>采购人信息</w:t>
      </w:r>
    </w:p>
    <w:p>
      <w:pPr>
        <w:keepNext w:val="0"/>
        <w:keepLines w:val="0"/>
        <w:pageBreakBefore w:val="0"/>
        <w:kinsoku/>
        <w:wordWrap/>
        <w:overflowPunct/>
        <w:topLinePunct w:val="0"/>
        <w:bidi w:val="0"/>
        <w:snapToGrid w:val="0"/>
        <w:spacing w:line="324" w:lineRule="auto"/>
        <w:ind w:firstLine="600" w:firstLineChars="250"/>
        <w:rPr>
          <w:rFonts w:ascii="宋体" w:hAnsi="宋体" w:cs="宋体"/>
          <w:kern w:val="0"/>
          <w:sz w:val="24"/>
        </w:rPr>
      </w:pPr>
      <w:r>
        <w:rPr>
          <w:rFonts w:hint="eastAsia" w:ascii="宋体" w:cs="宋体"/>
          <w:sz w:val="24"/>
          <w:szCs w:val="24"/>
        </w:rPr>
        <w:t>名    称：</w:t>
      </w:r>
      <w:r>
        <w:rPr>
          <w:rFonts w:hint="eastAsia" w:ascii="宋体" w:hAnsi="宋体" w:cs="宋体"/>
          <w:kern w:val="0"/>
          <w:sz w:val="24"/>
        </w:rPr>
        <w:t>温岭市新河镇人民政府</w:t>
      </w:r>
    </w:p>
    <w:p>
      <w:pPr>
        <w:keepNext w:val="0"/>
        <w:keepLines w:val="0"/>
        <w:pageBreakBefore w:val="0"/>
        <w:kinsoku/>
        <w:wordWrap/>
        <w:overflowPunct/>
        <w:topLinePunct w:val="0"/>
        <w:bidi w:val="0"/>
        <w:snapToGrid w:val="0"/>
        <w:spacing w:line="324" w:lineRule="auto"/>
        <w:ind w:firstLine="600" w:firstLineChars="250"/>
        <w:rPr>
          <w:rFonts w:ascii="宋体" w:hAnsi="宋体" w:cs="宋体"/>
          <w:sz w:val="24"/>
          <w:szCs w:val="24"/>
        </w:rPr>
      </w:pPr>
      <w:r>
        <w:rPr>
          <w:rFonts w:hint="eastAsia" w:ascii="宋体" w:hAnsi="宋体" w:cs="宋体"/>
          <w:sz w:val="24"/>
          <w:szCs w:val="24"/>
        </w:rPr>
        <w:t>地址：浙江省温岭市新河镇市民大</w:t>
      </w:r>
      <w:r>
        <w:rPr>
          <w:rFonts w:hint="eastAsia" w:ascii="宋体" w:hAnsi="宋体" w:cs="宋体"/>
          <w:sz w:val="24"/>
          <w:szCs w:val="24"/>
          <w:lang w:eastAsia="zh-CN"/>
        </w:rPr>
        <w:t>道</w:t>
      </w:r>
      <w:r>
        <w:rPr>
          <w:rFonts w:hint="eastAsia" w:ascii="宋体" w:hAnsi="宋体" w:cs="宋体"/>
          <w:sz w:val="24"/>
          <w:szCs w:val="24"/>
        </w:rPr>
        <w:t>1号</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 xml:space="preserve">项目联系人：林琪   </w:t>
      </w:r>
    </w:p>
    <w:p>
      <w:pPr>
        <w:keepNext w:val="0"/>
        <w:keepLines w:val="0"/>
        <w:pageBreakBefore w:val="0"/>
        <w:kinsoku/>
        <w:wordWrap/>
        <w:overflowPunct/>
        <w:topLinePunct w:val="0"/>
        <w:bidi w:val="0"/>
        <w:snapToGrid w:val="0"/>
        <w:spacing w:line="324" w:lineRule="auto"/>
        <w:ind w:firstLine="600" w:firstLineChars="250"/>
        <w:jc w:val="left"/>
        <w:rPr>
          <w:rFonts w:ascii="宋体" w:cs="宋体"/>
          <w:sz w:val="24"/>
          <w:szCs w:val="24"/>
        </w:rPr>
      </w:pPr>
      <w:r>
        <w:rPr>
          <w:rFonts w:hint="eastAsia" w:ascii="宋体" w:cs="宋体"/>
          <w:sz w:val="24"/>
          <w:szCs w:val="24"/>
        </w:rPr>
        <w:t>项目联系方式（询问）：</w:t>
      </w:r>
      <w:r>
        <w:rPr>
          <w:rFonts w:hint="eastAsia" w:ascii="宋体" w:hAnsi="宋体" w:cs="宋体"/>
          <w:color w:val="000000"/>
          <w:kern w:val="0"/>
          <w:sz w:val="24"/>
        </w:rPr>
        <w:t>0576-86598053</w:t>
      </w:r>
      <w:r>
        <w:rPr>
          <w:rFonts w:hint="eastAsia" w:ascii="宋体" w:cs="宋体"/>
          <w:sz w:val="24"/>
          <w:szCs w:val="24"/>
        </w:rPr>
        <w:t xml:space="preserve">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ascii="宋体" w:cs="宋体"/>
          <w:b/>
          <w:bCs/>
          <w:sz w:val="24"/>
          <w:szCs w:val="24"/>
        </w:rPr>
        <w:t>2.</w:t>
      </w:r>
      <w:r>
        <w:rPr>
          <w:rFonts w:hint="eastAsia" w:ascii="宋体" w:cs="宋体"/>
          <w:b/>
          <w:bCs/>
          <w:sz w:val="24"/>
          <w:szCs w:val="24"/>
        </w:rPr>
        <w:t>采购代理机构信息</w:t>
      </w:r>
      <w:r>
        <w:rPr>
          <w:rFonts w:ascii="宋体" w:cs="宋体"/>
          <w:b/>
          <w:bCs/>
          <w:sz w:val="24"/>
          <w:szCs w:val="24"/>
        </w:rPr>
        <w:t> </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名</w:t>
      </w:r>
      <w:r>
        <w:rPr>
          <w:rFonts w:ascii="宋体" w:cs="宋体"/>
          <w:sz w:val="24"/>
          <w:szCs w:val="24"/>
        </w:rPr>
        <w:t xml:space="preserve">    </w:t>
      </w:r>
      <w:r>
        <w:rPr>
          <w:rFonts w:hint="eastAsia" w:ascii="宋体" w:cs="宋体"/>
          <w:sz w:val="24"/>
          <w:szCs w:val="24"/>
        </w:rPr>
        <w:t>称：建经投资咨询有限公司</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地</w:t>
      </w:r>
      <w:r>
        <w:rPr>
          <w:rFonts w:ascii="宋体" w:cs="宋体"/>
          <w:sz w:val="24"/>
          <w:szCs w:val="24"/>
        </w:rPr>
        <w:t xml:space="preserve">    </w:t>
      </w:r>
      <w:r>
        <w:rPr>
          <w:rFonts w:hint="eastAsia" w:ascii="宋体" w:cs="宋体"/>
          <w:sz w:val="24"/>
          <w:szCs w:val="24"/>
        </w:rPr>
        <w:t>址：浙江省温岭市万昌路服务业大厦</w:t>
      </w:r>
      <w:r>
        <w:rPr>
          <w:rFonts w:ascii="宋体" w:cs="宋体"/>
          <w:sz w:val="24"/>
          <w:szCs w:val="24"/>
        </w:rPr>
        <w:t>8</w:t>
      </w:r>
      <w:r>
        <w:rPr>
          <w:rFonts w:hint="eastAsia" w:ascii="宋体" w:cs="宋体"/>
          <w:sz w:val="24"/>
          <w:szCs w:val="24"/>
        </w:rPr>
        <w:t>楼</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传</w:t>
      </w:r>
      <w:r>
        <w:rPr>
          <w:rFonts w:ascii="宋体" w:cs="宋体"/>
          <w:sz w:val="24"/>
          <w:szCs w:val="24"/>
        </w:rPr>
        <w:t xml:space="preserve">    </w:t>
      </w:r>
      <w:r>
        <w:rPr>
          <w:rFonts w:hint="eastAsia" w:ascii="宋体" w:cs="宋体"/>
          <w:sz w:val="24"/>
          <w:szCs w:val="24"/>
        </w:rPr>
        <w:t>真：</w:t>
      </w:r>
      <w:r>
        <w:rPr>
          <w:rFonts w:ascii="宋体" w:cs="宋体"/>
          <w:sz w:val="24"/>
          <w:szCs w:val="24"/>
        </w:rPr>
        <w:t>0576-86087802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项目联系人（询问）：陈冠茜、</w:t>
      </w:r>
      <w:r>
        <w:rPr>
          <w:rFonts w:hint="eastAsia" w:ascii="宋体" w:cs="宋体"/>
          <w:sz w:val="24"/>
          <w:szCs w:val="24"/>
          <w:lang w:eastAsia="zh-CN"/>
        </w:rPr>
        <w:t>刘峰男</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hint="eastAsia" w:ascii="宋体" w:eastAsia="宋体" w:cs="宋体"/>
          <w:sz w:val="24"/>
          <w:szCs w:val="24"/>
          <w:lang w:eastAsia="zh-CN"/>
        </w:rPr>
      </w:pPr>
      <w:r>
        <w:rPr>
          <w:rFonts w:hint="eastAsia" w:ascii="宋体" w:cs="宋体"/>
          <w:sz w:val="24"/>
          <w:szCs w:val="24"/>
        </w:rPr>
        <w:t>项目联系方式（询问）：</w:t>
      </w:r>
      <w:r>
        <w:rPr>
          <w:rFonts w:ascii="宋体" w:cs="宋体"/>
          <w:sz w:val="24"/>
          <w:szCs w:val="24"/>
        </w:rPr>
        <w:t>0576-817610</w:t>
      </w:r>
      <w:r>
        <w:rPr>
          <w:rFonts w:hint="eastAsia" w:ascii="宋体" w:cs="宋体"/>
          <w:sz w:val="24"/>
          <w:szCs w:val="24"/>
          <w:lang w:val="en-US" w:eastAsia="zh-CN"/>
        </w:rPr>
        <w:t>88</w:t>
      </w:r>
      <w:r>
        <w:rPr>
          <w:rFonts w:ascii="宋体" w:cs="宋体"/>
          <w:sz w:val="24"/>
          <w:szCs w:val="24"/>
        </w:rPr>
        <w:t> </w:t>
      </w:r>
      <w:r>
        <w:rPr>
          <w:rFonts w:hint="eastAsia" w:ascii="宋体" w:cs="宋体"/>
          <w:sz w:val="24"/>
          <w:szCs w:val="24"/>
          <w:lang w:eastAsia="zh-CN"/>
        </w:rPr>
        <w:t>、</w:t>
      </w:r>
      <w:r>
        <w:rPr>
          <w:rFonts w:hint="eastAsia" w:ascii="宋体" w:cs="宋体"/>
          <w:sz w:val="24"/>
          <w:szCs w:val="24"/>
        </w:rPr>
        <w:t>0576-817610</w:t>
      </w:r>
      <w:r>
        <w:rPr>
          <w:rFonts w:hint="eastAsia" w:ascii="宋体" w:cs="宋体"/>
          <w:sz w:val="24"/>
          <w:szCs w:val="24"/>
          <w:lang w:val="en-US" w:eastAsia="zh-CN"/>
        </w:rPr>
        <w:t>86</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质疑联系人：吕玉平</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质疑联系方式：</w:t>
      </w:r>
      <w:r>
        <w:rPr>
          <w:rFonts w:ascii="宋体" w:cs="宋体"/>
          <w:sz w:val="24"/>
          <w:szCs w:val="24"/>
        </w:rPr>
        <w:t>0576-817610</w:t>
      </w:r>
      <w:r>
        <w:rPr>
          <w:rFonts w:hint="eastAsia" w:ascii="宋体" w:cs="宋体"/>
          <w:sz w:val="24"/>
          <w:szCs w:val="24"/>
          <w:lang w:val="en-US" w:eastAsia="zh-CN"/>
        </w:rPr>
        <w:t>88</w:t>
      </w:r>
      <w:r>
        <w:rPr>
          <w:rFonts w:ascii="宋体" w:cs="宋体"/>
          <w:sz w:val="24"/>
          <w:szCs w:val="24"/>
        </w:rPr>
        <w:t> </w:t>
      </w:r>
      <w:r>
        <w:rPr>
          <w:rFonts w:hint="eastAsia" w:ascii="宋体" w:cs="宋体"/>
          <w:sz w:val="24"/>
          <w:szCs w:val="24"/>
        </w:rPr>
        <w:t>　　　　　　</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ascii="宋体" w:cs="宋体"/>
          <w:b/>
          <w:bCs/>
          <w:sz w:val="24"/>
          <w:szCs w:val="24"/>
        </w:rPr>
        <w:t>3.</w:t>
      </w:r>
      <w:r>
        <w:rPr>
          <w:rFonts w:hint="eastAsia" w:ascii="宋体" w:cs="宋体"/>
          <w:b/>
          <w:bCs/>
          <w:sz w:val="24"/>
          <w:szCs w:val="24"/>
        </w:rPr>
        <w:t>同级政府采购监督管理部门</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名</w:t>
      </w:r>
      <w:r>
        <w:rPr>
          <w:rFonts w:ascii="宋体" w:cs="宋体"/>
          <w:sz w:val="24"/>
          <w:szCs w:val="24"/>
        </w:rPr>
        <w:t xml:space="preserve">    </w:t>
      </w:r>
      <w:r>
        <w:rPr>
          <w:rFonts w:hint="eastAsia" w:ascii="宋体" w:cs="宋体"/>
          <w:sz w:val="24"/>
          <w:szCs w:val="24"/>
        </w:rPr>
        <w:t>称：温岭市财政局</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ascii="宋体" w:cs="宋体"/>
          <w:sz w:val="24"/>
          <w:szCs w:val="24"/>
        </w:rPr>
      </w:pPr>
      <w:r>
        <w:rPr>
          <w:rFonts w:hint="eastAsia" w:ascii="宋体" w:cs="宋体"/>
          <w:sz w:val="24"/>
          <w:szCs w:val="24"/>
        </w:rPr>
        <w:t>地</w:t>
      </w:r>
      <w:r>
        <w:rPr>
          <w:rFonts w:ascii="宋体" w:cs="宋体"/>
          <w:sz w:val="24"/>
          <w:szCs w:val="24"/>
        </w:rPr>
        <w:t xml:space="preserve">    </w:t>
      </w:r>
      <w:r>
        <w:rPr>
          <w:rFonts w:hint="eastAsia" w:ascii="宋体" w:cs="宋体"/>
          <w:sz w:val="24"/>
          <w:szCs w:val="24"/>
        </w:rPr>
        <w:t>址：浙江省温岭市太平街道中华路</w:t>
      </w:r>
      <w:r>
        <w:rPr>
          <w:rFonts w:ascii="宋体" w:cs="宋体"/>
          <w:sz w:val="24"/>
          <w:szCs w:val="24"/>
        </w:rPr>
        <w:t>29</w:t>
      </w:r>
      <w:r>
        <w:rPr>
          <w:rFonts w:hint="eastAsia" w:ascii="宋体" w:cs="宋体"/>
          <w:sz w:val="24"/>
          <w:szCs w:val="24"/>
        </w:rPr>
        <w:t>号</w:t>
      </w:r>
      <w:r>
        <w:rPr>
          <w:rFonts w:ascii="宋体" w:cs="宋体"/>
          <w:sz w:val="24"/>
          <w:szCs w:val="24"/>
        </w:rPr>
        <w:t>                      </w:t>
      </w:r>
    </w:p>
    <w:p>
      <w:pPr>
        <w:keepNext w:val="0"/>
        <w:keepLines w:val="0"/>
        <w:pageBreakBefore w:val="0"/>
        <w:kinsoku/>
        <w:wordWrap/>
        <w:overflowPunct/>
        <w:topLinePunct w:val="0"/>
        <w:bidi w:val="0"/>
        <w:snapToGrid w:val="0"/>
        <w:spacing w:line="324" w:lineRule="auto"/>
        <w:ind w:firstLine="600" w:firstLineChars="250"/>
        <w:rPr>
          <w:rFonts w:hint="eastAsia" w:ascii="宋体" w:hAnsi="Times New Roman" w:eastAsia="宋体" w:cs="宋体"/>
          <w:sz w:val="24"/>
          <w:szCs w:val="24"/>
        </w:rPr>
      </w:pPr>
      <w:r>
        <w:rPr>
          <w:rFonts w:hint="eastAsia" w:ascii="宋体" w:hAnsi="Times New Roman" w:eastAsia="宋体" w:cs="宋体"/>
          <w:sz w:val="24"/>
          <w:szCs w:val="24"/>
        </w:rPr>
        <w:t>联系人 ：温岭市财政局政府采购监管科</w:t>
      </w:r>
    </w:p>
    <w:p>
      <w:pPr>
        <w:keepNext w:val="0"/>
        <w:keepLines w:val="0"/>
        <w:pageBreakBefore w:val="0"/>
        <w:kinsoku/>
        <w:wordWrap/>
        <w:overflowPunct/>
        <w:topLinePunct w:val="0"/>
        <w:bidi w:val="0"/>
        <w:snapToGrid w:val="0"/>
        <w:spacing w:line="324" w:lineRule="auto"/>
        <w:ind w:firstLine="600" w:firstLineChars="250"/>
        <w:rPr>
          <w:rFonts w:hint="eastAsia" w:ascii="宋体" w:hAnsi="Times New Roman" w:eastAsia="宋体" w:cs="宋体"/>
          <w:sz w:val="24"/>
          <w:szCs w:val="24"/>
        </w:rPr>
      </w:pPr>
      <w:r>
        <w:rPr>
          <w:rFonts w:hint="eastAsia" w:ascii="宋体" w:hAnsi="Times New Roman" w:eastAsia="宋体" w:cs="宋体"/>
          <w:sz w:val="24"/>
          <w:szCs w:val="24"/>
        </w:rPr>
        <w:t>监督投诉电话：0576-86086511</w:t>
      </w:r>
    </w:p>
    <w:p>
      <w:pPr>
        <w:spacing w:line="360" w:lineRule="auto"/>
        <w:jc w:val="center"/>
        <w:outlineLvl w:val="0"/>
        <w:rPr>
          <w:rFonts w:ascii="宋体" w:cs="宋体"/>
          <w:b/>
          <w:bCs/>
          <w:kern w:val="0"/>
          <w:sz w:val="36"/>
          <w:szCs w:val="36"/>
        </w:rPr>
      </w:pPr>
      <w:r>
        <w:rPr>
          <w:rFonts w:hint="eastAsia" w:ascii="宋体" w:hAnsi="宋体" w:cs="宋体"/>
          <w:b/>
          <w:bCs/>
          <w:kern w:val="0"/>
          <w:sz w:val="36"/>
          <w:szCs w:val="36"/>
        </w:rPr>
        <w:br w:type="page"/>
      </w:r>
      <w:bookmarkStart w:id="14" w:name="_Toc32386"/>
      <w:r>
        <w:rPr>
          <w:rFonts w:hint="eastAsia" w:ascii="宋体" w:hAnsi="宋体" w:cs="宋体"/>
          <w:b/>
          <w:bCs/>
          <w:kern w:val="0"/>
          <w:sz w:val="36"/>
          <w:szCs w:val="36"/>
        </w:rPr>
        <w:t>第二章 投标人须知</w:t>
      </w:r>
      <w:bookmarkEnd w:id="14"/>
    </w:p>
    <w:p>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1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2551"/>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序号</w:t>
            </w:r>
          </w:p>
        </w:tc>
        <w:tc>
          <w:tcPr>
            <w:tcW w:w="2202" w:type="dxa"/>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目</w:t>
            </w:r>
          </w:p>
        </w:tc>
        <w:tc>
          <w:tcPr>
            <w:tcW w:w="6122" w:type="dxa"/>
            <w:gridSpan w:val="2"/>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内</w:t>
            </w:r>
            <w:r>
              <w:rPr>
                <w:rFonts w:ascii="宋体" w:hAnsi="宋体" w:cs="宋体"/>
                <w:b/>
                <w:bCs/>
                <w:sz w:val="24"/>
                <w:szCs w:val="24"/>
              </w:rPr>
              <w:t xml:space="preserve">                 </w:t>
            </w:r>
            <w:r>
              <w:rPr>
                <w:rFonts w:hint="eastAsia" w:ascii="宋体" w:hAnsi="宋体" w:cs="宋体"/>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采购项目</w:t>
            </w:r>
          </w:p>
        </w:tc>
        <w:tc>
          <w:tcPr>
            <w:tcW w:w="6122" w:type="dxa"/>
            <w:gridSpan w:val="2"/>
            <w:tcBorders>
              <w:tl2br w:val="nil"/>
              <w:tr2bl w:val="nil"/>
            </w:tcBorders>
            <w:vAlign w:val="center"/>
          </w:tcPr>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项目名称：温岭市新河镇2022年度病媒生物防制专业化服务项目采购</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 xml:space="preserve">项目编号：JJWL22030950 </w:t>
            </w:r>
          </w:p>
          <w:p>
            <w:pPr>
              <w:pStyle w:val="16"/>
              <w:tabs>
                <w:tab w:val="left" w:pos="6930"/>
              </w:tabs>
              <w:spacing w:before="0" w:beforeAutospacing="0" w:after="0" w:afterAutospacing="0" w:line="360" w:lineRule="exact"/>
            </w:pPr>
            <w:r>
              <w:rPr>
                <w:rFonts w:hint="eastAsia"/>
                <w:kern w:val="2"/>
                <w:sz w:val="22"/>
                <w:szCs w:val="22"/>
                <w:lang w:val="zh-CN"/>
              </w:rPr>
              <w:t>项目内容：详见第</w:t>
            </w:r>
            <w:r>
              <w:rPr>
                <w:rFonts w:hint="eastAsia"/>
                <w:kern w:val="2"/>
                <w:sz w:val="22"/>
                <w:szCs w:val="22"/>
              </w:rPr>
              <w:t>四</w:t>
            </w:r>
            <w:r>
              <w:rPr>
                <w:rFonts w:hint="eastAsia"/>
                <w:kern w:val="2"/>
                <w:sz w:val="22"/>
                <w:szCs w:val="22"/>
                <w:lang w:val="zh-CN"/>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2</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采购方式</w:t>
            </w:r>
          </w:p>
        </w:tc>
        <w:tc>
          <w:tcPr>
            <w:tcW w:w="6122" w:type="dxa"/>
            <w:gridSpan w:val="2"/>
            <w:tcBorders>
              <w:tl2br w:val="nil"/>
              <w:tr2bl w:val="nil"/>
            </w:tcBorders>
            <w:vAlign w:val="center"/>
          </w:tcPr>
          <w:p>
            <w:pPr>
              <w:spacing w:line="360" w:lineRule="exact"/>
              <w:rPr>
                <w:rFonts w:ascii="宋体" w:cs="宋体"/>
                <w:sz w:val="24"/>
                <w:szCs w:val="24"/>
              </w:rPr>
            </w:pPr>
            <w:r>
              <w:rPr>
                <w:rFonts w:hint="eastAsia" w:ascii="宋体" w:hAnsi="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3</w:t>
            </w:r>
          </w:p>
        </w:tc>
        <w:tc>
          <w:tcPr>
            <w:tcW w:w="2202" w:type="dxa"/>
            <w:tcBorders>
              <w:tl2br w:val="nil"/>
              <w:tr2bl w:val="nil"/>
            </w:tcBorders>
            <w:vAlign w:val="center"/>
          </w:tcPr>
          <w:p>
            <w:pPr>
              <w:pStyle w:val="16"/>
              <w:tabs>
                <w:tab w:val="left" w:pos="6930"/>
              </w:tabs>
              <w:spacing w:before="0" w:beforeAutospacing="0" w:after="0" w:afterAutospacing="0" w:line="360" w:lineRule="exact"/>
              <w:jc w:val="center"/>
              <w:rPr>
                <w:kern w:val="2"/>
              </w:rPr>
            </w:pPr>
            <w:r>
              <w:rPr>
                <w:rFonts w:hint="eastAsia"/>
                <w:kern w:val="2"/>
              </w:rPr>
              <w:t>投标文件形式、组成及制作</w:t>
            </w:r>
          </w:p>
          <w:p>
            <w:pPr>
              <w:pStyle w:val="16"/>
              <w:tabs>
                <w:tab w:val="left" w:pos="6930"/>
              </w:tabs>
              <w:spacing w:before="0" w:beforeAutospacing="0" w:after="0" w:afterAutospacing="0" w:line="360" w:lineRule="exact"/>
            </w:pPr>
          </w:p>
        </w:tc>
        <w:tc>
          <w:tcPr>
            <w:tcW w:w="6122" w:type="dxa"/>
            <w:gridSpan w:val="2"/>
            <w:tcBorders>
              <w:tl2br w:val="nil"/>
              <w:tr2bl w:val="nil"/>
            </w:tcBorders>
            <w:vAlign w:val="center"/>
          </w:tcPr>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1.投标文件的形式：电子投标文件（包括“电子加密投标文件”和“备份投标文件”，在投标文件编制完成后同时生成）；</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1）“电子加密投标文件”是指通过“政采云电子交易客户端”完成投标文件编制后生成并加密的数据电文形式的投标文件。</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2）“备份投标文件”是指与“电子加密投标文件”同时生成的数据电文形式的电子文件（备份标书），其他方式编制的“备份投标文件”视为无效“备份投标文件”。</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2.投标文件由资格证明文件、商务技术文件、报价文件组成；</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3.电子加密投标文件制作：应按政府采购云平台供应商项目采购－电子招投标操作指南（网址：</w:t>
            </w:r>
            <w:r>
              <w:fldChar w:fldCharType="begin"/>
            </w:r>
            <w:r>
              <w:instrText xml:space="preserve"> HYPERLINK "https://help.zcy.gov.cn/web/site_2/2018/12-28/2573.html）及本采购文件要求制作" </w:instrText>
            </w:r>
            <w:r>
              <w:fldChar w:fldCharType="separate"/>
            </w:r>
            <w:r>
              <w:rPr>
                <w:rFonts w:hint="eastAsia"/>
                <w:kern w:val="2"/>
                <w:sz w:val="22"/>
                <w:szCs w:val="22"/>
                <w:lang w:val="zh-CN"/>
              </w:rPr>
              <w:t>https://help.zcy.gov.cn/web/site_2/2018/12-28/2573.html）及本招标文件要求制作</w:t>
            </w:r>
            <w:r>
              <w:rPr>
                <w:rFonts w:hint="eastAsia"/>
                <w:kern w:val="2"/>
                <w:sz w:val="22"/>
                <w:szCs w:val="22"/>
                <w:lang w:val="zh-CN"/>
              </w:rPr>
              <w:fldChar w:fldCharType="end"/>
            </w:r>
            <w:r>
              <w:rPr>
                <w:rFonts w:hint="eastAsia"/>
                <w:kern w:val="2"/>
                <w:sz w:val="22"/>
                <w:szCs w:val="22"/>
                <w:lang w:val="zh-CN"/>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hint="eastAsia" w:ascii="宋体" w:hAnsi="宋体" w:cs="宋体"/>
                <w:sz w:val="24"/>
                <w:szCs w:val="24"/>
              </w:rPr>
              <w:t>4</w:t>
            </w:r>
          </w:p>
        </w:tc>
        <w:tc>
          <w:tcPr>
            <w:tcW w:w="2202" w:type="dxa"/>
            <w:tcBorders>
              <w:tl2br w:val="nil"/>
              <w:tr2bl w:val="nil"/>
            </w:tcBorders>
            <w:vAlign w:val="center"/>
          </w:tcPr>
          <w:p>
            <w:pPr>
              <w:snapToGrid w:val="0"/>
              <w:spacing w:line="360" w:lineRule="exact"/>
              <w:jc w:val="center"/>
              <w:rPr>
                <w:rFonts w:ascii="宋体" w:hAnsi="宋体" w:cs="宋体"/>
              </w:rPr>
            </w:pPr>
            <w:r>
              <w:rPr>
                <w:rFonts w:hint="eastAsia" w:ascii="宋体" w:hAnsi="宋体" w:cs="宋体"/>
                <w:sz w:val="24"/>
                <w:szCs w:val="24"/>
              </w:rPr>
              <w:t>投标文件递交截止时间（开标时间）及地点</w:t>
            </w:r>
          </w:p>
        </w:tc>
        <w:tc>
          <w:tcPr>
            <w:tcW w:w="6122" w:type="dxa"/>
            <w:gridSpan w:val="2"/>
            <w:tcBorders>
              <w:tl2br w:val="nil"/>
              <w:tr2bl w:val="nil"/>
            </w:tcBorders>
            <w:vAlign w:val="center"/>
          </w:tcPr>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1.“电子加密投标文件”递交：投标人应于项目提交投标文件截止时间前将“电子加密投标文件”上传至“政府采购云平台”，逾期未上传的，视为撤回投标文件。</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fldChar w:fldCharType="begin"/>
            </w:r>
            <w:r>
              <w:rPr>
                <w:rFonts w:hint="eastAsia"/>
                <w:kern w:val="2"/>
                <w:sz w:val="22"/>
                <w:szCs w:val="22"/>
                <w:lang w:val="zh-CN"/>
              </w:rPr>
              <w:instrText xml:space="preserve"> HYPERLINK "mailto:2.备份投标文件在开标时间后15分钟内以电子邮件形式递交至采购代理机构邮箱（103874679@qq.com）。" </w:instrText>
            </w:r>
            <w:r>
              <w:rPr>
                <w:rFonts w:hint="eastAsia"/>
                <w:kern w:val="2"/>
                <w:sz w:val="22"/>
                <w:szCs w:val="22"/>
                <w:lang w:val="zh-CN"/>
              </w:rPr>
              <w:fldChar w:fldCharType="separate"/>
            </w:r>
            <w:r>
              <w:rPr>
                <w:rFonts w:hint="eastAsia"/>
                <w:kern w:val="2"/>
                <w:sz w:val="22"/>
                <w:szCs w:val="22"/>
                <w:lang w:val="zh-CN"/>
              </w:rPr>
              <w:t>2.“备份投标文件”递交：</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rPr>
              <w:t>1）</w:t>
            </w:r>
            <w:r>
              <w:rPr>
                <w:rFonts w:hint="eastAsia"/>
                <w:kern w:val="2"/>
                <w:sz w:val="22"/>
                <w:szCs w:val="22"/>
                <w:lang w:val="zh-CN"/>
              </w:rPr>
              <w:t>投标人在“政府采购云平台”完成“电子加密投标文件”的上传递交后，还可以（以电子邮件的形式）在投标截止时间前发送</w:t>
            </w:r>
            <w:r>
              <w:rPr>
                <w:rFonts w:hint="eastAsia"/>
                <w:b/>
                <w:bCs/>
                <w:color w:val="FF0000"/>
                <w:kern w:val="2"/>
                <w:sz w:val="22"/>
                <w:szCs w:val="22"/>
                <w:lang w:val="zh-CN"/>
              </w:rPr>
              <w:t>加密压缩文件</w:t>
            </w:r>
            <w:r>
              <w:rPr>
                <w:rFonts w:hint="eastAsia"/>
                <w:kern w:val="2"/>
                <w:sz w:val="22"/>
                <w:szCs w:val="22"/>
                <w:lang w:val="zh-CN"/>
              </w:rPr>
              <w:t>的“备份投标文件”（一份）；</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rPr>
              <w:t>2）</w:t>
            </w:r>
            <w:r>
              <w:rPr>
                <w:rFonts w:hint="eastAsia"/>
                <w:kern w:val="2"/>
                <w:sz w:val="22"/>
                <w:szCs w:val="22"/>
                <w:lang w:val="zh-CN"/>
              </w:rPr>
              <w:t>“备份投标文件”以压缩文件形式加密发送至采购代理机构邮箱，压缩文件命名为：投标项目编号和投标单位简称。接到在线解密通知后</w:t>
            </w:r>
            <w:r>
              <w:rPr>
                <w:rFonts w:hint="eastAsia"/>
                <w:kern w:val="2"/>
                <w:sz w:val="22"/>
                <w:szCs w:val="22"/>
              </w:rPr>
              <w:t>30分钟</w:t>
            </w:r>
            <w:r>
              <w:rPr>
                <w:rFonts w:hint="eastAsia"/>
                <w:kern w:val="2"/>
                <w:sz w:val="22"/>
                <w:szCs w:val="22"/>
                <w:lang w:val="zh-CN"/>
              </w:rPr>
              <w:t>内发送压缩文件密码至采购代理机构邮箱（邮箱号码：</w:t>
            </w:r>
            <w:r>
              <w:rPr>
                <w:rFonts w:hint="eastAsia"/>
                <w:kern w:val="2"/>
                <w:sz w:val="22"/>
                <w:szCs w:val="22"/>
              </w:rPr>
              <w:t>61692137</w:t>
            </w:r>
            <w:r>
              <w:rPr>
                <w:rFonts w:hint="eastAsia"/>
                <w:kern w:val="2"/>
                <w:sz w:val="22"/>
                <w:szCs w:val="22"/>
                <w:lang w:val="zh-CN"/>
              </w:rPr>
              <w:t>@qq.com）。</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rPr>
              <w:t>3.</w:t>
            </w:r>
            <w:r>
              <w:rPr>
                <w:rFonts w:hint="eastAsia"/>
                <w:kern w:val="2"/>
                <w:sz w:val="22"/>
                <w:szCs w:val="2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16"/>
              <w:tabs>
                <w:tab w:val="left" w:pos="6930"/>
              </w:tabs>
              <w:spacing w:before="0" w:beforeAutospacing="0" w:after="0" w:afterAutospacing="0" w:line="360" w:lineRule="exact"/>
              <w:rPr>
                <w:kern w:val="2"/>
                <w:sz w:val="22"/>
                <w:szCs w:val="22"/>
              </w:rPr>
            </w:pPr>
            <w:r>
              <w:rPr>
                <w:rFonts w:hint="eastAsia"/>
                <w:kern w:val="2"/>
                <w:sz w:val="22"/>
                <w:szCs w:val="22"/>
                <w:lang w:val="zh-CN"/>
              </w:rPr>
              <w:fldChar w:fldCharType="end"/>
            </w:r>
            <w:r>
              <w:rPr>
                <w:rFonts w:hint="eastAsia"/>
                <w:kern w:val="2"/>
                <w:sz w:val="22"/>
                <w:szCs w:val="22"/>
              </w:rPr>
              <w:t>4</w:t>
            </w:r>
            <w:r>
              <w:rPr>
                <w:rFonts w:hint="eastAsia"/>
                <w:kern w:val="2"/>
                <w:sz w:val="22"/>
                <w:szCs w:val="22"/>
                <w:lang w:val="zh-CN"/>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hint="eastAsia" w:ascii="宋体" w:hAnsi="宋体" w:cs="宋体"/>
                <w:sz w:val="24"/>
                <w:szCs w:val="24"/>
              </w:rPr>
              <w:t>5</w:t>
            </w:r>
          </w:p>
        </w:tc>
        <w:tc>
          <w:tcPr>
            <w:tcW w:w="2202" w:type="dxa"/>
            <w:tcBorders>
              <w:tl2br w:val="nil"/>
              <w:tr2bl w:val="nil"/>
            </w:tcBorders>
            <w:vAlign w:val="center"/>
          </w:tcPr>
          <w:p>
            <w:pPr>
              <w:pStyle w:val="16"/>
              <w:tabs>
                <w:tab w:val="left" w:pos="6930"/>
              </w:tabs>
              <w:spacing w:before="0" w:beforeAutospacing="0" w:after="0" w:afterAutospacing="0" w:line="360" w:lineRule="exact"/>
              <w:jc w:val="center"/>
              <w:rPr>
                <w:kern w:val="2"/>
                <w:sz w:val="21"/>
                <w:szCs w:val="21"/>
              </w:rPr>
            </w:pPr>
            <w:r>
              <w:rPr>
                <w:rFonts w:hint="eastAsia"/>
                <w:color w:val="000000"/>
                <w:sz w:val="21"/>
                <w:szCs w:val="21"/>
              </w:rPr>
              <w:t>投标文件的修改（补充）和撤回</w:t>
            </w:r>
          </w:p>
        </w:tc>
        <w:tc>
          <w:tcPr>
            <w:tcW w:w="6122" w:type="dxa"/>
            <w:gridSpan w:val="2"/>
            <w:tcBorders>
              <w:tl2br w:val="nil"/>
              <w:tr2bl w:val="nil"/>
            </w:tcBorders>
            <w:vAlign w:val="center"/>
          </w:tcPr>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1.修改（补充）和撤回：</w:t>
            </w:r>
          </w:p>
          <w:p>
            <w:pPr>
              <w:pStyle w:val="16"/>
              <w:tabs>
                <w:tab w:val="left" w:pos="6930"/>
              </w:tabs>
              <w:spacing w:before="0" w:beforeAutospacing="0" w:after="0" w:afterAutospacing="0" w:line="360" w:lineRule="exact"/>
              <w:rPr>
                <w:kern w:val="2"/>
                <w:sz w:val="22"/>
                <w:szCs w:val="22"/>
                <w:lang w:val="zh-CN"/>
              </w:rPr>
            </w:pPr>
            <w:r>
              <w:rPr>
                <w:rFonts w:hint="eastAsia"/>
                <w:kern w:val="2"/>
                <w:sz w:val="22"/>
                <w:szCs w:val="22"/>
              </w:rPr>
              <w:t>1）</w:t>
            </w:r>
            <w:r>
              <w:rPr>
                <w:rFonts w:hint="eastAsia"/>
                <w:kern w:val="2"/>
                <w:sz w:val="22"/>
                <w:szCs w:val="22"/>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pPr>
              <w:pStyle w:val="16"/>
              <w:tabs>
                <w:tab w:val="left" w:pos="6930"/>
              </w:tabs>
              <w:spacing w:before="0" w:beforeAutospacing="0" w:after="0" w:afterAutospacing="0" w:line="360" w:lineRule="exact"/>
              <w:rPr>
                <w:b/>
                <w:szCs w:val="21"/>
              </w:rPr>
            </w:pPr>
            <w:r>
              <w:rPr>
                <w:rFonts w:hint="eastAsia"/>
                <w:kern w:val="2"/>
                <w:sz w:val="22"/>
                <w:szCs w:val="22"/>
              </w:rPr>
              <w:t>2）</w:t>
            </w:r>
            <w:r>
              <w:rPr>
                <w:rFonts w:hint="eastAsia"/>
                <w:kern w:val="2"/>
                <w:sz w:val="22"/>
                <w:szCs w:val="22"/>
                <w:lang w:val="zh-CN"/>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6</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投标报价</w:t>
            </w:r>
          </w:p>
        </w:tc>
        <w:tc>
          <w:tcPr>
            <w:tcW w:w="6122" w:type="dxa"/>
            <w:gridSpan w:val="2"/>
            <w:tcBorders>
              <w:tl2br w:val="nil"/>
              <w:tr2bl w:val="nil"/>
            </w:tcBorders>
            <w:vAlign w:val="center"/>
          </w:tcPr>
          <w:p>
            <w:pPr>
              <w:numPr>
                <w:ilvl w:val="0"/>
                <w:numId w:val="3"/>
              </w:numPr>
              <w:spacing w:line="360" w:lineRule="exact"/>
              <w:rPr>
                <w:rFonts w:ascii="宋体" w:cs="宋体"/>
                <w:sz w:val="22"/>
                <w:szCs w:val="22"/>
              </w:rPr>
            </w:pPr>
            <w:r>
              <w:rPr>
                <w:rFonts w:hint="eastAsia" w:ascii="宋体" w:hAnsi="宋体" w:cs="宋体"/>
                <w:sz w:val="22"/>
                <w:szCs w:val="22"/>
              </w:rPr>
              <w:t>本项目投标应以人民币报价；</w:t>
            </w:r>
          </w:p>
          <w:p>
            <w:pPr>
              <w:numPr>
                <w:ilvl w:val="0"/>
                <w:numId w:val="3"/>
              </w:numPr>
              <w:spacing w:line="360" w:lineRule="exact"/>
              <w:rPr>
                <w:rFonts w:ascii="宋体" w:cs="宋体"/>
                <w:sz w:val="22"/>
                <w:szCs w:val="22"/>
              </w:rPr>
            </w:pPr>
            <w:r>
              <w:rPr>
                <w:rFonts w:hint="eastAsia" w:ascii="宋体" w:hAnsi="宋体" w:cs="宋体"/>
                <w:sz w:val="22"/>
                <w:szCs w:val="22"/>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7</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踏勘现场</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组织（详细内容）</w:t>
            </w:r>
          </w:p>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8</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样品</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提供，具体详见招标文件，中标人提供的样品将由采购人保管、封存并作为履约验收的参考</w:t>
            </w:r>
          </w:p>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9</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演示</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要求，具体详见招标文件</w:t>
            </w:r>
          </w:p>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10</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评标办法</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sym w:font="Wingdings 2" w:char="0052"/>
            </w:r>
            <w:r>
              <w:rPr>
                <w:rFonts w:ascii="宋体" w:hAnsi="宋体" w:cs="宋体"/>
                <w:sz w:val="22"/>
                <w:szCs w:val="22"/>
              </w:rPr>
              <w:t xml:space="preserve"> </w:t>
            </w:r>
            <w:r>
              <w:rPr>
                <w:rFonts w:hint="eastAsia" w:ascii="宋体" w:hAnsi="宋体" w:cs="宋体"/>
                <w:sz w:val="22"/>
                <w:szCs w:val="22"/>
              </w:rPr>
              <w:t>综合评分法</w:t>
            </w:r>
          </w:p>
          <w:p>
            <w:pPr>
              <w:spacing w:line="360" w:lineRule="exact"/>
              <w:rPr>
                <w:rFonts w:ascii="宋体" w:cs="宋体"/>
                <w:sz w:val="22"/>
                <w:szCs w:val="22"/>
              </w:rPr>
            </w:pPr>
            <w:r>
              <w:rPr>
                <w:rFonts w:hint="eastAsia" w:ascii="宋体" w:hAnsi="宋体" w:cs="宋体"/>
                <w:sz w:val="22"/>
                <w:szCs w:val="22"/>
              </w:rPr>
              <w:sym w:font="Wingdings 2" w:char="00A3"/>
            </w:r>
            <w:r>
              <w:rPr>
                <w:rFonts w:ascii="宋体" w:hAnsi="宋体" w:cs="宋体"/>
                <w:sz w:val="22"/>
                <w:szCs w:val="22"/>
              </w:rPr>
              <w:t xml:space="preserve"> </w:t>
            </w:r>
            <w:r>
              <w:rPr>
                <w:rFonts w:hint="eastAsia" w:ascii="宋体" w:hAnsi="宋体" w:cs="宋体"/>
                <w:sz w:val="22"/>
                <w:szCs w:val="2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11</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是否进口</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允许进口</w:t>
            </w:r>
          </w:p>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12</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节能产品</w:t>
            </w:r>
          </w:p>
        </w:tc>
        <w:tc>
          <w:tcPr>
            <w:tcW w:w="2551" w:type="dxa"/>
            <w:tcBorders>
              <w:right w:val="single" w:color="000000" w:sz="4" w:space="0"/>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强制采购节能产品</w:t>
            </w:r>
          </w:p>
          <w:p>
            <w:pPr>
              <w:spacing w:line="360" w:lineRule="exact"/>
              <w:rPr>
                <w:rFonts w:ascii="宋体" w:cs="宋体"/>
                <w:sz w:val="22"/>
                <w:szCs w:val="22"/>
              </w:rPr>
            </w:pPr>
            <w:r>
              <w:rPr>
                <w:rFonts w:hint="eastAsia" w:ascii="宋体" w:hAnsi="宋体" w:cs="宋体"/>
                <w:sz w:val="22"/>
                <w:szCs w:val="22"/>
              </w:rPr>
              <w:sym w:font="Wingdings 2" w:char="00A3"/>
            </w:r>
            <w:r>
              <w:rPr>
                <w:rFonts w:ascii="宋体" w:hAnsi="宋体" w:cs="宋体"/>
                <w:sz w:val="22"/>
                <w:szCs w:val="22"/>
              </w:rPr>
              <w:t xml:space="preserve"> </w:t>
            </w:r>
            <w:r>
              <w:rPr>
                <w:rFonts w:hint="eastAsia" w:ascii="宋体" w:hAnsi="宋体" w:cs="宋体"/>
                <w:sz w:val="22"/>
                <w:szCs w:val="22"/>
              </w:rPr>
              <w:t>优先采购节能产品</w:t>
            </w:r>
          </w:p>
          <w:p>
            <w:pPr>
              <w:spacing w:line="360" w:lineRule="exact"/>
              <w:rPr>
                <w:rFonts w:ascii="宋体" w:cs="宋体"/>
                <w:sz w:val="22"/>
                <w:szCs w:val="22"/>
              </w:rPr>
            </w:pPr>
            <w:r>
              <w:rPr>
                <w:rFonts w:hint="eastAsia" w:ascii="宋体" w:hAnsi="宋体" w:cs="宋体"/>
                <w:sz w:val="22"/>
                <w:szCs w:val="22"/>
              </w:rPr>
              <w:sym w:font="Wingdings 2" w:char="0052"/>
            </w:r>
            <w:r>
              <w:rPr>
                <w:rFonts w:ascii="宋体" w:hAnsi="宋体" w:cs="宋体"/>
                <w:sz w:val="22"/>
                <w:szCs w:val="22"/>
              </w:rPr>
              <w:t xml:space="preserve"> </w:t>
            </w:r>
            <w:r>
              <w:rPr>
                <w:rFonts w:hint="eastAsia" w:ascii="宋体" w:hAnsi="宋体" w:cs="宋体"/>
                <w:sz w:val="22"/>
                <w:szCs w:val="22"/>
              </w:rPr>
              <w:t>不适用（服务类项目）</w:t>
            </w:r>
          </w:p>
        </w:tc>
        <w:tc>
          <w:tcPr>
            <w:tcW w:w="3571" w:type="dxa"/>
            <w:vMerge w:val="restart"/>
            <w:tcBorders>
              <w:left w:val="single" w:color="000000" w:sz="4" w:space="0"/>
              <w:tl2br w:val="nil"/>
              <w:tr2bl w:val="nil"/>
            </w:tcBorders>
            <w:vAlign w:val="center"/>
          </w:tcPr>
          <w:p>
            <w:pPr>
              <w:spacing w:line="360" w:lineRule="exact"/>
              <w:rPr>
                <w:rFonts w:ascii="宋体" w:hAnsi="宋体" w:cs="宋体"/>
                <w:sz w:val="24"/>
                <w:szCs w:val="24"/>
              </w:rPr>
            </w:pPr>
            <w:r>
              <w:rPr>
                <w:rFonts w:hint="eastAsia" w:ascii="宋体" w:hAnsi="宋体" w:cs="宋体"/>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13</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环境标志产品</w:t>
            </w:r>
          </w:p>
        </w:tc>
        <w:tc>
          <w:tcPr>
            <w:tcW w:w="2551" w:type="dxa"/>
            <w:tcBorders>
              <w:right w:val="single" w:color="000000" w:sz="4" w:space="0"/>
              <w:tl2br w:val="nil"/>
              <w:tr2bl w:val="nil"/>
            </w:tcBorders>
            <w:vAlign w:val="center"/>
          </w:tcPr>
          <w:p>
            <w:pPr>
              <w:spacing w:line="360" w:lineRule="exact"/>
              <w:rPr>
                <w:rFonts w:ascii="宋体" w:cs="宋体"/>
                <w:sz w:val="22"/>
                <w:szCs w:val="22"/>
              </w:rPr>
            </w:pPr>
            <w:r>
              <w:rPr>
                <w:rFonts w:hint="eastAsia" w:ascii="宋体" w:hAnsi="宋体" w:cs="宋体"/>
                <w:sz w:val="22"/>
                <w:szCs w:val="22"/>
              </w:rPr>
              <w:sym w:font="Wingdings 2" w:char="00A3"/>
            </w:r>
            <w:r>
              <w:rPr>
                <w:rFonts w:ascii="宋体" w:hAnsi="宋体" w:cs="宋体"/>
                <w:sz w:val="22"/>
                <w:szCs w:val="22"/>
              </w:rPr>
              <w:t xml:space="preserve"> </w:t>
            </w:r>
            <w:r>
              <w:rPr>
                <w:rFonts w:hint="eastAsia" w:ascii="宋体" w:hAnsi="宋体" w:cs="宋体"/>
                <w:sz w:val="22"/>
                <w:szCs w:val="22"/>
              </w:rPr>
              <w:t>优先采购环境标志产品</w:t>
            </w:r>
          </w:p>
          <w:p>
            <w:pPr>
              <w:spacing w:line="360" w:lineRule="exact"/>
              <w:rPr>
                <w:rFonts w:ascii="宋体" w:cs="宋体"/>
                <w:sz w:val="22"/>
                <w:szCs w:val="22"/>
              </w:rPr>
            </w:pPr>
            <w:r>
              <w:rPr>
                <w:rFonts w:hint="eastAsia" w:ascii="宋体" w:hAnsi="宋体" w:cs="宋体"/>
                <w:sz w:val="22"/>
                <w:szCs w:val="22"/>
              </w:rPr>
              <w:sym w:font="Wingdings 2" w:char="0052"/>
            </w:r>
            <w:r>
              <w:rPr>
                <w:rFonts w:ascii="宋体" w:hAnsi="宋体" w:cs="宋体"/>
                <w:sz w:val="22"/>
                <w:szCs w:val="22"/>
              </w:rPr>
              <w:t xml:space="preserve"> </w:t>
            </w:r>
            <w:r>
              <w:rPr>
                <w:rFonts w:hint="eastAsia" w:ascii="宋体" w:hAnsi="宋体" w:cs="宋体"/>
                <w:sz w:val="22"/>
                <w:szCs w:val="22"/>
              </w:rPr>
              <w:t>不适用（服务类项目）</w:t>
            </w:r>
          </w:p>
        </w:tc>
        <w:tc>
          <w:tcPr>
            <w:tcW w:w="3571" w:type="dxa"/>
            <w:vMerge w:val="continue"/>
            <w:tcBorders>
              <w:left w:val="single" w:color="000000" w:sz="4" w:space="0"/>
              <w:tl2br w:val="nil"/>
              <w:tr2bl w:val="nil"/>
            </w:tcBorders>
            <w:vAlign w:val="center"/>
          </w:tcPr>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14</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促进中小企业发展</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本项目执行促进中小企业发展政策，监狱企业、残疾人福利性单位视同中型、小型、微型企业。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15</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合同签订</w:t>
            </w:r>
          </w:p>
        </w:tc>
        <w:tc>
          <w:tcPr>
            <w:tcW w:w="6122" w:type="dxa"/>
            <w:gridSpan w:val="2"/>
            <w:tcBorders>
              <w:tl2br w:val="nil"/>
              <w:tr2bl w:val="nil"/>
            </w:tcBorders>
            <w:vAlign w:val="center"/>
          </w:tcPr>
          <w:p>
            <w:pPr>
              <w:rPr>
                <w:rFonts w:ascii="宋体" w:hAnsi="宋体" w:cs="宋体"/>
                <w:sz w:val="22"/>
                <w:szCs w:val="22"/>
              </w:rPr>
            </w:pPr>
            <w:r>
              <w:rPr>
                <w:rFonts w:hint="eastAsia" w:ascii="宋体" w:hAnsi="宋体" w:cs="宋体"/>
                <w:sz w:val="22"/>
                <w:szCs w:val="22"/>
              </w:rPr>
              <w:t>采购人与中标人应当在《中标通知书》发出之日起30日内签订政府采购合同。同时，采购代理机构对合同内容进行审查，如发现与采购结果和投标承诺内容不一致的，应予以纠正。中标人拖延、拒签合同的</w:t>
            </w:r>
            <w:r>
              <w:rPr>
                <w:rFonts w:hint="eastAsia" w:ascii="宋体" w:hAnsi="宋体" w:cs="宋体"/>
                <w:sz w:val="22"/>
                <w:szCs w:val="22"/>
                <w:lang w:eastAsia="zh-CN"/>
              </w:rPr>
              <w:t>，</w:t>
            </w:r>
            <w:r>
              <w:rPr>
                <w:rFonts w:hint="eastAsia" w:ascii="宋体" w:hAnsi="宋体" w:cs="宋体"/>
                <w:sz w:val="22"/>
                <w:szCs w:val="22"/>
              </w:rPr>
              <w:t>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16</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供应商注册事项</w:t>
            </w:r>
          </w:p>
        </w:tc>
        <w:tc>
          <w:tcPr>
            <w:tcW w:w="6122" w:type="dxa"/>
            <w:gridSpan w:val="2"/>
            <w:tcBorders>
              <w:tl2br w:val="nil"/>
              <w:tr2bl w:val="nil"/>
            </w:tcBorders>
            <w:vAlign w:val="center"/>
          </w:tcPr>
          <w:p>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17</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履约保证金</w:t>
            </w:r>
          </w:p>
        </w:tc>
        <w:tc>
          <w:tcPr>
            <w:tcW w:w="6122" w:type="dxa"/>
            <w:gridSpan w:val="2"/>
            <w:tcBorders>
              <w:tl2br w:val="nil"/>
              <w:tr2bl w:val="nil"/>
            </w:tcBorders>
            <w:vAlign w:val="center"/>
          </w:tcPr>
          <w:p>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1.金额：</w:t>
            </w:r>
            <w:r>
              <w:rPr>
                <w:rFonts w:hint="eastAsia" w:ascii="宋体" w:hAnsi="宋体" w:eastAsia="宋体" w:cs="宋体"/>
                <w:sz w:val="22"/>
                <w:szCs w:val="22"/>
                <w:lang w:eastAsia="zh-CN"/>
              </w:rPr>
              <w:t>签约合同价</w:t>
            </w:r>
            <w:r>
              <w:rPr>
                <w:rFonts w:hint="eastAsia" w:ascii="宋体" w:hAnsi="宋体" w:eastAsia="宋体" w:cs="宋体"/>
                <w:sz w:val="22"/>
                <w:szCs w:val="22"/>
              </w:rPr>
              <w:t>的</w:t>
            </w:r>
            <w:r>
              <w:rPr>
                <w:rFonts w:hint="eastAsia" w:ascii="宋体" w:hAnsi="宋体" w:eastAsia="宋体" w:cs="宋体"/>
                <w:sz w:val="22"/>
                <w:szCs w:val="22"/>
                <w:lang w:val="en-US" w:eastAsia="zh-CN"/>
              </w:rPr>
              <w:t>2.5</w:t>
            </w:r>
            <w:r>
              <w:rPr>
                <w:rFonts w:hint="eastAsia" w:ascii="宋体" w:hAnsi="宋体" w:eastAsia="宋体" w:cs="宋体"/>
                <w:sz w:val="22"/>
                <w:szCs w:val="22"/>
              </w:rPr>
              <w:t>%；</w:t>
            </w:r>
          </w:p>
          <w:p>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2.收取方式：网银、电汇、转账支付等方式；</w:t>
            </w:r>
          </w:p>
          <w:p>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履约保证金的退还：详见合同条款</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18</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代理服务费</w:t>
            </w:r>
          </w:p>
        </w:tc>
        <w:tc>
          <w:tcPr>
            <w:tcW w:w="6122" w:type="dxa"/>
            <w:gridSpan w:val="2"/>
            <w:tcBorders>
              <w:tl2br w:val="nil"/>
              <w:tr2bl w:val="nil"/>
            </w:tcBorders>
            <w:vAlign w:val="center"/>
          </w:tcPr>
          <w:p>
            <w:pPr>
              <w:rPr>
                <w:rFonts w:ascii="宋体" w:hAnsi="宋体" w:cs="宋体"/>
                <w:sz w:val="22"/>
                <w:szCs w:val="22"/>
              </w:rPr>
            </w:pPr>
            <w:r>
              <w:rPr>
                <w:rFonts w:hint="eastAsia" w:ascii="宋体" w:hAnsi="宋体" w:cs="宋体"/>
                <w:sz w:val="22"/>
                <w:szCs w:val="22"/>
              </w:rPr>
              <w:t>1.收取方式：本项目采购代理服务费按国家计委计价〔2002〕1980号文的收费标准（见附表）计取；采购代理服务费须包含在总报价中，由采购代理机构在签发中标通知书时向中标单位收取；本项目按服务招标类型收费，不足壹万元按壹万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19</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现场组织实施</w:t>
            </w:r>
          </w:p>
        </w:tc>
        <w:tc>
          <w:tcPr>
            <w:tcW w:w="6122" w:type="dxa"/>
            <w:gridSpan w:val="2"/>
            <w:tcBorders>
              <w:tl2br w:val="nil"/>
              <w:tr2bl w:val="nil"/>
            </w:tcBorders>
            <w:vAlign w:val="center"/>
          </w:tcPr>
          <w:p>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20</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解释权</w:t>
            </w:r>
          </w:p>
        </w:tc>
        <w:tc>
          <w:tcPr>
            <w:tcW w:w="6122" w:type="dxa"/>
            <w:gridSpan w:val="2"/>
            <w:tcBorders>
              <w:tl2br w:val="nil"/>
              <w:tr2bl w:val="nil"/>
            </w:tcBorders>
            <w:vAlign w:val="center"/>
          </w:tcPr>
          <w:p>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21</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其他说明</w:t>
            </w:r>
          </w:p>
        </w:tc>
        <w:tc>
          <w:tcPr>
            <w:tcW w:w="6122" w:type="dxa"/>
            <w:gridSpan w:val="2"/>
            <w:tcBorders>
              <w:tl2br w:val="nil"/>
              <w:tr2bl w:val="nil"/>
            </w:tcBorders>
            <w:vAlign w:val="center"/>
          </w:tcPr>
          <w:p>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22</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注意事项</w:t>
            </w:r>
          </w:p>
        </w:tc>
        <w:tc>
          <w:tcPr>
            <w:tcW w:w="6122" w:type="dxa"/>
            <w:gridSpan w:val="2"/>
            <w:tcBorders>
              <w:tl2br w:val="nil"/>
              <w:tr2bl w:val="nil"/>
            </w:tcBorders>
            <w:vAlign w:val="center"/>
          </w:tcPr>
          <w:p>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投标人应严格按照招标文件及补充文件的规定和要求编制投标文件。在编制投标文件过程中</w:t>
            </w:r>
            <w:r>
              <w:rPr>
                <w:rFonts w:hint="eastAsia" w:ascii="宋体" w:hAnsi="宋体" w:eastAsia="宋体" w:cs="宋体"/>
                <w:sz w:val="22"/>
                <w:szCs w:val="22"/>
                <w:lang w:eastAsia="zh-CN"/>
              </w:rPr>
              <w:t>，</w:t>
            </w:r>
            <w:r>
              <w:rPr>
                <w:rFonts w:hint="eastAsia" w:ascii="宋体" w:hAnsi="宋体" w:eastAsia="宋体" w:cs="宋体"/>
                <w:sz w:val="22"/>
                <w:szCs w:val="22"/>
              </w:rPr>
              <w:t>应严格遵循实事求是、诚信投标的原则</w:t>
            </w:r>
            <w:r>
              <w:rPr>
                <w:rFonts w:hint="eastAsia" w:ascii="宋体" w:hAnsi="宋体" w:eastAsia="宋体" w:cs="宋体"/>
                <w:sz w:val="22"/>
                <w:szCs w:val="22"/>
                <w:lang w:eastAsia="zh-CN"/>
              </w:rPr>
              <w:t>，</w:t>
            </w:r>
            <w:r>
              <w:rPr>
                <w:rFonts w:hint="eastAsia" w:ascii="宋体" w:hAnsi="宋体" w:eastAsia="宋体" w:cs="宋体"/>
                <w:sz w:val="22"/>
                <w:szCs w:val="22"/>
              </w:rPr>
              <w:t>如有偏离</w:t>
            </w:r>
            <w:r>
              <w:rPr>
                <w:rFonts w:hint="eastAsia" w:ascii="宋体" w:hAnsi="宋体" w:eastAsia="宋体" w:cs="宋体"/>
                <w:sz w:val="22"/>
                <w:szCs w:val="22"/>
                <w:lang w:eastAsia="zh-CN"/>
              </w:rPr>
              <w:t>，</w:t>
            </w:r>
            <w:r>
              <w:rPr>
                <w:rFonts w:hint="eastAsia" w:ascii="宋体" w:hAnsi="宋体" w:eastAsia="宋体" w:cs="宋体"/>
                <w:sz w:val="22"/>
                <w:szCs w:val="22"/>
              </w:rPr>
              <w:t>应如实填写响应偏离。</w:t>
            </w:r>
          </w:p>
          <w:p>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如果发现本招标文件中存在歧视性不公正条款或违法违规等内容时</w:t>
            </w:r>
            <w:r>
              <w:rPr>
                <w:rFonts w:hint="eastAsia" w:ascii="宋体" w:hAnsi="宋体" w:eastAsia="宋体" w:cs="宋体"/>
                <w:sz w:val="22"/>
                <w:szCs w:val="22"/>
                <w:lang w:eastAsia="zh-CN"/>
              </w:rPr>
              <w:t>，</w:t>
            </w:r>
            <w:r>
              <w:rPr>
                <w:rFonts w:hint="eastAsia" w:ascii="宋体" w:hAnsi="宋体" w:eastAsia="宋体" w:cs="宋体"/>
                <w:sz w:val="22"/>
                <w:szCs w:val="22"/>
              </w:rPr>
              <w:t>请投标人在获取招标文件后</w:t>
            </w:r>
            <w:r>
              <w:rPr>
                <w:rFonts w:hint="eastAsia" w:ascii="宋体" w:hAnsi="宋体" w:eastAsia="宋体" w:cs="宋体"/>
                <w:sz w:val="22"/>
                <w:szCs w:val="22"/>
                <w:lang w:eastAsia="zh-CN"/>
              </w:rPr>
              <w:t>，</w:t>
            </w:r>
            <w:r>
              <w:rPr>
                <w:rFonts w:hint="eastAsia" w:ascii="宋体" w:hAnsi="宋体" w:eastAsia="宋体" w:cs="宋体"/>
                <w:sz w:val="22"/>
                <w:szCs w:val="22"/>
              </w:rPr>
              <w:t>在招标文件的质疑有效期内及时书面提出。</w:t>
            </w:r>
          </w:p>
          <w:p>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采购结果公告期间</w:t>
            </w:r>
            <w:r>
              <w:rPr>
                <w:rFonts w:hint="eastAsia" w:ascii="宋体" w:hAnsi="宋体" w:eastAsia="宋体" w:cs="宋体"/>
                <w:sz w:val="22"/>
                <w:szCs w:val="22"/>
                <w:lang w:eastAsia="zh-CN"/>
              </w:rPr>
              <w:t>，</w:t>
            </w:r>
            <w:r>
              <w:rPr>
                <w:rFonts w:hint="eastAsia" w:ascii="宋体" w:hAnsi="宋体" w:eastAsia="宋体" w:cs="宋体"/>
                <w:sz w:val="22"/>
                <w:szCs w:val="22"/>
              </w:rPr>
              <w:t>投标人不得通过非正当途径获取法律法规规定评标委员会</w:t>
            </w:r>
            <w:r>
              <w:rPr>
                <w:rFonts w:hint="eastAsia" w:ascii="宋体" w:hAnsi="宋体" w:eastAsia="宋体" w:cs="宋体"/>
                <w:sz w:val="22"/>
                <w:szCs w:val="22"/>
                <w:lang w:eastAsia="zh-CN"/>
              </w:rPr>
              <w:t>（</w:t>
            </w:r>
            <w:r>
              <w:rPr>
                <w:rFonts w:hint="eastAsia" w:ascii="宋体" w:hAnsi="宋体" w:eastAsia="宋体" w:cs="宋体"/>
                <w:sz w:val="22"/>
                <w:szCs w:val="22"/>
              </w:rPr>
              <w:t>包括其他相关人员</w:t>
            </w:r>
            <w:r>
              <w:rPr>
                <w:rFonts w:hint="eastAsia" w:ascii="宋体" w:hAnsi="宋体" w:eastAsia="宋体" w:cs="宋体"/>
                <w:sz w:val="22"/>
                <w:szCs w:val="22"/>
                <w:lang w:eastAsia="zh-CN"/>
              </w:rPr>
              <w:t>）</w:t>
            </w:r>
            <w:r>
              <w:rPr>
                <w:rFonts w:hint="eastAsia" w:ascii="宋体" w:hAnsi="宋体" w:eastAsia="宋体" w:cs="宋体"/>
                <w:sz w:val="22"/>
                <w:szCs w:val="22"/>
              </w:rPr>
              <w:t>应当保密的相关内容。</w:t>
            </w:r>
          </w:p>
        </w:tc>
      </w:tr>
    </w:tbl>
    <w:p>
      <w:pPr>
        <w:rPr>
          <w:rFonts w:hAnsi="宋体"/>
          <w:b/>
          <w:bCs/>
          <w:sz w:val="28"/>
          <w:szCs w:val="28"/>
        </w:rPr>
      </w:pPr>
      <w:r>
        <w:rPr>
          <w:rFonts w:hint="eastAsia" w:hAnsi="宋体"/>
          <w:b/>
          <w:bCs/>
          <w:sz w:val="28"/>
          <w:szCs w:val="28"/>
        </w:rPr>
        <w:br w:type="page"/>
      </w:r>
    </w:p>
    <w:p>
      <w:pPr>
        <w:pStyle w:val="11"/>
        <w:snapToGrid w:val="0"/>
        <w:spacing w:line="440" w:lineRule="exact"/>
        <w:jc w:val="center"/>
        <w:rPr>
          <w:rFonts w:hAnsi="宋体" w:cs="Times New Roman"/>
          <w:b/>
          <w:bCs/>
          <w:sz w:val="28"/>
          <w:szCs w:val="28"/>
        </w:rPr>
      </w:pPr>
      <w:r>
        <w:rPr>
          <w:rFonts w:hint="eastAsia" w:hAnsi="宋体"/>
          <w:b/>
          <w:bCs/>
          <w:sz w:val="28"/>
          <w:szCs w:val="28"/>
        </w:rPr>
        <w:t>一、总则</w:t>
      </w:r>
    </w:p>
    <w:p>
      <w:pPr>
        <w:snapToGrid w:val="0"/>
        <w:spacing w:line="440" w:lineRule="exact"/>
        <w:ind w:firstLine="480" w:firstLineChars="200"/>
        <w:jc w:val="left"/>
        <w:outlineLvl w:val="1"/>
        <w:rPr>
          <w:rFonts w:ascii="宋体" w:cs="宋体"/>
          <w:b/>
          <w:bCs/>
          <w:sz w:val="24"/>
          <w:szCs w:val="24"/>
        </w:rPr>
      </w:pPr>
      <w:r>
        <w:rPr>
          <w:rFonts w:hint="eastAsia" w:ascii="宋体" w:hAnsi="宋体" w:cs="宋体"/>
          <w:b/>
          <w:bCs/>
          <w:sz w:val="24"/>
          <w:szCs w:val="24"/>
        </w:rPr>
        <w:t>（一）适用范围</w:t>
      </w:r>
    </w:p>
    <w:p>
      <w:pPr>
        <w:snapToGrid w:val="0"/>
        <w:spacing w:line="440" w:lineRule="exact"/>
        <w:ind w:firstLine="480" w:firstLineChars="20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pPr>
        <w:snapToGrid w:val="0"/>
        <w:spacing w:line="440" w:lineRule="exact"/>
        <w:ind w:firstLine="480" w:firstLineChars="200"/>
        <w:jc w:val="left"/>
        <w:outlineLvl w:val="1"/>
        <w:rPr>
          <w:rFonts w:ascii="宋体" w:cs="宋体"/>
          <w:b/>
          <w:bCs/>
          <w:sz w:val="24"/>
          <w:szCs w:val="24"/>
        </w:rPr>
      </w:pPr>
      <w:r>
        <w:rPr>
          <w:rFonts w:hint="eastAsia" w:ascii="宋体" w:hAnsi="宋体" w:cs="宋体"/>
          <w:b/>
          <w:bCs/>
          <w:sz w:val="24"/>
          <w:szCs w:val="24"/>
        </w:rPr>
        <w:t>（二）定义</w:t>
      </w:r>
    </w:p>
    <w:p>
      <w:pPr>
        <w:snapToGrid w:val="0"/>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、采购人：是指温岭市新河镇人民政府。</w:t>
      </w:r>
    </w:p>
    <w:p>
      <w:pPr>
        <w:snapToGrid w:val="0"/>
        <w:spacing w:line="440" w:lineRule="exact"/>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pPr>
        <w:snapToGrid w:val="0"/>
        <w:spacing w:line="440" w:lineRule="exact"/>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pPr>
        <w:snapToGrid w:val="0"/>
        <w:spacing w:line="440" w:lineRule="exact"/>
        <w:ind w:firstLine="480" w:firstLineChars="200"/>
        <w:jc w:val="left"/>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pPr>
        <w:snapToGrid w:val="0"/>
        <w:spacing w:line="440" w:lineRule="exact"/>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pPr>
        <w:snapToGrid w:val="0"/>
        <w:spacing w:line="440" w:lineRule="exact"/>
        <w:ind w:firstLine="480" w:firstLineChars="200"/>
        <w:jc w:val="left"/>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pPr>
        <w:snapToGrid w:val="0"/>
        <w:spacing w:line="440" w:lineRule="exact"/>
        <w:ind w:firstLine="480" w:firstLineChars="200"/>
        <w:jc w:val="left"/>
        <w:outlineLvl w:val="1"/>
        <w:rPr>
          <w:rFonts w:ascii="宋体" w:cs="宋体"/>
          <w:b/>
          <w:bCs/>
          <w:sz w:val="24"/>
          <w:szCs w:val="24"/>
        </w:rPr>
      </w:pPr>
      <w:r>
        <w:rPr>
          <w:rFonts w:hint="eastAsia" w:ascii="宋体" w:hAnsi="宋体" w:cs="宋体"/>
          <w:b/>
          <w:bCs/>
          <w:sz w:val="24"/>
          <w:szCs w:val="24"/>
        </w:rPr>
        <w:t>（三）投标费用</w:t>
      </w:r>
    </w:p>
    <w:p>
      <w:pPr>
        <w:widowControl/>
        <w:snapToGrid w:val="0"/>
        <w:spacing w:line="440" w:lineRule="exact"/>
        <w:ind w:firstLine="480" w:firstLineChars="200"/>
        <w:jc w:val="left"/>
        <w:rPr>
          <w:rFonts w:ascii="宋体" w:hAnsi="宋体" w:cs="宋体"/>
          <w:sz w:val="24"/>
        </w:rPr>
      </w:pPr>
      <w:r>
        <w:rPr>
          <w:rFonts w:hint="eastAsia" w:ascii="宋体" w:hAnsi="宋体" w:cs="宋体"/>
          <w:kern w:val="0"/>
          <w:sz w:val="24"/>
        </w:rPr>
        <w:t>4.1</w:t>
      </w:r>
      <w:r>
        <w:rPr>
          <w:rFonts w:hint="eastAsia" w:ascii="宋体" w:hAnsi="宋体" w:cs="宋体"/>
          <w:sz w:val="24"/>
          <w:szCs w:val="24"/>
        </w:rPr>
        <w:t>不论投标结果如何，投标人均应自行承担所有与投标有关的全部费用（招标文件有相关规定除外）。</w:t>
      </w:r>
    </w:p>
    <w:p>
      <w:pPr>
        <w:widowControl/>
        <w:snapToGrid w:val="0"/>
        <w:spacing w:line="440" w:lineRule="exact"/>
        <w:ind w:firstLine="480" w:firstLineChars="200"/>
        <w:jc w:val="left"/>
        <w:rPr>
          <w:rFonts w:hAnsi="宋体" w:cs="仿宋_GB2312"/>
          <w:b/>
          <w:bCs/>
          <w:sz w:val="24"/>
          <w:u w:val="single"/>
        </w:rPr>
      </w:pPr>
      <w:r>
        <w:rPr>
          <w:rFonts w:hint="eastAsia" w:ascii="宋体" w:hAnsi="宋体" w:cs="宋体"/>
          <w:kern w:val="0"/>
          <w:sz w:val="24"/>
        </w:rPr>
        <w:t>4.2</w:t>
      </w:r>
      <w:r>
        <w:rPr>
          <w:rFonts w:hint="eastAsia" w:hAnsi="宋体" w:cs="仿宋_GB2312"/>
          <w:b/>
          <w:bCs/>
          <w:sz w:val="24"/>
          <w:u w:val="single"/>
        </w:rPr>
        <w:t>本项目采购代理服务费按国家计委计价〔2002〕1980号文的收费标准（见附表）计取；采购代理服务费须包含在总报价中，由采购代理机构在签发中标通知书时向中标单位收取；本项目按服务招标类型收费，不足壹万元按壹万元计取。</w:t>
      </w:r>
    </w:p>
    <w:p>
      <w:pPr>
        <w:jc w:val="center"/>
        <w:rPr>
          <w:rFonts w:hAnsi="宋体" w:cs="仿宋_GB2312"/>
          <w:b/>
          <w:bCs/>
          <w:sz w:val="24"/>
        </w:rPr>
      </w:pPr>
      <w:r>
        <w:rPr>
          <w:b/>
          <w:sz w:val="22"/>
          <w:szCs w:val="22"/>
        </w:rPr>
        <w:pict>
          <v:line id="_x0000_s2052" o:spid="_x0000_s2052" o:spt="20" style="position:absolute;left:0pt;flip:x y;margin-left:54.1pt;margin-top:15.1pt;height:64.7pt;width:71.25pt;z-index:251662336;mso-width-relative:page;mso-height-relative:page;"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&#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7dce9UAAAAKAQAADwAAAAAAAAABACAAAAAiAAAA&#10;ZHJzL2Rvd25yZXYueG1sUEsBAhQAFAAAAAgAh07iQFdMEScKAgAADAQAAA4AAAAAAAAAAQAgAAAA&#10;JAEAAGRycy9lMm9Eb2MueG1sUEsFBgAAAAAGAAYAWQEAAKAFAAAAAA==&#10;">
            <v:path arrowok="t"/>
            <v:fill focussize="0,0"/>
            <v:stroke/>
            <v:imagedata o:title=""/>
            <o:lock v:ext="edit"/>
          </v:line>
        </w:pict>
      </w:r>
      <w:r>
        <w:rPr>
          <w:rFonts w:hint="eastAsia" w:hAnsi="宋体" w:cs="仿宋_GB2312"/>
          <w:b/>
          <w:bCs/>
          <w:sz w:val="24"/>
        </w:rPr>
        <w:t>附表：招标代理服务收费标准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540" w:firstLineChars="700"/>
              <w:rPr>
                <w:b/>
                <w:sz w:val="22"/>
                <w:szCs w:val="22"/>
              </w:rPr>
            </w:pPr>
            <w:r>
              <w:rPr>
                <w:b/>
                <w:sz w:val="22"/>
                <w:szCs w:val="22"/>
              </w:rPr>
              <w:pict>
                <v:line id="_x0000_s2051" o:spid="_x0000_s2051" o:spt="20" style="position:absolute;left:0pt;flip:x y;margin-left:-6.65pt;margin-top:5.2pt;height:57.45pt;width:129.75pt;z-index:251661312;mso-width-relative:page;mso-height-relative:page;"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n2rT1QAAAAoBAAAPAAAAAAAAAAEAIAAAACIA&#10;AABkcnMvZG93bnJldi54bWxQSwECFAAUAAAACACHTuJAPwbwVQwCAAANBAAADgAAAAAAAAABACAA&#10;AAAkAQAAZHJzL2Uyb0RvYy54bWxQSwUGAAAAAAYABgBZAQAAogUAAAAA&#10;">
                  <v:path arrowok="t"/>
                  <v:fill focussize="0,0"/>
                  <v:stroke/>
                  <v:imagedata o:title=""/>
                  <o:lock v:ext="edit"/>
                </v:line>
              </w:pict>
            </w:r>
            <w:r>
              <w:rPr>
                <w:b/>
                <w:sz w:val="22"/>
                <w:szCs w:val="22"/>
              </w:rPr>
              <w:pict>
                <v:line id="_x0000_s2050" o:spid="_x0000_s2050" o:spt="20" style="position:absolute;left:0pt;margin-left:-9pt;margin-top:-0.5pt;height:0pt;width:0.05pt;z-index:251660288;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epCTfc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dnw+ZwzB5Zu/Pbz&#10;j1+fvt79/ELr7fdvjDwk0xCwpuhrt47HHYZ1zJz3bbT5T2zYvkh7OEmr9okJOrx8fsGZuD+v/iSF&#10;iOm18pZlo+FGu8wYati9wUSFKPQ+JB8bx4aGv7yYZzig8Wvp2sm0gSig60oueqPljTYmZ2DsNtcm&#10;sh3kEShfpkO4f4XlIivAfowrrnE4egXylZMsHQJp4+hN8NyCVZIzo+gJZYsAoU6gzTmRVNq4nKDK&#10;gB55Zn1HRbO18fJAF7MNUXc96TIrPWcPDULp/ji0edIe7sl++FC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kdN+1QAAAAkBAAAPAAAAAAAAAAEAIAAAACIAAABkcnMvZG93bnJldi54bWxQSwEC&#10;FAAUAAAACACHTuJA5epCTfcBAADwAwAADgAAAAAAAAABACAAAAAkAQAAZHJzL2Uyb0RvYy54bWxQ&#10;SwUGAAAAAAYABgBZAQAAjQUAAAAA&#10;">
                  <v:path arrowok="t"/>
                  <v:fill focussize="0,0"/>
                  <v:stroke/>
                  <v:imagedata o:title=""/>
                  <o:lock v:ext="edit"/>
                </v:line>
              </w:pict>
            </w:r>
            <w:r>
              <w:rPr>
                <w:rFonts w:hint="eastAsia"/>
                <w:b/>
                <w:sz w:val="22"/>
                <w:szCs w:val="22"/>
              </w:rPr>
              <w:t>服务</w:t>
            </w:r>
          </w:p>
          <w:p>
            <w:pPr>
              <w:ind w:firstLine="1100" w:firstLineChars="500"/>
              <w:rPr>
                <w:b/>
                <w:sz w:val="22"/>
                <w:szCs w:val="22"/>
              </w:rPr>
            </w:pPr>
            <w:r>
              <w:rPr>
                <w:rFonts w:hint="eastAsia"/>
                <w:b/>
                <w:sz w:val="22"/>
                <w:szCs w:val="22"/>
              </w:rPr>
              <w:t>费　　类型</w:t>
            </w:r>
          </w:p>
          <w:p>
            <w:pPr>
              <w:ind w:firstLine="1540" w:firstLineChars="700"/>
              <w:rPr>
                <w:b/>
                <w:sz w:val="22"/>
                <w:szCs w:val="22"/>
              </w:rPr>
            </w:pPr>
            <w:r>
              <w:rPr>
                <w:rFonts w:hint="eastAsia"/>
                <w:b/>
                <w:sz w:val="22"/>
                <w:szCs w:val="22"/>
              </w:rPr>
              <w:t>率</w:t>
            </w:r>
          </w:p>
          <w:p>
            <w:pPr>
              <w:rPr>
                <w:b/>
                <w:sz w:val="22"/>
                <w:szCs w:val="22"/>
              </w:rPr>
            </w:pPr>
            <w:r>
              <w:rPr>
                <w:rFonts w:hint="eastAsia"/>
                <w:b/>
                <w:sz w:val="22"/>
                <w:szCs w:val="22"/>
              </w:rPr>
              <w:t>中标金额（万元）</w:t>
            </w:r>
          </w:p>
        </w:tc>
        <w:tc>
          <w:tcPr>
            <w:tcW w:w="2067" w:type="dxa"/>
            <w:vAlign w:val="center"/>
          </w:tcPr>
          <w:p>
            <w:pPr>
              <w:jc w:val="center"/>
              <w:rPr>
                <w:b/>
                <w:sz w:val="22"/>
                <w:szCs w:val="22"/>
              </w:rPr>
            </w:pPr>
            <w:r>
              <w:rPr>
                <w:rFonts w:hint="eastAsia"/>
                <w:b/>
                <w:sz w:val="22"/>
                <w:szCs w:val="22"/>
              </w:rPr>
              <w:t>货物招标</w:t>
            </w:r>
          </w:p>
        </w:tc>
        <w:tc>
          <w:tcPr>
            <w:tcW w:w="2067" w:type="dxa"/>
            <w:vAlign w:val="center"/>
          </w:tcPr>
          <w:p>
            <w:pPr>
              <w:jc w:val="center"/>
              <w:rPr>
                <w:b/>
                <w:sz w:val="22"/>
                <w:szCs w:val="22"/>
              </w:rPr>
            </w:pPr>
            <w:r>
              <w:rPr>
                <w:rFonts w:hint="eastAsia"/>
                <w:b/>
                <w:sz w:val="22"/>
                <w:szCs w:val="22"/>
              </w:rPr>
              <w:t>服务招标</w:t>
            </w:r>
          </w:p>
        </w:tc>
        <w:tc>
          <w:tcPr>
            <w:tcW w:w="2067" w:type="dxa"/>
            <w:vAlign w:val="center"/>
          </w:tcPr>
          <w:p>
            <w:pPr>
              <w:jc w:val="center"/>
              <w:rPr>
                <w:b/>
                <w:sz w:val="22"/>
                <w:szCs w:val="22"/>
              </w:rPr>
            </w:pPr>
            <w:r>
              <w:rPr>
                <w:rFonts w:hint="eastAsia"/>
                <w:b/>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100以下</w:t>
            </w:r>
          </w:p>
        </w:tc>
        <w:tc>
          <w:tcPr>
            <w:tcW w:w="2067" w:type="dxa"/>
          </w:tcPr>
          <w:p>
            <w:pPr>
              <w:jc w:val="center"/>
              <w:rPr>
                <w:sz w:val="22"/>
                <w:szCs w:val="22"/>
              </w:rPr>
            </w:pPr>
            <w:r>
              <w:rPr>
                <w:rFonts w:hint="eastAsia"/>
                <w:sz w:val="22"/>
                <w:szCs w:val="22"/>
              </w:rPr>
              <w:t>1.5%</w:t>
            </w:r>
          </w:p>
        </w:tc>
        <w:tc>
          <w:tcPr>
            <w:tcW w:w="2067" w:type="dxa"/>
          </w:tcPr>
          <w:p>
            <w:pPr>
              <w:jc w:val="center"/>
              <w:rPr>
                <w:sz w:val="22"/>
                <w:szCs w:val="22"/>
              </w:rPr>
            </w:pPr>
            <w:r>
              <w:rPr>
                <w:rFonts w:hint="eastAsia"/>
                <w:sz w:val="22"/>
                <w:szCs w:val="22"/>
              </w:rPr>
              <w:t>1.5%</w:t>
            </w:r>
          </w:p>
        </w:tc>
        <w:tc>
          <w:tcPr>
            <w:tcW w:w="2067" w:type="dxa"/>
          </w:tcPr>
          <w:p>
            <w:pPr>
              <w:jc w:val="center"/>
              <w:rPr>
                <w:sz w:val="22"/>
                <w:szCs w:val="22"/>
              </w:rPr>
            </w:pPr>
            <w:r>
              <w:rPr>
                <w:rFonts w:hint="eastAsia"/>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100-500</w:t>
            </w:r>
          </w:p>
        </w:tc>
        <w:tc>
          <w:tcPr>
            <w:tcW w:w="2067" w:type="dxa"/>
          </w:tcPr>
          <w:p>
            <w:pPr>
              <w:jc w:val="center"/>
              <w:rPr>
                <w:sz w:val="22"/>
                <w:szCs w:val="22"/>
              </w:rPr>
            </w:pPr>
            <w:r>
              <w:rPr>
                <w:rFonts w:hint="eastAsia"/>
                <w:sz w:val="22"/>
                <w:szCs w:val="22"/>
              </w:rPr>
              <w:t>1.1%</w:t>
            </w:r>
          </w:p>
        </w:tc>
        <w:tc>
          <w:tcPr>
            <w:tcW w:w="2067" w:type="dxa"/>
          </w:tcPr>
          <w:p>
            <w:pPr>
              <w:jc w:val="center"/>
              <w:rPr>
                <w:sz w:val="22"/>
                <w:szCs w:val="22"/>
              </w:rPr>
            </w:pPr>
            <w:r>
              <w:rPr>
                <w:rFonts w:hint="eastAsia"/>
                <w:sz w:val="22"/>
                <w:szCs w:val="22"/>
              </w:rPr>
              <w:t>0.8%</w:t>
            </w:r>
          </w:p>
        </w:tc>
        <w:tc>
          <w:tcPr>
            <w:tcW w:w="2067" w:type="dxa"/>
          </w:tcPr>
          <w:p>
            <w:pPr>
              <w:jc w:val="center"/>
              <w:rPr>
                <w:sz w:val="22"/>
                <w:szCs w:val="22"/>
              </w:rPr>
            </w:pPr>
            <w:r>
              <w:rPr>
                <w:rFonts w:hint="eastAsia"/>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500-1000</w:t>
            </w:r>
          </w:p>
        </w:tc>
        <w:tc>
          <w:tcPr>
            <w:tcW w:w="2067" w:type="dxa"/>
          </w:tcPr>
          <w:p>
            <w:pPr>
              <w:jc w:val="center"/>
              <w:rPr>
                <w:sz w:val="22"/>
                <w:szCs w:val="22"/>
              </w:rPr>
            </w:pPr>
            <w:r>
              <w:rPr>
                <w:rFonts w:hint="eastAsia"/>
                <w:sz w:val="22"/>
                <w:szCs w:val="22"/>
              </w:rPr>
              <w:t>0.8%</w:t>
            </w:r>
          </w:p>
        </w:tc>
        <w:tc>
          <w:tcPr>
            <w:tcW w:w="2067" w:type="dxa"/>
          </w:tcPr>
          <w:p>
            <w:pPr>
              <w:jc w:val="center"/>
              <w:rPr>
                <w:sz w:val="22"/>
                <w:szCs w:val="22"/>
              </w:rPr>
            </w:pPr>
            <w:r>
              <w:rPr>
                <w:rFonts w:hint="eastAsia"/>
                <w:sz w:val="22"/>
                <w:szCs w:val="22"/>
              </w:rPr>
              <w:t>0.45%</w:t>
            </w:r>
          </w:p>
        </w:tc>
        <w:tc>
          <w:tcPr>
            <w:tcW w:w="2067" w:type="dxa"/>
          </w:tcPr>
          <w:p>
            <w:pPr>
              <w:jc w:val="center"/>
              <w:rPr>
                <w:sz w:val="22"/>
                <w:szCs w:val="22"/>
              </w:rPr>
            </w:pPr>
            <w:r>
              <w:rPr>
                <w:rFonts w:hint="eastAsia"/>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1000-5000</w:t>
            </w:r>
          </w:p>
        </w:tc>
        <w:tc>
          <w:tcPr>
            <w:tcW w:w="2067" w:type="dxa"/>
          </w:tcPr>
          <w:p>
            <w:pPr>
              <w:jc w:val="center"/>
              <w:rPr>
                <w:sz w:val="22"/>
                <w:szCs w:val="22"/>
              </w:rPr>
            </w:pPr>
            <w:r>
              <w:rPr>
                <w:rFonts w:hint="eastAsia"/>
                <w:sz w:val="22"/>
                <w:szCs w:val="22"/>
              </w:rPr>
              <w:t>0.5%</w:t>
            </w:r>
          </w:p>
        </w:tc>
        <w:tc>
          <w:tcPr>
            <w:tcW w:w="2067" w:type="dxa"/>
          </w:tcPr>
          <w:p>
            <w:pPr>
              <w:jc w:val="center"/>
              <w:rPr>
                <w:sz w:val="22"/>
                <w:szCs w:val="22"/>
              </w:rPr>
            </w:pPr>
            <w:r>
              <w:rPr>
                <w:rFonts w:hint="eastAsia"/>
                <w:sz w:val="22"/>
                <w:szCs w:val="22"/>
              </w:rPr>
              <w:t>0.25%</w:t>
            </w:r>
          </w:p>
        </w:tc>
        <w:tc>
          <w:tcPr>
            <w:tcW w:w="2067" w:type="dxa"/>
          </w:tcPr>
          <w:p>
            <w:pPr>
              <w:jc w:val="center"/>
              <w:rPr>
                <w:sz w:val="22"/>
                <w:szCs w:val="22"/>
              </w:rPr>
            </w:pPr>
            <w:r>
              <w:rPr>
                <w:rFonts w:hint="eastAsia"/>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5000-10000</w:t>
            </w:r>
          </w:p>
        </w:tc>
        <w:tc>
          <w:tcPr>
            <w:tcW w:w="2067" w:type="dxa"/>
          </w:tcPr>
          <w:p>
            <w:pPr>
              <w:jc w:val="center"/>
              <w:rPr>
                <w:sz w:val="22"/>
                <w:szCs w:val="22"/>
              </w:rPr>
            </w:pPr>
            <w:r>
              <w:rPr>
                <w:rFonts w:hint="eastAsia"/>
                <w:sz w:val="22"/>
                <w:szCs w:val="22"/>
              </w:rPr>
              <w:t>0.25%</w:t>
            </w:r>
          </w:p>
        </w:tc>
        <w:tc>
          <w:tcPr>
            <w:tcW w:w="2067" w:type="dxa"/>
          </w:tcPr>
          <w:p>
            <w:pPr>
              <w:jc w:val="center"/>
              <w:rPr>
                <w:sz w:val="22"/>
                <w:szCs w:val="22"/>
              </w:rPr>
            </w:pPr>
            <w:r>
              <w:rPr>
                <w:rFonts w:hint="eastAsia"/>
                <w:sz w:val="22"/>
                <w:szCs w:val="22"/>
              </w:rPr>
              <w:t>0.1%</w:t>
            </w:r>
          </w:p>
        </w:tc>
        <w:tc>
          <w:tcPr>
            <w:tcW w:w="2067" w:type="dxa"/>
          </w:tcPr>
          <w:p>
            <w:pPr>
              <w:jc w:val="center"/>
              <w:rPr>
                <w:sz w:val="22"/>
                <w:szCs w:val="22"/>
              </w:rPr>
            </w:pPr>
            <w:r>
              <w:rPr>
                <w:rFonts w:hint="eastAsia"/>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rFonts w:hint="eastAsia"/>
                <w:sz w:val="22"/>
                <w:szCs w:val="22"/>
              </w:rPr>
              <w:t>10000-100000</w:t>
            </w:r>
          </w:p>
        </w:tc>
        <w:tc>
          <w:tcPr>
            <w:tcW w:w="2067" w:type="dxa"/>
          </w:tcPr>
          <w:p>
            <w:pPr>
              <w:jc w:val="center"/>
              <w:rPr>
                <w:sz w:val="22"/>
                <w:szCs w:val="22"/>
              </w:rPr>
            </w:pPr>
            <w:r>
              <w:rPr>
                <w:rFonts w:hint="eastAsia"/>
                <w:sz w:val="22"/>
                <w:szCs w:val="22"/>
              </w:rPr>
              <w:t>0.05%</w:t>
            </w:r>
          </w:p>
        </w:tc>
        <w:tc>
          <w:tcPr>
            <w:tcW w:w="2067" w:type="dxa"/>
          </w:tcPr>
          <w:p>
            <w:pPr>
              <w:jc w:val="center"/>
              <w:rPr>
                <w:sz w:val="22"/>
                <w:szCs w:val="22"/>
              </w:rPr>
            </w:pPr>
            <w:r>
              <w:rPr>
                <w:rFonts w:hint="eastAsia"/>
                <w:sz w:val="22"/>
                <w:szCs w:val="22"/>
              </w:rPr>
              <w:t>0.05%</w:t>
            </w:r>
          </w:p>
        </w:tc>
        <w:tc>
          <w:tcPr>
            <w:tcW w:w="2067" w:type="dxa"/>
          </w:tcPr>
          <w:p>
            <w:pPr>
              <w:jc w:val="center"/>
              <w:rPr>
                <w:sz w:val="22"/>
                <w:szCs w:val="22"/>
              </w:rPr>
            </w:pPr>
            <w:r>
              <w:rPr>
                <w:rFonts w:hint="eastAsia"/>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sz w:val="22"/>
                <w:szCs w:val="22"/>
              </w:rPr>
            </w:pPr>
            <w:r>
              <w:rPr>
                <w:rFonts w:hint="eastAsia"/>
                <w:sz w:val="22"/>
                <w:szCs w:val="22"/>
              </w:rPr>
              <w:t>100000以上</w:t>
            </w:r>
          </w:p>
        </w:tc>
        <w:tc>
          <w:tcPr>
            <w:tcW w:w="2067" w:type="dxa"/>
          </w:tcPr>
          <w:p>
            <w:pPr>
              <w:jc w:val="center"/>
              <w:rPr>
                <w:sz w:val="22"/>
                <w:szCs w:val="22"/>
              </w:rPr>
            </w:pPr>
            <w:r>
              <w:rPr>
                <w:rFonts w:hint="eastAsia"/>
                <w:sz w:val="22"/>
                <w:szCs w:val="22"/>
              </w:rPr>
              <w:t>0.01%</w:t>
            </w:r>
          </w:p>
        </w:tc>
        <w:tc>
          <w:tcPr>
            <w:tcW w:w="2067" w:type="dxa"/>
          </w:tcPr>
          <w:p>
            <w:pPr>
              <w:jc w:val="center"/>
              <w:rPr>
                <w:sz w:val="22"/>
                <w:szCs w:val="22"/>
              </w:rPr>
            </w:pPr>
            <w:r>
              <w:rPr>
                <w:rFonts w:hint="eastAsia"/>
                <w:sz w:val="22"/>
                <w:szCs w:val="22"/>
              </w:rPr>
              <w:t>0.01%</w:t>
            </w:r>
          </w:p>
        </w:tc>
        <w:tc>
          <w:tcPr>
            <w:tcW w:w="2067" w:type="dxa"/>
          </w:tcPr>
          <w:p>
            <w:pPr>
              <w:jc w:val="center"/>
              <w:rPr>
                <w:sz w:val="22"/>
                <w:szCs w:val="22"/>
              </w:rPr>
            </w:pPr>
            <w:r>
              <w:rPr>
                <w:rFonts w:hint="eastAsia"/>
                <w:sz w:val="22"/>
                <w:szCs w:val="22"/>
              </w:rPr>
              <w:t>0.01%</w:t>
            </w:r>
          </w:p>
        </w:tc>
      </w:tr>
    </w:tbl>
    <w:p>
      <w:pPr>
        <w:pStyle w:val="11"/>
        <w:snapToGrid w:val="0"/>
        <w:spacing w:line="440" w:lineRule="exact"/>
        <w:ind w:firstLine="240" w:firstLineChars="100"/>
        <w:rPr>
          <w:rFonts w:hAnsi="宋体" w:cs="Times New Roman"/>
          <w:b/>
          <w:bCs/>
          <w:sz w:val="24"/>
          <w:szCs w:val="24"/>
        </w:rPr>
      </w:pPr>
      <w:r>
        <w:rPr>
          <w:rFonts w:hint="eastAsia" w:hAnsi="宋体"/>
          <w:b/>
          <w:bCs/>
          <w:sz w:val="24"/>
          <w:szCs w:val="24"/>
        </w:rPr>
        <w:t>（四）特别说明</w:t>
      </w:r>
    </w:p>
    <w:p>
      <w:pPr>
        <w:pStyle w:val="1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pPr>
        <w:pStyle w:val="38"/>
        <w:snapToGrid w:val="0"/>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hint="eastAsia" w:ascii="宋体" w:hAnsi="宋体" w:cs="宋体"/>
          <w:sz w:val="24"/>
          <w:szCs w:val="24"/>
          <w:lang w:eastAsia="zh-CN"/>
        </w:rPr>
        <w:t>，</w:t>
      </w:r>
      <w:r>
        <w:rPr>
          <w:rFonts w:hint="eastAsia" w:ascii="宋体" w:hAnsi="宋体" w:cs="宋体"/>
          <w:sz w:val="24"/>
          <w:szCs w:val="24"/>
        </w:rPr>
        <w:t>其投标无效，并报监管部门查处；中标后发现的</w:t>
      </w:r>
      <w:r>
        <w:rPr>
          <w:rFonts w:hint="eastAsia" w:ascii="宋体" w:hAnsi="宋体" w:cs="宋体"/>
          <w:sz w:val="24"/>
          <w:szCs w:val="24"/>
          <w:lang w:eastAsia="zh-CN"/>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w:t>
      </w:r>
      <w:r>
        <w:rPr>
          <w:rFonts w:hint="eastAsia" w:ascii="宋体" w:hAnsi="宋体" w:cs="宋体"/>
          <w:b w:val="0"/>
          <w:bCs w:val="0"/>
          <w:sz w:val="24"/>
          <w:szCs w:val="24"/>
          <w:lang w:eastAsia="zh-CN"/>
        </w:rPr>
        <w:t>，</w:t>
      </w:r>
      <w:r>
        <w:rPr>
          <w:rFonts w:hint="eastAsia" w:ascii="宋体" w:hAnsi="宋体" w:cs="宋体"/>
          <w:b w:val="0"/>
          <w:bCs w:val="0"/>
          <w:sz w:val="24"/>
          <w:szCs w:val="24"/>
        </w:rPr>
        <w:t>但应当保持表格样式基本形态不变。</w:t>
      </w:r>
    </w:p>
    <w:p>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二、招标文件</w:t>
      </w:r>
    </w:p>
    <w:p>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（一）招标文件由招标文件目录所列内容组成。</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hint="eastAsia" w:ascii="宋体" w:hAnsi="宋体" w:cs="宋体"/>
          <w:kern w:val="0"/>
          <w:sz w:val="24"/>
          <w:szCs w:val="24"/>
          <w:lang w:eastAsia="zh-CN"/>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pPr>
        <w:autoSpaceDE w:val="0"/>
        <w:autoSpaceDN w:val="0"/>
        <w:adjustRightIn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40" w:lineRule="exact"/>
        <w:ind w:firstLine="560" w:firstLineChars="200"/>
        <w:jc w:val="center"/>
        <w:rPr>
          <w:rFonts w:ascii="宋体" w:cs="宋体"/>
          <w:b/>
          <w:bCs/>
          <w:sz w:val="28"/>
          <w:szCs w:val="28"/>
        </w:rPr>
      </w:pPr>
    </w:p>
    <w:p>
      <w:pPr>
        <w:tabs>
          <w:tab w:val="left" w:pos="1418"/>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三、投标文件</w:t>
      </w:r>
    </w:p>
    <w:p>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（一）投标文件的形式和效力：</w:t>
      </w:r>
    </w:p>
    <w:p>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1、投标文件的形式：</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rPr>
        <w:t>2、</w:t>
      </w:r>
      <w:r>
        <w:rPr>
          <w:rFonts w:hint="eastAsia" w:ascii="宋体" w:cs="宋体"/>
          <w:b/>
          <w:bCs/>
          <w:sz w:val="24"/>
          <w:szCs w:val="24"/>
          <w:lang w:val="zh-CN"/>
        </w:rPr>
        <w:t>投标文件的效力：</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）投标文件的启用，按先后顺位分别为“电子加密投标文件”、“备份投标文件”。</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）通过“政府采购云平台”上传递交的“电子加密投标文件”已按时解密的，“备份投标文件”自动失效。</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）投标供应商仅递交“备份投标文件”，未递交“电子加密投标文件”的，视为无效投标。</w:t>
      </w:r>
    </w:p>
    <w:p>
      <w:pPr>
        <w:autoSpaceDE w:val="0"/>
        <w:autoSpaceDN w:val="0"/>
        <w:adjustRightInd w:val="0"/>
        <w:spacing w:line="440" w:lineRule="exact"/>
        <w:ind w:firstLine="480" w:firstLineChars="200"/>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pPr>
        <w:snapToGrid w:val="0"/>
        <w:spacing w:line="440" w:lineRule="exact"/>
        <w:ind w:firstLine="480" w:firstLineChars="200"/>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pPr>
        <w:widowControl/>
        <w:spacing w:line="440" w:lineRule="exact"/>
        <w:jc w:val="left"/>
        <w:rPr>
          <w:rFonts w:ascii="宋体"/>
          <w:b/>
          <w:bCs/>
          <w:sz w:val="24"/>
          <w:szCs w:val="24"/>
        </w:rPr>
      </w:pP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kern w:val="0"/>
          <w:sz w:val="24"/>
        </w:rPr>
        <w:t xml:space="preserve"> （未提供下列</w:t>
      </w:r>
      <w:r>
        <w:rPr>
          <w:rFonts w:hint="eastAsia" w:ascii="宋体" w:hAnsi="宋体" w:cs="宋体"/>
          <w:b/>
          <w:color w:val="FF0000"/>
          <w:kern w:val="0"/>
          <w:sz w:val="24"/>
          <w:lang w:eastAsia="zh-CN"/>
        </w:rPr>
        <w:t>标记“</w:t>
      </w:r>
      <w:r>
        <w:rPr>
          <w:rFonts w:hint="eastAsia" w:ascii="宋体" w:hAnsi="宋体" w:cs="宋体"/>
          <w:b/>
          <w:bCs/>
          <w:color w:val="auto"/>
          <w:sz w:val="24"/>
          <w:szCs w:val="24"/>
        </w:rPr>
        <w:t>▲</w:t>
      </w:r>
      <w:r>
        <w:rPr>
          <w:rFonts w:hint="eastAsia" w:ascii="宋体" w:hAnsi="宋体" w:cs="宋体"/>
          <w:b/>
          <w:color w:val="FF0000"/>
          <w:kern w:val="0"/>
          <w:sz w:val="24"/>
          <w:lang w:eastAsia="zh-CN"/>
        </w:rPr>
        <w:t>”</w:t>
      </w:r>
      <w:r>
        <w:rPr>
          <w:rFonts w:hint="eastAsia" w:ascii="宋体" w:hAnsi="宋体" w:cs="宋体"/>
          <w:b/>
          <w:color w:val="FF0000"/>
          <w:kern w:val="0"/>
          <w:sz w:val="24"/>
        </w:rPr>
        <w:t>材料的资格审查认定为无效）</w:t>
      </w:r>
    </w:p>
    <w:tbl>
      <w:tblPr>
        <w:tblStyle w:val="19"/>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89"/>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38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513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color w:val="auto"/>
                <w:sz w:val="24"/>
                <w:szCs w:val="24"/>
              </w:rPr>
            </w:pPr>
            <w:r>
              <w:rPr>
                <w:rFonts w:hint="eastAsia" w:ascii="宋体" w:hAnsi="宋体" w:cs="宋体"/>
                <w:b/>
                <w:bCs/>
                <w:color w:val="auto"/>
                <w:sz w:val="24"/>
                <w:szCs w:val="24"/>
              </w:rPr>
              <w:t>▲</w:t>
            </w:r>
            <w:r>
              <w:rPr>
                <w:rFonts w:ascii="宋体" w:hAnsi="宋体" w:cs="宋体"/>
                <w:color w:val="auto"/>
                <w:sz w:val="24"/>
                <w:szCs w:val="24"/>
              </w:rPr>
              <w:t>1</w:t>
            </w:r>
          </w:p>
        </w:tc>
        <w:tc>
          <w:tcPr>
            <w:tcW w:w="3389" w:type="dxa"/>
            <w:vAlign w:val="center"/>
          </w:tcPr>
          <w:p>
            <w:pPr>
              <w:widowControl/>
              <w:snapToGrid w:val="0"/>
              <w:spacing w:line="340" w:lineRule="exact"/>
              <w:rPr>
                <w:rFonts w:ascii="宋体" w:cs="宋体"/>
                <w:color w:val="auto"/>
                <w:kern w:val="0"/>
                <w:sz w:val="24"/>
                <w:szCs w:val="24"/>
              </w:rPr>
            </w:pPr>
            <w:r>
              <w:rPr>
                <w:rFonts w:hint="eastAsia" w:ascii="宋体" w:hAnsi="宋体" w:cs="宋体"/>
                <w:color w:val="auto"/>
                <w:kern w:val="0"/>
                <w:sz w:val="24"/>
                <w:szCs w:val="24"/>
              </w:rPr>
              <w:t>投标声明书</w:t>
            </w:r>
            <w:r>
              <w:rPr>
                <w:rFonts w:hint="eastAsia" w:ascii="宋体" w:hAnsi="宋体" w:cs="宋体"/>
                <w:color w:val="auto"/>
                <w:kern w:val="0"/>
                <w:sz w:val="24"/>
              </w:rPr>
              <w:t>（若没有重大违法记录，请承诺）</w:t>
            </w:r>
          </w:p>
        </w:tc>
        <w:tc>
          <w:tcPr>
            <w:tcW w:w="5139"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2</w:t>
            </w:r>
          </w:p>
        </w:tc>
        <w:tc>
          <w:tcPr>
            <w:tcW w:w="3389" w:type="dxa"/>
            <w:vAlign w:val="center"/>
          </w:tcPr>
          <w:p>
            <w:pPr>
              <w:widowControl/>
              <w:snapToGrid w:val="0"/>
              <w:spacing w:line="340" w:lineRule="exact"/>
              <w:rPr>
                <w:rFonts w:ascii="宋体" w:hAnsi="宋体" w:cs="宋体"/>
                <w:color w:val="auto"/>
                <w:kern w:val="0"/>
                <w:sz w:val="24"/>
                <w:szCs w:val="24"/>
              </w:rPr>
            </w:pPr>
            <w:r>
              <w:rPr>
                <w:rFonts w:hint="eastAsia" w:ascii="宋体" w:hAnsi="宋体" w:cs="宋体"/>
                <w:color w:val="auto"/>
                <w:kern w:val="0"/>
                <w:sz w:val="24"/>
                <w:szCs w:val="24"/>
              </w:rPr>
              <w:t>法定代表人身份证明书或授权委托书</w:t>
            </w:r>
          </w:p>
        </w:tc>
        <w:tc>
          <w:tcPr>
            <w:tcW w:w="5139" w:type="dxa"/>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格式附后，如授权委托代理人的则需提供授权委托书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3</w:t>
            </w:r>
          </w:p>
        </w:tc>
        <w:tc>
          <w:tcPr>
            <w:tcW w:w="3389" w:type="dxa"/>
            <w:vAlign w:val="center"/>
          </w:tcPr>
          <w:p>
            <w:pPr>
              <w:widowControl/>
              <w:snapToGrid w:val="0"/>
              <w:spacing w:line="340" w:lineRule="exact"/>
              <w:rPr>
                <w:rFonts w:ascii="宋体" w:cs="宋体"/>
                <w:color w:val="auto"/>
                <w:kern w:val="0"/>
                <w:sz w:val="24"/>
                <w:szCs w:val="24"/>
              </w:rPr>
            </w:pPr>
            <w:r>
              <w:rPr>
                <w:rFonts w:hint="eastAsia" w:ascii="宋体" w:hAnsi="宋体" w:cs="宋体"/>
                <w:color w:val="auto"/>
                <w:kern w:val="0"/>
                <w:sz w:val="24"/>
                <w:szCs w:val="24"/>
              </w:rPr>
              <w:t>法人或者其他组织的营业执照等证明文件，自然人的身份证明</w:t>
            </w:r>
          </w:p>
        </w:tc>
        <w:tc>
          <w:tcPr>
            <w:tcW w:w="5139"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pPr>
              <w:widowControl/>
              <w:snapToGrid w:val="0"/>
              <w:spacing w:line="340" w:lineRule="exact"/>
              <w:jc w:val="center"/>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4</w:t>
            </w:r>
          </w:p>
        </w:tc>
        <w:tc>
          <w:tcPr>
            <w:tcW w:w="3389" w:type="dxa"/>
            <w:vAlign w:val="center"/>
          </w:tcPr>
          <w:p>
            <w:pPr>
              <w:widowControl/>
              <w:snapToGrid w:val="0"/>
              <w:spacing w:line="340" w:lineRule="exact"/>
              <w:rPr>
                <w:rFonts w:ascii="宋体" w:cs="宋体"/>
                <w:color w:val="auto"/>
                <w:kern w:val="0"/>
                <w:sz w:val="24"/>
                <w:szCs w:val="24"/>
              </w:rPr>
            </w:pPr>
            <w:r>
              <w:rPr>
                <w:rFonts w:hint="eastAsia" w:ascii="宋体" w:hAnsi="宋体" w:cs="宋体"/>
                <w:color w:val="auto"/>
                <w:kern w:val="0"/>
                <w:sz w:val="24"/>
                <w:szCs w:val="24"/>
              </w:rPr>
              <w:t>财务状况报告，依法缴纳税收和社会保障资金的相关材料</w:t>
            </w:r>
          </w:p>
        </w:tc>
        <w:tc>
          <w:tcPr>
            <w:tcW w:w="5139"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lang w:val="zh-CN"/>
              </w:rPr>
              <w:t>新成立不足一年的公司须出具情况说明，</w:t>
            </w:r>
            <w:r>
              <w:rPr>
                <w:rFonts w:hint="eastAsia" w:ascii="宋体" w:hAnsi="宋体" w:cs="宋体"/>
                <w:kern w:val="0"/>
                <w:sz w:val="24"/>
                <w:szCs w:val="24"/>
              </w:rPr>
              <w:t>依法免税或不需要缴纳社会保障资金的供应商，应提供相应文件证明其依法免税或不需要缴纳社会保障资金，格式、内容自拟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5</w:t>
            </w:r>
          </w:p>
        </w:tc>
        <w:tc>
          <w:tcPr>
            <w:tcW w:w="3389" w:type="dxa"/>
            <w:vAlign w:val="center"/>
          </w:tcPr>
          <w:p>
            <w:pPr>
              <w:widowControl/>
              <w:snapToGrid w:val="0"/>
              <w:spacing w:line="340" w:lineRule="exact"/>
              <w:rPr>
                <w:rFonts w:ascii="宋体" w:cs="宋体"/>
                <w:color w:val="auto"/>
                <w:kern w:val="0"/>
                <w:sz w:val="24"/>
                <w:szCs w:val="24"/>
              </w:rPr>
            </w:pPr>
            <w:r>
              <w:rPr>
                <w:rFonts w:hint="eastAsia" w:ascii="宋体" w:hAnsi="宋体" w:cs="宋体"/>
                <w:color w:val="auto"/>
                <w:kern w:val="0"/>
                <w:sz w:val="24"/>
                <w:szCs w:val="24"/>
              </w:rPr>
              <w:t>具备履行合同所必需的设备和专业技术能力的证明材料</w:t>
            </w:r>
          </w:p>
        </w:tc>
        <w:tc>
          <w:tcPr>
            <w:tcW w:w="5139"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b/>
                <w:bCs/>
                <w:color w:val="auto"/>
                <w:sz w:val="24"/>
                <w:szCs w:val="24"/>
              </w:rPr>
              <w:t>▲</w:t>
            </w:r>
            <w:r>
              <w:rPr>
                <w:rFonts w:hint="eastAsia" w:ascii="宋体" w:hAnsi="宋体" w:cs="宋体"/>
                <w:sz w:val="24"/>
                <w:szCs w:val="24"/>
              </w:rPr>
              <w:t>6</w:t>
            </w:r>
          </w:p>
        </w:tc>
        <w:tc>
          <w:tcPr>
            <w:tcW w:w="3389"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投标人的《中小企业声明函（服务）》等</w:t>
            </w:r>
            <w:r>
              <w:rPr>
                <w:rFonts w:hint="eastAsia" w:ascii="宋体" w:hAnsi="宋体" w:cs="宋体"/>
                <w:kern w:val="0"/>
                <w:sz w:val="24"/>
                <w:szCs w:val="24"/>
                <w:lang w:val="zh-CN"/>
              </w:rPr>
              <w:t>相关证明材料</w:t>
            </w:r>
          </w:p>
        </w:tc>
        <w:tc>
          <w:tcPr>
            <w:tcW w:w="5139"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格式附后。</w:t>
            </w:r>
            <w:r>
              <w:rPr>
                <w:rFonts w:hint="eastAsia" w:ascii="宋体"/>
                <w:b/>
                <w:bCs/>
                <w:color w:val="FF0000"/>
                <w:sz w:val="24"/>
                <w:szCs w:val="24"/>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3389" w:type="dxa"/>
            <w:vAlign w:val="center"/>
          </w:tcPr>
          <w:p>
            <w:pPr>
              <w:widowControl/>
              <w:snapToGrid w:val="0"/>
              <w:spacing w:line="340" w:lineRule="exact"/>
              <w:rPr>
                <w:rFonts w:ascii="宋体" w:cs="宋体"/>
                <w:kern w:val="0"/>
                <w:sz w:val="24"/>
                <w:szCs w:val="24"/>
              </w:rPr>
            </w:pPr>
            <w:r>
              <w:rPr>
                <w:rFonts w:hint="eastAsia" w:ascii="宋体" w:cs="宋体"/>
                <w:kern w:val="0"/>
                <w:sz w:val="24"/>
                <w:szCs w:val="24"/>
              </w:rPr>
              <w:t>投标人认为需要提供的</w:t>
            </w:r>
            <w:r>
              <w:rPr>
                <w:rFonts w:hint="eastAsia" w:ascii="宋体" w:cs="宋体"/>
                <w:kern w:val="0"/>
                <w:sz w:val="24"/>
                <w:szCs w:val="24"/>
                <w:lang w:eastAsia="zh-CN"/>
              </w:rPr>
              <w:t>其他</w:t>
            </w:r>
            <w:r>
              <w:rPr>
                <w:rFonts w:hint="eastAsia" w:ascii="宋体" w:cs="宋体"/>
                <w:kern w:val="0"/>
                <w:sz w:val="24"/>
                <w:szCs w:val="24"/>
              </w:rPr>
              <w:t>文件和资料</w:t>
            </w:r>
          </w:p>
        </w:tc>
        <w:tc>
          <w:tcPr>
            <w:tcW w:w="5139"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bl>
    <w:p>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1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8603" w:type="dxa"/>
            <w:vAlign w:val="center"/>
          </w:tcPr>
          <w:p>
            <w:pPr>
              <w:widowControl/>
              <w:snapToGrid w:val="0"/>
              <w:spacing w:line="340" w:lineRule="exact"/>
              <w:rPr>
                <w:rFonts w:ascii="宋体" w:cs="宋体"/>
                <w:sz w:val="24"/>
                <w:szCs w:val="24"/>
              </w:rPr>
            </w:pPr>
            <w:r>
              <w:rPr>
                <w:rFonts w:hint="eastAsia" w:ascii="宋体" w:cs="宋体"/>
                <w:sz w:val="24"/>
                <w:szCs w:val="24"/>
              </w:rPr>
              <w:t>供应商自评表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8603" w:type="dxa"/>
            <w:vAlign w:val="center"/>
          </w:tcPr>
          <w:p>
            <w:pPr>
              <w:widowControl/>
              <w:snapToGrid w:val="0"/>
              <w:spacing w:line="340" w:lineRule="exact"/>
              <w:rPr>
                <w:rFonts w:ascii="宋体" w:cs="宋体"/>
                <w:sz w:val="24"/>
                <w:szCs w:val="24"/>
              </w:rPr>
            </w:pPr>
            <w:r>
              <w:rPr>
                <w:rFonts w:hint="eastAsia" w:ascii="宋体" w:cs="宋体"/>
                <w:sz w:val="24"/>
                <w:szCs w:val="24"/>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3</w:t>
            </w:r>
          </w:p>
        </w:tc>
        <w:tc>
          <w:tcPr>
            <w:tcW w:w="8603" w:type="dxa"/>
            <w:vAlign w:val="center"/>
          </w:tcPr>
          <w:p>
            <w:pPr>
              <w:widowControl/>
              <w:snapToGrid w:val="0"/>
              <w:spacing w:line="340" w:lineRule="exact"/>
              <w:rPr>
                <w:rFonts w:ascii="宋体" w:hAnsi="宋体" w:cs="宋体"/>
                <w:sz w:val="24"/>
                <w:szCs w:val="24"/>
              </w:rPr>
            </w:pPr>
            <w:r>
              <w:rPr>
                <w:rFonts w:hint="eastAsia" w:ascii="宋体" w:hAnsi="宋体" w:cs="宋体"/>
                <w:sz w:val="24"/>
                <w:szCs w:val="24"/>
              </w:rPr>
              <w:t>证书一览表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snapToGrid w:val="0"/>
              <w:spacing w:line="340" w:lineRule="exact"/>
              <w:jc w:val="center"/>
              <w:rPr>
                <w:rFonts w:ascii="宋体" w:hAnsi="宋体" w:cs="宋体"/>
                <w:sz w:val="24"/>
                <w:szCs w:val="24"/>
              </w:rPr>
            </w:pPr>
            <w:r>
              <w:rPr>
                <w:rFonts w:hint="eastAsia" w:ascii="宋体" w:cs="宋体"/>
                <w:sz w:val="24"/>
                <w:szCs w:val="24"/>
              </w:rPr>
              <w:t>4</w:t>
            </w:r>
          </w:p>
        </w:tc>
        <w:tc>
          <w:tcPr>
            <w:tcW w:w="8603" w:type="dxa"/>
            <w:vAlign w:val="center"/>
          </w:tcPr>
          <w:p>
            <w:pPr>
              <w:widowControl/>
              <w:snapToGrid w:val="0"/>
              <w:spacing w:line="340" w:lineRule="exact"/>
              <w:rPr>
                <w:rFonts w:ascii="宋体" w:hAnsi="宋体" w:cs="宋体"/>
                <w:sz w:val="24"/>
                <w:szCs w:val="24"/>
              </w:rPr>
            </w:pPr>
            <w:r>
              <w:rPr>
                <w:rFonts w:hint="eastAsia" w:ascii="宋体" w:hAnsi="宋体" w:cs="宋体"/>
                <w:sz w:val="24"/>
                <w:szCs w:val="24"/>
              </w:rPr>
              <w:t>拟投入主要人员配备表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Align w:val="center"/>
          </w:tcPr>
          <w:p>
            <w:pPr>
              <w:snapToGrid w:val="0"/>
              <w:spacing w:line="340" w:lineRule="exact"/>
              <w:jc w:val="center"/>
              <w:rPr>
                <w:rFonts w:ascii="宋体" w:cs="宋体"/>
                <w:sz w:val="24"/>
                <w:szCs w:val="24"/>
              </w:rPr>
            </w:pPr>
            <w:r>
              <w:rPr>
                <w:rFonts w:hint="eastAsia" w:ascii="宋体" w:cs="宋体"/>
                <w:sz w:val="24"/>
                <w:szCs w:val="24"/>
              </w:rPr>
              <w:t>5</w:t>
            </w:r>
          </w:p>
        </w:tc>
        <w:tc>
          <w:tcPr>
            <w:tcW w:w="8603" w:type="dxa"/>
            <w:vAlign w:val="center"/>
          </w:tcPr>
          <w:p>
            <w:pPr>
              <w:widowControl/>
              <w:snapToGrid w:val="0"/>
              <w:spacing w:line="340" w:lineRule="exact"/>
              <w:rPr>
                <w:rFonts w:ascii="宋体" w:cs="宋体"/>
                <w:sz w:val="24"/>
                <w:szCs w:val="24"/>
              </w:rPr>
            </w:pPr>
            <w:r>
              <w:rPr>
                <w:rFonts w:hint="eastAsia" w:ascii="宋体" w:cs="宋体"/>
                <w:sz w:val="24"/>
                <w:szCs w:val="24"/>
              </w:rPr>
              <w:t>类似业绩一览表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Align w:val="center"/>
          </w:tcPr>
          <w:p>
            <w:pPr>
              <w:snapToGrid w:val="0"/>
              <w:spacing w:line="340" w:lineRule="exact"/>
              <w:jc w:val="center"/>
              <w:rPr>
                <w:rFonts w:ascii="宋体" w:cs="宋体"/>
                <w:sz w:val="24"/>
                <w:szCs w:val="24"/>
              </w:rPr>
            </w:pPr>
            <w:r>
              <w:rPr>
                <w:rFonts w:hint="eastAsia" w:ascii="宋体" w:cs="宋体"/>
                <w:sz w:val="24"/>
                <w:szCs w:val="24"/>
              </w:rPr>
              <w:t>6</w:t>
            </w:r>
          </w:p>
        </w:tc>
        <w:tc>
          <w:tcPr>
            <w:tcW w:w="8603" w:type="dxa"/>
            <w:vAlign w:val="center"/>
          </w:tcPr>
          <w:p>
            <w:pPr>
              <w:widowControl/>
              <w:snapToGrid w:val="0"/>
              <w:spacing w:line="340" w:lineRule="exact"/>
              <w:rPr>
                <w:rFonts w:ascii="宋体" w:cs="宋体"/>
                <w:sz w:val="24"/>
                <w:szCs w:val="24"/>
              </w:rPr>
            </w:pPr>
            <w:r>
              <w:rPr>
                <w:rFonts w:hint="eastAsia" w:ascii="宋体" w:cs="宋体"/>
                <w:sz w:val="24"/>
                <w:szCs w:val="24"/>
              </w:rPr>
              <w:t>类似项目情况表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snapToGrid w:val="0"/>
              <w:spacing w:line="340" w:lineRule="exact"/>
              <w:jc w:val="center"/>
              <w:rPr>
                <w:rFonts w:ascii="宋体" w:cs="宋体"/>
                <w:sz w:val="24"/>
                <w:szCs w:val="24"/>
              </w:rPr>
            </w:pPr>
            <w:r>
              <w:rPr>
                <w:rFonts w:hint="eastAsia" w:ascii="宋体" w:cs="宋体"/>
                <w:sz w:val="24"/>
                <w:szCs w:val="24"/>
              </w:rPr>
              <w:t>7</w:t>
            </w:r>
          </w:p>
        </w:tc>
        <w:tc>
          <w:tcPr>
            <w:tcW w:w="8603" w:type="dxa"/>
            <w:vAlign w:val="center"/>
          </w:tcPr>
          <w:p>
            <w:pPr>
              <w:widowControl/>
              <w:snapToGrid w:val="0"/>
              <w:spacing w:line="340" w:lineRule="exact"/>
              <w:rPr>
                <w:rFonts w:ascii="宋体" w:cs="宋体"/>
                <w:sz w:val="24"/>
                <w:szCs w:val="24"/>
              </w:rPr>
            </w:pPr>
            <w:r>
              <w:rPr>
                <w:rFonts w:hint="eastAsia" w:ascii="宋体" w:cs="宋体"/>
                <w:sz w:val="24"/>
                <w:szCs w:val="24"/>
              </w:rPr>
              <w:t>技术商务偏离表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8</w:t>
            </w:r>
          </w:p>
        </w:tc>
        <w:tc>
          <w:tcPr>
            <w:tcW w:w="8603" w:type="dxa"/>
            <w:vAlign w:val="center"/>
          </w:tcPr>
          <w:p>
            <w:pPr>
              <w:widowControl/>
              <w:snapToGrid w:val="0"/>
              <w:spacing w:line="340" w:lineRule="exact"/>
              <w:rPr>
                <w:rFonts w:ascii="宋体" w:hAnsi="宋体" w:cs="宋体"/>
                <w:sz w:val="24"/>
                <w:szCs w:val="24"/>
              </w:rPr>
            </w:pPr>
            <w:r>
              <w:rPr>
                <w:rFonts w:hint="eastAsia" w:ascii="宋体" w:hAnsi="宋体" w:cs="宋体"/>
                <w:sz w:val="24"/>
                <w:szCs w:val="24"/>
              </w:rPr>
              <w:t>投标人认为需要提供的其他资料；包括可能影响投标人商务技术文件评分的各类证明材料</w:t>
            </w:r>
          </w:p>
        </w:tc>
      </w:tr>
    </w:tbl>
    <w:p>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1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2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pPr>
              <w:widowControl/>
              <w:snapToGrid w:val="0"/>
              <w:spacing w:line="340" w:lineRule="exact"/>
              <w:rPr>
                <w:rFonts w:ascii="宋体" w:cs="宋体"/>
                <w:kern w:val="0"/>
                <w:sz w:val="24"/>
                <w:szCs w:val="24"/>
              </w:rPr>
            </w:pPr>
            <w:r>
              <w:rPr>
                <w:rFonts w:hint="eastAsia" w:ascii="宋体" w:cs="宋体"/>
                <w:kern w:val="0"/>
                <w:sz w:val="24"/>
                <w:szCs w:val="24"/>
              </w:rPr>
              <w:t>投标函</w:t>
            </w:r>
          </w:p>
        </w:tc>
        <w:tc>
          <w:tcPr>
            <w:tcW w:w="4209"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2</w:t>
            </w:r>
          </w:p>
        </w:tc>
        <w:tc>
          <w:tcPr>
            <w:tcW w:w="4389"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4209"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3</w:t>
            </w:r>
          </w:p>
        </w:tc>
        <w:tc>
          <w:tcPr>
            <w:tcW w:w="4389" w:type="dxa"/>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投标报价明细表</w:t>
            </w:r>
          </w:p>
        </w:tc>
        <w:tc>
          <w:tcPr>
            <w:tcW w:w="4209" w:type="dxa"/>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4389"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投标人认为需要提供的</w:t>
            </w:r>
            <w:r>
              <w:rPr>
                <w:rFonts w:hint="eastAsia" w:ascii="宋体" w:hAnsi="宋体" w:cs="宋体"/>
                <w:kern w:val="0"/>
                <w:sz w:val="24"/>
                <w:szCs w:val="24"/>
                <w:lang w:eastAsia="zh-CN"/>
              </w:rPr>
              <w:t>其他</w:t>
            </w:r>
            <w:r>
              <w:rPr>
                <w:rFonts w:hint="eastAsia" w:ascii="宋体" w:hAnsi="宋体" w:cs="宋体"/>
                <w:kern w:val="0"/>
                <w:sz w:val="24"/>
                <w:szCs w:val="24"/>
              </w:rPr>
              <w:t>文件和资料</w:t>
            </w:r>
          </w:p>
        </w:tc>
        <w:tc>
          <w:tcPr>
            <w:tcW w:w="4209" w:type="dxa"/>
            <w:vAlign w:val="center"/>
          </w:tcPr>
          <w:p>
            <w:pPr>
              <w:widowControl/>
              <w:snapToGrid w:val="0"/>
              <w:spacing w:line="340" w:lineRule="exact"/>
              <w:rPr>
                <w:rFonts w:ascii="宋体" w:cs="宋体"/>
                <w:sz w:val="24"/>
                <w:szCs w:val="24"/>
              </w:rPr>
            </w:pPr>
            <w:r>
              <w:rPr>
                <w:rFonts w:hint="eastAsia" w:ascii="宋体" w:hAnsi="宋体" w:cs="宋体"/>
                <w:sz w:val="24"/>
                <w:szCs w:val="24"/>
              </w:rPr>
              <w:t>自行提供</w:t>
            </w:r>
          </w:p>
        </w:tc>
      </w:tr>
    </w:tbl>
    <w:p>
      <w:pPr>
        <w:spacing w:line="360" w:lineRule="exact"/>
        <w:rPr>
          <w:rFonts w:ascii="宋体" w:cs="宋体"/>
          <w:b/>
          <w:bCs/>
          <w:kern w:val="0"/>
          <w:sz w:val="24"/>
          <w:szCs w:val="24"/>
        </w:rPr>
      </w:pPr>
      <w:r>
        <w:rPr>
          <w:rFonts w:hint="eastAsia" w:ascii="宋体" w:hAnsi="宋体" w:cs="宋体"/>
          <w:b/>
          <w:bCs/>
          <w:kern w:val="0"/>
          <w:sz w:val="24"/>
          <w:szCs w:val="24"/>
        </w:rPr>
        <w:t>（三）投标文件的制作、封装及递交要求</w:t>
      </w:r>
    </w:p>
    <w:p>
      <w:pPr>
        <w:autoSpaceDE w:val="0"/>
        <w:autoSpaceDN w:val="0"/>
        <w:adjustRightInd w:val="0"/>
        <w:spacing w:line="360" w:lineRule="exact"/>
        <w:ind w:firstLine="480"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（1）投标人应按照投标文件组成内容及项目采购需求制作投标文件，不按招标文件要求制作投标文件的将视情处理，责任由投标人自行承担。</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lang w:val="zh-CN"/>
        </w:rPr>
        <w:t>（2）投标人应对所提供的全部资料的真实性承担法律责任。</w:t>
      </w:r>
      <w:r>
        <w:rPr>
          <w:rFonts w:hint="eastAsia" w:ascii="宋体" w:hAnsi="宋体" w:cs="宋体"/>
          <w:kern w:val="0"/>
          <w:sz w:val="24"/>
          <w:szCs w:val="24"/>
        </w:rPr>
        <w:t xml:space="preserve">     </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（3）投标文件以及投标人与采购代理机构就有关投标事宜的所有来往函电，均应以中文汉语书写。除签字、盖章、专用名称等特殊情形外，以中文汉语以外的文字表述的投标文件视同未提供。</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（4）投标计量单位，招标文件已有明确规定的，使用招标文件规定的计量单位；招标文件没有规定的，应采用中华人民共和国法定计量单位（货币单位：人民币元）。</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（5）若投标人不按招标文件的要求提供资格审查材料，其责任由投标人自行承担。</w:t>
      </w:r>
    </w:p>
    <w:p>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6）投标人应在认真阅读招标文件所有内容的基础上，按照招标文件的要求编制完整的投标文件。投标文件应按照招标文件中规定的统一格式填写：（1）“电子加密投标文件”按政采云平台供应商项目采购－电子招投标操作指南（网址：https://help.zcy.gov.cn/web/site_2/2018/12-28/2573.html）及本招标文件要求制作、关联定位、加密。</w:t>
      </w:r>
    </w:p>
    <w:p>
      <w:pPr>
        <w:autoSpaceDE w:val="0"/>
        <w:autoSpaceDN w:val="0"/>
        <w:adjustRightInd w:val="0"/>
        <w:spacing w:line="360" w:lineRule="auto"/>
        <w:ind w:firstLine="480"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fldChar w:fldCharType="begin"/>
      </w:r>
      <w:r>
        <w:instrText xml:space="preserve"> HYPERLINK "https://help.zcy.gov.cn/web/site_2/2018/12-28/2573.html）及本采购文件要求制作" </w:instrText>
      </w:r>
      <w:r>
        <w:fldChar w:fldCharType="separate"/>
      </w:r>
      <w:r>
        <w:rPr>
          <w:rFonts w:hint="eastAsia"/>
          <w:lang w:val="zh-CN"/>
        </w:rPr>
        <w:t>https://help.zcy.gov.cn/web/site_2/2018/12-28/2573.html</w:t>
      </w:r>
      <w:r>
        <w:rPr>
          <w:rFonts w:hint="eastAsia" w:ascii="宋体" w:hAnsi="宋体" w:cs="宋体"/>
          <w:kern w:val="0"/>
          <w:sz w:val="24"/>
          <w:szCs w:val="24"/>
          <w:lang w:val="zh-CN"/>
        </w:rPr>
        <w:t>）及本招标文件要求制作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pPr>
        <w:autoSpaceDE w:val="0"/>
        <w:autoSpaceDN w:val="0"/>
        <w:adjustRightInd w:val="0"/>
        <w:spacing w:line="360" w:lineRule="auto"/>
        <w:ind w:firstLine="480" w:firstLineChars="200"/>
        <w:rPr>
          <w:rFonts w:ascii="宋体" w:hAnsi="宋体" w:cs="宋体"/>
          <w:b/>
          <w:bCs/>
          <w:kern w:val="0"/>
          <w:sz w:val="24"/>
          <w:szCs w:val="24"/>
          <w:lang w:val="zh-CN"/>
        </w:rPr>
      </w:pPr>
      <w:r>
        <w:rPr>
          <w:rFonts w:hint="eastAsia" w:ascii="宋体" w:hAnsi="宋体" w:cs="宋体"/>
          <w:b/>
          <w:bCs/>
          <w:kern w:val="0"/>
          <w:sz w:val="24"/>
          <w:szCs w:val="24"/>
        </w:rPr>
        <w:t>（2）</w:t>
      </w:r>
      <w:r>
        <w:rPr>
          <w:rFonts w:hint="eastAsia" w:ascii="宋体" w:hAnsi="宋体" w:cs="宋体"/>
          <w:b/>
          <w:bCs/>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）份数：</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3.1</w:t>
      </w:r>
      <w:r>
        <w:rPr>
          <w:rFonts w:hint="eastAsia" w:ascii="宋体" w:hAnsi="宋体" w:cs="宋体"/>
          <w:kern w:val="0"/>
          <w:sz w:val="24"/>
          <w:szCs w:val="24"/>
          <w:lang w:val="zh-CN"/>
        </w:rPr>
        <w:t>“电子加密投标文件”（后缀格式为.jmbs）：在线上传递交一份。</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rPr>
        <w:t>61692137@qq.com</w:t>
      </w:r>
      <w:r>
        <w:rPr>
          <w:rFonts w:hint="eastAsia" w:ascii="宋体" w:hAnsi="宋体" w:cs="宋体"/>
          <w:kern w:val="0"/>
          <w:sz w:val="24"/>
          <w:szCs w:val="24"/>
          <w:lang w:val="zh-CN"/>
        </w:rPr>
        <w:t>，以接收方邮箱收件箱所显示时间为准。</w:t>
      </w:r>
    </w:p>
    <w:p>
      <w:pPr>
        <w:autoSpaceDE w:val="0"/>
        <w:autoSpaceDN w:val="0"/>
        <w:adjustRightInd w:val="0"/>
        <w:spacing w:line="360" w:lineRule="auto"/>
        <w:ind w:firstLine="480"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pPr>
        <w:tabs>
          <w:tab w:val="left" w:pos="1418"/>
        </w:tabs>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）投标人应当在招标文件规定的截止时间前完成“电子加密投标文件”及“备份投标文件”的递交，截止时间后递交的投标文件，将被拒收。</w:t>
      </w:r>
    </w:p>
    <w:p>
      <w:pPr>
        <w:tabs>
          <w:tab w:val="left" w:pos="1418"/>
        </w:tabs>
        <w:autoSpaceDE w:val="0"/>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（2）如有特殊情况，采购代理机构延长截止时间和开标时间，采购代理机构和投标人的权利和义务将受到新的截止时间和开标时间的约束。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pPr>
        <w:tabs>
          <w:tab w:val="left" w:pos="1418"/>
        </w:tabs>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pPr>
        <w:tabs>
          <w:tab w:val="left" w:pos="1418"/>
        </w:tabs>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（2）投标截止时间后，投标人不得修改（补充）或撤回其投标文件。</w:t>
      </w:r>
    </w:p>
    <w:p>
      <w:pPr>
        <w:tabs>
          <w:tab w:val="left" w:pos="1898"/>
        </w:tabs>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rPr>
        <w:t>30分钟</w:t>
      </w:r>
      <w:r>
        <w:rPr>
          <w:rFonts w:hint="eastAsia" w:ascii="宋体" w:hAnsi="宋体" w:cs="宋体"/>
          <w:kern w:val="0"/>
          <w:sz w:val="24"/>
          <w:szCs w:val="24"/>
          <w:lang w:val="zh-CN"/>
        </w:rPr>
        <w:t>内自行完成“电子加密投标文件”的在线解密。</w:t>
      </w:r>
    </w:p>
    <w:p>
      <w:pPr>
        <w:autoSpaceDE w:val="0"/>
        <w:autoSpaceDN w:val="0"/>
        <w:adjustRightInd w:val="0"/>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autoSpaceDE w:val="0"/>
        <w:autoSpaceDN w:val="0"/>
        <w:adjustRightInd w:val="0"/>
        <w:spacing w:line="360" w:lineRule="auto"/>
        <w:ind w:firstLine="480" w:firstLineChars="200"/>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）投标人未在规定时间内完成解密且未提供“备份投标文件”的，默认投标人自动放弃。</w:t>
      </w:r>
    </w:p>
    <w:p>
      <w:pPr>
        <w:tabs>
          <w:tab w:val="left" w:pos="0"/>
        </w:tabs>
        <w:autoSpaceDE w:val="0"/>
        <w:autoSpaceDN w:val="0"/>
        <w:adjustRightInd w:val="0"/>
        <w:spacing w:line="360" w:lineRule="auto"/>
        <w:ind w:firstLine="240" w:firstLineChars="100"/>
        <w:rPr>
          <w:rFonts w:ascii="宋体" w:cs="宋体"/>
          <w:b/>
          <w:bCs/>
          <w:kern w:val="0"/>
          <w:sz w:val="24"/>
          <w:szCs w:val="24"/>
        </w:rPr>
      </w:pPr>
      <w:r>
        <w:rPr>
          <w:rFonts w:hint="eastAsia" w:ascii="宋体" w:hAnsi="宋体" w:cs="宋体"/>
          <w:b/>
          <w:bCs/>
          <w:kern w:val="0"/>
          <w:sz w:val="24"/>
          <w:szCs w:val="24"/>
        </w:rPr>
        <w:t>（四）投标文件的有效期</w:t>
      </w:r>
    </w:p>
    <w:p>
      <w:pPr>
        <w:pStyle w:val="7"/>
        <w:numPr>
          <w:ilvl w:val="0"/>
          <w:numId w:val="0"/>
        </w:numPr>
        <w:tabs>
          <w:tab w:val="left" w:pos="0"/>
          <w:tab w:val="clear" w:pos="1070"/>
        </w:tabs>
        <w:snapToGrid w:val="0"/>
        <w:spacing w:line="360" w:lineRule="auto"/>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pPr>
        <w:pStyle w:val="7"/>
        <w:numPr>
          <w:ilvl w:val="0"/>
          <w:numId w:val="0"/>
        </w:numPr>
        <w:tabs>
          <w:tab w:val="left" w:pos="0"/>
          <w:tab w:val="clear" w:pos="1070"/>
        </w:tabs>
        <w:snapToGrid w:val="0"/>
        <w:spacing w:line="360" w:lineRule="auto"/>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宋体" w:cs="宋体"/>
          <w:b/>
          <w:bCs/>
          <w:sz w:val="24"/>
          <w:szCs w:val="24"/>
        </w:rPr>
      </w:pPr>
      <w:bookmarkStart w:id="15" w:name="_Toc17741"/>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15"/>
    </w:p>
    <w:p>
      <w:pPr>
        <w:snapToGrid w:val="0"/>
        <w:spacing w:line="360" w:lineRule="auto"/>
        <w:jc w:val="center"/>
        <w:rPr>
          <w:rFonts w:ascii="宋体" w:cs="宋体"/>
          <w:b/>
          <w:bCs/>
          <w:sz w:val="28"/>
          <w:szCs w:val="28"/>
        </w:rPr>
      </w:pPr>
    </w:p>
    <w:p>
      <w:pPr>
        <w:snapToGrid w:val="0"/>
        <w:spacing w:line="360" w:lineRule="auto"/>
        <w:jc w:val="center"/>
        <w:rPr>
          <w:rFonts w:ascii="宋体" w:cs="宋体"/>
          <w:b/>
          <w:bCs/>
          <w:sz w:val="28"/>
          <w:szCs w:val="28"/>
        </w:rPr>
      </w:pPr>
      <w:r>
        <w:rPr>
          <w:rFonts w:hint="eastAsia" w:ascii="宋体" w:hAnsi="宋体" w:cs="宋体"/>
          <w:b/>
          <w:bCs/>
          <w:sz w:val="28"/>
          <w:szCs w:val="28"/>
        </w:rPr>
        <w:t>四、开标</w:t>
      </w:r>
    </w:p>
    <w:p>
      <w:pPr>
        <w:numPr>
          <w:ilvl w:val="0"/>
          <w:numId w:val="4"/>
        </w:num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b/>
          <w:bCs/>
          <w:sz w:val="24"/>
          <w:szCs w:val="24"/>
        </w:rPr>
        <w:t>开标程序</w:t>
      </w:r>
    </w:p>
    <w:p>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）的扫描件或（图片）发至代理机构经办人邮箱（邮箱地址：61692137@qq.com）；</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rPr>
        <w:t>（不予确认的应说明理由，否则视为无异议）</w:t>
      </w:r>
      <w:r>
        <w:rPr>
          <w:rFonts w:hint="eastAsia" w:ascii="宋体" w:hAnsi="宋体" w:cs="宋体"/>
          <w:sz w:val="24"/>
          <w:szCs w:val="24"/>
        </w:rPr>
        <w:t>。资格审查未获通过的投标人，其商务技术文件及报价文件不进入评审。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w:t>
      </w:r>
      <w:r>
        <w:rPr>
          <w:rFonts w:hint="eastAsia" w:ascii="宋体" w:hAnsi="宋体" w:cs="宋体"/>
          <w:sz w:val="24"/>
          <w:szCs w:val="24"/>
          <w:lang w:eastAsia="zh-CN"/>
        </w:rPr>
        <w:t>商务</w:t>
      </w:r>
      <w:r>
        <w:rPr>
          <w:rFonts w:hint="eastAsia" w:ascii="宋体" w:hAnsi="宋体" w:cs="宋体"/>
          <w:sz w:val="24"/>
          <w:szCs w:val="24"/>
        </w:rPr>
        <w:t>技术审查不通过的，通过“政府采购云平台”线上告知其原因并由投标人签章确认</w:t>
      </w:r>
      <w:r>
        <w:rPr>
          <w:rFonts w:hint="eastAsia" w:ascii="宋体" w:hAnsi="宋体" w:cs="宋体"/>
          <w:color w:val="000000" w:themeColor="text1"/>
          <w:sz w:val="24"/>
          <w:szCs w:val="24"/>
        </w:rPr>
        <w:t>（不予确认的应说明理由，否则视为无异议），</w:t>
      </w:r>
      <w:r>
        <w:rPr>
          <w:rFonts w:hint="eastAsia" w:ascii="宋体" w:hAnsi="宋体" w:cs="宋体"/>
          <w:sz w:val="24"/>
          <w:szCs w:val="24"/>
        </w:rPr>
        <w:t>其报价文件不再进入评审。</w:t>
      </w:r>
    </w:p>
    <w:p>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9、开标会议结束。</w:t>
      </w:r>
    </w:p>
    <w:p>
      <w:pPr>
        <w:snapToGrid w:val="0"/>
        <w:spacing w:line="360" w:lineRule="auto"/>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pPr>
        <w:pStyle w:val="11"/>
        <w:snapToGrid w:val="0"/>
        <w:spacing w:line="360" w:lineRule="auto"/>
        <w:jc w:val="center"/>
        <w:outlineLvl w:val="1"/>
        <w:rPr>
          <w:rFonts w:hAnsi="宋体" w:cs="Times New Roman"/>
          <w:b/>
          <w:bCs/>
          <w:sz w:val="28"/>
          <w:szCs w:val="28"/>
        </w:rPr>
      </w:pPr>
      <w:r>
        <w:rPr>
          <w:rFonts w:hint="eastAsia" w:hAnsi="宋体"/>
          <w:b/>
          <w:bCs/>
          <w:sz w:val="28"/>
          <w:szCs w:val="28"/>
        </w:rPr>
        <w:t>五、评标</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pPr>
        <w:spacing w:line="360" w:lineRule="auto"/>
        <w:ind w:firstLine="422" w:firstLineChars="176"/>
        <w:rPr>
          <w:rFonts w:ascii="宋体" w:hAnsi="宋体" w:cs="Arial"/>
          <w:kern w:val="0"/>
          <w:sz w:val="24"/>
        </w:rPr>
      </w:pPr>
      <w:r>
        <w:rPr>
          <w:rFonts w:hint="eastAsia" w:ascii="宋体" w:hAnsi="宋体" w:cs="Arial"/>
          <w:kern w:val="0"/>
          <w:sz w:val="24"/>
        </w:rPr>
        <w:t>1、采购人或采购代理机构负责组织本项目的评审工作，并依据《政府采购货物和服务招标投标管理办法（财政部第87号令）》第四十五条的相关规定履行职责。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pPr>
        <w:spacing w:line="360" w:lineRule="auto"/>
        <w:ind w:firstLine="422" w:firstLineChars="176"/>
        <w:rPr>
          <w:rFonts w:ascii="宋体" w:hAnsi="宋体" w:cs="Arial"/>
          <w:kern w:val="0"/>
          <w:sz w:val="24"/>
        </w:rPr>
      </w:pPr>
      <w:r>
        <w:rPr>
          <w:rFonts w:hint="eastAsia" w:ascii="宋体" w:hAnsi="宋体" w:cs="Arial"/>
          <w:kern w:val="0"/>
          <w:sz w:val="24"/>
        </w:rPr>
        <w:t>1、评标委员会由采购人或采购代理机构依法组建，成员包括采购人代表和评审专家，成员人数</w:t>
      </w:r>
      <w:r>
        <w:rPr>
          <w:rFonts w:ascii="宋体" w:hAnsi="宋体" w:cs="Arial"/>
          <w:kern w:val="0"/>
          <w:sz w:val="24"/>
        </w:rPr>
        <w:t>为</w:t>
      </w:r>
      <w:r>
        <w:rPr>
          <w:rFonts w:hint="eastAsia" w:ascii="宋体" w:hAnsi="宋体" w:cs="Arial"/>
          <w:kern w:val="0"/>
          <w:sz w:val="24"/>
        </w:rPr>
        <w:t>五</w:t>
      </w:r>
      <w:r>
        <w:rPr>
          <w:rFonts w:ascii="宋体" w:hAnsi="宋体" w:cs="Arial"/>
          <w:kern w:val="0"/>
          <w:sz w:val="24"/>
        </w:rPr>
        <w:t>人</w:t>
      </w:r>
      <w:r>
        <w:rPr>
          <w:rFonts w:hint="eastAsia" w:ascii="宋体" w:hAnsi="宋体" w:cs="Arial"/>
          <w:kern w:val="0"/>
          <w:sz w:val="24"/>
        </w:rPr>
        <w:t>或以上单数，其中评审专家不少于成员总数的三分之二。</w:t>
      </w:r>
    </w:p>
    <w:p>
      <w:pPr>
        <w:spacing w:line="360" w:lineRule="auto"/>
        <w:ind w:firstLine="422" w:firstLineChars="176"/>
        <w:rPr>
          <w:rFonts w:ascii="宋体" w:hAnsi="宋体" w:cs="Arial"/>
          <w:kern w:val="0"/>
          <w:sz w:val="24"/>
        </w:rPr>
      </w:pPr>
      <w:r>
        <w:rPr>
          <w:rFonts w:hint="eastAsia" w:ascii="宋体" w:hAnsi="宋体" w:cs="Arial"/>
          <w:kern w:val="0"/>
          <w:sz w:val="24"/>
        </w:rPr>
        <w:t>2、评标委员会成员名单在评审结果（采购结果）公告前保密。</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pPr>
        <w:spacing w:line="360" w:lineRule="auto"/>
        <w:ind w:firstLine="422" w:firstLineChars="176"/>
        <w:rPr>
          <w:rFonts w:ascii="宋体" w:hAnsi="宋体" w:cs="Arial"/>
          <w:b/>
          <w:kern w:val="0"/>
          <w:sz w:val="24"/>
        </w:rPr>
      </w:pPr>
      <w:r>
        <w:rPr>
          <w:rFonts w:hint="eastAsia" w:ascii="宋体" w:hAnsi="宋体" w:cs="Arial"/>
          <w:b/>
          <w:kern w:val="0"/>
          <w:sz w:val="24"/>
        </w:rPr>
        <w:t>1、评标委员会负责具体评审事务，并独立履行下列职责：</w:t>
      </w:r>
    </w:p>
    <w:p>
      <w:pPr>
        <w:spacing w:line="360" w:lineRule="auto"/>
        <w:ind w:firstLine="422" w:firstLineChars="176"/>
        <w:rPr>
          <w:rFonts w:ascii="宋体" w:hAnsi="宋体" w:cs="Arial"/>
          <w:kern w:val="0"/>
          <w:sz w:val="24"/>
        </w:rPr>
      </w:pPr>
      <w:r>
        <w:rPr>
          <w:rFonts w:hint="eastAsia" w:ascii="宋体" w:hAnsi="宋体" w:cs="Arial"/>
          <w:kern w:val="0"/>
          <w:sz w:val="24"/>
        </w:rPr>
        <w:t>（1）审查、评价投标文件是否符合招标文件的商务、技术等实质性要求；</w:t>
      </w:r>
    </w:p>
    <w:p>
      <w:pPr>
        <w:spacing w:line="360" w:lineRule="auto"/>
        <w:ind w:firstLine="422" w:firstLineChars="176"/>
        <w:rPr>
          <w:rFonts w:ascii="宋体" w:hAnsi="宋体" w:cs="Arial"/>
          <w:kern w:val="0"/>
          <w:sz w:val="24"/>
        </w:rPr>
      </w:pPr>
      <w:r>
        <w:rPr>
          <w:rFonts w:hint="eastAsia" w:ascii="宋体" w:hAnsi="宋体" w:cs="Arial"/>
          <w:kern w:val="0"/>
          <w:sz w:val="24"/>
        </w:rPr>
        <w:t>（2）要求投标人对投标文件有关事项作出澄清或者说明；</w:t>
      </w:r>
    </w:p>
    <w:p>
      <w:pPr>
        <w:spacing w:line="360" w:lineRule="auto"/>
        <w:ind w:firstLine="422" w:firstLineChars="176"/>
        <w:rPr>
          <w:rFonts w:ascii="宋体" w:hAnsi="宋体" w:cs="Arial"/>
          <w:kern w:val="0"/>
          <w:sz w:val="24"/>
        </w:rPr>
      </w:pPr>
      <w:r>
        <w:rPr>
          <w:rFonts w:hint="eastAsia" w:ascii="宋体" w:hAnsi="宋体" w:cs="Arial"/>
          <w:kern w:val="0"/>
          <w:sz w:val="24"/>
        </w:rPr>
        <w:t>（3）对投标文件进行比较和评价；</w:t>
      </w:r>
    </w:p>
    <w:p>
      <w:pPr>
        <w:spacing w:line="360" w:lineRule="auto"/>
        <w:ind w:firstLine="422" w:firstLineChars="176"/>
        <w:rPr>
          <w:rFonts w:ascii="宋体" w:hAnsi="宋体" w:cs="Arial"/>
          <w:kern w:val="0"/>
          <w:sz w:val="24"/>
        </w:rPr>
      </w:pPr>
      <w:r>
        <w:rPr>
          <w:rFonts w:hint="eastAsia" w:ascii="宋体" w:hAnsi="宋体" w:cs="Arial"/>
          <w:kern w:val="0"/>
          <w:sz w:val="24"/>
        </w:rPr>
        <w:t>（4）确定中标候选人名单，以及根据采购人委托直接确定中标人。</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（四）</w:t>
      </w:r>
      <w:r>
        <w:rPr>
          <w:rFonts w:hint="eastAsia" w:ascii="宋体" w:hAnsi="宋体"/>
          <w:sz w:val="24"/>
          <w:szCs w:val="24"/>
        </w:rPr>
        <w:t>评审原则</w:t>
      </w:r>
    </w:p>
    <w:p>
      <w:pPr>
        <w:spacing w:line="360" w:lineRule="auto"/>
        <w:ind w:firstLine="424" w:firstLineChars="177"/>
        <w:rPr>
          <w:rFonts w:ascii="宋体" w:hAnsi="宋体" w:cs="Arial"/>
          <w:sz w:val="24"/>
        </w:rPr>
      </w:pPr>
      <w:r>
        <w:rPr>
          <w:rFonts w:hint="eastAsia" w:ascii="宋体" w:hAnsi="宋体" w:cs="Arial"/>
          <w:sz w:val="24"/>
        </w:rPr>
        <w:t>1、评审原则：</w:t>
      </w:r>
      <w:r>
        <w:rPr>
          <w:rFonts w:hint="eastAsia" w:ascii="宋体" w:hAnsi="宋体" w:cs="Arial"/>
          <w:kern w:val="0"/>
          <w:sz w:val="24"/>
        </w:rPr>
        <w:t>评标委员会</w:t>
      </w:r>
      <w:r>
        <w:rPr>
          <w:rFonts w:hint="eastAsia" w:ascii="宋体" w:hAnsi="宋体" w:cs="Arial"/>
          <w:sz w:val="24"/>
        </w:rPr>
        <w:t>按照客观、公正、审慎、</w:t>
      </w:r>
      <w:r>
        <w:rPr>
          <w:rFonts w:ascii="宋体" w:hAnsi="宋体" w:cs="Arial"/>
          <w:sz w:val="24"/>
        </w:rPr>
        <w:t>择优的</w:t>
      </w:r>
      <w:r>
        <w:rPr>
          <w:rFonts w:hint="eastAsia" w:ascii="宋体" w:hAnsi="宋体" w:cs="Arial"/>
          <w:sz w:val="24"/>
        </w:rPr>
        <w:t>原则，根据招标文件规定的评审程序、评审方法和评审标准进行独立评审。</w:t>
      </w:r>
    </w:p>
    <w:p>
      <w:pPr>
        <w:spacing w:line="360" w:lineRule="auto"/>
        <w:ind w:firstLine="424" w:firstLineChars="177"/>
        <w:rPr>
          <w:rFonts w:ascii="宋体" w:hAnsi="宋体" w:cs="Arial"/>
          <w:sz w:val="24"/>
        </w:rPr>
      </w:pPr>
      <w:r>
        <w:rPr>
          <w:rFonts w:hint="eastAsia" w:ascii="宋体" w:hAnsi="宋体" w:cs="Arial"/>
          <w:sz w:val="24"/>
        </w:rPr>
        <w:t>2、评审工作将依据</w:t>
      </w:r>
      <w:r>
        <w:rPr>
          <w:rFonts w:ascii="宋体" w:hAnsi="宋体" w:cs="Arial"/>
          <w:kern w:val="0"/>
          <w:sz w:val="24"/>
        </w:rPr>
        <w:t>招标文件</w:t>
      </w:r>
      <w:r>
        <w:rPr>
          <w:rFonts w:hint="eastAsia" w:ascii="宋体" w:hAnsi="宋体" w:cs="Arial"/>
          <w:kern w:val="0"/>
          <w:sz w:val="24"/>
        </w:rPr>
        <w:t>、</w:t>
      </w:r>
      <w:r>
        <w:rPr>
          <w:rFonts w:ascii="宋体" w:hAnsi="宋体" w:cs="Arial"/>
          <w:kern w:val="0"/>
          <w:sz w:val="24"/>
        </w:rPr>
        <w:t>投标文件</w:t>
      </w:r>
      <w:r>
        <w:rPr>
          <w:rFonts w:hint="eastAsia" w:ascii="宋体" w:hAnsi="宋体" w:cs="Arial"/>
          <w:kern w:val="0"/>
          <w:sz w:val="24"/>
        </w:rPr>
        <w:t>及招标文件中事先已列明的内容进行（如现场方案讲解、演示等）。</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pPr>
        <w:spacing w:line="360" w:lineRule="auto"/>
        <w:ind w:firstLine="424" w:firstLineChars="177"/>
        <w:rPr>
          <w:rFonts w:ascii="宋体" w:hAnsi="宋体" w:cs="Arial"/>
          <w:kern w:val="0"/>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kern w:val="0"/>
          <w:sz w:val="24"/>
        </w:rPr>
        <w:t>，</w:t>
      </w:r>
      <w:r>
        <w:rPr>
          <w:rFonts w:ascii="宋体" w:hAnsi="宋体" w:cs="Arial"/>
          <w:kern w:val="0"/>
          <w:sz w:val="24"/>
        </w:rPr>
        <w:t>任何单位和个人不得干扰、影响评标的正常进行</w:t>
      </w:r>
      <w:r>
        <w:rPr>
          <w:rFonts w:hint="eastAsia" w:ascii="宋体" w:hAnsi="宋体" w:cs="Arial"/>
          <w:kern w:val="0"/>
          <w:sz w:val="24"/>
        </w:rPr>
        <w:t>，</w:t>
      </w:r>
      <w:r>
        <w:rPr>
          <w:rFonts w:ascii="宋体" w:hAnsi="宋体" w:cs="Arial"/>
          <w:kern w:val="0"/>
          <w:sz w:val="24"/>
        </w:rPr>
        <w:t>评标委员会</w:t>
      </w:r>
      <w:r>
        <w:rPr>
          <w:rFonts w:hint="eastAsia" w:ascii="宋体" w:hAnsi="宋体" w:cs="Arial"/>
          <w:kern w:val="0"/>
          <w:sz w:val="24"/>
        </w:rPr>
        <w:t>成员</w:t>
      </w:r>
      <w:r>
        <w:rPr>
          <w:rFonts w:ascii="宋体" w:hAnsi="宋体" w:cs="Arial"/>
          <w:kern w:val="0"/>
          <w:sz w:val="24"/>
        </w:rPr>
        <w:t>不得私下与投标供应商接触</w:t>
      </w:r>
      <w:r>
        <w:rPr>
          <w:rFonts w:hint="eastAsia" w:ascii="宋体" w:hAnsi="宋体" w:cs="Arial"/>
          <w:kern w:val="0"/>
          <w:sz w:val="24"/>
        </w:rPr>
        <w:t>，不得出现浙江省政府采购活动现场组织管理办法中规定的其他禁止行为。</w:t>
      </w:r>
    </w:p>
    <w:p>
      <w:pPr>
        <w:pStyle w:val="6"/>
        <w:numPr>
          <w:ilvl w:val="2"/>
          <w:numId w:val="0"/>
        </w:numPr>
        <w:spacing w:before="0" w:after="0" w:line="360" w:lineRule="auto"/>
        <w:ind w:left="728" w:leftChars="185" w:hanging="340" w:hangingChars="142"/>
        <w:rPr>
          <w:rFonts w:ascii="宋体" w:hAnsi="宋体" w:cs="宋体"/>
          <w:sz w:val="24"/>
          <w:szCs w:val="24"/>
        </w:rPr>
      </w:pPr>
      <w:bookmarkStart w:id="16" w:name="_Toc24550043"/>
      <w:bookmarkStart w:id="17" w:name="_Toc33194395"/>
      <w:r>
        <w:rPr>
          <w:rFonts w:hint="eastAsia" w:ascii="宋体" w:hAnsi="宋体" w:cs="宋体"/>
          <w:sz w:val="24"/>
          <w:szCs w:val="24"/>
        </w:rPr>
        <w:t>（七）</w:t>
      </w:r>
      <w:bookmarkEnd w:id="16"/>
      <w:bookmarkStart w:id="18" w:name="_Toc24550044"/>
      <w:r>
        <w:rPr>
          <w:rFonts w:hint="eastAsia" w:ascii="宋体" w:hAnsi="宋体" w:cs="宋体"/>
          <w:sz w:val="24"/>
          <w:szCs w:val="24"/>
        </w:rPr>
        <w:t>评审流程及内容</w:t>
      </w:r>
      <w:bookmarkEnd w:id="17"/>
      <w:bookmarkEnd w:id="18"/>
    </w:p>
    <w:p>
      <w:pPr>
        <w:spacing w:line="360" w:lineRule="auto"/>
        <w:ind w:firstLine="422" w:firstLineChars="176"/>
        <w:rPr>
          <w:rFonts w:ascii="宋体" w:hAnsi="宋体"/>
          <w:sz w:val="24"/>
        </w:rPr>
      </w:pPr>
      <w:r>
        <w:rPr>
          <w:rFonts w:hint="eastAsia" w:ascii="宋体" w:hAnsi="宋体" w:cs="Arial"/>
          <w:b/>
          <w:kern w:val="0"/>
          <w:sz w:val="24"/>
        </w:rPr>
        <w:t>本项目具体的评审事务由评标委员会负责，评审流程及内容如下：</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sz w:val="24"/>
          <w:szCs w:val="24"/>
        </w:rPr>
        <w:t>1、评审前准备</w:t>
      </w:r>
    </w:p>
    <w:p>
      <w:pPr>
        <w:spacing w:line="360" w:lineRule="auto"/>
        <w:ind w:firstLine="240" w:firstLineChars="100"/>
        <w:rPr>
          <w:rFonts w:ascii="宋体" w:hAnsi="宋体" w:cs="Arial"/>
          <w:kern w:val="0"/>
          <w:sz w:val="24"/>
        </w:rPr>
      </w:pPr>
      <w:r>
        <w:rPr>
          <w:rFonts w:hint="eastAsia" w:ascii="宋体" w:hAnsi="宋体" w:cs="Arial"/>
          <w:kern w:val="0"/>
          <w:sz w:val="24"/>
        </w:rPr>
        <w:t>（1）由评审专家推选评审小组组长，采购人代表不得担任评审小组组长。</w:t>
      </w:r>
    </w:p>
    <w:p>
      <w:pPr>
        <w:spacing w:line="360" w:lineRule="auto"/>
        <w:ind w:firstLine="240" w:firstLineChars="100"/>
        <w:rPr>
          <w:rFonts w:ascii="宋体" w:hAnsi="宋体" w:cs="Arial"/>
          <w:b/>
          <w:kern w:val="0"/>
          <w:sz w:val="24"/>
        </w:rPr>
      </w:pPr>
      <w:r>
        <w:rPr>
          <w:rFonts w:hint="eastAsia" w:ascii="宋体" w:hAnsi="宋体" w:cs="Arial"/>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line="360" w:lineRule="auto"/>
        <w:ind w:left="728" w:leftChars="185" w:hanging="340" w:hangingChars="142"/>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pPr>
        <w:spacing w:line="360" w:lineRule="auto"/>
        <w:ind w:firstLine="424" w:firstLineChars="177"/>
        <w:rPr>
          <w:rFonts w:ascii="宋体" w:hAnsi="宋体" w:cs="Arial"/>
          <w:b/>
          <w:kern w:val="0"/>
          <w:sz w:val="24"/>
        </w:rPr>
      </w:pPr>
      <w:r>
        <w:rPr>
          <w:rFonts w:hint="eastAsia" w:ascii="宋体" w:hAnsi="宋体" w:cs="Arial"/>
          <w:b/>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对所有通过资格审查的投标供应商的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pPr>
        <w:pStyle w:val="6"/>
        <w:numPr>
          <w:ilvl w:val="0"/>
          <w:numId w:val="5"/>
        </w:numPr>
        <w:spacing w:before="0" w:after="0" w:line="360" w:lineRule="auto"/>
        <w:ind w:firstLine="480" w:firstLineChars="200"/>
        <w:rPr>
          <w:rFonts w:ascii="宋体" w:hAnsi="宋体"/>
          <w:sz w:val="24"/>
          <w:szCs w:val="24"/>
        </w:rPr>
      </w:pPr>
      <w:r>
        <w:rPr>
          <w:rFonts w:hint="eastAsia" w:ascii="宋体" w:hAnsi="宋体"/>
          <w:sz w:val="24"/>
          <w:szCs w:val="24"/>
        </w:rPr>
        <w:t>投标文件的澄清、说明或补正</w:t>
      </w:r>
    </w:p>
    <w:p>
      <w:pPr>
        <w:pStyle w:val="16"/>
        <w:spacing w:before="0" w:beforeAutospacing="0" w:after="0" w:afterAutospacing="0" w:line="360" w:lineRule="auto"/>
        <w:ind w:firstLine="420" w:firstLineChars="175"/>
        <w:jc w:val="both"/>
      </w:pPr>
      <w:r>
        <w:rPr>
          <w:rFonts w:hint="eastAsia"/>
        </w:rPr>
        <w:t>（1）对于投标文件中含义不明确、同类问题表述不一致或者有明显文字和计算错误的内容，评标委员会将</w:t>
      </w:r>
      <w:r>
        <w:rPr>
          <w:rFonts w:hint="eastAsia"/>
          <w:b/>
          <w:bCs/>
        </w:rPr>
        <w:t>通过邮件形式</w:t>
      </w:r>
      <w:r>
        <w:rPr>
          <w:rFonts w:hint="eastAsia"/>
        </w:rPr>
        <w:t>要求投标供应商在规定的时间内作出必要的澄清、说明或者补正，投标供应商澄清、说明或补正时间为30分钟内，未在规定时间内澄清、说明或补正说明的，视为无异议。</w:t>
      </w:r>
    </w:p>
    <w:p>
      <w:pPr>
        <w:spacing w:line="360" w:lineRule="auto"/>
        <w:ind w:firstLine="420" w:firstLineChars="175"/>
        <w:rPr>
          <w:rFonts w:ascii="宋体" w:hAnsi="宋体" w:cs="Arial"/>
          <w:kern w:val="0"/>
          <w:sz w:val="24"/>
        </w:rPr>
      </w:pPr>
      <w:r>
        <w:rPr>
          <w:rFonts w:hint="eastAsia" w:ascii="宋体" w:hAnsi="宋体" w:cs="Arial"/>
          <w:kern w:val="0"/>
          <w:sz w:val="24"/>
        </w:rPr>
        <w:t>（2）</w:t>
      </w:r>
      <w:r>
        <w:rPr>
          <w:rFonts w:ascii="宋体" w:hAnsi="宋体" w:cs="Arial"/>
          <w:kern w:val="0"/>
          <w:sz w:val="24"/>
        </w:rPr>
        <w:t>投标供应商</w:t>
      </w:r>
      <w:r>
        <w:rPr>
          <w:rFonts w:hint="eastAsia" w:ascii="宋体" w:hAnsi="宋体" w:cs="Arial"/>
          <w:kern w:val="0"/>
          <w:sz w:val="24"/>
        </w:rPr>
        <w:t>的澄清、说明或者补正应当通过邮件形式书面提交，并加盖公章，或者由法定代表人或其授权的代表签字。</w:t>
      </w:r>
      <w:r>
        <w:rPr>
          <w:rFonts w:ascii="宋体" w:hAnsi="宋体" w:cs="Arial"/>
          <w:kern w:val="0"/>
          <w:sz w:val="24"/>
        </w:rPr>
        <w:t>投标供应商</w:t>
      </w:r>
      <w:r>
        <w:rPr>
          <w:rFonts w:hint="eastAsia" w:ascii="宋体" w:hAnsi="宋体" w:cs="Arial"/>
          <w:kern w:val="0"/>
          <w:sz w:val="24"/>
        </w:rPr>
        <w:t>的澄清、说明或者补正不得超出投标文件的范围或者改变投标文件的实质性内容。</w:t>
      </w:r>
    </w:p>
    <w:p>
      <w:pPr>
        <w:pStyle w:val="11"/>
        <w:snapToGrid w:val="0"/>
        <w:spacing w:line="360" w:lineRule="auto"/>
        <w:ind w:firstLine="480" w:firstLineChars="200"/>
        <w:rPr>
          <w:rFonts w:hAnsi="宋体" w:cs="Times New Roman"/>
          <w:b/>
          <w:bCs/>
          <w:sz w:val="24"/>
          <w:szCs w:val="24"/>
        </w:rPr>
      </w:pPr>
      <w:r>
        <w:rPr>
          <w:rFonts w:hint="eastAsia" w:hAnsi="宋体"/>
          <w:b/>
          <w:bCs/>
          <w:sz w:val="24"/>
          <w:szCs w:val="24"/>
        </w:rPr>
        <w:t>（八）错误修正</w:t>
      </w:r>
    </w:p>
    <w:p>
      <w:pPr>
        <w:pStyle w:val="16"/>
        <w:spacing w:before="0" w:beforeAutospacing="0" w:after="0" w:afterAutospacing="0" w:line="360" w:lineRule="auto"/>
        <w:ind w:firstLine="480" w:firstLineChars="200"/>
        <w:jc w:val="both"/>
        <w:rPr>
          <w:rFonts w:cs="Times New Roman"/>
        </w:rPr>
      </w:pPr>
      <w:r>
        <w:rPr>
          <w:rFonts w:hint="eastAsia"/>
        </w:rPr>
        <w:t>投标文件报价出现前后不一致的，除招标文件另有规定外，按照下列规定修正：</w:t>
      </w:r>
    </w:p>
    <w:p>
      <w:pPr>
        <w:pStyle w:val="16"/>
        <w:spacing w:before="0" w:beforeAutospacing="0" w:after="0" w:afterAutospacing="0" w:line="360" w:lineRule="auto"/>
        <w:ind w:firstLine="480" w:firstLineChars="200"/>
        <w:jc w:val="both"/>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pPr>
        <w:pStyle w:val="16"/>
        <w:spacing w:before="0" w:beforeAutospacing="0" w:after="0" w:afterAutospacing="0" w:line="360" w:lineRule="auto"/>
        <w:ind w:firstLine="480" w:firstLineChars="200"/>
        <w:jc w:val="both"/>
        <w:rPr>
          <w:rFonts w:cs="Times New Roman"/>
        </w:rPr>
      </w:pPr>
      <w:r>
        <w:t>2</w:t>
      </w:r>
      <w:r>
        <w:rPr>
          <w:rFonts w:hint="eastAsia"/>
        </w:rPr>
        <w:t>、大写金额和小写金额不一致的，以大写金额为准；</w:t>
      </w:r>
    </w:p>
    <w:p>
      <w:pPr>
        <w:pStyle w:val="16"/>
        <w:spacing w:before="0" w:beforeAutospacing="0" w:after="0" w:afterAutospacing="0" w:line="360" w:lineRule="auto"/>
        <w:ind w:firstLine="480" w:firstLineChars="200"/>
        <w:jc w:val="both"/>
        <w:rPr>
          <w:rFonts w:cs="Times New Roman"/>
        </w:rPr>
      </w:pPr>
      <w:r>
        <w:t>3</w:t>
      </w:r>
      <w:r>
        <w:rPr>
          <w:rFonts w:hint="eastAsia"/>
        </w:rPr>
        <w:t>、单价金额小数点或者百分比有明显错位的，以开标一览表的总价为准，并修改单价；</w:t>
      </w:r>
    </w:p>
    <w:p>
      <w:pPr>
        <w:pStyle w:val="16"/>
        <w:spacing w:before="0" w:beforeAutospacing="0" w:after="0" w:afterAutospacing="0" w:line="360" w:lineRule="auto"/>
        <w:ind w:firstLine="480" w:firstLineChars="200"/>
        <w:jc w:val="both"/>
        <w:rPr>
          <w:rFonts w:cs="Times New Roman"/>
        </w:rPr>
      </w:pPr>
      <w:r>
        <w:t>4</w:t>
      </w:r>
      <w:r>
        <w:rPr>
          <w:rFonts w:hint="eastAsia"/>
        </w:rPr>
        <w:t>、总价金额与按单价汇总金额不一致的，以单价金额计算结果为准。</w:t>
      </w:r>
    </w:p>
    <w:p>
      <w:pPr>
        <w:pStyle w:val="16"/>
        <w:spacing w:before="0" w:beforeAutospacing="0" w:after="0" w:afterAutospacing="0" w:line="360" w:lineRule="auto"/>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480" w:firstLineChars="200"/>
        <w:jc w:val="both"/>
        <w:rPr>
          <w:rFonts w:cs="Times New Roman"/>
          <w:b/>
          <w:bCs/>
        </w:rPr>
      </w:pPr>
      <w:r>
        <w:rPr>
          <w:rFonts w:hint="eastAsia"/>
          <w:b/>
          <w:bCs/>
        </w:rPr>
        <w:t>（九）投标人存在下列情况之一的，投标无效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1、投标文件未按招标文件规定的要求提交的；</w:t>
      </w:r>
    </w:p>
    <w:p>
      <w:pPr>
        <w:spacing w:line="360" w:lineRule="auto"/>
        <w:ind w:firstLine="480" w:firstLineChars="200"/>
        <w:rPr>
          <w:rFonts w:ascii="宋体" w:hAnsi="宋体" w:cs="宋体"/>
          <w:kern w:val="0"/>
          <w:sz w:val="24"/>
        </w:rPr>
      </w:pPr>
      <w:r>
        <w:rPr>
          <w:rFonts w:hint="eastAsia" w:ascii="宋体" w:hAnsi="宋体" w:cs="宋体"/>
          <w:kern w:val="0"/>
          <w:sz w:val="24"/>
        </w:rPr>
        <w:t>2、电子加密投标文件解密失败且未按要求提交“备份投标文件”的；</w:t>
      </w:r>
    </w:p>
    <w:p>
      <w:pPr>
        <w:spacing w:line="360" w:lineRule="auto"/>
        <w:ind w:firstLine="480" w:firstLineChars="200"/>
        <w:rPr>
          <w:rFonts w:ascii="宋体" w:hAnsi="宋体" w:cs="宋体"/>
          <w:kern w:val="0"/>
          <w:sz w:val="24"/>
        </w:rPr>
      </w:pPr>
      <w:r>
        <w:rPr>
          <w:rFonts w:hint="eastAsia" w:ascii="宋体" w:hAnsi="宋体" w:cs="宋体"/>
          <w:kern w:val="0"/>
          <w:sz w:val="24"/>
        </w:rPr>
        <w:t>3、资格证明文件、商务技术文件、报价文件出现混传或在资格证明文件或商务技术文件中出现投标报价的；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4、投标人没有提供合法、有效的“授权委托书”或“法定代表人身份证明书”的； </w:t>
      </w:r>
    </w:p>
    <w:p>
      <w:pPr>
        <w:spacing w:line="360" w:lineRule="auto"/>
        <w:ind w:firstLine="480" w:firstLineChars="200"/>
        <w:rPr>
          <w:rFonts w:ascii="宋体" w:hAnsi="宋体" w:cs="宋体"/>
          <w:kern w:val="0"/>
          <w:sz w:val="24"/>
        </w:rPr>
      </w:pPr>
      <w:r>
        <w:rPr>
          <w:rFonts w:hint="eastAsia" w:ascii="宋体" w:hAnsi="宋体" w:cs="宋体"/>
          <w:kern w:val="0"/>
          <w:sz w:val="24"/>
        </w:rPr>
        <w:t>5、投标文件的实质性内容未使用中文表述、意思表述不明确、前后矛盾或者使用计量单位不符合招标文件要求的；</w:t>
      </w:r>
    </w:p>
    <w:p>
      <w:pPr>
        <w:spacing w:line="360" w:lineRule="auto"/>
        <w:ind w:firstLine="480" w:firstLineChars="200"/>
        <w:rPr>
          <w:rFonts w:ascii="宋体" w:hAnsi="宋体" w:cs="宋体"/>
          <w:kern w:val="0"/>
          <w:sz w:val="24"/>
        </w:rPr>
      </w:pPr>
      <w:r>
        <w:rPr>
          <w:rFonts w:hint="eastAsia" w:ascii="宋体" w:hAnsi="宋体" w:cs="宋体"/>
          <w:kern w:val="0"/>
          <w:sz w:val="24"/>
        </w:rPr>
        <w:t>6、未实质性响应招标文件要求或者投标文件有采购人不能接受的附加条件的；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7、明显不符合招标文件要求的技术参数、质量标准，或者与招标文件中的技术指标、主要功能项目发生实质性偏离的；</w:t>
      </w:r>
    </w:p>
    <w:p>
      <w:pPr>
        <w:adjustRightInd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8、不具备招标文件中规定的资格要求的；</w:t>
      </w:r>
    </w:p>
    <w:p>
      <w:pPr>
        <w:pStyle w:val="16"/>
        <w:tabs>
          <w:tab w:val="left" w:pos="7380"/>
        </w:tabs>
        <w:adjustRightInd w:val="0"/>
        <w:snapToGrid w:val="0"/>
        <w:spacing w:before="0" w:beforeAutospacing="0" w:after="0" w:afterAutospacing="0" w:line="360" w:lineRule="auto"/>
        <w:ind w:firstLine="480" w:firstLineChars="200"/>
        <w:jc w:val="both"/>
        <w:rPr>
          <w:rFonts w:cs="Times New Roman"/>
        </w:rPr>
      </w:pPr>
      <w:r>
        <w:rPr>
          <w:rFonts w:hint="eastAsia"/>
        </w:rPr>
        <w:t>9、投标文件含有采购人不能接受的附加条件的；</w:t>
      </w:r>
      <w:r>
        <w:rPr>
          <w:rFonts w:cs="Times New Roman"/>
        </w:rPr>
        <w:tab/>
      </w:r>
    </w:p>
    <w:p>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before="0" w:beforeAutospacing="0" w:after="0" w:afterAutospacing="0" w:line="360" w:lineRule="auto"/>
        <w:ind w:firstLine="480" w:firstLineChars="200"/>
        <w:jc w:val="both"/>
      </w:pPr>
      <w:r>
        <w:rPr>
          <w:rFonts w:hint="eastAsia"/>
        </w:rPr>
        <w:t>11、报价超过招标文件中规定的预算金额或最高限价；</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12、投标文件提供虚假材料的；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13、投标人上传的电子加密投标文件解密成功的，电子加密投标文件中法定代表人电子章（或委托代理人签字）、投标人的单位电子公章盖章不齐全，不符合招标文件规定的；</w:t>
      </w:r>
    </w:p>
    <w:p>
      <w:pPr>
        <w:pStyle w:val="16"/>
        <w:spacing w:before="0" w:beforeAutospacing="0" w:after="0" w:afterAutospacing="0" w:line="360" w:lineRule="auto"/>
        <w:ind w:firstLine="480" w:firstLineChars="200"/>
        <w:jc w:val="both"/>
      </w:pPr>
      <w:r>
        <w:rPr>
          <w:rFonts w:hint="eastAsia"/>
        </w:rPr>
        <w:t>14、投标报价关键内容字迹模糊、无法辨认的或投标报价大写不符合国家有关</w:t>
      </w:r>
    </w:p>
    <w:p>
      <w:pPr>
        <w:pStyle w:val="16"/>
        <w:spacing w:before="0" w:beforeAutospacing="0" w:after="0" w:afterAutospacing="0" w:line="360" w:lineRule="auto"/>
        <w:jc w:val="both"/>
      </w:pPr>
      <w:r>
        <w:rPr>
          <w:rFonts w:hint="eastAsia"/>
        </w:rPr>
        <w:t>规定的；</w:t>
      </w:r>
    </w:p>
    <w:p>
      <w:pPr>
        <w:pStyle w:val="16"/>
        <w:spacing w:before="0" w:beforeAutospacing="0" w:after="0" w:afterAutospacing="0" w:line="360" w:lineRule="auto"/>
        <w:ind w:firstLine="480" w:firstLineChars="200"/>
        <w:jc w:val="both"/>
      </w:pPr>
      <w:r>
        <w:rPr>
          <w:rFonts w:hint="eastAsia"/>
        </w:rPr>
        <w:t>15、符合中华人民共和国财政部令第87号《政府采购货物和服务招标投标管理办法》第三十七条情形之一的，视为投标人串通投标，其投标无效，并移送采购监管部门：</w:t>
      </w:r>
    </w:p>
    <w:p>
      <w:pPr>
        <w:pStyle w:val="16"/>
        <w:spacing w:before="0" w:beforeAutospacing="0" w:after="0" w:afterAutospacing="0" w:line="360" w:lineRule="auto"/>
        <w:ind w:firstLine="480" w:firstLineChars="200"/>
        <w:jc w:val="both"/>
        <w:rPr>
          <w:rFonts w:cs="Times New Roman"/>
        </w:rPr>
      </w:pPr>
      <w:r>
        <w:rPr>
          <w:rFonts w:hint="eastAsia"/>
        </w:rPr>
        <w:t>（</w:t>
      </w:r>
      <w:r>
        <w:t>1</w:t>
      </w:r>
      <w:r>
        <w:rPr>
          <w:rFonts w:hint="eastAsia"/>
        </w:rPr>
        <w:t>）不同投标人的投标文件由同一单位或者个人编制；</w:t>
      </w:r>
    </w:p>
    <w:p>
      <w:pPr>
        <w:pStyle w:val="16"/>
        <w:spacing w:before="0" w:beforeAutospacing="0" w:after="0" w:afterAutospacing="0" w:line="360" w:lineRule="auto"/>
        <w:ind w:firstLine="480" w:firstLineChars="200"/>
        <w:jc w:val="both"/>
        <w:rPr>
          <w:rFonts w:cs="Times New Roman"/>
        </w:rPr>
      </w:pPr>
      <w:r>
        <w:rPr>
          <w:rFonts w:hint="eastAsia"/>
        </w:rPr>
        <w:t>（</w:t>
      </w:r>
      <w:r>
        <w:t>2</w:t>
      </w:r>
      <w:r>
        <w:rPr>
          <w:rFonts w:hint="eastAsia"/>
        </w:rPr>
        <w:t>）不同投标人委托同一单位或者个人办理投标事宜；</w:t>
      </w:r>
    </w:p>
    <w:p>
      <w:pPr>
        <w:pStyle w:val="16"/>
        <w:spacing w:before="0" w:beforeAutospacing="0" w:after="0" w:afterAutospacing="0" w:line="360" w:lineRule="auto"/>
        <w:ind w:firstLine="480" w:firstLineChars="200"/>
        <w:jc w:val="both"/>
        <w:rPr>
          <w:rFonts w:cs="Times New Roman"/>
        </w:rPr>
      </w:pPr>
      <w:r>
        <w:rPr>
          <w:rFonts w:hint="eastAsia"/>
        </w:rPr>
        <w:t>（</w:t>
      </w:r>
      <w:r>
        <w:t>3</w:t>
      </w:r>
      <w:r>
        <w:rPr>
          <w:rFonts w:hint="eastAsia"/>
        </w:rPr>
        <w:t>）不同投标人的投标文件载明的项目管理成员或者联系人员为同一人；</w:t>
      </w:r>
    </w:p>
    <w:p>
      <w:pPr>
        <w:pStyle w:val="16"/>
        <w:spacing w:before="0" w:beforeAutospacing="0" w:after="0" w:afterAutospacing="0" w:line="360" w:lineRule="auto"/>
        <w:ind w:firstLine="480" w:firstLineChars="200"/>
        <w:jc w:val="both"/>
        <w:rPr>
          <w:rFonts w:cs="Times New Roman"/>
        </w:rPr>
      </w:pPr>
      <w:r>
        <w:rPr>
          <w:rFonts w:hint="eastAsia"/>
        </w:rPr>
        <w:t>（</w:t>
      </w:r>
      <w:r>
        <w:t>4</w:t>
      </w:r>
      <w:r>
        <w:rPr>
          <w:rFonts w:hint="eastAsia"/>
        </w:rPr>
        <w:t>）不同投标人的投标文件异常一致或者投标报价呈规律性差异；</w:t>
      </w:r>
    </w:p>
    <w:p>
      <w:pPr>
        <w:pStyle w:val="16"/>
        <w:spacing w:before="0" w:beforeAutospacing="0" w:after="0" w:afterAutospacing="0" w:line="360" w:lineRule="auto"/>
        <w:ind w:firstLine="480" w:firstLineChars="200"/>
        <w:jc w:val="both"/>
        <w:rPr>
          <w:rFonts w:cs="Times New Roman"/>
        </w:rPr>
      </w:pPr>
      <w:r>
        <w:rPr>
          <w:rFonts w:hint="eastAsia"/>
        </w:rPr>
        <w:t>（</w:t>
      </w:r>
      <w:r>
        <w:t>5</w:t>
      </w:r>
      <w:r>
        <w:rPr>
          <w:rFonts w:hint="eastAsia"/>
        </w:rPr>
        <w:t>）不同投标人的投标文件相互混装；</w:t>
      </w:r>
    </w:p>
    <w:p>
      <w:pPr>
        <w:autoSpaceDE w:val="0"/>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6、不符合法律、法规和招标文件中规定的其他实质性要求的（招标文件中打“▲”内容及被拒绝的条款）。</w:t>
      </w:r>
    </w:p>
    <w:p>
      <w:pPr>
        <w:autoSpaceDE w:val="0"/>
        <w:autoSpaceDN w:val="0"/>
        <w:adjustRightInd w:val="0"/>
        <w:spacing w:line="360" w:lineRule="auto"/>
        <w:ind w:firstLine="480" w:firstLineChars="200"/>
        <w:rPr>
          <w:rFonts w:ascii="宋体" w:cs="宋体"/>
          <w:kern w:val="0"/>
          <w:sz w:val="24"/>
          <w:szCs w:val="24"/>
        </w:rPr>
      </w:pPr>
      <w:r>
        <w:rPr>
          <w:rFonts w:hint="eastAsia" w:ascii="宋体" w:hAnsi="宋体" w:cs="宋体"/>
          <w:b/>
          <w:bCs/>
          <w:kern w:val="0"/>
          <w:sz w:val="24"/>
          <w:szCs w:val="24"/>
        </w:rPr>
        <w:t>（十）有下列情况之一的，本次招标作为废标处理</w:t>
      </w:r>
    </w:p>
    <w:p>
      <w:pPr>
        <w:pStyle w:val="16"/>
        <w:spacing w:before="0" w:beforeAutospacing="0" w:after="0" w:afterAutospacing="0" w:line="360" w:lineRule="auto"/>
        <w:ind w:firstLine="480" w:firstLineChars="200"/>
        <w:jc w:val="both"/>
        <w:rPr>
          <w:rFonts w:cs="Times New Roman"/>
        </w:rPr>
      </w:pPr>
      <w:r>
        <w:t>1</w:t>
      </w:r>
      <w:r>
        <w:rPr>
          <w:rFonts w:hint="eastAsia"/>
        </w:rPr>
        <w:t>、符合专业条件的供应商或者对招标文件作实质响应的供应商不足三家的；</w:t>
      </w:r>
    </w:p>
    <w:p>
      <w:pPr>
        <w:pStyle w:val="16"/>
        <w:spacing w:before="0" w:beforeAutospacing="0" w:after="0" w:afterAutospacing="0" w:line="360" w:lineRule="auto"/>
        <w:ind w:firstLine="480" w:firstLineChars="200"/>
        <w:jc w:val="both"/>
        <w:rPr>
          <w:rFonts w:cs="Times New Roman"/>
          <w:b/>
          <w:bCs/>
        </w:rPr>
      </w:pPr>
      <w:r>
        <w:t>2</w:t>
      </w:r>
      <w:r>
        <w:rPr>
          <w:rFonts w:hint="eastAsia"/>
        </w:rPr>
        <w:t>、出现影响采购公正的违法、违规行为的；</w:t>
      </w:r>
    </w:p>
    <w:p>
      <w:pPr>
        <w:pStyle w:val="16"/>
        <w:spacing w:before="0" w:beforeAutospacing="0" w:after="0" w:afterAutospacing="0" w:line="360" w:lineRule="auto"/>
        <w:ind w:firstLine="480" w:firstLineChars="200"/>
        <w:jc w:val="both"/>
        <w:rPr>
          <w:rFonts w:cs="Times New Roman"/>
        </w:rPr>
      </w:pPr>
      <w:r>
        <w:t>3</w:t>
      </w:r>
      <w:r>
        <w:rPr>
          <w:rFonts w:hint="eastAsia"/>
        </w:rPr>
        <w:t>、因重大变故，采购任务取消的；</w:t>
      </w:r>
    </w:p>
    <w:p>
      <w:pPr>
        <w:pStyle w:val="16"/>
        <w:spacing w:before="0" w:beforeAutospacing="0" w:after="0" w:afterAutospacing="0" w:line="360" w:lineRule="auto"/>
        <w:ind w:firstLine="480" w:firstLineChars="200"/>
        <w:jc w:val="both"/>
        <w:rPr>
          <w:rFonts w:cs="Times New Roman"/>
        </w:rPr>
      </w:pPr>
      <w:r>
        <w:t>4</w:t>
      </w:r>
      <w:r>
        <w:rPr>
          <w:rFonts w:hint="eastAsia"/>
        </w:rPr>
        <w:t>、法律、法规和招标文件规定的其他导致评标结果无效的。</w:t>
      </w:r>
    </w:p>
    <w:p>
      <w:pPr>
        <w:pStyle w:val="11"/>
        <w:tabs>
          <w:tab w:val="left" w:pos="630"/>
        </w:tabs>
        <w:snapToGrid w:val="0"/>
        <w:spacing w:line="360" w:lineRule="auto"/>
        <w:ind w:firstLine="480" w:firstLineChars="200"/>
        <w:rPr>
          <w:rFonts w:hAnsi="宋体" w:cs="Times New Roman"/>
          <w:b/>
          <w:bCs/>
          <w:sz w:val="24"/>
          <w:szCs w:val="24"/>
        </w:rPr>
      </w:pPr>
      <w:r>
        <w:rPr>
          <w:rFonts w:hint="eastAsia" w:hAnsi="宋体"/>
          <w:b/>
          <w:bCs/>
          <w:sz w:val="24"/>
          <w:szCs w:val="24"/>
        </w:rPr>
        <w:t>（十一）评标原则和评标办法</w:t>
      </w:r>
    </w:p>
    <w:p>
      <w:pPr>
        <w:pStyle w:val="11"/>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480" w:firstLineChars="200"/>
        <w:rPr>
          <w:rFonts w:hAnsi="宋体" w:cs="Times New Roman"/>
          <w:sz w:val="24"/>
          <w:szCs w:val="24"/>
        </w:rPr>
      </w:pPr>
      <w:r>
        <w:rPr>
          <w:rFonts w:hint="eastAsia" w:hAnsi="宋体"/>
          <w:sz w:val="24"/>
          <w:szCs w:val="24"/>
        </w:rPr>
        <w:t>2、评标办法。具体评标内容及评分标准等详见《第三章：评标方法及评分标准》。</w:t>
      </w:r>
    </w:p>
    <w:p>
      <w:pPr>
        <w:pStyle w:val="11"/>
        <w:snapToGrid w:val="0"/>
        <w:spacing w:line="360" w:lineRule="auto"/>
        <w:ind w:firstLine="480" w:firstLineChars="200"/>
        <w:rPr>
          <w:rFonts w:hAnsi="宋体"/>
          <w:sz w:val="24"/>
          <w:szCs w:val="24"/>
        </w:rPr>
      </w:pPr>
      <w:r>
        <w:rPr>
          <w:rFonts w:hint="eastAsia" w:hAnsi="宋体"/>
          <w:sz w:val="24"/>
          <w:szCs w:val="24"/>
        </w:rPr>
        <w:t>3、评标委员会应对采购代理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11"/>
        <w:snapToGrid w:val="0"/>
        <w:spacing w:line="360" w:lineRule="auto"/>
        <w:ind w:firstLine="480" w:firstLineChars="200"/>
        <w:rPr>
          <w:rFonts w:hAnsi="宋体" w:cs="Times New Roman"/>
          <w:sz w:val="24"/>
          <w:szCs w:val="24"/>
        </w:rPr>
      </w:pPr>
      <w:r>
        <w:rPr>
          <w:rFonts w:hint="eastAsia" w:hAnsi="宋体"/>
          <w:sz w:val="24"/>
          <w:szCs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1"/>
        <w:snapToGrid w:val="0"/>
        <w:spacing w:line="360" w:lineRule="auto"/>
        <w:ind w:firstLine="480" w:firstLineChars="200"/>
        <w:rPr>
          <w:rFonts w:hAnsi="宋体" w:cs="Times New Roman"/>
          <w:b/>
          <w:bCs/>
          <w:sz w:val="24"/>
          <w:szCs w:val="24"/>
        </w:rPr>
      </w:pPr>
      <w:r>
        <w:rPr>
          <w:rFonts w:hint="eastAsia" w:hAnsi="宋体"/>
          <w:b/>
          <w:bCs/>
          <w:sz w:val="24"/>
          <w:szCs w:val="24"/>
        </w:rPr>
        <w:t>（十二）评标过程的监控</w:t>
      </w:r>
    </w:p>
    <w:p>
      <w:pPr>
        <w:pStyle w:val="16"/>
        <w:spacing w:before="0" w:beforeAutospacing="0" w:after="0" w:afterAutospacing="0" w:line="360" w:lineRule="auto"/>
        <w:ind w:firstLine="480" w:firstLineChars="20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pPr>
        <w:spacing w:line="360" w:lineRule="auto"/>
        <w:jc w:val="center"/>
        <w:rPr>
          <w:rFonts w:ascii="宋体" w:hAnsi="宋体" w:cs="宋体"/>
          <w:b/>
          <w:bCs/>
          <w:sz w:val="28"/>
          <w:szCs w:val="28"/>
        </w:rPr>
      </w:pPr>
      <w:r>
        <w:rPr>
          <w:rFonts w:hint="eastAsia" w:ascii="宋体" w:hAnsi="宋体" w:cs="宋体"/>
          <w:b/>
          <w:bCs/>
          <w:sz w:val="28"/>
          <w:szCs w:val="28"/>
        </w:rPr>
        <w:t>六、定标</w:t>
      </w:r>
    </w:p>
    <w:p>
      <w:pPr>
        <w:pStyle w:val="16"/>
        <w:spacing w:before="0" w:beforeAutospacing="0" w:after="0" w:afterAutospacing="0" w:line="360" w:lineRule="auto"/>
        <w:ind w:firstLine="480" w:firstLineChars="200"/>
        <w:jc w:val="both"/>
        <w:rPr>
          <w:rFonts w:cs="Times New Roman"/>
        </w:rPr>
      </w:pPr>
      <w:r>
        <w:t>1</w:t>
      </w:r>
      <w:r>
        <w:rPr>
          <w:rFonts w:hint="eastAsia"/>
        </w:rPr>
        <w:t>、确定中标供应商。评标委员会根据采购单位的《授权意见确认书》，推荐中标候选人或确定中标人。其中推荐中标候选人的，采购代理机构在评审结束后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pPr>
        <w:spacing w:line="360" w:lineRule="auto"/>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pPr>
        <w:spacing w:line="360" w:lineRule="auto"/>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pPr>
        <w:spacing w:line="360" w:lineRule="auto"/>
        <w:jc w:val="center"/>
        <w:rPr>
          <w:rFonts w:ascii="宋体" w:cs="宋体"/>
          <w:b/>
          <w:bCs/>
          <w:sz w:val="28"/>
          <w:szCs w:val="28"/>
        </w:rPr>
      </w:pPr>
      <w:r>
        <w:rPr>
          <w:rFonts w:hint="eastAsia" w:ascii="宋体" w:hAnsi="宋体" w:cs="宋体"/>
          <w:b/>
          <w:bCs/>
          <w:sz w:val="28"/>
          <w:szCs w:val="28"/>
        </w:rPr>
        <w:t>七、合同签订及公告</w:t>
      </w:r>
    </w:p>
    <w:p>
      <w:pPr>
        <w:spacing w:line="360" w:lineRule="auto"/>
        <w:ind w:firstLine="480" w:firstLineChars="200"/>
        <w:rPr>
          <w:rFonts w:ascii="宋体"/>
          <w:b/>
          <w:bCs/>
          <w:kern w:val="0"/>
          <w:sz w:val="24"/>
          <w:szCs w:val="24"/>
        </w:rPr>
      </w:pPr>
      <w:r>
        <w:rPr>
          <w:rFonts w:hint="eastAsia" w:ascii="宋体" w:hAnsi="宋体" w:cs="宋体"/>
          <w:b/>
          <w:bCs/>
          <w:sz w:val="24"/>
          <w:szCs w:val="24"/>
        </w:rPr>
        <w:t>（一）签订合同</w:t>
      </w:r>
    </w:p>
    <w:p>
      <w:pPr>
        <w:pStyle w:val="16"/>
        <w:spacing w:before="0" w:beforeAutospacing="0" w:after="0" w:afterAutospacing="0" w:line="360" w:lineRule="auto"/>
        <w:ind w:firstLine="600" w:firstLineChars="250"/>
        <w:jc w:val="both"/>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600" w:firstLineChars="250"/>
        <w:jc w:val="both"/>
        <w:rPr>
          <w:rFonts w:cs="Times New Roman"/>
        </w:rPr>
      </w:pPr>
      <w:r>
        <w:t>2</w:t>
      </w:r>
      <w:r>
        <w:rPr>
          <w:rFonts w:hint="eastAsia"/>
        </w:rPr>
        <w:t>、采购人不得向中标人提出任何不合理的要求作为签订合同的条件。</w:t>
      </w:r>
    </w:p>
    <w:p>
      <w:pPr>
        <w:pStyle w:val="16"/>
        <w:spacing w:before="0" w:beforeAutospacing="0" w:after="0" w:afterAutospacing="0" w:line="360" w:lineRule="auto"/>
        <w:ind w:firstLine="600" w:firstLineChars="250"/>
        <w:jc w:val="both"/>
        <w:rPr>
          <w:rFonts w:cs="Times New Roman"/>
        </w:rPr>
      </w:pPr>
      <w:r>
        <w:t>3</w:t>
      </w:r>
      <w:r>
        <w:rPr>
          <w:rFonts w:hint="eastAsia"/>
        </w:rPr>
        <w:t>、中标供应商无正当理由拖延、拒签合同的</w:t>
      </w:r>
      <w:r>
        <w:rPr>
          <w:rFonts w:hint="eastAsia"/>
          <w:lang w:eastAsia="zh-CN"/>
        </w:rPr>
        <w:t>，</w:t>
      </w:r>
      <w:r>
        <w:rPr>
          <w:rFonts w:hint="eastAsia"/>
        </w:rPr>
        <w:t>按《政府采购法》及等有关规定进行处理处罚。</w:t>
      </w:r>
    </w:p>
    <w:p>
      <w:pPr>
        <w:pStyle w:val="16"/>
        <w:spacing w:before="0" w:beforeAutospacing="0" w:after="0" w:afterAutospacing="0" w:line="360" w:lineRule="auto"/>
        <w:ind w:firstLine="480" w:firstLineChars="200"/>
        <w:jc w:val="both"/>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pPr>
        <w:pStyle w:val="16"/>
        <w:spacing w:before="0" w:beforeAutospacing="0" w:after="0" w:afterAutospacing="0" w:line="360" w:lineRule="auto"/>
        <w:ind w:firstLine="422" w:firstLineChars="176"/>
        <w:rPr>
          <w:rFonts w:cs="Times New Roman"/>
          <w:b/>
          <w:bCs/>
        </w:rPr>
      </w:pPr>
      <w:r>
        <w:rPr>
          <w:rFonts w:hint="eastAsia"/>
          <w:b/>
          <w:bCs/>
        </w:rPr>
        <w:t>（二）合同公告及备案</w:t>
      </w:r>
    </w:p>
    <w:p>
      <w:pPr>
        <w:pStyle w:val="10"/>
        <w:spacing w:after="0" w:line="360" w:lineRule="auto"/>
        <w:ind w:left="0" w:leftChars="0"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pPr>
        <w:pStyle w:val="10"/>
        <w:spacing w:after="0" w:line="360" w:lineRule="auto"/>
        <w:ind w:left="0" w:leftChars="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pPr>
        <w:spacing w:line="360" w:lineRule="auto"/>
        <w:jc w:val="center"/>
        <w:rPr>
          <w:rFonts w:ascii="宋体" w:hAnsi="宋体" w:cs="宋体"/>
          <w:b/>
          <w:bCs/>
          <w:sz w:val="28"/>
          <w:szCs w:val="28"/>
        </w:rPr>
      </w:pPr>
      <w:r>
        <w:rPr>
          <w:rFonts w:hint="eastAsia" w:ascii="宋体" w:hAnsi="宋体" w:cs="宋体"/>
          <w:b/>
          <w:bCs/>
          <w:sz w:val="28"/>
          <w:szCs w:val="28"/>
        </w:rPr>
        <w:t>八、其他</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采购过程中出现以下情形，导致电子交易平台无法正常运行，或者无法保证电子交易的公平、公正和安全时，采购代理机构可中止电子交易活动：</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1、电子交易平台发生故障而无法登录访问的；</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3、电子交易平台发现严重安全漏洞，有潜在泄密危险的；</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4、病毒发作导致不能进行正常操作的；</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5、其他无法保证电子交易的公平、公正和安全的情况。</w:t>
      </w:r>
    </w:p>
    <w:p>
      <w:pPr>
        <w:pStyle w:val="10"/>
        <w:spacing w:after="0" w:line="360" w:lineRule="auto"/>
        <w:ind w:left="0" w:leftChars="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pPr>
        <w:widowControl/>
        <w:jc w:val="center"/>
        <w:outlineLvl w:val="0"/>
        <w:rPr>
          <w:rFonts w:ascii="宋体" w:cs="宋体"/>
          <w:b/>
          <w:bCs/>
          <w:sz w:val="36"/>
          <w:szCs w:val="36"/>
        </w:rPr>
      </w:pPr>
      <w:r>
        <w:rPr>
          <w:rFonts w:hint="eastAsia" w:ascii="宋体" w:hAnsi="宋体" w:cs="宋体"/>
          <w:b/>
          <w:bCs/>
          <w:sz w:val="36"/>
          <w:szCs w:val="36"/>
        </w:rPr>
        <w:br w:type="page"/>
      </w:r>
      <w:bookmarkStart w:id="19" w:name="_Toc11236"/>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评标办法及评分标准</w:t>
      </w:r>
      <w:bookmarkEnd w:id="19"/>
    </w:p>
    <w:p>
      <w:pPr>
        <w:autoSpaceDE w:val="0"/>
        <w:autoSpaceDN w:val="0"/>
        <w:spacing w:line="440" w:lineRule="exact"/>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pPr>
        <w:autoSpaceDE w:val="0"/>
        <w:autoSpaceDN w:val="0"/>
        <w:spacing w:line="440" w:lineRule="exact"/>
        <w:ind w:firstLine="480" w:firstLineChars="200"/>
        <w:rPr>
          <w:b/>
          <w:bCs/>
          <w:color w:val="FF0000"/>
        </w:rPr>
      </w:pPr>
      <w:r>
        <w:rPr>
          <w:rFonts w:hint="eastAsia" w:ascii="宋体" w:hAnsi="宋体" w:cs="宋体"/>
          <w:kern w:val="0"/>
          <w:sz w:val="24"/>
          <w:szCs w:val="24"/>
        </w:rPr>
        <w:t>二、本次招标的评标方法为综合评分法，总计</w:t>
      </w:r>
      <w:r>
        <w:rPr>
          <w:rFonts w:ascii="宋体" w:hAnsi="宋体" w:cs="宋体"/>
          <w:kern w:val="0"/>
          <w:sz w:val="24"/>
          <w:szCs w:val="24"/>
        </w:rPr>
        <w:t>100</w:t>
      </w:r>
      <w:r>
        <w:rPr>
          <w:rFonts w:hint="eastAsia" w:ascii="宋体" w:hAnsi="宋体" w:cs="宋体"/>
          <w:kern w:val="0"/>
          <w:sz w:val="24"/>
          <w:szCs w:val="24"/>
        </w:rPr>
        <w:t>分。</w:t>
      </w:r>
      <w:r>
        <w:rPr>
          <w:rFonts w:hint="eastAsia" w:ascii="宋体" w:hAnsi="宋体" w:cs="宋体"/>
          <w:b/>
          <w:bCs/>
          <w:color w:val="FF0000"/>
          <w:kern w:val="0"/>
          <w:sz w:val="24"/>
          <w:szCs w:val="24"/>
        </w:rPr>
        <w:t>商务技术</w:t>
      </w:r>
      <w:r>
        <w:rPr>
          <w:rFonts w:hint="eastAsia" w:cs="宋体"/>
          <w:b/>
          <w:bCs/>
          <w:color w:val="FF0000"/>
          <w:kern w:val="0"/>
          <w:sz w:val="24"/>
          <w:szCs w:val="24"/>
        </w:rPr>
        <w:t>70</w:t>
      </w:r>
      <w:r>
        <w:rPr>
          <w:rFonts w:hint="eastAsia" w:ascii="宋体" w:hAnsi="宋体" w:cs="宋体"/>
          <w:b/>
          <w:bCs/>
          <w:color w:val="FF0000"/>
          <w:kern w:val="0"/>
          <w:sz w:val="24"/>
          <w:szCs w:val="24"/>
        </w:rPr>
        <w:t>分，报价</w:t>
      </w:r>
      <w:r>
        <w:rPr>
          <w:rFonts w:hint="eastAsia" w:cs="宋体"/>
          <w:b/>
          <w:bCs/>
          <w:color w:val="FF0000"/>
          <w:kern w:val="0"/>
          <w:sz w:val="24"/>
          <w:szCs w:val="24"/>
        </w:rPr>
        <w:t>30</w:t>
      </w:r>
      <w:r>
        <w:rPr>
          <w:rFonts w:hint="eastAsia" w:ascii="宋体" w:hAnsi="宋体" w:cs="宋体"/>
          <w:b/>
          <w:bCs/>
          <w:color w:val="FF0000"/>
          <w:kern w:val="0"/>
          <w:sz w:val="24"/>
          <w:szCs w:val="24"/>
        </w:rPr>
        <w:t>分。</w:t>
      </w:r>
    </w:p>
    <w:p>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（一）商务技术文件中的客观分由评标委员会讨论后统一打分；其余在规定的分值内单独评定打分。</w:t>
      </w:r>
    </w:p>
    <w:p>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（二）各投标人商务技术文件得分按照评标委员会成员的独立评分结果汇总后的算术平均分计算，计算公式为：</w:t>
      </w:r>
    </w:p>
    <w:p>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商务技术文件得分</w:t>
      </w:r>
      <w:r>
        <w:rPr>
          <w:rFonts w:ascii="宋体" w:hAnsi="宋体" w:cs="宋体"/>
          <w:kern w:val="0"/>
          <w:sz w:val="24"/>
          <w:szCs w:val="24"/>
        </w:rPr>
        <w:t>=</w:t>
      </w:r>
      <w:r>
        <w:rPr>
          <w:rFonts w:hint="eastAsia" w:ascii="宋体" w:hAnsi="宋体" w:cs="宋体"/>
          <w:kern w:val="0"/>
          <w:sz w:val="24"/>
          <w:szCs w:val="24"/>
        </w:rPr>
        <w:t>评标委员会所有成员评分合计数</w:t>
      </w:r>
      <w:r>
        <w:rPr>
          <w:rFonts w:ascii="宋体" w:hAnsi="宋体" w:cs="宋体"/>
          <w:kern w:val="0"/>
          <w:sz w:val="24"/>
          <w:szCs w:val="24"/>
        </w:rPr>
        <w:t>/</w:t>
      </w:r>
      <w:r>
        <w:rPr>
          <w:rFonts w:hint="eastAsia" w:ascii="宋体" w:hAnsi="宋体" w:cs="宋体"/>
          <w:kern w:val="0"/>
          <w:sz w:val="24"/>
          <w:szCs w:val="24"/>
        </w:rPr>
        <w:t>评标委员会组成人员数。</w:t>
      </w:r>
    </w:p>
    <w:p>
      <w:pPr>
        <w:numPr>
          <w:ilvl w:val="0"/>
          <w:numId w:val="6"/>
        </w:num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u w:val="single"/>
        </w:rPr>
        <w:t>投标报价得分</w:t>
      </w:r>
      <w:r>
        <w:rPr>
          <w:rFonts w:ascii="宋体" w:hAnsi="宋体" w:cs="宋体"/>
          <w:kern w:val="0"/>
          <w:sz w:val="24"/>
          <w:szCs w:val="24"/>
          <w:u w:val="single"/>
        </w:rPr>
        <w:t>=</w:t>
      </w:r>
      <w:r>
        <w:rPr>
          <w:rFonts w:hint="eastAsia" w:ascii="宋体" w:hAnsi="宋体" w:cs="宋体"/>
          <w:kern w:val="0"/>
          <w:sz w:val="24"/>
          <w:szCs w:val="24"/>
          <w:u w:val="single"/>
          <w:lang w:eastAsia="zh-CN"/>
        </w:rPr>
        <w:t>（</w:t>
      </w:r>
      <w:r>
        <w:rPr>
          <w:rFonts w:hint="eastAsia" w:ascii="宋体" w:hAnsi="宋体" w:cs="宋体"/>
          <w:kern w:val="0"/>
          <w:sz w:val="24"/>
          <w:szCs w:val="24"/>
          <w:u w:val="single"/>
        </w:rPr>
        <w:t>评标基准价／投标报价</w:t>
      </w:r>
      <w:r>
        <w:rPr>
          <w:rFonts w:hint="eastAsia" w:ascii="宋体" w:hAnsi="宋体" w:cs="宋体"/>
          <w:kern w:val="0"/>
          <w:sz w:val="24"/>
          <w:szCs w:val="24"/>
          <w:u w:val="single"/>
          <w:lang w:eastAsia="zh-CN"/>
        </w:rPr>
        <w:t>）</w:t>
      </w:r>
      <w:r>
        <w:rPr>
          <w:rFonts w:hint="eastAsia" w:ascii="宋体" w:hAnsi="宋体" w:cs="宋体"/>
          <w:kern w:val="0"/>
          <w:sz w:val="24"/>
          <w:szCs w:val="24"/>
          <w:u w:val="single"/>
        </w:rPr>
        <w:t>×30</w:t>
      </w:r>
      <w:r>
        <w:rPr>
          <w:rFonts w:ascii="宋体" w:hAnsi="宋体" w:cs="宋体"/>
          <w:kern w:val="0"/>
          <w:sz w:val="24"/>
          <w:szCs w:val="24"/>
          <w:u w:val="single"/>
        </w:rPr>
        <w:t>%</w:t>
      </w:r>
      <w:r>
        <w:rPr>
          <w:rFonts w:hint="eastAsia" w:ascii="宋体" w:hAnsi="宋体" w:cs="宋体"/>
          <w:kern w:val="0"/>
          <w:sz w:val="24"/>
          <w:szCs w:val="24"/>
          <w:u w:val="single"/>
        </w:rPr>
        <w:t>×</w:t>
      </w:r>
      <w:r>
        <w:rPr>
          <w:rFonts w:ascii="宋体" w:hAnsi="宋体" w:cs="宋体"/>
          <w:kern w:val="0"/>
          <w:sz w:val="24"/>
          <w:szCs w:val="24"/>
          <w:u w:val="single"/>
        </w:rPr>
        <w:t xml:space="preserve">100 </w:t>
      </w:r>
      <w:r>
        <w:rPr>
          <w:rFonts w:hint="eastAsia" w:ascii="宋体" w:hAnsi="宋体" w:cs="宋体"/>
          <w:kern w:val="0"/>
          <w:sz w:val="24"/>
          <w:szCs w:val="24"/>
        </w:rPr>
        <w:t>。</w:t>
      </w:r>
    </w:p>
    <w:p>
      <w:pPr>
        <w:numPr>
          <w:ilvl w:val="0"/>
          <w:numId w:val="6"/>
        </w:numPr>
        <w:autoSpaceDE w:val="0"/>
        <w:autoSpaceDN w:val="0"/>
        <w:spacing w:line="440" w:lineRule="exact"/>
        <w:ind w:firstLine="480" w:firstLineChars="200"/>
        <w:rPr>
          <w:rFonts w:ascii="宋体" w:cs="宋体"/>
          <w:b/>
          <w:bCs/>
          <w:color w:val="000000"/>
          <w:kern w:val="0"/>
          <w:sz w:val="24"/>
          <w:szCs w:val="24"/>
          <w:lang w:val="zh-CN"/>
        </w:rPr>
      </w:pPr>
      <w:r>
        <w:rPr>
          <w:rFonts w:hint="eastAsia" w:ascii="宋体" w:hAnsi="宋体" w:cs="宋体"/>
          <w:b/>
          <w:bCs/>
          <w:color w:val="000000"/>
          <w:kern w:val="0"/>
          <w:sz w:val="24"/>
          <w:szCs w:val="24"/>
        </w:rPr>
        <w:t>投标人评标综合得分</w:t>
      </w:r>
      <w:r>
        <w:rPr>
          <w:rFonts w:ascii="宋体" w:hAnsi="宋体" w:cs="宋体"/>
          <w:b/>
          <w:bCs/>
          <w:color w:val="000000"/>
          <w:kern w:val="0"/>
          <w:sz w:val="24"/>
          <w:szCs w:val="24"/>
        </w:rPr>
        <w:t>=</w:t>
      </w:r>
      <w:r>
        <w:rPr>
          <w:rFonts w:hint="eastAsia" w:ascii="宋体" w:hAnsi="宋体" w:cs="宋体"/>
          <w:b/>
          <w:bCs/>
          <w:color w:val="000000"/>
          <w:kern w:val="0"/>
          <w:sz w:val="24"/>
          <w:szCs w:val="24"/>
        </w:rPr>
        <w:t>商务技术分</w:t>
      </w:r>
      <w:r>
        <w:rPr>
          <w:rFonts w:ascii="宋体" w:hAnsi="宋体" w:cs="宋体"/>
          <w:b/>
          <w:bCs/>
          <w:color w:val="000000"/>
          <w:kern w:val="0"/>
          <w:sz w:val="24"/>
          <w:szCs w:val="24"/>
        </w:rPr>
        <w:t>+</w:t>
      </w:r>
      <w:r>
        <w:rPr>
          <w:rFonts w:hint="eastAsia" w:ascii="宋体" w:hAnsi="宋体" w:cs="宋体"/>
          <w:b/>
          <w:bCs/>
          <w:color w:val="000000"/>
          <w:kern w:val="0"/>
          <w:sz w:val="24"/>
          <w:szCs w:val="24"/>
        </w:rPr>
        <w:t>报价分。</w:t>
      </w:r>
    </w:p>
    <w:p>
      <w:pPr>
        <w:autoSpaceDE w:val="0"/>
        <w:autoSpaceDN w:val="0"/>
        <w:adjustRightInd w:val="0"/>
        <w:spacing w:line="440" w:lineRule="exact"/>
        <w:ind w:firstLine="468" w:firstLineChars="195"/>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pPr>
        <w:autoSpaceDE w:val="0"/>
        <w:autoSpaceDN w:val="0"/>
        <w:adjustRightInd w:val="0"/>
        <w:spacing w:line="440" w:lineRule="exact"/>
        <w:ind w:firstLine="360" w:firstLineChars="150"/>
        <w:jc w:val="left"/>
        <w:rPr>
          <w:rFonts w:ascii="宋体" w:hAnsi="宋体" w:cs="宋体"/>
          <w:b/>
          <w:bCs/>
          <w:kern w:val="0"/>
          <w:sz w:val="24"/>
          <w:szCs w:val="24"/>
        </w:rPr>
      </w:pPr>
      <w:r>
        <w:rPr>
          <w:rFonts w:hint="eastAsia" w:ascii="宋体" w:hAnsi="宋体" w:cs="宋体"/>
          <w:kern w:val="0"/>
          <w:sz w:val="24"/>
          <w:szCs w:val="24"/>
        </w:rPr>
        <w:t>五、本次评分具体分值细化条款如下表（70分）</w:t>
      </w:r>
      <w:r>
        <w:rPr>
          <w:rFonts w:hint="eastAsia" w:ascii="宋体" w:hAnsi="宋体" w:cs="宋体"/>
          <w:b/>
          <w:bCs/>
          <w:kern w:val="0"/>
          <w:sz w:val="24"/>
          <w:szCs w:val="24"/>
        </w:rPr>
        <w:t>：</w:t>
      </w:r>
    </w:p>
    <w:tbl>
      <w:tblPr>
        <w:tblStyle w:val="19"/>
        <w:tblW w:w="507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63"/>
        <w:gridCol w:w="713"/>
        <w:gridCol w:w="6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95" w:type="pct"/>
            <w:tcBorders>
              <w:tl2br w:val="nil"/>
              <w:tr2bl w:val="nil"/>
            </w:tcBorders>
            <w:vAlign w:val="center"/>
          </w:tcPr>
          <w:p>
            <w:pPr>
              <w:jc w:val="center"/>
              <w:rPr>
                <w:rFonts w:ascii="宋体" w:hAnsi="宋体" w:cs="宋体"/>
                <w:b/>
                <w:bCs/>
                <w:sz w:val="22"/>
                <w:szCs w:val="20"/>
              </w:rPr>
            </w:pPr>
            <w:r>
              <w:rPr>
                <w:rFonts w:hint="eastAsia" w:ascii="宋体" w:hAnsi="宋体" w:cs="宋体"/>
                <w:b/>
                <w:bCs/>
                <w:sz w:val="22"/>
                <w:szCs w:val="20"/>
              </w:rPr>
              <w:t>序号</w:t>
            </w:r>
          </w:p>
        </w:tc>
        <w:tc>
          <w:tcPr>
            <w:tcW w:w="604" w:type="pct"/>
            <w:tcBorders>
              <w:tl2br w:val="nil"/>
              <w:tr2bl w:val="nil"/>
            </w:tcBorders>
            <w:vAlign w:val="center"/>
          </w:tcPr>
          <w:p>
            <w:pPr>
              <w:jc w:val="center"/>
              <w:rPr>
                <w:rFonts w:ascii="宋体" w:hAnsi="宋体" w:cs="宋体"/>
                <w:b/>
                <w:bCs/>
                <w:sz w:val="22"/>
                <w:szCs w:val="20"/>
              </w:rPr>
            </w:pPr>
            <w:r>
              <w:rPr>
                <w:rFonts w:hint="eastAsia" w:ascii="宋体" w:hAnsi="宋体" w:cs="宋体"/>
                <w:b/>
                <w:bCs/>
                <w:sz w:val="22"/>
                <w:szCs w:val="20"/>
              </w:rPr>
              <w:t>评分项目</w:t>
            </w:r>
          </w:p>
        </w:tc>
        <w:tc>
          <w:tcPr>
            <w:tcW w:w="405" w:type="pct"/>
            <w:tcBorders>
              <w:tl2br w:val="nil"/>
              <w:tr2bl w:val="nil"/>
            </w:tcBorders>
            <w:vAlign w:val="center"/>
          </w:tcPr>
          <w:p>
            <w:pPr>
              <w:jc w:val="center"/>
              <w:rPr>
                <w:rFonts w:ascii="宋体" w:hAnsi="宋体" w:cs="宋体"/>
                <w:b/>
                <w:bCs/>
                <w:sz w:val="22"/>
                <w:szCs w:val="20"/>
              </w:rPr>
            </w:pPr>
            <w:r>
              <w:rPr>
                <w:rFonts w:hint="eastAsia" w:ascii="宋体" w:hAnsi="宋体" w:cs="宋体"/>
                <w:b/>
                <w:bCs/>
                <w:sz w:val="22"/>
                <w:szCs w:val="20"/>
              </w:rPr>
              <w:t>分值</w:t>
            </w:r>
          </w:p>
        </w:tc>
        <w:tc>
          <w:tcPr>
            <w:tcW w:w="3595" w:type="pct"/>
            <w:tcBorders>
              <w:tl2br w:val="nil"/>
              <w:tr2bl w:val="nil"/>
            </w:tcBorders>
            <w:vAlign w:val="center"/>
          </w:tcPr>
          <w:p>
            <w:pPr>
              <w:jc w:val="center"/>
              <w:rPr>
                <w:rFonts w:ascii="宋体" w:hAnsi="宋体" w:cs="宋体"/>
                <w:b/>
                <w:bCs/>
                <w:sz w:val="22"/>
                <w:szCs w:val="20"/>
              </w:rPr>
            </w:pPr>
            <w:r>
              <w:rPr>
                <w:rFonts w:hint="eastAsia" w:ascii="宋体" w:hAnsi="宋体" w:cs="宋体"/>
                <w:b/>
                <w:bCs/>
                <w:sz w:val="22"/>
                <w:szCs w:val="20"/>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1.1</w:t>
            </w:r>
          </w:p>
        </w:tc>
        <w:tc>
          <w:tcPr>
            <w:tcW w:w="604" w:type="pct"/>
            <w:vMerge w:val="restar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投标供应商综合实力</w:t>
            </w: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2</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根据投标人自2019年1月1日以来参加市级及以上政府部门组织的病媒生物技能比武等活动中获奖的，其中每提供一个省级一等奖得1分，二等奖得0.5分，三等奖得0.25分，每提供一个市级一等奖得0.5分，二等奖得0.25分，三等奖得0.1分，同一奖项只计取一次，就高得分，本项最高得2分。</w:t>
            </w:r>
          </w:p>
          <w:p>
            <w:pPr>
              <w:spacing w:line="300" w:lineRule="exact"/>
              <w:rPr>
                <w:rFonts w:ascii="宋体" w:hAnsi="宋体" w:cs="宋体"/>
                <w:sz w:val="22"/>
              </w:rPr>
            </w:pPr>
            <w:r>
              <w:rPr>
                <w:rFonts w:hint="eastAsia" w:ascii="宋体" w:hAnsi="宋体" w:cs="宋体"/>
                <w:b/>
                <w:bCs/>
                <w:sz w:val="22"/>
              </w:rPr>
              <w:t>（相关奖项证明材料中须体现投标人名称，否则不得分。）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1.2</w:t>
            </w:r>
          </w:p>
        </w:tc>
        <w:tc>
          <w:tcPr>
            <w:tcW w:w="604" w:type="pct"/>
            <w:vMerge w:val="continue"/>
            <w:tcBorders>
              <w:tl2br w:val="nil"/>
              <w:tr2bl w:val="nil"/>
            </w:tcBorders>
            <w:vAlign w:val="center"/>
          </w:tcPr>
          <w:p>
            <w:pPr>
              <w:jc w:val="center"/>
              <w:rPr>
                <w:rFonts w:ascii="宋体" w:hAnsi="宋体" w:cs="宋体"/>
                <w:sz w:val="22"/>
                <w:szCs w:val="20"/>
              </w:rPr>
            </w:pP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1</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投标人自2019年1月1日以来得过政府部门颁发的与病媒生物防制或防疫相关奖项、荣誉的，每提供一个得1分。</w:t>
            </w:r>
          </w:p>
          <w:p>
            <w:pPr>
              <w:spacing w:line="300" w:lineRule="exact"/>
              <w:rPr>
                <w:rFonts w:ascii="宋体" w:hAnsi="宋体" w:cs="宋体"/>
                <w:sz w:val="22"/>
              </w:rPr>
            </w:pPr>
            <w:r>
              <w:rPr>
                <w:rFonts w:hint="eastAsia" w:ascii="宋体" w:hAnsi="宋体" w:cs="宋体"/>
                <w:b/>
                <w:bCs/>
                <w:sz w:val="22"/>
              </w:rPr>
              <w:t>（相关奖项、荣誉证明材料须体现投标人名称，否则不得分。本项内容与第一项内容不可重复计分。）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2</w:t>
            </w:r>
          </w:p>
        </w:tc>
        <w:tc>
          <w:tcPr>
            <w:tcW w:w="604"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内部组织管理制度</w:t>
            </w: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2</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有完善的内部组织管理制度（工作考勤、监督管理机制及奖罚管理）。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3</w:t>
            </w:r>
          </w:p>
        </w:tc>
        <w:tc>
          <w:tcPr>
            <w:tcW w:w="604"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拟投入技术力量</w:t>
            </w:r>
          </w:p>
        </w:tc>
        <w:tc>
          <w:tcPr>
            <w:tcW w:w="405" w:type="pct"/>
            <w:tcBorders>
              <w:tl2br w:val="nil"/>
              <w:tr2bl w:val="nil"/>
            </w:tcBorders>
            <w:vAlign w:val="center"/>
          </w:tcPr>
          <w:p>
            <w:pPr>
              <w:jc w:val="center"/>
              <w:rPr>
                <w:rFonts w:ascii="宋体" w:hAnsi="宋体" w:cs="宋体"/>
                <w:color w:val="000000" w:themeColor="text1"/>
                <w:sz w:val="22"/>
                <w:szCs w:val="20"/>
              </w:rPr>
            </w:pPr>
            <w:r>
              <w:rPr>
                <w:rFonts w:hint="eastAsia" w:ascii="宋体" w:hAnsi="宋体" w:cs="宋体"/>
                <w:color w:val="000000" w:themeColor="text1"/>
                <w:sz w:val="22"/>
                <w:szCs w:val="20"/>
              </w:rPr>
              <w:t>16</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1</w:t>
            </w:r>
            <w:r>
              <w:rPr>
                <w:rFonts w:hint="eastAsia" w:ascii="宋体" w:hAnsi="宋体" w:cs="宋体"/>
                <w:sz w:val="22"/>
                <w:lang w:eastAsia="zh-CN"/>
              </w:rPr>
              <w:t>、</w:t>
            </w:r>
            <w:r>
              <w:rPr>
                <w:rFonts w:hint="eastAsia" w:ascii="宋体" w:hAnsi="宋体" w:cs="宋体"/>
                <w:sz w:val="22"/>
              </w:rPr>
              <w:t>拟派作业人员持有有害生物防制高级</w:t>
            </w:r>
            <w:r>
              <w:rPr>
                <w:rFonts w:hint="eastAsia" w:ascii="宋体" w:hAnsi="宋体" w:cs="宋体"/>
                <w:sz w:val="22"/>
                <w:lang w:eastAsia="zh-CN"/>
              </w:rPr>
              <w:t>（</w:t>
            </w:r>
            <w:r>
              <w:rPr>
                <w:rFonts w:hint="eastAsia" w:ascii="宋体" w:hAnsi="宋体" w:cs="宋体"/>
                <w:sz w:val="22"/>
              </w:rPr>
              <w:t>三级）资质证书技术人员，每提供一名得2分，本项最高得6分；</w:t>
            </w:r>
          </w:p>
          <w:p>
            <w:pPr>
              <w:spacing w:line="300" w:lineRule="exact"/>
              <w:rPr>
                <w:rFonts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拟派作业人员持有害生物防制中级（四级）资质证书技术人员，每提供一名得1.5分，本项最高得6分；</w:t>
            </w:r>
          </w:p>
          <w:p>
            <w:pPr>
              <w:spacing w:line="300" w:lineRule="exact"/>
              <w:rPr>
                <w:rFonts w:ascii="宋体" w:hAnsi="宋体" w:cs="宋体"/>
                <w:sz w:val="22"/>
              </w:rPr>
            </w:pPr>
            <w:r>
              <w:rPr>
                <w:rFonts w:hint="eastAsia" w:ascii="宋体" w:hAnsi="宋体" w:cs="宋体"/>
                <w:sz w:val="22"/>
              </w:rPr>
              <w:t>3</w:t>
            </w:r>
            <w:r>
              <w:rPr>
                <w:rFonts w:hint="eastAsia" w:ascii="宋体" w:hAnsi="宋体" w:cs="宋体"/>
                <w:sz w:val="22"/>
                <w:lang w:eastAsia="zh-CN"/>
              </w:rPr>
              <w:t>、</w:t>
            </w:r>
            <w:r>
              <w:rPr>
                <w:rFonts w:hint="eastAsia" w:ascii="宋体" w:hAnsi="宋体" w:cs="宋体"/>
                <w:sz w:val="22"/>
              </w:rPr>
              <w:t>拟派作业人员持有害生物防制初级（五级）资质证书技术人员，每提供一名得1分，本项最高得4分；</w:t>
            </w:r>
          </w:p>
          <w:p>
            <w:pPr>
              <w:spacing w:line="300" w:lineRule="exact"/>
              <w:rPr>
                <w:rFonts w:ascii="宋体" w:hAnsi="宋体" w:cs="宋体"/>
                <w:b/>
                <w:bCs/>
                <w:sz w:val="22"/>
              </w:rPr>
            </w:pPr>
            <w:r>
              <w:rPr>
                <w:rFonts w:hint="eastAsia" w:ascii="宋体" w:hAnsi="宋体" w:cs="宋体"/>
                <w:b/>
                <w:bCs/>
                <w:sz w:val="22"/>
              </w:rPr>
              <w:t>注</w:t>
            </w:r>
            <w:r>
              <w:rPr>
                <w:rFonts w:hint="eastAsia" w:ascii="宋体" w:hAnsi="宋体" w:cs="宋体"/>
                <w:b/>
                <w:bCs/>
                <w:sz w:val="22"/>
                <w:lang w:eastAsia="zh-CN"/>
              </w:rPr>
              <w:t>：</w:t>
            </w:r>
            <w:r>
              <w:rPr>
                <w:rFonts w:hint="eastAsia" w:ascii="宋体" w:hAnsi="宋体" w:cs="宋体"/>
                <w:b/>
                <w:bCs/>
                <w:sz w:val="22"/>
              </w:rPr>
              <w:t>高级可代中级或初级、中级可代初级，</w:t>
            </w:r>
            <w:r>
              <w:rPr>
                <w:rFonts w:hint="eastAsia" w:ascii="宋体" w:hAnsi="宋体" w:cs="宋体"/>
                <w:b/>
                <w:bCs/>
                <w:color w:val="FF0000"/>
                <w:sz w:val="22"/>
                <w:szCs w:val="20"/>
              </w:rPr>
              <w:t>上述人员不可重复。</w:t>
            </w:r>
          </w:p>
          <w:p>
            <w:pPr>
              <w:spacing w:line="300" w:lineRule="exact"/>
              <w:rPr>
                <w:rFonts w:ascii="宋体" w:hAnsi="宋体" w:cs="宋体"/>
                <w:sz w:val="22"/>
              </w:rPr>
            </w:pPr>
            <w:r>
              <w:rPr>
                <w:rFonts w:hint="eastAsia" w:ascii="宋体" w:hAnsi="宋体" w:cs="宋体"/>
                <w:sz w:val="22"/>
              </w:rPr>
              <w:t>（本项评分最高16分，至少提供8名拟派技术人员，须同时提供相关证书复印件和投标截止时间前6个月内的代缴个税税单或参加社会保险的《投保单》或《社会保险参保人员证明》等证明，投标文件中需提供相关清晰可辨复印件，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4</w:t>
            </w:r>
          </w:p>
        </w:tc>
        <w:tc>
          <w:tcPr>
            <w:tcW w:w="604"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服务</w:t>
            </w:r>
          </w:p>
          <w:p>
            <w:pPr>
              <w:jc w:val="center"/>
              <w:rPr>
                <w:rFonts w:ascii="宋体" w:hAnsi="宋体" w:cs="宋体"/>
                <w:sz w:val="22"/>
                <w:szCs w:val="20"/>
              </w:rPr>
            </w:pPr>
            <w:r>
              <w:rPr>
                <w:rFonts w:hint="eastAsia" w:ascii="宋体" w:hAnsi="宋体" w:cs="宋体"/>
                <w:sz w:val="22"/>
                <w:szCs w:val="20"/>
              </w:rPr>
              <w:t>业绩</w:t>
            </w:r>
          </w:p>
        </w:tc>
        <w:tc>
          <w:tcPr>
            <w:tcW w:w="405" w:type="pct"/>
            <w:tcBorders>
              <w:tl2br w:val="nil"/>
              <w:tr2bl w:val="nil"/>
            </w:tcBorders>
            <w:vAlign w:val="center"/>
          </w:tcPr>
          <w:p>
            <w:pPr>
              <w:jc w:val="center"/>
              <w:rPr>
                <w:rFonts w:ascii="宋体" w:hAnsi="宋体" w:cs="宋体"/>
                <w:b/>
                <w:color w:val="FF0000"/>
                <w:sz w:val="22"/>
                <w:szCs w:val="20"/>
              </w:rPr>
            </w:pPr>
            <w:r>
              <w:rPr>
                <w:rFonts w:hint="eastAsia" w:ascii="宋体" w:hAnsi="宋体" w:cs="宋体"/>
                <w:sz w:val="22"/>
                <w:szCs w:val="20"/>
              </w:rPr>
              <w:t>3</w:t>
            </w:r>
          </w:p>
        </w:tc>
        <w:tc>
          <w:tcPr>
            <w:tcW w:w="3595" w:type="pct"/>
            <w:tcBorders>
              <w:tl2br w:val="nil"/>
              <w:tr2bl w:val="nil"/>
            </w:tcBorders>
            <w:vAlign w:val="center"/>
          </w:tcPr>
          <w:p>
            <w:pPr>
              <w:spacing w:line="300" w:lineRule="exact"/>
              <w:rPr>
                <w:rFonts w:ascii="宋体" w:hAnsi="宋体" w:cs="宋体"/>
                <w:sz w:val="22"/>
                <w:szCs w:val="20"/>
              </w:rPr>
            </w:pPr>
            <w:r>
              <w:rPr>
                <w:rFonts w:hint="eastAsia" w:ascii="宋体" w:hAnsi="宋体" w:cs="宋体"/>
                <w:sz w:val="22"/>
                <w:szCs w:val="20"/>
              </w:rPr>
              <w:t>自2019年1月1日（以合同签订时间为准）以来，提供成功创建（或复评）国家级、省级、地市级卫生乡镇（或城市）案例，国家级每个案例得1.5分，省级每个案例得1分，地市级每个案例得0.5分，本项最高得3分。</w:t>
            </w:r>
            <w:r>
              <w:rPr>
                <w:rFonts w:hint="eastAsia" w:ascii="宋体" w:hAnsi="宋体" w:cs="宋体"/>
                <w:sz w:val="22"/>
                <w:szCs w:val="20"/>
                <w:lang w:eastAsia="zh-CN"/>
              </w:rPr>
              <w:t>（</w:t>
            </w:r>
            <w:r>
              <w:rPr>
                <w:rFonts w:hint="eastAsia" w:ascii="宋体" w:hAnsi="宋体" w:cs="宋体"/>
                <w:b/>
                <w:bCs/>
                <w:sz w:val="22"/>
                <w:szCs w:val="20"/>
              </w:rPr>
              <w:t>注：须提供以下证明材料：1、项目合同；2、相关创建成功案例证明材料（网上公示的可提供网页截图）；二者缺一不可，否则不得分，相关资料复印件均应编入商务技术文件中。请按照：A业绩合同、A业绩创建成功证明材料；B业绩合同……这样的顺序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5</w:t>
            </w:r>
          </w:p>
        </w:tc>
        <w:tc>
          <w:tcPr>
            <w:tcW w:w="604"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技术</w:t>
            </w:r>
          </w:p>
          <w:p>
            <w:pPr>
              <w:jc w:val="center"/>
              <w:rPr>
                <w:rFonts w:ascii="宋体" w:hAnsi="宋体" w:cs="宋体"/>
                <w:sz w:val="22"/>
                <w:szCs w:val="20"/>
              </w:rPr>
            </w:pPr>
            <w:r>
              <w:rPr>
                <w:rFonts w:hint="eastAsia" w:ascii="宋体" w:hAnsi="宋体" w:cs="宋体"/>
                <w:sz w:val="22"/>
                <w:szCs w:val="20"/>
              </w:rPr>
              <w:t>方案</w:t>
            </w: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15</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根据以下内容，各投标文件所附技术方案进行评分：下述各项评分内容最高得分均为3分，评标委员会根据方案内容进行打分。</w:t>
            </w:r>
          </w:p>
          <w:p>
            <w:pPr>
              <w:spacing w:line="300" w:lineRule="exact"/>
              <w:rPr>
                <w:rFonts w:ascii="宋体" w:hAnsi="宋体" w:cs="宋体"/>
                <w:sz w:val="22"/>
              </w:rPr>
            </w:pPr>
            <w:r>
              <w:rPr>
                <w:rFonts w:hint="eastAsia" w:ascii="宋体" w:hAnsi="宋体" w:cs="宋体"/>
                <w:sz w:val="22"/>
              </w:rPr>
              <w:t>1、各村、建筑、外环境的特点认识情况。</w:t>
            </w:r>
          </w:p>
          <w:p>
            <w:pPr>
              <w:spacing w:line="300" w:lineRule="exact"/>
              <w:rPr>
                <w:rFonts w:ascii="宋体" w:hAnsi="宋体" w:cs="宋体"/>
                <w:sz w:val="22"/>
              </w:rPr>
            </w:pPr>
            <w:r>
              <w:rPr>
                <w:rFonts w:hint="eastAsia" w:ascii="宋体" w:hAnsi="宋体" w:cs="宋体"/>
                <w:sz w:val="22"/>
              </w:rPr>
              <w:t>2、防治对象、种类、孳生地调查、密度监测控制方法。</w:t>
            </w:r>
          </w:p>
          <w:p>
            <w:pPr>
              <w:spacing w:line="300" w:lineRule="exact"/>
              <w:rPr>
                <w:rFonts w:ascii="宋体" w:hAnsi="宋体" w:cs="宋体"/>
                <w:sz w:val="22"/>
              </w:rPr>
            </w:pPr>
            <w:r>
              <w:rPr>
                <w:rFonts w:hint="eastAsia" w:ascii="宋体" w:hAnsi="宋体" w:cs="宋体"/>
                <w:sz w:val="22"/>
              </w:rPr>
              <w:t>3、可操作性情况。</w:t>
            </w:r>
          </w:p>
          <w:p>
            <w:pPr>
              <w:spacing w:line="300" w:lineRule="exact"/>
              <w:rPr>
                <w:rFonts w:ascii="宋体" w:hAnsi="宋体" w:cs="宋体"/>
                <w:sz w:val="22"/>
              </w:rPr>
            </w:pPr>
            <w:r>
              <w:rPr>
                <w:rFonts w:hint="eastAsia" w:ascii="宋体" w:hAnsi="宋体" w:cs="宋体"/>
                <w:sz w:val="22"/>
              </w:rPr>
              <w:t>4、选择药物的合理性和安全性，依据不同环境采用药物的种类、量及使用方法（项目中使用的药物需列明清单，含药物名称和使用量）。</w:t>
            </w:r>
          </w:p>
          <w:p>
            <w:pPr>
              <w:spacing w:line="300" w:lineRule="exact"/>
              <w:rPr>
                <w:rFonts w:ascii="宋体" w:hAnsi="宋体" w:cs="宋体"/>
                <w:sz w:val="22"/>
              </w:rPr>
            </w:pPr>
            <w:r>
              <w:rPr>
                <w:rFonts w:hint="eastAsia" w:ascii="宋体" w:hAnsi="宋体" w:cs="宋体"/>
                <w:sz w:val="22"/>
              </w:rPr>
              <w:t>5、所采取的技术和方法适应外环境情况。</w:t>
            </w:r>
          </w:p>
          <w:p>
            <w:pPr>
              <w:spacing w:line="300" w:lineRule="exact"/>
              <w:rPr>
                <w:rFonts w:ascii="宋体" w:hAnsi="宋体" w:cs="宋体"/>
                <w:sz w:val="22"/>
              </w:rPr>
            </w:pPr>
          </w:p>
          <w:p>
            <w:pPr>
              <w:spacing w:line="300" w:lineRule="exact"/>
            </w:pPr>
            <w:r>
              <w:rPr>
                <w:rFonts w:hint="eastAsia" w:ascii="宋体" w:hAnsi="宋体" w:cs="宋体"/>
                <w:sz w:val="22"/>
              </w:rPr>
              <w:t>注：每缺一项内容扣3分。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6</w:t>
            </w:r>
          </w:p>
        </w:tc>
        <w:tc>
          <w:tcPr>
            <w:tcW w:w="604"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实施</w:t>
            </w:r>
          </w:p>
          <w:p>
            <w:pPr>
              <w:jc w:val="center"/>
              <w:rPr>
                <w:rFonts w:ascii="宋体" w:hAnsi="宋体" w:cs="宋体"/>
                <w:sz w:val="22"/>
                <w:szCs w:val="20"/>
              </w:rPr>
            </w:pPr>
            <w:r>
              <w:rPr>
                <w:rFonts w:hint="eastAsia" w:ascii="宋体" w:hAnsi="宋体" w:cs="宋体"/>
                <w:sz w:val="22"/>
                <w:szCs w:val="20"/>
              </w:rPr>
              <w:t>方案</w:t>
            </w: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17.5</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根据以下内容，各投标文件所附实施方案进行评分：下述各项评分内容最高得分均为2.5分，评标委员会根据方案内容进行打分。</w:t>
            </w:r>
          </w:p>
          <w:p>
            <w:pPr>
              <w:spacing w:line="300" w:lineRule="exact"/>
              <w:rPr>
                <w:rFonts w:ascii="宋体" w:hAnsi="宋体" w:cs="宋体"/>
                <w:sz w:val="22"/>
              </w:rPr>
            </w:pPr>
          </w:p>
          <w:p>
            <w:pPr>
              <w:spacing w:line="300" w:lineRule="exact"/>
              <w:rPr>
                <w:rFonts w:ascii="宋体" w:hAnsi="宋体" w:cs="宋体"/>
                <w:sz w:val="22"/>
              </w:rPr>
            </w:pPr>
            <w:r>
              <w:rPr>
                <w:rFonts w:hint="eastAsia" w:ascii="宋体" w:hAnsi="宋体" w:cs="宋体"/>
                <w:sz w:val="22"/>
              </w:rPr>
              <w:t>1、完成病媒生物防制工作总体思路的完整性、正确性，实施细则的完善性。</w:t>
            </w:r>
          </w:p>
          <w:p>
            <w:pPr>
              <w:spacing w:line="300" w:lineRule="exact"/>
              <w:rPr>
                <w:rFonts w:ascii="宋体" w:hAnsi="宋体" w:cs="宋体"/>
                <w:sz w:val="22"/>
              </w:rPr>
            </w:pPr>
            <w:r>
              <w:rPr>
                <w:rFonts w:hint="eastAsia" w:ascii="宋体" w:hAnsi="宋体" w:cs="宋体"/>
                <w:sz w:val="22"/>
              </w:rPr>
              <w:t>2、对病媒生物防制防治工作特点的认识情况。</w:t>
            </w:r>
          </w:p>
          <w:p>
            <w:pPr>
              <w:spacing w:line="300" w:lineRule="exact"/>
              <w:rPr>
                <w:rFonts w:ascii="宋体" w:hAnsi="宋体" w:cs="宋体"/>
                <w:sz w:val="22"/>
              </w:rPr>
            </w:pPr>
            <w:r>
              <w:rPr>
                <w:rFonts w:hint="eastAsia" w:ascii="宋体" w:hAnsi="宋体" w:cs="宋体"/>
                <w:sz w:val="22"/>
              </w:rPr>
              <w:t>3、对每种害虫防治工作周期安排的合理性。</w:t>
            </w:r>
          </w:p>
          <w:p>
            <w:pPr>
              <w:spacing w:line="300" w:lineRule="exact"/>
              <w:rPr>
                <w:rFonts w:ascii="宋体" w:hAnsi="宋体" w:cs="宋体"/>
                <w:sz w:val="22"/>
              </w:rPr>
            </w:pPr>
            <w:r>
              <w:rPr>
                <w:rFonts w:hint="eastAsia" w:ascii="宋体" w:hAnsi="宋体" w:cs="宋体"/>
                <w:sz w:val="22"/>
              </w:rPr>
              <w:t>4、对每种害虫密度监测计划安排、监测方法是否科学合理。</w:t>
            </w:r>
          </w:p>
          <w:p>
            <w:pPr>
              <w:spacing w:line="300" w:lineRule="exact"/>
              <w:rPr>
                <w:rFonts w:ascii="宋体" w:hAnsi="宋体" w:cs="宋体"/>
                <w:sz w:val="22"/>
              </w:rPr>
            </w:pPr>
            <w:r>
              <w:rPr>
                <w:rFonts w:hint="eastAsia" w:ascii="宋体" w:hAnsi="宋体" w:cs="宋体"/>
                <w:sz w:val="22"/>
              </w:rPr>
              <w:t>5、人员组织和设备安排情况。</w:t>
            </w:r>
          </w:p>
          <w:p>
            <w:pPr>
              <w:spacing w:line="300" w:lineRule="exact"/>
              <w:rPr>
                <w:rFonts w:ascii="宋体" w:hAnsi="宋体" w:cs="宋体"/>
                <w:sz w:val="22"/>
              </w:rPr>
            </w:pPr>
            <w:r>
              <w:rPr>
                <w:rFonts w:hint="eastAsia" w:ascii="宋体" w:hAnsi="宋体" w:cs="宋体"/>
                <w:sz w:val="22"/>
              </w:rPr>
              <w:t>6、对资料的收集和分析情况。</w:t>
            </w:r>
          </w:p>
          <w:p>
            <w:pPr>
              <w:spacing w:line="300" w:lineRule="exact"/>
              <w:rPr>
                <w:rFonts w:ascii="宋体" w:hAnsi="宋体" w:cs="宋体"/>
                <w:sz w:val="22"/>
              </w:rPr>
            </w:pPr>
            <w:r>
              <w:rPr>
                <w:rFonts w:hint="eastAsia" w:ascii="宋体" w:hAnsi="宋体" w:cs="宋体"/>
                <w:sz w:val="22"/>
              </w:rPr>
              <w:t>7、“病媒生物防制”培训、宣传方案安排科学合理。</w:t>
            </w:r>
          </w:p>
          <w:p>
            <w:pPr>
              <w:spacing w:line="300" w:lineRule="exact"/>
              <w:rPr>
                <w:rFonts w:ascii="宋体" w:hAnsi="宋体" w:cs="宋体"/>
                <w:sz w:val="22"/>
              </w:rPr>
            </w:pPr>
          </w:p>
          <w:p>
            <w:pPr>
              <w:spacing w:line="300" w:lineRule="exact"/>
            </w:pPr>
            <w:r>
              <w:rPr>
                <w:rFonts w:hint="eastAsia" w:ascii="宋体" w:hAnsi="宋体" w:cs="宋体"/>
                <w:sz w:val="22"/>
              </w:rPr>
              <w:t>注：每缺一项内容扣2.5分。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7.1</w:t>
            </w:r>
          </w:p>
        </w:tc>
        <w:tc>
          <w:tcPr>
            <w:tcW w:w="604" w:type="pct"/>
            <w:vMerge w:val="restar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项目需求和服务承诺</w:t>
            </w: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3</w:t>
            </w:r>
          </w:p>
        </w:tc>
        <w:tc>
          <w:tcPr>
            <w:tcW w:w="3595" w:type="pct"/>
            <w:tcBorders>
              <w:tl2br w:val="nil"/>
              <w:tr2bl w:val="nil"/>
            </w:tcBorders>
            <w:vAlign w:val="center"/>
          </w:tcPr>
          <w:p>
            <w:pPr>
              <w:spacing w:line="300" w:lineRule="exact"/>
              <w:rPr>
                <w:rFonts w:ascii="宋体" w:hAnsi="宋体" w:cs="宋体"/>
                <w:sz w:val="22"/>
                <w:szCs w:val="20"/>
              </w:rPr>
            </w:pPr>
            <w:r>
              <w:rPr>
                <w:rFonts w:hint="eastAsia" w:ascii="宋体" w:hAnsi="宋体" w:cs="宋体"/>
                <w:sz w:val="22"/>
                <w:szCs w:val="20"/>
              </w:rPr>
              <w:t>供应商承诺中标后在服务辖区设立服务站点，拟派常驻技术人员在满足</w:t>
            </w:r>
            <w:r>
              <w:rPr>
                <w:rFonts w:hint="eastAsia" w:ascii="宋体" w:hAnsi="宋体" w:cs="宋体"/>
                <w:sz w:val="22"/>
                <w:szCs w:val="20"/>
                <w:lang w:eastAsia="zh-CN"/>
              </w:rPr>
              <w:t>乡镇</w:t>
            </w:r>
            <w:r>
              <w:rPr>
                <w:rFonts w:hint="eastAsia" w:ascii="宋体" w:hAnsi="宋体" w:cs="宋体"/>
                <w:sz w:val="22"/>
                <w:szCs w:val="20"/>
              </w:rPr>
              <w:t>有1人的基础上，每增加1人加1分，最高累计得分不超过3分。（</w:t>
            </w:r>
            <w:r>
              <w:rPr>
                <w:rFonts w:hint="eastAsia" w:ascii="宋体" w:hAnsi="宋体" w:cs="宋体"/>
                <w:b/>
                <w:bCs/>
                <w:sz w:val="22"/>
                <w:szCs w:val="20"/>
              </w:rPr>
              <w:t>须根据项目实际情况，按</w:t>
            </w:r>
            <w:r>
              <w:rPr>
                <w:rFonts w:hint="eastAsia" w:ascii="宋体" w:hAnsi="宋体" w:cs="宋体"/>
                <w:b/>
                <w:bCs/>
                <w:sz w:val="22"/>
                <w:szCs w:val="20"/>
                <w:lang w:eastAsia="zh-CN"/>
              </w:rPr>
              <w:t>乡镇</w:t>
            </w:r>
            <w:r>
              <w:rPr>
                <w:rFonts w:hint="eastAsia" w:ascii="宋体" w:hAnsi="宋体" w:cs="宋体"/>
                <w:b/>
                <w:bCs/>
                <w:sz w:val="22"/>
                <w:szCs w:val="20"/>
              </w:rPr>
              <w:t>实际消杀范围配备人员，并提供</w:t>
            </w:r>
            <w:r>
              <w:rPr>
                <w:rFonts w:hint="eastAsia" w:ascii="宋体" w:hAnsi="宋体" w:cs="宋体"/>
                <w:b/>
                <w:bCs/>
                <w:sz w:val="22"/>
                <w:szCs w:val="20"/>
                <w:lang w:eastAsia="zh-CN"/>
              </w:rPr>
              <w:t>乡镇</w:t>
            </w:r>
            <w:r>
              <w:rPr>
                <w:rFonts w:hint="eastAsia" w:ascii="宋体" w:hAnsi="宋体" w:cs="宋体"/>
                <w:b/>
                <w:bCs/>
                <w:sz w:val="22"/>
                <w:szCs w:val="20"/>
              </w:rPr>
              <w:t>拟投入人员的名单，并附有效培训合格证（或资格证书）复印件</w:t>
            </w:r>
            <w:r>
              <w:rPr>
                <w:rFonts w:hint="eastAsia" w:ascii="宋体" w:hAnsi="宋体" w:cs="宋体"/>
                <w:b/>
                <w:bCs/>
                <w:color w:val="FF0000"/>
                <w:sz w:val="22"/>
                <w:szCs w:val="20"/>
              </w:rPr>
              <w:t>和</w:t>
            </w:r>
            <w:r>
              <w:rPr>
                <w:rFonts w:hint="eastAsia" w:ascii="宋体" w:hAnsi="宋体" w:cs="宋体"/>
                <w:b/>
                <w:bCs/>
                <w:sz w:val="22"/>
                <w:szCs w:val="20"/>
              </w:rPr>
              <w:t>身份证复印件，且人员不可重复，否则不得分</w:t>
            </w:r>
            <w:r>
              <w:rPr>
                <w:rFonts w:hint="eastAsia" w:ascii="宋体" w:hAnsi="宋体" w:cs="宋体"/>
                <w:sz w:val="22"/>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39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7.2</w:t>
            </w:r>
          </w:p>
        </w:tc>
        <w:tc>
          <w:tcPr>
            <w:tcW w:w="604" w:type="pct"/>
            <w:vMerge w:val="continue"/>
            <w:tcBorders>
              <w:tl2br w:val="nil"/>
              <w:tr2bl w:val="nil"/>
            </w:tcBorders>
            <w:vAlign w:val="center"/>
          </w:tcPr>
          <w:p>
            <w:pPr>
              <w:rPr>
                <w:rFonts w:ascii="宋体" w:hAnsi="宋体" w:cs="宋体"/>
                <w:sz w:val="22"/>
                <w:szCs w:val="20"/>
              </w:rPr>
            </w:pPr>
          </w:p>
        </w:tc>
        <w:tc>
          <w:tcPr>
            <w:tcW w:w="405" w:type="pct"/>
            <w:tcBorders>
              <w:tl2br w:val="nil"/>
              <w:tr2bl w:val="nil"/>
            </w:tcBorders>
            <w:vAlign w:val="center"/>
          </w:tcPr>
          <w:p>
            <w:pPr>
              <w:jc w:val="center"/>
              <w:rPr>
                <w:rFonts w:ascii="宋体" w:hAnsi="宋体" w:cs="宋体"/>
                <w:sz w:val="22"/>
                <w:szCs w:val="20"/>
              </w:rPr>
            </w:pPr>
            <w:r>
              <w:rPr>
                <w:rFonts w:hint="eastAsia" w:ascii="宋体" w:hAnsi="宋体" w:cs="宋体"/>
                <w:sz w:val="22"/>
                <w:szCs w:val="20"/>
              </w:rPr>
              <w:t>4</w:t>
            </w:r>
          </w:p>
        </w:tc>
        <w:tc>
          <w:tcPr>
            <w:tcW w:w="3595" w:type="pct"/>
            <w:tcBorders>
              <w:tl2br w:val="nil"/>
              <w:tr2bl w:val="nil"/>
            </w:tcBorders>
            <w:vAlign w:val="center"/>
          </w:tcPr>
          <w:p>
            <w:pPr>
              <w:spacing w:line="300" w:lineRule="exact"/>
              <w:rPr>
                <w:rFonts w:ascii="宋体" w:hAnsi="宋体" w:cs="宋体"/>
                <w:sz w:val="22"/>
              </w:rPr>
            </w:pPr>
            <w:r>
              <w:rPr>
                <w:rFonts w:hint="eastAsia" w:ascii="宋体" w:hAnsi="宋体" w:cs="宋体"/>
                <w:sz w:val="22"/>
              </w:rPr>
              <w:t>对服务质量、应急反应时间以及优惠条件承诺情况进行打分。</w:t>
            </w:r>
          </w:p>
          <w:p>
            <w:pPr>
              <w:spacing w:line="300" w:lineRule="exact"/>
              <w:rPr>
                <w:rFonts w:ascii="宋体" w:hAnsi="宋体" w:cs="宋体"/>
                <w:sz w:val="22"/>
              </w:rPr>
            </w:pPr>
            <w:r>
              <w:rPr>
                <w:rFonts w:hint="eastAsia" w:ascii="宋体" w:hAnsi="宋体" w:cs="宋体"/>
                <w:sz w:val="22"/>
                <w:szCs w:val="20"/>
                <w:lang w:val="en-US" w:eastAsia="zh-CN"/>
              </w:rPr>
              <w:t>1、</w:t>
            </w:r>
            <w:r>
              <w:rPr>
                <w:rFonts w:hint="eastAsia" w:ascii="宋体" w:hAnsi="宋体" w:cs="宋体"/>
                <w:sz w:val="22"/>
                <w:szCs w:val="20"/>
              </w:rPr>
              <w:t>投标人提供的服务承诺内容全面，响应时间及时，服务质量承诺切实可行的，得3.1-4</w:t>
            </w:r>
            <w:r>
              <w:rPr>
                <w:rFonts w:hint="eastAsia" w:ascii="宋体" w:hAnsi="宋体" w:cs="宋体"/>
                <w:sz w:val="22"/>
              </w:rPr>
              <w:t>分；</w:t>
            </w:r>
          </w:p>
          <w:p>
            <w:pPr>
              <w:spacing w:line="300" w:lineRule="exact"/>
              <w:rPr>
                <w:rFonts w:ascii="宋体" w:hAnsi="宋体" w:cs="宋体"/>
                <w:sz w:val="22"/>
              </w:rPr>
            </w:pPr>
            <w:r>
              <w:rPr>
                <w:rFonts w:hint="eastAsia" w:ascii="宋体" w:hAnsi="宋体" w:cs="宋体"/>
                <w:sz w:val="22"/>
                <w:szCs w:val="20"/>
                <w:lang w:val="en-US" w:eastAsia="zh-CN"/>
              </w:rPr>
              <w:t>2、</w:t>
            </w:r>
            <w:r>
              <w:rPr>
                <w:rFonts w:hint="eastAsia" w:ascii="宋体" w:hAnsi="宋体" w:cs="宋体"/>
                <w:sz w:val="22"/>
                <w:szCs w:val="20"/>
              </w:rPr>
              <w:t>投标人提供的服务承诺内容较全面，响应时间较及时，服务质量承诺较可行的，得2.1-3</w:t>
            </w:r>
            <w:r>
              <w:rPr>
                <w:rFonts w:hint="eastAsia" w:ascii="宋体" w:hAnsi="宋体" w:cs="宋体"/>
                <w:sz w:val="22"/>
              </w:rPr>
              <w:t>分；</w:t>
            </w:r>
          </w:p>
          <w:p>
            <w:pPr>
              <w:spacing w:line="300" w:lineRule="exact"/>
              <w:rPr>
                <w:rFonts w:ascii="宋体" w:hAnsi="宋体" w:cs="宋体"/>
                <w:sz w:val="20"/>
                <w:szCs w:val="20"/>
              </w:rPr>
            </w:pPr>
            <w:r>
              <w:rPr>
                <w:rFonts w:hint="eastAsia" w:ascii="宋体" w:hAnsi="宋体" w:cs="宋体"/>
                <w:sz w:val="22"/>
                <w:szCs w:val="20"/>
                <w:lang w:val="en-US" w:eastAsia="zh-CN"/>
              </w:rPr>
              <w:t>3、</w:t>
            </w:r>
            <w:r>
              <w:rPr>
                <w:rFonts w:hint="eastAsia" w:ascii="宋体" w:hAnsi="宋体" w:cs="宋体"/>
                <w:sz w:val="22"/>
                <w:szCs w:val="20"/>
              </w:rPr>
              <w:t>投标人提供的服务承诺内容一般，响应时间基本能满足项目所需的，得</w:t>
            </w:r>
            <w:r>
              <w:rPr>
                <w:rFonts w:hint="eastAsia" w:ascii="宋体" w:hAnsi="宋体" w:cs="宋体"/>
                <w:sz w:val="22"/>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395" w:type="pct"/>
            <w:tcBorders>
              <w:tl2br w:val="nil"/>
              <w:tr2bl w:val="nil"/>
            </w:tcBorders>
            <w:vAlign w:val="center"/>
          </w:tcPr>
          <w:p>
            <w:pPr>
              <w:spacing w:line="300" w:lineRule="exact"/>
              <w:jc w:val="center"/>
              <w:rPr>
                <w:rFonts w:ascii="宋体" w:hAnsi="宋体" w:cs="宋体"/>
                <w:sz w:val="22"/>
                <w:szCs w:val="20"/>
              </w:rPr>
            </w:pPr>
            <w:r>
              <w:rPr>
                <w:rFonts w:hint="eastAsia" w:ascii="宋体" w:hAnsi="宋体" w:cs="宋体"/>
                <w:sz w:val="22"/>
                <w:szCs w:val="20"/>
              </w:rPr>
              <w:t>8</w:t>
            </w:r>
          </w:p>
        </w:tc>
        <w:tc>
          <w:tcPr>
            <w:tcW w:w="604" w:type="pct"/>
            <w:tcBorders>
              <w:tl2br w:val="nil"/>
              <w:tr2bl w:val="nil"/>
            </w:tcBorders>
            <w:vAlign w:val="center"/>
          </w:tcPr>
          <w:p>
            <w:pPr>
              <w:spacing w:line="300" w:lineRule="exact"/>
              <w:jc w:val="center"/>
              <w:rPr>
                <w:rFonts w:ascii="宋体" w:hAnsi="宋体" w:cs="宋体"/>
                <w:sz w:val="22"/>
                <w:szCs w:val="20"/>
              </w:rPr>
            </w:pPr>
            <w:r>
              <w:rPr>
                <w:rFonts w:hint="eastAsia" w:ascii="宋体" w:hAnsi="宋体" w:cs="宋体"/>
                <w:sz w:val="22"/>
                <w:szCs w:val="20"/>
              </w:rPr>
              <w:t>应急</w:t>
            </w:r>
          </w:p>
          <w:p>
            <w:pPr>
              <w:spacing w:line="300" w:lineRule="exact"/>
              <w:jc w:val="center"/>
              <w:rPr>
                <w:rFonts w:ascii="宋体" w:hAnsi="宋体" w:cs="宋体"/>
                <w:sz w:val="22"/>
                <w:szCs w:val="20"/>
              </w:rPr>
            </w:pPr>
            <w:r>
              <w:rPr>
                <w:rFonts w:hint="eastAsia" w:ascii="宋体" w:hAnsi="宋体" w:cs="宋体"/>
                <w:sz w:val="22"/>
                <w:szCs w:val="20"/>
              </w:rPr>
              <w:t>预案</w:t>
            </w:r>
          </w:p>
        </w:tc>
        <w:tc>
          <w:tcPr>
            <w:tcW w:w="405" w:type="pct"/>
            <w:tcBorders>
              <w:tl2br w:val="nil"/>
              <w:tr2bl w:val="nil"/>
            </w:tcBorders>
            <w:vAlign w:val="center"/>
          </w:tcPr>
          <w:p>
            <w:pPr>
              <w:spacing w:line="300" w:lineRule="exact"/>
              <w:jc w:val="center"/>
              <w:rPr>
                <w:rFonts w:ascii="宋体" w:hAnsi="宋体" w:cs="宋体"/>
                <w:sz w:val="22"/>
                <w:szCs w:val="20"/>
              </w:rPr>
            </w:pPr>
            <w:r>
              <w:rPr>
                <w:rFonts w:hint="eastAsia" w:ascii="宋体" w:hAnsi="宋体" w:cs="宋体"/>
                <w:sz w:val="22"/>
                <w:szCs w:val="20"/>
              </w:rPr>
              <w:t>5</w:t>
            </w:r>
          </w:p>
        </w:tc>
        <w:tc>
          <w:tcPr>
            <w:tcW w:w="3595" w:type="pct"/>
            <w:tcBorders>
              <w:tl2br w:val="nil"/>
              <w:tr2bl w:val="nil"/>
            </w:tcBorders>
            <w:vAlign w:val="center"/>
          </w:tcPr>
          <w:p>
            <w:pPr>
              <w:spacing w:line="300" w:lineRule="exact"/>
              <w:rPr>
                <w:rFonts w:hint="eastAsia" w:ascii="宋体" w:hAnsi="宋体" w:cs="宋体"/>
                <w:sz w:val="22"/>
              </w:rPr>
            </w:pPr>
            <w:r>
              <w:rPr>
                <w:rFonts w:hint="eastAsia" w:ascii="宋体" w:hAnsi="宋体" w:cs="宋体"/>
                <w:sz w:val="22"/>
              </w:rPr>
              <w:t>药物中毒处置预案及发生病媒疫情时的处置预案有针对性，可行性。</w:t>
            </w:r>
          </w:p>
          <w:p>
            <w:pPr>
              <w:spacing w:line="300" w:lineRule="exact"/>
              <w:rPr>
                <w:rFonts w:ascii="宋体" w:hAnsi="宋体" w:cs="宋体"/>
                <w:sz w:val="22"/>
                <w:szCs w:val="20"/>
              </w:rPr>
            </w:pPr>
            <w:r>
              <w:rPr>
                <w:rFonts w:hint="eastAsia" w:ascii="宋体" w:hAnsi="宋体" w:cs="宋体"/>
                <w:sz w:val="22"/>
                <w:lang w:val="en-US" w:eastAsia="zh-CN"/>
              </w:rPr>
              <w:t>1、</w:t>
            </w:r>
            <w:r>
              <w:rPr>
                <w:rFonts w:hint="eastAsia" w:ascii="宋体" w:hAnsi="宋体" w:cs="宋体"/>
                <w:sz w:val="22"/>
                <w:szCs w:val="20"/>
              </w:rPr>
              <w:t>投标人提供的应急预案内容全面，有针对性，方案科学合理，可操作性强的，得4.1-5分；</w:t>
            </w:r>
          </w:p>
          <w:p>
            <w:pPr>
              <w:spacing w:line="300" w:lineRule="exact"/>
              <w:rPr>
                <w:rFonts w:hint="eastAsia" w:ascii="宋体" w:hAnsi="宋体" w:cs="宋体"/>
                <w:sz w:val="22"/>
                <w:szCs w:val="20"/>
              </w:rPr>
            </w:pPr>
            <w:r>
              <w:rPr>
                <w:rFonts w:hint="eastAsia" w:ascii="宋体" w:hAnsi="宋体" w:cs="宋体"/>
                <w:sz w:val="22"/>
                <w:szCs w:val="20"/>
                <w:lang w:val="en-US" w:eastAsia="zh-CN"/>
              </w:rPr>
              <w:t>2、</w:t>
            </w:r>
            <w:r>
              <w:rPr>
                <w:rFonts w:hint="eastAsia" w:ascii="宋体" w:hAnsi="宋体" w:cs="宋体"/>
                <w:sz w:val="22"/>
                <w:szCs w:val="20"/>
              </w:rPr>
              <w:t>投标人提供的应急预案内容较全面，针对性较强，可操作性较强的，得2.1-4分；</w:t>
            </w:r>
          </w:p>
          <w:p>
            <w:pPr>
              <w:spacing w:line="300" w:lineRule="exact"/>
              <w:rPr>
                <w:rFonts w:cs="宋体"/>
                <w:sz w:val="22"/>
                <w:szCs w:val="21"/>
              </w:rPr>
            </w:pPr>
            <w:r>
              <w:rPr>
                <w:rFonts w:hint="eastAsia" w:ascii="宋体" w:hAnsi="宋体" w:cs="宋体"/>
                <w:sz w:val="22"/>
                <w:szCs w:val="20"/>
                <w:lang w:val="en-US" w:eastAsia="zh-CN"/>
              </w:rPr>
              <w:t>3、</w:t>
            </w:r>
            <w:r>
              <w:rPr>
                <w:rFonts w:hint="eastAsia" w:cs="宋体"/>
                <w:sz w:val="22"/>
                <w:szCs w:val="21"/>
              </w:rPr>
              <w:t>投标人提供的应急预案内容一般，方案科学性、合理性、可操作性均一般的，得0-2分。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95" w:type="pct"/>
            <w:tcBorders>
              <w:tl2br w:val="nil"/>
              <w:tr2bl w:val="nil"/>
            </w:tcBorders>
            <w:vAlign w:val="center"/>
          </w:tcPr>
          <w:p>
            <w:pPr>
              <w:spacing w:line="300" w:lineRule="exact"/>
              <w:jc w:val="center"/>
              <w:rPr>
                <w:rFonts w:ascii="宋体" w:hAnsi="宋体" w:cs="宋体"/>
                <w:sz w:val="22"/>
                <w:szCs w:val="20"/>
              </w:rPr>
            </w:pPr>
            <w:r>
              <w:rPr>
                <w:rFonts w:hint="eastAsia" w:ascii="宋体" w:hAnsi="宋体" w:cs="宋体"/>
                <w:sz w:val="22"/>
                <w:szCs w:val="20"/>
              </w:rPr>
              <w:t>9</w:t>
            </w:r>
          </w:p>
        </w:tc>
        <w:tc>
          <w:tcPr>
            <w:tcW w:w="604" w:type="pct"/>
            <w:tcBorders>
              <w:tl2br w:val="nil"/>
              <w:tr2bl w:val="nil"/>
            </w:tcBorders>
            <w:vAlign w:val="center"/>
          </w:tcPr>
          <w:p>
            <w:pPr>
              <w:spacing w:line="300" w:lineRule="exact"/>
              <w:jc w:val="center"/>
              <w:rPr>
                <w:rFonts w:ascii="宋体" w:hAnsi="宋体" w:cs="宋体"/>
                <w:sz w:val="22"/>
                <w:szCs w:val="20"/>
              </w:rPr>
            </w:pPr>
            <w:r>
              <w:rPr>
                <w:rFonts w:hint="eastAsia" w:ascii="宋体" w:hAnsi="宋体"/>
              </w:rPr>
              <w:t>重难点与对策</w:t>
            </w:r>
          </w:p>
        </w:tc>
        <w:tc>
          <w:tcPr>
            <w:tcW w:w="405" w:type="pct"/>
            <w:tcBorders>
              <w:tl2br w:val="nil"/>
              <w:tr2bl w:val="nil"/>
            </w:tcBorders>
            <w:vAlign w:val="center"/>
          </w:tcPr>
          <w:p>
            <w:pPr>
              <w:spacing w:line="300" w:lineRule="exact"/>
              <w:jc w:val="center"/>
              <w:rPr>
                <w:rFonts w:hint="eastAsia" w:ascii="宋体" w:hAnsi="宋体" w:eastAsia="宋体" w:cs="宋体"/>
                <w:kern w:val="0"/>
                <w:sz w:val="22"/>
                <w:szCs w:val="21"/>
                <w:lang w:val="zh-CN" w:eastAsia="zh-CN" w:bidi="ar-SA"/>
              </w:rPr>
            </w:pPr>
            <w:r>
              <w:rPr>
                <w:rFonts w:hint="eastAsia" w:ascii="宋体" w:hAnsi="宋体" w:eastAsia="宋体" w:cs="宋体"/>
                <w:kern w:val="0"/>
                <w:sz w:val="22"/>
                <w:szCs w:val="21"/>
                <w:lang w:val="zh-CN" w:eastAsia="zh-CN" w:bidi="ar-SA"/>
              </w:rPr>
              <w:t>1.5</w:t>
            </w:r>
          </w:p>
        </w:tc>
        <w:tc>
          <w:tcPr>
            <w:tcW w:w="3595" w:type="pct"/>
            <w:tcBorders>
              <w:tl2br w:val="nil"/>
              <w:tr2bl w:val="nil"/>
            </w:tcBorders>
            <w:vAlign w:val="center"/>
          </w:tcPr>
          <w:p>
            <w:pPr>
              <w:pStyle w:val="26"/>
              <w:rPr>
                <w:rFonts w:hint="eastAsia" w:ascii="宋体" w:hAnsi="宋体" w:eastAsia="宋体" w:cs="宋体"/>
                <w:kern w:val="0"/>
                <w:sz w:val="22"/>
                <w:szCs w:val="21"/>
                <w:lang w:val="zh-CN" w:eastAsia="zh-CN" w:bidi="ar-SA"/>
              </w:rPr>
            </w:pPr>
            <w:r>
              <w:rPr>
                <w:rFonts w:hint="eastAsia" w:ascii="宋体" w:hAnsi="宋体" w:eastAsia="宋体" w:cs="宋体"/>
                <w:kern w:val="0"/>
                <w:sz w:val="22"/>
                <w:szCs w:val="21"/>
                <w:lang w:val="zh-CN" w:eastAsia="zh-CN" w:bidi="ar-SA"/>
              </w:rPr>
              <w:t>评委对投标人提供的巩固国家卫生城市涉及病媒生物管理的难点分析及对策进行综合评价。</w:t>
            </w:r>
          </w:p>
        </w:tc>
      </w:tr>
    </w:tbl>
    <w:p>
      <w:pPr>
        <w:spacing w:line="300" w:lineRule="exact"/>
        <w:rPr>
          <w:rFonts w:hint="eastAsia" w:ascii="宋体" w:hAnsi="宋体" w:cs="宋体"/>
          <w:sz w:val="22"/>
          <w:szCs w:val="20"/>
          <w:lang w:val="zh-CN"/>
        </w:rPr>
      </w:pPr>
      <w:r>
        <w:rPr>
          <w:rFonts w:hint="eastAsia" w:ascii="宋体" w:hAnsi="宋体" w:cs="宋体"/>
          <w:sz w:val="22"/>
          <w:szCs w:val="20"/>
          <w:lang w:val="zh-CN"/>
        </w:rPr>
        <w:t>注：（1）上述证明材料中的单位名称与投标单位的名称必须一致，单位发生合法变更的，需提供合法变更的材料。否则不予认可。</w:t>
      </w:r>
    </w:p>
    <w:p>
      <w:pPr>
        <w:spacing w:line="300" w:lineRule="exact"/>
        <w:rPr>
          <w:rFonts w:hint="eastAsia" w:ascii="宋体" w:hAnsi="宋体" w:cs="宋体"/>
          <w:sz w:val="22"/>
          <w:szCs w:val="20"/>
          <w:lang w:val="zh-CN"/>
        </w:rPr>
      </w:pPr>
      <w:r>
        <w:rPr>
          <w:rFonts w:hint="eastAsia" w:ascii="宋体" w:hAnsi="宋体" w:cs="宋体"/>
          <w:sz w:val="22"/>
          <w:szCs w:val="20"/>
          <w:lang w:val="zh-CN"/>
        </w:rPr>
        <w:t>（</w:t>
      </w:r>
      <w:r>
        <w:rPr>
          <w:rFonts w:hint="eastAsia" w:ascii="宋体" w:hAnsi="宋体" w:cs="宋体"/>
          <w:sz w:val="22"/>
          <w:szCs w:val="20"/>
        </w:rPr>
        <w:t>2</w:t>
      </w:r>
      <w:r>
        <w:rPr>
          <w:rFonts w:hint="eastAsia" w:ascii="宋体" w:hAnsi="宋体" w:cs="宋体"/>
          <w:sz w:val="22"/>
          <w:szCs w:val="20"/>
          <w:lang w:val="zh-CN"/>
        </w:rPr>
        <w:t>）上述评分内容，缺项不得分。</w:t>
      </w:r>
    </w:p>
    <w:p>
      <w:pPr>
        <w:widowControl/>
        <w:jc w:val="center"/>
        <w:outlineLvl w:val="0"/>
        <w:rPr>
          <w:rFonts w:ascii="宋体" w:cs="宋体"/>
          <w:b/>
          <w:bCs/>
          <w:sz w:val="36"/>
          <w:szCs w:val="36"/>
        </w:rPr>
      </w:pPr>
      <w:r>
        <w:rPr>
          <w:rFonts w:ascii="宋体" w:cs="宋体"/>
          <w:b/>
          <w:bCs/>
          <w:sz w:val="36"/>
          <w:szCs w:val="36"/>
        </w:rPr>
        <w:br w:type="page"/>
      </w:r>
      <w:bookmarkStart w:id="20" w:name="_Toc24146"/>
      <w:r>
        <w:rPr>
          <w:rFonts w:hint="eastAsia" w:ascii="宋体" w:hAnsi="宋体" w:cs="宋体"/>
          <w:b/>
          <w:bCs/>
          <w:sz w:val="36"/>
          <w:szCs w:val="36"/>
        </w:rPr>
        <w:t>第四章</w:t>
      </w:r>
      <w:r>
        <w:rPr>
          <w:rFonts w:ascii="宋体" w:hAnsi="宋体" w:cs="宋体"/>
          <w:b/>
          <w:bCs/>
          <w:sz w:val="36"/>
          <w:szCs w:val="36"/>
        </w:rPr>
        <w:t xml:space="preserve"> </w:t>
      </w:r>
      <w:r>
        <w:rPr>
          <w:rFonts w:hint="eastAsia" w:ascii="宋体" w:hAnsi="宋体" w:cs="宋体"/>
          <w:b/>
          <w:bCs/>
          <w:sz w:val="36"/>
          <w:szCs w:val="36"/>
        </w:rPr>
        <w:t>采购需求</w:t>
      </w:r>
      <w:bookmarkEnd w:id="20"/>
    </w:p>
    <w:p>
      <w:pPr>
        <w:spacing w:line="324" w:lineRule="auto"/>
        <w:ind w:firstLine="480" w:firstLineChars="200"/>
        <w:rPr>
          <w:b/>
          <w:bCs/>
          <w:sz w:val="24"/>
        </w:rPr>
      </w:pPr>
      <w:r>
        <w:rPr>
          <w:rFonts w:hint="eastAsia"/>
          <w:b/>
          <w:bCs/>
          <w:sz w:val="24"/>
        </w:rPr>
        <w:t>一、采购内容</w:t>
      </w:r>
    </w:p>
    <w:p>
      <w:pPr>
        <w:spacing w:line="312" w:lineRule="auto"/>
        <w:ind w:firstLine="480" w:firstLineChars="200"/>
        <w:rPr>
          <w:sz w:val="24"/>
        </w:rPr>
      </w:pPr>
      <w:r>
        <w:rPr>
          <w:rFonts w:hint="eastAsia"/>
          <w:sz w:val="24"/>
        </w:rPr>
        <w:t>1.1 项目名称：</w:t>
      </w:r>
      <w:r>
        <w:rPr>
          <w:rFonts w:hint="eastAsia"/>
          <w:sz w:val="24"/>
          <w:lang w:eastAsia="zh-CN"/>
        </w:rPr>
        <w:t>温岭市新河镇2022年度病媒生物防制专业化服务项目采购</w:t>
      </w:r>
      <w:r>
        <w:rPr>
          <w:rFonts w:hint="eastAsia"/>
          <w:sz w:val="24"/>
        </w:rPr>
        <w:t>；</w:t>
      </w:r>
    </w:p>
    <w:p>
      <w:pPr>
        <w:spacing w:line="312" w:lineRule="auto"/>
        <w:ind w:firstLine="480" w:firstLineChars="200"/>
        <w:rPr>
          <w:sz w:val="24"/>
        </w:rPr>
      </w:pPr>
      <w:r>
        <w:rPr>
          <w:rFonts w:hint="eastAsia"/>
          <w:sz w:val="24"/>
        </w:rPr>
        <w:t>1.2 服务期限：合同签订之日起一年。</w:t>
      </w:r>
    </w:p>
    <w:p>
      <w:pPr>
        <w:spacing w:line="312" w:lineRule="auto"/>
        <w:ind w:firstLine="480" w:firstLineChars="200"/>
        <w:rPr>
          <w:sz w:val="24"/>
        </w:rPr>
      </w:pPr>
      <w:r>
        <w:rPr>
          <w:rFonts w:hint="eastAsia"/>
          <w:sz w:val="24"/>
        </w:rPr>
        <w:t>1.3 服务内容：温岭市新河镇范围内的“四害”消杀工作及“四害”密度检测服务； 居民户“除四害”药物的供应等。</w:t>
      </w:r>
    </w:p>
    <w:p>
      <w:pPr>
        <w:spacing w:line="312" w:lineRule="auto"/>
        <w:ind w:firstLine="480" w:firstLineChars="200"/>
      </w:pPr>
      <w:r>
        <w:rPr>
          <w:rFonts w:hint="eastAsia"/>
          <w:sz w:val="24"/>
        </w:rPr>
        <w:t>▲1.</w:t>
      </w:r>
      <w:r>
        <w:rPr>
          <w:rFonts w:hint="eastAsia"/>
          <w:sz w:val="24"/>
          <w:lang w:val="en-US" w:eastAsia="zh-CN"/>
        </w:rPr>
        <w:t>4</w:t>
      </w:r>
      <w:r>
        <w:rPr>
          <w:rFonts w:hint="eastAsia"/>
          <w:sz w:val="24"/>
        </w:rPr>
        <w:t>根据《浙江省爱国卫生促进条例》，投标人须具有《浙江省病媒生物预防控制服务单位备案确认书》</w:t>
      </w:r>
      <w:r>
        <w:rPr>
          <w:rFonts w:hint="eastAsia"/>
          <w:sz w:val="24"/>
          <w:lang w:eastAsia="zh-CN"/>
        </w:rPr>
        <w:t>（</w:t>
      </w:r>
      <w:r>
        <w:rPr>
          <w:rFonts w:hint="eastAsia"/>
          <w:b/>
          <w:bCs/>
          <w:color w:val="FF0000"/>
          <w:sz w:val="24"/>
          <w:lang w:eastAsia="zh-CN"/>
        </w:rPr>
        <w:t>商务技术文件中编入</w:t>
      </w:r>
      <w:r>
        <w:rPr>
          <w:rFonts w:hint="eastAsia"/>
          <w:b/>
          <w:bCs/>
          <w:color w:val="FF0000"/>
          <w:sz w:val="24"/>
        </w:rPr>
        <w:t>《浙江省病媒生物预防控制服务单位备案确认书》</w:t>
      </w:r>
      <w:r>
        <w:rPr>
          <w:rFonts w:hint="eastAsia"/>
          <w:b/>
          <w:bCs/>
          <w:color w:val="FF0000"/>
          <w:sz w:val="24"/>
          <w:lang w:eastAsia="zh-CN"/>
        </w:rPr>
        <w:t>扫描件或复印件</w:t>
      </w:r>
      <w:r>
        <w:rPr>
          <w:rFonts w:hint="eastAsia"/>
          <w:sz w:val="24"/>
          <w:lang w:eastAsia="zh-CN"/>
        </w:rPr>
        <w:t>）</w:t>
      </w:r>
      <w:r>
        <w:rPr>
          <w:rFonts w:hint="eastAsia"/>
          <w:sz w:val="24"/>
        </w:rPr>
        <w:t>。</w:t>
      </w:r>
    </w:p>
    <w:p>
      <w:pPr>
        <w:spacing w:line="312" w:lineRule="auto"/>
        <w:ind w:firstLine="480" w:firstLineChars="200"/>
        <w:rPr>
          <w:b/>
          <w:bCs/>
          <w:sz w:val="24"/>
        </w:rPr>
      </w:pPr>
      <w:r>
        <w:rPr>
          <w:rFonts w:hint="eastAsia"/>
          <w:b/>
          <w:bCs/>
          <w:sz w:val="24"/>
        </w:rPr>
        <w:t>二、采购要求</w:t>
      </w:r>
    </w:p>
    <w:p>
      <w:pPr>
        <w:spacing w:line="312" w:lineRule="auto"/>
        <w:ind w:firstLine="480" w:firstLineChars="200"/>
        <w:rPr>
          <w:b/>
          <w:bCs/>
          <w:sz w:val="24"/>
        </w:rPr>
      </w:pPr>
      <w:r>
        <w:rPr>
          <w:rFonts w:hint="eastAsia"/>
          <w:b/>
          <w:bCs/>
          <w:sz w:val="24"/>
        </w:rPr>
        <w:t>（一）消杀范围</w:t>
      </w:r>
      <w:r>
        <w:rPr>
          <w:rFonts w:hint="eastAsia"/>
          <w:b/>
          <w:bCs/>
          <w:sz w:val="24"/>
          <w:lang w:eastAsia="zh-CN"/>
        </w:rPr>
        <w:t>：</w:t>
      </w:r>
      <w:r>
        <w:rPr>
          <w:rFonts w:hint="eastAsia"/>
          <w:b/>
          <w:bCs/>
          <w:sz w:val="24"/>
        </w:rPr>
        <w:t xml:space="preserve"> </w:t>
      </w:r>
    </w:p>
    <w:p>
      <w:pPr>
        <w:spacing w:line="312" w:lineRule="auto"/>
        <w:ind w:firstLine="480" w:firstLineChars="200"/>
        <w:rPr>
          <w:sz w:val="24"/>
        </w:rPr>
      </w:pPr>
      <w:r>
        <w:rPr>
          <w:rFonts w:hint="eastAsia"/>
          <w:sz w:val="24"/>
        </w:rPr>
        <w:t>1、本项目为温岭市新河镇除四害专业化服务项目采购，新河镇【</w:t>
      </w:r>
      <w:r>
        <w:rPr>
          <w:rFonts w:hint="eastAsia"/>
          <w:sz w:val="24"/>
          <w:lang w:eastAsia="zh-CN"/>
        </w:rPr>
        <w:t>新河镇建成区消杀范围</w:t>
      </w:r>
      <w:r>
        <w:rPr>
          <w:rFonts w:hint="eastAsia"/>
          <w:sz w:val="24"/>
        </w:rPr>
        <w:t>约</w:t>
      </w:r>
      <w:r>
        <w:rPr>
          <w:rFonts w:hint="eastAsia"/>
          <w:sz w:val="24"/>
          <w:lang w:eastAsia="zh-CN"/>
        </w:rPr>
        <w:t>8.74</w:t>
      </w:r>
      <w:r>
        <w:rPr>
          <w:rFonts w:hint="eastAsia"/>
          <w:sz w:val="24"/>
        </w:rPr>
        <w:t>平方公里；辖区内居民户约40952户（包括外来人口）】范围内的公共环境（包括居民楼、重点场所、垃圾收集点、建筑工地、绿化带、下水道、河岸边、窨井、水体、公园、闲置空地、地下室、地下车库、车棚雨棚、垃圾桶[箱]、公共厕所等）、企事业单位及六小行业【小餐饮店、小食品店（含小副食品店、小超市）、小美容美发店、小浴室（含小足浴）、小旅店、小歌舞厅等】至少3000家，农副产品市场（含菜市场）9个及其他沿街店铺等的除“四害”专业性治理服务（含居民户的灭蟑、蚊、蝇、鼠药物的供应约（40952）户）。</w:t>
      </w:r>
    </w:p>
    <w:p>
      <w:pPr>
        <w:spacing w:line="312" w:lineRule="auto"/>
        <w:ind w:firstLine="480" w:firstLineChars="200"/>
        <w:rPr>
          <w:sz w:val="24"/>
        </w:rPr>
      </w:pPr>
      <w:r>
        <w:rPr>
          <w:rFonts w:hint="eastAsia"/>
          <w:sz w:val="24"/>
        </w:rPr>
        <w:t>注：以上数量均为预估数值，结算时按实调整。</w:t>
      </w:r>
    </w:p>
    <w:p>
      <w:pPr>
        <w:spacing w:line="312" w:lineRule="auto"/>
        <w:ind w:firstLine="480" w:firstLineChars="200"/>
        <w:rPr>
          <w:b/>
          <w:bCs/>
          <w:sz w:val="24"/>
        </w:rPr>
      </w:pPr>
      <w:r>
        <w:rPr>
          <w:rFonts w:hint="eastAsia"/>
          <w:b/>
          <w:bCs/>
          <w:sz w:val="24"/>
        </w:rPr>
        <w:t>（二）服务内容：</w:t>
      </w:r>
    </w:p>
    <w:p>
      <w:pPr>
        <w:spacing w:line="312" w:lineRule="auto"/>
        <w:ind w:firstLine="480" w:firstLineChars="200"/>
        <w:rPr>
          <w:sz w:val="24"/>
        </w:rPr>
      </w:pPr>
      <w:r>
        <w:rPr>
          <w:rFonts w:hint="eastAsia"/>
          <w:sz w:val="24"/>
        </w:rPr>
        <w:t>1、消杀服务</w:t>
      </w:r>
    </w:p>
    <w:p>
      <w:pPr>
        <w:spacing w:line="312" w:lineRule="auto"/>
        <w:ind w:firstLine="480" w:firstLineChars="200"/>
        <w:rPr>
          <w:sz w:val="24"/>
        </w:rPr>
      </w:pPr>
      <w:r>
        <w:rPr>
          <w:rFonts w:hint="eastAsia"/>
          <w:sz w:val="24"/>
        </w:rPr>
        <w:t>1.1 在消杀前要根据当地实际情况开展四害孳生地调查，做好</w:t>
      </w:r>
      <w:r>
        <w:rPr>
          <w:rFonts w:hint="eastAsia"/>
          <w:sz w:val="24"/>
          <w:lang w:eastAsia="zh-CN"/>
        </w:rPr>
        <w:t>本地</w:t>
      </w:r>
      <w:r>
        <w:rPr>
          <w:rFonts w:hint="eastAsia"/>
          <w:sz w:val="24"/>
        </w:rPr>
        <w:t>四害密度监测，再根据四害密度情况制订消杀方案。</w:t>
      </w:r>
    </w:p>
    <w:p>
      <w:pPr>
        <w:spacing w:line="312" w:lineRule="auto"/>
        <w:ind w:firstLine="480" w:firstLineChars="200"/>
        <w:rPr>
          <w:sz w:val="24"/>
        </w:rPr>
      </w:pPr>
      <w:r>
        <w:rPr>
          <w:rFonts w:hint="eastAsia"/>
          <w:sz w:val="24"/>
        </w:rPr>
        <w:t>1.2最低频次要求：灭鼠在服务周期内进行2次全面投药灭鼠活动，对重点场所每月开展1次消杀；灭蟑在服务周期内重点场所每月开展1次的投药杀灭；灭蚊蝇在服务周期内繁殖季节（每年3-11月份）每月进行药物喷洒2次以上，孳生地灭蚊蝇幼虫（每年4-10月份）药物投放每两周一次以上，若上述频次仍无法达到相关国家病媒生物密度控制水平C级及以上标准，应根据实际需求增加用药频次。（药物使用剂量、浓度、时间、方法、配伍等符合相关技术规定；根据不同病媒生物特点、季节、环境类型等，按照季节消长科学安排消杀方法、时间等具体工作）</w:t>
      </w:r>
    </w:p>
    <w:p>
      <w:pPr>
        <w:spacing w:line="312" w:lineRule="auto"/>
        <w:ind w:firstLine="480" w:firstLineChars="200"/>
        <w:rPr>
          <w:b/>
          <w:bCs/>
          <w:u w:val="single"/>
        </w:rPr>
      </w:pPr>
      <w:r>
        <w:rPr>
          <w:rFonts w:hint="eastAsia"/>
          <w:b/>
          <w:bCs/>
          <w:sz w:val="24"/>
          <w:u w:val="single"/>
        </w:rPr>
        <w:t>1.3投标人须对六小行业及企事业单位进入室内进行消杀。</w:t>
      </w:r>
    </w:p>
    <w:p>
      <w:pPr>
        <w:spacing w:line="312" w:lineRule="auto"/>
        <w:ind w:firstLine="480" w:firstLineChars="200"/>
        <w:rPr>
          <w:sz w:val="24"/>
        </w:rPr>
      </w:pPr>
      <w:r>
        <w:rPr>
          <w:rFonts w:hint="eastAsia"/>
          <w:sz w:val="24"/>
        </w:rPr>
        <w:t>2、四害药物供应：居民户的灭蟑、蚊、蝇、鼠药物的供应为（含外来务工人员，数量均为预估值）：40952户。</w:t>
      </w:r>
    </w:p>
    <w:p>
      <w:pPr>
        <w:spacing w:line="312" w:lineRule="auto"/>
        <w:ind w:firstLine="480" w:firstLineChars="200"/>
        <w:rPr>
          <w:sz w:val="24"/>
        </w:rPr>
      </w:pPr>
      <w:r>
        <w:rPr>
          <w:rFonts w:hint="eastAsia"/>
          <w:sz w:val="24"/>
        </w:rPr>
        <w:t>3、负责六小行业、企事业单位及农副市场灭害服务和防害设施安装指导服务；外环境的灭鼠陶瓷毒饵站、诱蝇笼设置安装及经常性维护及指导服务，安装数量为（由投标供应商建设安装）：</w:t>
      </w:r>
    </w:p>
    <w:p>
      <w:pPr>
        <w:spacing w:line="312" w:lineRule="auto"/>
        <w:ind w:firstLine="480" w:firstLineChars="200"/>
        <w:rPr>
          <w:sz w:val="24"/>
        </w:rPr>
      </w:pPr>
      <w:r>
        <w:rPr>
          <w:rFonts w:hint="eastAsia"/>
          <w:sz w:val="24"/>
        </w:rPr>
        <w:t>3.1：外环境的灭鼠陶瓷毒饵站新安装设置不少于1000个【原安装的灭鼠陶瓷毒饵站经常性维护1000个（不包含在新安装数量中），此项费用请投标人在报价中综合考虑】，诱蝇笼安装设置不少于500个。</w:t>
      </w:r>
    </w:p>
    <w:p>
      <w:pPr>
        <w:spacing w:line="312" w:lineRule="auto"/>
        <w:ind w:firstLine="480" w:firstLineChars="200"/>
        <w:rPr>
          <w:sz w:val="24"/>
        </w:rPr>
      </w:pPr>
      <w:r>
        <w:rPr>
          <w:rFonts w:hint="eastAsia"/>
          <w:sz w:val="24"/>
        </w:rPr>
        <w:t>3.1.1落地式诱蝇笼具体参数如下：</w:t>
      </w:r>
    </w:p>
    <w:p>
      <w:pPr>
        <w:spacing w:line="312" w:lineRule="auto"/>
        <w:ind w:firstLine="480" w:firstLineChars="200"/>
        <w:rPr>
          <w:sz w:val="24"/>
        </w:rPr>
      </w:pPr>
      <w:r>
        <w:rPr>
          <w:rFonts w:hint="eastAsia"/>
          <w:sz w:val="24"/>
        </w:rPr>
        <w:t xml:space="preserve"> 产品尺寸：33cm*23cm</w:t>
      </w:r>
    </w:p>
    <w:p>
      <w:pPr>
        <w:spacing w:line="312" w:lineRule="auto"/>
        <w:ind w:firstLine="480" w:firstLineChars="200"/>
        <w:rPr>
          <w:sz w:val="24"/>
        </w:rPr>
      </w:pPr>
      <w:r>
        <w:rPr>
          <w:rFonts w:hint="eastAsia"/>
          <w:sz w:val="24"/>
        </w:rPr>
        <w:t xml:space="preserve"> ▲ 材质：钢丝</w:t>
      </w:r>
      <w:r>
        <w:rPr>
          <w:rFonts w:hint="eastAsia"/>
          <w:sz w:val="24"/>
          <w:lang w:eastAsia="zh-CN"/>
        </w:rPr>
        <w:t>（</w:t>
      </w:r>
      <w:r>
        <w:rPr>
          <w:rFonts w:hint="eastAsia"/>
          <w:b/>
          <w:bCs/>
          <w:color w:val="FF0000"/>
          <w:sz w:val="24"/>
          <w:lang w:eastAsia="zh-CN"/>
        </w:rPr>
        <w:t>应在技术商务偏离表中明确</w:t>
      </w:r>
      <w:r>
        <w:rPr>
          <w:rFonts w:hint="eastAsia"/>
          <w:sz w:val="24"/>
          <w:lang w:eastAsia="zh-CN"/>
        </w:rPr>
        <w:t>）</w:t>
      </w:r>
      <w:r>
        <w:rPr>
          <w:rFonts w:hint="eastAsia"/>
          <w:sz w:val="24"/>
        </w:rPr>
        <w:t>;</w:t>
      </w:r>
    </w:p>
    <w:p>
      <w:pPr>
        <w:spacing w:line="312" w:lineRule="auto"/>
        <w:rPr>
          <w:sz w:val="24"/>
        </w:rPr>
      </w:pPr>
      <w:r>
        <w:rPr>
          <w:rFonts w:hint="eastAsia"/>
          <w:sz w:val="24"/>
        </w:rPr>
        <w:t>参考样式如下图：</w:t>
      </w:r>
    </w:p>
    <w:p>
      <w:pPr>
        <w:spacing w:line="312" w:lineRule="auto"/>
        <w:ind w:firstLine="480" w:firstLineChars="200"/>
        <w:rPr>
          <w:sz w:val="24"/>
        </w:rPr>
      </w:pPr>
      <w:r>
        <w:rPr>
          <w:rFonts w:hint="eastAsia"/>
          <w:sz w:val="24"/>
        </w:rPr>
        <w:drawing>
          <wp:anchor distT="0" distB="0" distL="114300" distR="114300" simplePos="0" relativeHeight="251663360" behindDoc="0" locked="0" layoutInCell="1" allowOverlap="1">
            <wp:simplePos x="0" y="0"/>
            <wp:positionH relativeFrom="column">
              <wp:posOffset>1422400</wp:posOffset>
            </wp:positionH>
            <wp:positionV relativeFrom="paragraph">
              <wp:posOffset>121285</wp:posOffset>
            </wp:positionV>
            <wp:extent cx="2724150" cy="2724150"/>
            <wp:effectExtent l="0" t="0" r="0" b="0"/>
            <wp:wrapTopAndBottom/>
            <wp:docPr id="1" name="图片 2" descr="4_6df0f9876ed81f6496685daf40148666.jpg_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_6df0f9876ed81f6496685daf40148666.jpg_mid"/>
                    <pic:cNvPicPr>
                      <a:picLocks noChangeAspect="1"/>
                    </pic:cNvPicPr>
                  </pic:nvPicPr>
                  <pic:blipFill>
                    <a:blip r:embed="rId12"/>
                    <a:stretch>
                      <a:fillRect/>
                    </a:stretch>
                  </pic:blipFill>
                  <pic:spPr>
                    <a:xfrm>
                      <a:off x="0" y="0"/>
                      <a:ext cx="2724150" cy="2724150"/>
                    </a:xfrm>
                    <a:prstGeom prst="rect">
                      <a:avLst/>
                    </a:prstGeom>
                    <a:noFill/>
                    <a:ln>
                      <a:noFill/>
                    </a:ln>
                  </pic:spPr>
                </pic:pic>
              </a:graphicData>
            </a:graphic>
          </wp:anchor>
        </w:drawing>
      </w:r>
      <w:r>
        <w:rPr>
          <w:rFonts w:hint="eastAsia"/>
          <w:sz w:val="24"/>
        </w:rPr>
        <w:t>4、监测服务：按照浙卫办</w:t>
      </w:r>
      <w:r>
        <w:rPr>
          <w:rFonts w:hint="eastAsia"/>
          <w:sz w:val="24"/>
          <w:lang w:eastAsia="zh-CN"/>
        </w:rPr>
        <w:t>〔</w:t>
      </w:r>
      <w:r>
        <w:rPr>
          <w:rFonts w:hint="eastAsia"/>
          <w:sz w:val="24"/>
        </w:rPr>
        <w:t>2016</w:t>
      </w:r>
      <w:r>
        <w:rPr>
          <w:rFonts w:hint="eastAsia"/>
          <w:sz w:val="24"/>
          <w:lang w:eastAsia="zh-CN"/>
        </w:rPr>
        <w:t>〕</w:t>
      </w:r>
      <w:r>
        <w:rPr>
          <w:rFonts w:hint="eastAsia"/>
          <w:sz w:val="24"/>
        </w:rPr>
        <w:t>15号文件要求制定鼠、蚊、蝇、蟑螂密度监测方案开展服务。</w:t>
      </w:r>
    </w:p>
    <w:p>
      <w:pPr>
        <w:spacing w:line="312" w:lineRule="auto"/>
        <w:ind w:firstLine="480" w:firstLineChars="200"/>
        <w:rPr>
          <w:sz w:val="24"/>
        </w:rPr>
      </w:pPr>
      <w:r>
        <w:rPr>
          <w:rFonts w:hint="eastAsia"/>
          <w:sz w:val="24"/>
        </w:rPr>
        <w:t>5、配合新河镇指导辖区内各单位做好除四害工作台账。</w:t>
      </w:r>
    </w:p>
    <w:p>
      <w:pPr>
        <w:spacing w:line="312" w:lineRule="auto"/>
        <w:ind w:firstLine="480" w:firstLineChars="200"/>
        <w:rPr>
          <w:sz w:val="24"/>
        </w:rPr>
      </w:pPr>
      <w:r>
        <w:rPr>
          <w:rFonts w:hint="eastAsia"/>
          <w:sz w:val="24"/>
        </w:rPr>
        <w:t>6、协助乡镇做好病媒生物预防与控制的宣传工作并做好相关资料的整理与归档工作。</w:t>
      </w:r>
    </w:p>
    <w:p>
      <w:pPr>
        <w:spacing w:line="312" w:lineRule="auto"/>
        <w:ind w:firstLine="480" w:firstLineChars="200"/>
        <w:rPr>
          <w:sz w:val="24"/>
        </w:rPr>
      </w:pPr>
      <w:r>
        <w:rPr>
          <w:rFonts w:hint="eastAsia"/>
          <w:sz w:val="24"/>
        </w:rPr>
        <w:t>7、做好承包区域内资料收集、整理、总结及上报等工作。</w:t>
      </w:r>
    </w:p>
    <w:p>
      <w:pPr>
        <w:spacing w:line="312" w:lineRule="auto"/>
        <w:ind w:firstLine="480" w:firstLineChars="200"/>
        <w:rPr>
          <w:sz w:val="24"/>
        </w:rPr>
      </w:pPr>
      <w:r>
        <w:rPr>
          <w:rFonts w:hint="eastAsia"/>
          <w:sz w:val="24"/>
        </w:rPr>
        <w:t>8、协助乡镇开展病媒生物预防与控制业务培训，业务培训最少2次。</w:t>
      </w:r>
    </w:p>
    <w:p>
      <w:pPr>
        <w:spacing w:line="312" w:lineRule="auto"/>
        <w:ind w:firstLine="480" w:firstLineChars="200"/>
        <w:rPr>
          <w:b/>
          <w:bCs/>
          <w:sz w:val="24"/>
        </w:rPr>
      </w:pPr>
      <w:r>
        <w:rPr>
          <w:rFonts w:hint="eastAsia"/>
          <w:b/>
          <w:bCs/>
          <w:sz w:val="24"/>
        </w:rPr>
        <w:t>（三）服务要求：</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1、投标供应商除四害药物须选用符合国家规定要求，并经采购人认定；自配药物，需向招标单位提供毒饵主剂和诱饵主剂的有关证书；</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2、服务标准及质量：建成区鼠、蚊、蝇、蟑螂等病媒生物得到有效控制，鼠、蚊、蝇、蟑螂密度达到国家病媒生物密度控制标准（GB/T 27770-2011鼠类、GB/T 27771-2011蚊虫、GB/T 27772-2011蝇类、GB/T 27773-2011蜚蠊）C级及以上</w:t>
      </w:r>
      <w:r>
        <w:rPr>
          <w:rFonts w:hint="eastAsia" w:ascii="宋体" w:hAnsi="宋体" w:cs="宋体"/>
          <w:sz w:val="24"/>
          <w:szCs w:val="24"/>
        </w:rPr>
        <w:t>（</w:t>
      </w:r>
      <w:r>
        <w:rPr>
          <w:rFonts w:hint="eastAsia" w:ascii="宋体" w:hAnsi="宋体" w:cs="宋体"/>
          <w:b/>
          <w:bCs/>
          <w:color w:val="FF0000"/>
          <w:sz w:val="24"/>
          <w:szCs w:val="24"/>
        </w:rPr>
        <w:t>上述4个标准须有一样达到B级及以上</w:t>
      </w:r>
      <w:r>
        <w:rPr>
          <w:rFonts w:hint="eastAsia" w:ascii="宋体" w:hAnsi="宋体" w:cs="宋体"/>
          <w:sz w:val="24"/>
          <w:szCs w:val="24"/>
        </w:rPr>
        <w:t>）</w:t>
      </w:r>
      <w:r>
        <w:rPr>
          <w:rFonts w:hint="eastAsia" w:cs="宋体"/>
          <w:sz w:val="24"/>
          <w:szCs w:val="24"/>
        </w:rPr>
        <w:t>。</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 xml:space="preserve">3、居民户药物发放标准： </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3.1灭蟑药：夏季每户灭蟑食饵 2包（10克装），灭蟑胶饵1盒（8粒）；</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3.2灭鼠药：慢性鼠药物，疾病每户每次保证2两，服务期间共需发放2次。</w:t>
      </w:r>
    </w:p>
    <w:p>
      <w:pPr>
        <w:autoSpaceDE w:val="0"/>
        <w:autoSpaceDN w:val="0"/>
        <w:adjustRightInd w:val="0"/>
        <w:spacing w:line="312" w:lineRule="auto"/>
        <w:jc w:val="left"/>
        <w:rPr>
          <w:rFonts w:cs="宋体"/>
          <w:b/>
          <w:bCs/>
          <w:sz w:val="24"/>
          <w:szCs w:val="24"/>
        </w:rPr>
      </w:pPr>
      <w:r>
        <w:rPr>
          <w:rFonts w:hint="eastAsia" w:cs="宋体"/>
          <w:b/>
          <w:bCs/>
          <w:sz w:val="24"/>
          <w:szCs w:val="24"/>
        </w:rPr>
        <w:t>（注：以上药物不包括外环境和重点场所、六小行业、重点部位等的消杀用药）</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4、配合做好病媒生物预防控制效果现场评估，通过服务单位调查群众满意率达90%。</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5、执行合同期间不得发生因操作不规范而引起的安全事故和投诉事件。</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6、正常消杀作业时每平方公里不得少于1名作业人员；不消杀时应有1人与采购人保持密切联系。</w:t>
      </w:r>
    </w:p>
    <w:p>
      <w:pPr>
        <w:autoSpaceDE w:val="0"/>
        <w:autoSpaceDN w:val="0"/>
        <w:adjustRightInd w:val="0"/>
        <w:spacing w:line="312" w:lineRule="auto"/>
        <w:ind w:firstLine="480" w:firstLineChars="200"/>
        <w:jc w:val="left"/>
        <w:rPr>
          <w:rFonts w:cs="宋体"/>
          <w:b/>
          <w:bCs/>
          <w:color w:val="FF0000"/>
          <w:sz w:val="24"/>
          <w:szCs w:val="24"/>
        </w:rPr>
      </w:pPr>
      <w:r>
        <w:rPr>
          <w:rFonts w:hint="eastAsia" w:cs="宋体"/>
          <w:b/>
          <w:bCs/>
          <w:color w:val="FF0000"/>
          <w:sz w:val="24"/>
          <w:szCs w:val="24"/>
        </w:rPr>
        <w:t>7、合同期内发生病媒疫情时，无条件服从甲方的指令要求，及时响应，开展应急消杀服务。（注：本合同不包括此项服务费用，服务费用相关事宜需另行签订合同）</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8、采购货物要求：</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8.1由供应商提供符合本次除四害服务项目要求的货物，并在响应文件中列明药物名称及用量清单。要求提供的货物必须是全新的无缺陷的，有产品的质量检验证明文件。成交供应商根据四害防治周期负责组织将相应的货物按期运抵成交供应商设在新河镇的仓库（</w:t>
      </w:r>
      <w:r>
        <w:rPr>
          <w:rFonts w:hint="eastAsia" w:cs="宋体"/>
          <w:b/>
          <w:bCs/>
          <w:sz w:val="24"/>
          <w:szCs w:val="24"/>
        </w:rPr>
        <w:t>涉及的所有费用均由中标供应商承担</w:t>
      </w:r>
      <w:r>
        <w:rPr>
          <w:rFonts w:hint="eastAsia" w:cs="宋体"/>
          <w:sz w:val="24"/>
          <w:szCs w:val="24"/>
        </w:rPr>
        <w:t>）。</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8.2 货物随箱应附有下列资料：详细装箱单；产品合格证及检验记录；其他技术文档。</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8.3 到货验收：货物到达成交供应商设在采购人所在地的仓库后，采购人按有关标准和要求进行到货验收。在验收过程中若发现有破损、泄露、失效或其他质量问题应在7个日历天内无条件免费更换。到货验收的结果并不能免除供应商所投货物在今后使用过程中发生质量问题所应承担的责任。</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9、技术资料和档案整理</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9.1 成交供应商应向采购人提供下列文件：检验记录，试验报告和质量合格证，以及按国家安全检测规定批准文件等出厂报告；货物发运和装箱的详细清单；管理资料文件，包括维护、保管所需的说明书采购药物及设施清单一览表按有关标准、规程规定应提交的技术文件、资料。</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9.2成交供应商应将在消杀服务期间包括技术方案、消杀过程台账资料（宣传、监测、消杀文字影像资料、消杀总结）等过程性台账资料整理归档，达到相关除四害验收标准，由采购人把关。</w:t>
      </w:r>
    </w:p>
    <w:p>
      <w:pPr>
        <w:autoSpaceDE w:val="0"/>
        <w:autoSpaceDN w:val="0"/>
        <w:adjustRightInd w:val="0"/>
        <w:spacing w:line="312" w:lineRule="auto"/>
        <w:ind w:firstLine="480" w:firstLineChars="200"/>
        <w:jc w:val="left"/>
        <w:rPr>
          <w:rFonts w:cs="宋体"/>
          <w:b/>
          <w:bCs/>
          <w:sz w:val="24"/>
          <w:szCs w:val="24"/>
        </w:rPr>
      </w:pPr>
      <w:r>
        <w:rPr>
          <w:rFonts w:hint="eastAsia" w:cs="宋体"/>
          <w:b/>
          <w:bCs/>
          <w:sz w:val="24"/>
          <w:szCs w:val="24"/>
        </w:rPr>
        <w:t>三、防制原则及标准：</w:t>
      </w:r>
    </w:p>
    <w:p>
      <w:pPr>
        <w:autoSpaceDE w:val="0"/>
        <w:autoSpaceDN w:val="0"/>
        <w:adjustRightInd w:val="0"/>
        <w:spacing w:line="312" w:lineRule="auto"/>
        <w:ind w:firstLine="480" w:firstLineChars="200"/>
        <w:jc w:val="left"/>
        <w:rPr>
          <w:rFonts w:cs="宋体"/>
          <w:b/>
          <w:bCs/>
          <w:sz w:val="24"/>
          <w:szCs w:val="24"/>
        </w:rPr>
      </w:pPr>
      <w:r>
        <w:rPr>
          <w:rFonts w:hint="eastAsia" w:cs="宋体"/>
          <w:b/>
          <w:bCs/>
          <w:sz w:val="24"/>
          <w:szCs w:val="24"/>
        </w:rPr>
        <w:t>（一）防制原则</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采取以环境治理为主、化学杀灭为辅的综合防制措施。切实做好环境治理，设置防范设施，针对具体生态环境、具体害情实施药物杀灭，同时要利用四害在防制中的许多共性，把各项防制措施有机地结合起来，消除和控制四害的危害，达到求实高效的目的。</w:t>
      </w:r>
    </w:p>
    <w:p>
      <w:pPr>
        <w:autoSpaceDE w:val="0"/>
        <w:autoSpaceDN w:val="0"/>
        <w:adjustRightInd w:val="0"/>
        <w:spacing w:line="312" w:lineRule="auto"/>
        <w:ind w:firstLine="480" w:firstLineChars="200"/>
        <w:jc w:val="left"/>
        <w:rPr>
          <w:rFonts w:cs="宋体"/>
          <w:b/>
          <w:bCs/>
          <w:sz w:val="24"/>
          <w:szCs w:val="24"/>
        </w:rPr>
      </w:pPr>
      <w:r>
        <w:rPr>
          <w:rFonts w:hint="eastAsia" w:cs="宋体"/>
          <w:b/>
          <w:bCs/>
          <w:sz w:val="24"/>
          <w:szCs w:val="24"/>
        </w:rPr>
        <w:t>（二）防制标准</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病媒生物控制水平按照国家《病媒生物密度控制水平  鼠类》GB/T 27770-2011、《病媒生物密度控制水平  蚊虫》GB/T 27771-2011、《病媒生物密度控制水平  蝇类》GB/T 27772-2011、《病媒生物密度控制水平  蜚蠊》GB/T 27773-2011标准C级及以上执行，现场密度监测按照浙卫办</w:t>
      </w:r>
      <w:r>
        <w:rPr>
          <w:rFonts w:hint="eastAsia" w:cs="宋体"/>
          <w:sz w:val="24"/>
          <w:szCs w:val="24"/>
          <w:lang w:eastAsia="zh-CN"/>
        </w:rPr>
        <w:t>〔</w:t>
      </w:r>
      <w:r>
        <w:rPr>
          <w:rFonts w:hint="eastAsia" w:cs="宋体"/>
          <w:sz w:val="24"/>
          <w:szCs w:val="24"/>
        </w:rPr>
        <w:t>2016</w:t>
      </w:r>
      <w:r>
        <w:rPr>
          <w:rFonts w:hint="eastAsia" w:cs="宋体"/>
          <w:sz w:val="24"/>
          <w:szCs w:val="24"/>
          <w:lang w:eastAsia="zh-CN"/>
        </w:rPr>
        <w:t>〕</w:t>
      </w:r>
      <w:r>
        <w:rPr>
          <w:rFonts w:hint="eastAsia" w:cs="宋体"/>
          <w:sz w:val="24"/>
          <w:szCs w:val="24"/>
        </w:rPr>
        <w:t>15号文件要求进行</w:t>
      </w:r>
      <w:r>
        <w:rPr>
          <w:rFonts w:hint="eastAsia" w:ascii="宋体" w:hAnsi="宋体" w:cs="宋体"/>
          <w:sz w:val="24"/>
          <w:szCs w:val="24"/>
        </w:rPr>
        <w:t>（</w:t>
      </w:r>
      <w:r>
        <w:rPr>
          <w:rFonts w:hint="eastAsia" w:ascii="宋体" w:hAnsi="宋体" w:cs="宋体"/>
          <w:b/>
          <w:bCs/>
          <w:color w:val="FF0000"/>
          <w:sz w:val="24"/>
          <w:szCs w:val="24"/>
        </w:rPr>
        <w:t>上述4个标准须有一样达到B级及以上</w:t>
      </w:r>
      <w:r>
        <w:rPr>
          <w:rFonts w:hint="eastAsia" w:ascii="宋体" w:hAnsi="宋体" w:cs="宋体"/>
          <w:sz w:val="24"/>
          <w:szCs w:val="24"/>
        </w:rPr>
        <w:t>）</w:t>
      </w:r>
      <w:r>
        <w:rPr>
          <w:rFonts w:hint="eastAsia" w:cs="宋体"/>
          <w:sz w:val="24"/>
          <w:szCs w:val="24"/>
        </w:rPr>
        <w:t>。</w:t>
      </w:r>
    </w:p>
    <w:p>
      <w:pPr>
        <w:autoSpaceDE w:val="0"/>
        <w:autoSpaceDN w:val="0"/>
        <w:adjustRightInd w:val="0"/>
        <w:spacing w:line="312" w:lineRule="auto"/>
        <w:ind w:firstLine="480" w:firstLineChars="200"/>
        <w:jc w:val="left"/>
        <w:rPr>
          <w:rFonts w:hint="eastAsia" w:eastAsia="宋体" w:cs="宋体"/>
          <w:b/>
          <w:bCs/>
          <w:sz w:val="24"/>
          <w:szCs w:val="24"/>
          <w:lang w:eastAsia="zh-CN"/>
        </w:rPr>
      </w:pPr>
      <w:r>
        <w:rPr>
          <w:rFonts w:hint="eastAsia" w:cs="宋体"/>
          <w:b/>
          <w:bCs/>
          <w:sz w:val="24"/>
          <w:szCs w:val="24"/>
        </w:rPr>
        <w:t>四、其他</w:t>
      </w:r>
      <w:r>
        <w:rPr>
          <w:rFonts w:hint="eastAsia" w:cs="宋体"/>
          <w:b/>
          <w:bCs/>
          <w:sz w:val="24"/>
          <w:szCs w:val="24"/>
          <w:lang w:eastAsia="zh-CN"/>
        </w:rPr>
        <w:t>：</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（一）成交供应商在承包期内须全面开展除四害消杀工作，严格按照相关技术标准要求控制四害密度，并配合做好爱卫办组织的除四害活动、相关部门的检查考核工作等有关卫生要求；</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（二）未经采购人同意，成交供应商不得私自将本项目转包或分包给第三方，否则采购人有权撤销合同，因此产生的相关损失由成交供应商承担；</w:t>
      </w:r>
    </w:p>
    <w:p>
      <w:pPr>
        <w:autoSpaceDE w:val="0"/>
        <w:autoSpaceDN w:val="0"/>
        <w:adjustRightInd w:val="0"/>
        <w:spacing w:line="312" w:lineRule="auto"/>
        <w:ind w:firstLine="480" w:firstLineChars="200"/>
        <w:jc w:val="left"/>
        <w:rPr>
          <w:rFonts w:cs="宋体"/>
          <w:sz w:val="24"/>
          <w:szCs w:val="24"/>
        </w:rPr>
      </w:pPr>
      <w:r>
        <w:rPr>
          <w:rFonts w:hint="eastAsia" w:cs="宋体"/>
          <w:sz w:val="24"/>
          <w:szCs w:val="24"/>
        </w:rPr>
        <w:t>（三）成交供应商需具备与施工规模相应的器械、设备和交通工具，保证从业人员具有上岗证。</w:t>
      </w:r>
    </w:p>
    <w:p>
      <w:pPr>
        <w:spacing w:line="440" w:lineRule="exact"/>
        <w:ind w:firstLine="720" w:firstLineChars="200"/>
        <w:rPr>
          <w:rFonts w:ascii="宋体" w:cs="宋体"/>
          <w:b/>
          <w:bCs/>
          <w:sz w:val="36"/>
          <w:szCs w:val="36"/>
        </w:rPr>
      </w:pPr>
      <w:r>
        <w:rPr>
          <w:rFonts w:hint="eastAsia" w:ascii="宋体" w:cs="宋体"/>
          <w:b/>
          <w:bCs/>
          <w:sz w:val="36"/>
          <w:szCs w:val="36"/>
        </w:rPr>
        <w:br w:type="page"/>
      </w:r>
    </w:p>
    <w:p>
      <w:pPr>
        <w:spacing w:line="336" w:lineRule="auto"/>
        <w:outlineLvl w:val="0"/>
        <w:rPr>
          <w:rFonts w:ascii="宋体" w:cs="宋体"/>
          <w:b/>
          <w:bCs/>
          <w:sz w:val="36"/>
          <w:szCs w:val="36"/>
        </w:rPr>
      </w:pPr>
      <w:r>
        <w:rPr>
          <w:rFonts w:hint="eastAsia" w:ascii="宋体" w:cs="宋体"/>
          <w:b/>
          <w:bCs/>
          <w:sz w:val="36"/>
          <w:szCs w:val="36"/>
        </w:rPr>
        <w:t xml:space="preserve">               </w:t>
      </w:r>
      <w:bookmarkStart w:id="21" w:name="_Toc3866"/>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合同文本</w:t>
      </w:r>
      <w:bookmarkEnd w:id="21"/>
    </w:p>
    <w:p>
      <w:pPr>
        <w:suppressLineNumbers/>
        <w:spacing w:line="360" w:lineRule="auto"/>
        <w:ind w:firstLine="480" w:firstLineChars="200"/>
        <w:rPr>
          <w:rFonts w:hAnsi="宋体"/>
          <w:sz w:val="24"/>
          <w:u w:val="single"/>
        </w:rPr>
      </w:pPr>
      <w:r>
        <w:rPr>
          <w:rFonts w:hint="eastAsia" w:hAnsi="宋体"/>
          <w:sz w:val="24"/>
        </w:rPr>
        <w:t>需方（甲方）：</w:t>
      </w:r>
      <w:r>
        <w:rPr>
          <w:rFonts w:hint="eastAsia" w:hAnsi="宋体"/>
          <w:sz w:val="24"/>
          <w:u w:val="single"/>
        </w:rPr>
        <w:t xml:space="preserve">  温岭市新河镇人民政府 ；  </w:t>
      </w:r>
    </w:p>
    <w:p>
      <w:pPr>
        <w:suppressLineNumbers/>
        <w:spacing w:line="360" w:lineRule="auto"/>
        <w:ind w:firstLine="480" w:firstLineChars="200"/>
        <w:rPr>
          <w:rFonts w:hAnsi="宋体"/>
          <w:sz w:val="24"/>
          <w:u w:val="single"/>
        </w:rPr>
      </w:pPr>
      <w:r>
        <w:rPr>
          <w:rFonts w:hint="eastAsia" w:hAnsi="宋体"/>
          <w:sz w:val="24"/>
        </w:rPr>
        <w:t>供方（乙方）：</w:t>
      </w:r>
      <w:r>
        <w:rPr>
          <w:rFonts w:hint="eastAsia" w:hAnsi="宋体"/>
          <w:sz w:val="24"/>
          <w:u w:val="single"/>
        </w:rPr>
        <w:t xml:space="preserve">                       ；  </w:t>
      </w:r>
    </w:p>
    <w:p>
      <w:pPr>
        <w:suppressLineNumbers/>
        <w:spacing w:line="360" w:lineRule="auto"/>
        <w:ind w:firstLine="480" w:firstLineChars="200"/>
        <w:jc w:val="left"/>
        <w:rPr>
          <w:rFonts w:hAnsi="宋体"/>
          <w:sz w:val="24"/>
        </w:rPr>
      </w:pPr>
      <w:r>
        <w:rPr>
          <w:rFonts w:hint="eastAsia" w:hAnsi="宋体"/>
          <w:sz w:val="24"/>
          <w:u w:val="single"/>
        </w:rPr>
        <w:t xml:space="preserve">   温岭市新河镇人民政府  </w:t>
      </w:r>
      <w:r>
        <w:rPr>
          <w:rFonts w:hint="eastAsia" w:hAnsi="宋体"/>
          <w:sz w:val="24"/>
        </w:rPr>
        <w:t>（以下称甲方）与</w:t>
      </w:r>
      <w:r>
        <w:rPr>
          <w:rFonts w:hint="eastAsia" w:hAnsi="宋体"/>
          <w:sz w:val="24"/>
          <w:u w:val="single"/>
        </w:rPr>
        <w:t xml:space="preserve">            </w:t>
      </w:r>
      <w:r>
        <w:rPr>
          <w:rFonts w:hint="eastAsia" w:hAnsi="宋体"/>
          <w:sz w:val="24"/>
        </w:rPr>
        <w:t>（以下称乙方）就</w:t>
      </w:r>
      <w:r>
        <w:rPr>
          <w:rFonts w:hint="eastAsia" w:hAnsi="宋体"/>
          <w:sz w:val="24"/>
          <w:u w:val="single"/>
        </w:rPr>
        <w:t xml:space="preserve">  </w:t>
      </w:r>
      <w:r>
        <w:rPr>
          <w:rFonts w:hint="eastAsia" w:hAnsi="宋体"/>
          <w:sz w:val="24"/>
          <w:u w:val="single"/>
          <w:lang w:eastAsia="zh-CN"/>
        </w:rPr>
        <w:t>温岭市新河镇2022年度病媒生物防制专业化服务项目采购</w:t>
      </w:r>
      <w:r>
        <w:rPr>
          <w:rFonts w:hint="eastAsia" w:hAnsi="宋体"/>
          <w:sz w:val="24"/>
          <w:u w:val="single"/>
        </w:rPr>
        <w:t xml:space="preserve">  </w:t>
      </w:r>
      <w:r>
        <w:rPr>
          <w:rFonts w:hint="eastAsia" w:hAnsi="宋体"/>
          <w:sz w:val="24"/>
        </w:rPr>
        <w:t>，经充分协商，达成如下协议：</w:t>
      </w:r>
    </w:p>
    <w:p>
      <w:pPr>
        <w:suppressLineNumbers/>
        <w:spacing w:line="360" w:lineRule="auto"/>
        <w:rPr>
          <w:rFonts w:hAnsi="宋体"/>
          <w:b/>
          <w:bCs/>
          <w:sz w:val="24"/>
        </w:rPr>
      </w:pPr>
      <w:r>
        <w:rPr>
          <w:rFonts w:hint="eastAsia" w:hAnsi="宋体"/>
          <w:b/>
          <w:bCs/>
          <w:sz w:val="24"/>
        </w:rPr>
        <w:t>一、服务内容、期限及要求</w:t>
      </w:r>
    </w:p>
    <w:p>
      <w:pPr>
        <w:suppressLineNumbers/>
        <w:spacing w:line="360" w:lineRule="auto"/>
        <w:ind w:firstLine="480" w:firstLineChars="200"/>
        <w:rPr>
          <w:rFonts w:hAnsi="宋体"/>
          <w:sz w:val="24"/>
        </w:rPr>
      </w:pPr>
      <w:r>
        <w:rPr>
          <w:rFonts w:hint="eastAsia" w:hAnsi="宋体"/>
          <w:sz w:val="24"/>
        </w:rPr>
        <w:t>1、服务内容：温岭市新河镇范围内的“四害”消杀工作及“四害”密度检测服务；居民户“除四害”药物的供应等。</w:t>
      </w:r>
    </w:p>
    <w:p>
      <w:pPr>
        <w:suppressLineNumbers/>
        <w:spacing w:line="360" w:lineRule="auto"/>
        <w:ind w:firstLine="480" w:firstLineChars="200"/>
        <w:rPr>
          <w:rFonts w:hAnsi="宋体"/>
          <w:sz w:val="24"/>
        </w:rPr>
      </w:pPr>
      <w:r>
        <w:rPr>
          <w:rFonts w:hint="eastAsia" w:hAnsi="宋体"/>
          <w:sz w:val="24"/>
        </w:rPr>
        <w:t>2、服务期限：合同签订之日起一年。</w:t>
      </w:r>
    </w:p>
    <w:p>
      <w:pPr>
        <w:suppressLineNumbers/>
        <w:spacing w:line="360" w:lineRule="auto"/>
        <w:rPr>
          <w:rFonts w:hAnsi="宋体"/>
          <w:b/>
          <w:bCs/>
          <w:sz w:val="24"/>
        </w:rPr>
      </w:pPr>
      <w:r>
        <w:rPr>
          <w:rFonts w:hint="eastAsia" w:hAnsi="宋体"/>
          <w:b/>
          <w:bCs/>
          <w:sz w:val="24"/>
        </w:rPr>
        <w:t>二、合同明细及金额</w:t>
      </w:r>
    </w:p>
    <w:p>
      <w:pPr>
        <w:suppressLineNumbers/>
        <w:spacing w:line="360" w:lineRule="auto"/>
        <w:ind w:firstLine="480" w:firstLineChars="200"/>
        <w:rPr>
          <w:rFonts w:hAnsi="宋体"/>
          <w:sz w:val="24"/>
        </w:rPr>
      </w:pPr>
      <w:r>
        <w:rPr>
          <w:rFonts w:hint="eastAsia" w:hAnsi="宋体"/>
          <w:sz w:val="24"/>
        </w:rPr>
        <w:t xml:space="preserve">温岭市新河镇除四害专业化服务费（大写）： </w:t>
      </w:r>
      <w:r>
        <w:rPr>
          <w:rFonts w:hint="eastAsia" w:hAnsi="宋体"/>
          <w:sz w:val="24"/>
          <w:u w:val="single"/>
        </w:rPr>
        <w:t xml:space="preserve">          </w:t>
      </w:r>
      <w:r>
        <w:rPr>
          <w:rFonts w:hint="eastAsia" w:hAnsi="宋体"/>
          <w:sz w:val="24"/>
        </w:rPr>
        <w:t>万元（¥：</w:t>
      </w:r>
      <w:r>
        <w:rPr>
          <w:rFonts w:hint="eastAsia" w:hAnsi="宋体"/>
          <w:sz w:val="24"/>
          <w:u w:val="single"/>
        </w:rPr>
        <w:t xml:space="preserve">    </w:t>
      </w:r>
      <w:r>
        <w:rPr>
          <w:rFonts w:hint="eastAsia" w:hAnsi="宋体"/>
          <w:sz w:val="24"/>
        </w:rPr>
        <w:t>元）。</w:t>
      </w:r>
    </w:p>
    <w:p>
      <w:pPr>
        <w:suppressLineNumbers/>
        <w:spacing w:line="360" w:lineRule="auto"/>
        <w:ind w:firstLine="480" w:firstLineChars="200"/>
        <w:rPr>
          <w:rFonts w:hAnsi="宋体"/>
          <w:sz w:val="24"/>
        </w:rPr>
      </w:pPr>
      <w:r>
        <w:rPr>
          <w:rFonts w:hint="eastAsia" w:hAnsi="宋体"/>
          <w:sz w:val="24"/>
        </w:rPr>
        <w:t>服务内容明细：见合同附件。</w:t>
      </w:r>
    </w:p>
    <w:p>
      <w:pPr>
        <w:suppressLineNumbers/>
        <w:spacing w:line="360" w:lineRule="auto"/>
        <w:rPr>
          <w:rFonts w:hAnsi="宋体"/>
          <w:b/>
          <w:bCs/>
          <w:sz w:val="24"/>
        </w:rPr>
      </w:pPr>
      <w:r>
        <w:rPr>
          <w:rFonts w:hint="eastAsia" w:hAnsi="宋体"/>
          <w:b/>
          <w:bCs/>
          <w:sz w:val="24"/>
        </w:rPr>
        <w:t>三、付款方式</w:t>
      </w:r>
    </w:p>
    <w:p>
      <w:pPr>
        <w:suppressLineNumbers/>
        <w:spacing w:line="360" w:lineRule="auto"/>
        <w:ind w:firstLine="480" w:firstLineChars="200"/>
        <w:rPr>
          <w:rFonts w:hAnsi="宋体"/>
          <w:sz w:val="24"/>
          <w:lang w:val="zh-CN"/>
        </w:rPr>
      </w:pPr>
      <w:r>
        <w:rPr>
          <w:rFonts w:hint="eastAsia" w:hAnsi="宋体"/>
          <w:sz w:val="24"/>
          <w:lang w:val="zh-CN"/>
        </w:rPr>
        <w:t>合同签订后，①甲方先预付给乙方总服务费的</w:t>
      </w:r>
      <w:r>
        <w:rPr>
          <w:rFonts w:hint="eastAsia" w:hAnsi="宋体"/>
          <w:sz w:val="24"/>
          <w:lang w:val="en-US" w:eastAsia="zh-CN"/>
        </w:rPr>
        <w:t>2</w:t>
      </w:r>
      <w:r>
        <w:rPr>
          <w:rFonts w:hint="eastAsia" w:hAnsi="宋体"/>
          <w:sz w:val="24"/>
          <w:lang w:val="zh-CN"/>
        </w:rPr>
        <w:t>0%作为预付款；②202</w:t>
      </w:r>
      <w:r>
        <w:rPr>
          <w:rFonts w:hint="eastAsia" w:hAnsi="宋体"/>
          <w:sz w:val="24"/>
          <w:lang w:val="en-US" w:eastAsia="zh-CN"/>
        </w:rPr>
        <w:t>2</w:t>
      </w:r>
      <w:r>
        <w:rPr>
          <w:rFonts w:hint="eastAsia" w:hAnsi="宋体"/>
          <w:sz w:val="24"/>
          <w:lang w:val="zh-CN"/>
        </w:rPr>
        <w:t>年1</w:t>
      </w:r>
      <w:r>
        <w:rPr>
          <w:rFonts w:hint="eastAsia" w:hAnsi="宋体"/>
          <w:sz w:val="24"/>
        </w:rPr>
        <w:t>1</w:t>
      </w:r>
      <w:r>
        <w:rPr>
          <w:rFonts w:hint="eastAsia" w:hAnsi="宋体"/>
          <w:sz w:val="24"/>
          <w:lang w:val="zh-CN"/>
        </w:rPr>
        <w:t>月30日前经甲方确认后支付至总服务费的</w:t>
      </w:r>
      <w:r>
        <w:rPr>
          <w:rFonts w:hint="eastAsia" w:hAnsi="宋体"/>
          <w:sz w:val="24"/>
        </w:rPr>
        <w:t>5</w:t>
      </w:r>
      <w:r>
        <w:rPr>
          <w:rFonts w:hint="eastAsia" w:hAnsi="宋体"/>
          <w:sz w:val="24"/>
          <w:lang w:val="zh-CN"/>
        </w:rPr>
        <w:t>0%；</w:t>
      </w:r>
      <w:r>
        <w:rPr>
          <w:rFonts w:hint="eastAsia" w:ascii="宋体" w:hAnsi="宋体" w:cs="宋体"/>
          <w:sz w:val="24"/>
          <w:lang w:val="zh-CN"/>
        </w:rPr>
        <w:t>③</w:t>
      </w:r>
      <w:r>
        <w:rPr>
          <w:rFonts w:hint="eastAsia" w:hAnsi="宋体"/>
          <w:sz w:val="24"/>
          <w:lang w:val="zh-CN"/>
        </w:rPr>
        <w:t>在总服务期满后，达到国家病媒生物防治密度水平C级及以上水平或经甲方认可后支付至总服务费的100%。</w:t>
      </w:r>
    </w:p>
    <w:p>
      <w:pPr>
        <w:suppressLineNumbers/>
        <w:spacing w:line="360" w:lineRule="auto"/>
        <w:rPr>
          <w:rFonts w:hAnsi="宋体"/>
          <w:b/>
          <w:bCs/>
          <w:sz w:val="24"/>
        </w:rPr>
      </w:pPr>
      <w:r>
        <w:rPr>
          <w:rFonts w:hint="eastAsia" w:hAnsi="宋体"/>
          <w:b/>
          <w:bCs/>
          <w:sz w:val="24"/>
        </w:rPr>
        <w:t>四、履约保证金</w:t>
      </w:r>
    </w:p>
    <w:p>
      <w:pPr>
        <w:suppressLineNumbers/>
        <w:spacing w:line="360" w:lineRule="auto"/>
        <w:ind w:firstLine="480" w:firstLineChars="200"/>
        <w:rPr>
          <w:rFonts w:hAnsi="宋体"/>
          <w:sz w:val="24"/>
        </w:rPr>
      </w:pPr>
      <w:r>
        <w:rPr>
          <w:rFonts w:hint="eastAsia" w:hAnsi="宋体"/>
          <w:sz w:val="24"/>
        </w:rPr>
        <w:t>履约保证金金额：合同金额的</w:t>
      </w:r>
      <w:r>
        <w:rPr>
          <w:rFonts w:hint="eastAsia" w:hAnsi="宋体"/>
          <w:sz w:val="24"/>
          <w:lang w:val="en-US" w:eastAsia="zh-CN"/>
        </w:rPr>
        <w:t>2.</w:t>
      </w:r>
      <w:r>
        <w:rPr>
          <w:rFonts w:hint="eastAsia" w:hAnsi="宋体"/>
          <w:sz w:val="24"/>
        </w:rPr>
        <w:t>5%，在合同签订前存入甲方指定账户；</w:t>
      </w:r>
    </w:p>
    <w:p>
      <w:pPr>
        <w:suppressLineNumbers/>
        <w:spacing w:line="360" w:lineRule="auto"/>
        <w:ind w:firstLine="480" w:firstLineChars="200"/>
        <w:rPr>
          <w:rFonts w:hAnsi="宋体"/>
          <w:sz w:val="24"/>
        </w:rPr>
      </w:pPr>
      <w:r>
        <w:rPr>
          <w:rFonts w:hint="eastAsia" w:hAnsi="宋体"/>
          <w:sz w:val="24"/>
        </w:rPr>
        <w:t>履约保证金形式：网银、电汇、转账支付等方式 ；</w:t>
      </w:r>
    </w:p>
    <w:p>
      <w:pPr>
        <w:suppressLineNumbers/>
        <w:spacing w:line="360" w:lineRule="auto"/>
        <w:ind w:firstLine="480" w:firstLineChars="200"/>
        <w:rPr>
          <w:rFonts w:hAnsi="宋体"/>
          <w:sz w:val="24"/>
        </w:rPr>
      </w:pPr>
      <w:r>
        <w:rPr>
          <w:rFonts w:hint="eastAsia" w:hAnsi="宋体"/>
          <w:sz w:val="24"/>
        </w:rPr>
        <w:t>履约保证金的退还：乙方在履约期间未出现违约行为，其履约保证金待履约责任期满（全部完成验收合格）后</w:t>
      </w:r>
      <w:r>
        <w:rPr>
          <w:rFonts w:hint="eastAsia" w:hAnsi="宋体"/>
          <w:sz w:val="24"/>
          <w:lang w:val="en-US" w:eastAsia="zh-CN"/>
        </w:rPr>
        <w:t>3</w:t>
      </w:r>
      <w:r>
        <w:rPr>
          <w:rFonts w:hint="eastAsia" w:hAnsi="宋体"/>
          <w:sz w:val="24"/>
        </w:rPr>
        <w:t>0天内退还乙方（履约保证金不计息）。</w:t>
      </w:r>
    </w:p>
    <w:p>
      <w:pPr>
        <w:suppressLineNumbers/>
        <w:spacing w:line="360" w:lineRule="auto"/>
        <w:rPr>
          <w:rFonts w:hAnsi="宋体"/>
          <w:b/>
          <w:bCs/>
          <w:sz w:val="24"/>
        </w:rPr>
      </w:pPr>
      <w:r>
        <w:rPr>
          <w:rFonts w:hint="eastAsia" w:hAnsi="宋体"/>
          <w:b/>
          <w:bCs/>
          <w:sz w:val="24"/>
        </w:rPr>
        <w:t>五、服务范围及质量</w:t>
      </w:r>
    </w:p>
    <w:p>
      <w:pPr>
        <w:suppressLineNumbers/>
        <w:spacing w:line="360" w:lineRule="auto"/>
        <w:ind w:firstLine="480" w:firstLineChars="200"/>
        <w:rPr>
          <w:rFonts w:hAnsi="宋体"/>
          <w:sz w:val="24"/>
        </w:rPr>
      </w:pPr>
      <w:r>
        <w:rPr>
          <w:rFonts w:hint="eastAsia" w:hAnsi="宋体"/>
          <w:sz w:val="24"/>
        </w:rPr>
        <w:t>（一）消杀范围</w:t>
      </w:r>
      <w:r>
        <w:rPr>
          <w:rFonts w:hint="eastAsia" w:hAnsi="宋体"/>
          <w:sz w:val="24"/>
          <w:lang w:eastAsia="zh-CN"/>
        </w:rPr>
        <w:t>：</w:t>
      </w:r>
      <w:r>
        <w:rPr>
          <w:rFonts w:hint="eastAsia" w:hAnsi="宋体"/>
          <w:sz w:val="24"/>
        </w:rPr>
        <w:t xml:space="preserve"> </w:t>
      </w:r>
    </w:p>
    <w:p>
      <w:pPr>
        <w:spacing w:line="312" w:lineRule="auto"/>
        <w:ind w:firstLine="480" w:firstLineChars="200"/>
        <w:rPr>
          <w:sz w:val="24"/>
        </w:rPr>
      </w:pPr>
      <w:r>
        <w:rPr>
          <w:rFonts w:hint="eastAsia"/>
          <w:sz w:val="24"/>
        </w:rPr>
        <w:t>1、本项目为温岭市新河镇除四害专业化服务项目采购，新河镇【</w:t>
      </w:r>
      <w:r>
        <w:rPr>
          <w:rFonts w:hint="eastAsia"/>
          <w:sz w:val="24"/>
          <w:lang w:eastAsia="zh-CN"/>
        </w:rPr>
        <w:t>新河镇建成区消杀范围</w:t>
      </w:r>
      <w:r>
        <w:rPr>
          <w:rFonts w:hint="eastAsia"/>
          <w:sz w:val="24"/>
        </w:rPr>
        <w:t>约</w:t>
      </w:r>
      <w:r>
        <w:rPr>
          <w:rFonts w:hint="eastAsia"/>
          <w:sz w:val="24"/>
          <w:lang w:eastAsia="zh-CN"/>
        </w:rPr>
        <w:t>8.74</w:t>
      </w:r>
      <w:r>
        <w:rPr>
          <w:rFonts w:hint="eastAsia"/>
          <w:sz w:val="24"/>
        </w:rPr>
        <w:t>平方公里；辖区内居民户约40952户（包括外来人口）】范围内的公共环境（包括居民楼、重点场所、垃圾收集点、建筑工地、绿化带、下水道、河岸边、窨井、水体、公园、闲置空地、地下室、地下车库、车棚雨棚、垃圾桶[箱]、公共厕所等）、企事业单位及六小行业【小餐饮店、小食品店（含小副食品店、小超市）、小美容美发店、小浴室（含小足浴）、小旅店、小歌舞厅等】至少3000家，农副产品市场（含菜市场）9个及其他沿街店铺等的除“四害”专业性治理服务（含居民户的灭蟑、蚊、蝇、鼠药物的供应约（40952）户）。</w:t>
      </w:r>
    </w:p>
    <w:p>
      <w:pPr>
        <w:spacing w:line="312" w:lineRule="auto"/>
        <w:ind w:firstLine="480" w:firstLineChars="200"/>
        <w:rPr>
          <w:sz w:val="24"/>
        </w:rPr>
      </w:pPr>
      <w:r>
        <w:rPr>
          <w:rFonts w:hint="eastAsia"/>
          <w:sz w:val="24"/>
        </w:rPr>
        <w:t>注：以上数量均为预估数值，结算时按实调整。</w:t>
      </w:r>
    </w:p>
    <w:p>
      <w:pPr>
        <w:suppressLineNumbers/>
        <w:spacing w:line="360" w:lineRule="auto"/>
        <w:ind w:firstLine="240" w:firstLineChars="100"/>
        <w:rPr>
          <w:rFonts w:hAnsi="宋体"/>
          <w:b/>
          <w:bCs/>
          <w:sz w:val="24"/>
        </w:rPr>
      </w:pPr>
      <w:r>
        <w:rPr>
          <w:rFonts w:hint="eastAsia" w:hAnsi="宋体"/>
          <w:b/>
          <w:bCs/>
          <w:sz w:val="24"/>
        </w:rPr>
        <w:t>六、甲方的权利和义务</w:t>
      </w:r>
    </w:p>
    <w:p>
      <w:pPr>
        <w:suppressLineNumbers/>
        <w:spacing w:line="360" w:lineRule="auto"/>
        <w:ind w:firstLine="480" w:firstLineChars="200"/>
        <w:rPr>
          <w:rFonts w:hAnsi="宋体"/>
          <w:sz w:val="24"/>
        </w:rPr>
      </w:pPr>
      <w:r>
        <w:rPr>
          <w:rFonts w:hint="eastAsia" w:hAnsi="宋体"/>
          <w:sz w:val="24"/>
        </w:rPr>
        <w:t>1、在合同期内配合乙方开展服务工作，做好协调工作。</w:t>
      </w:r>
    </w:p>
    <w:p>
      <w:pPr>
        <w:suppressLineNumbers/>
        <w:spacing w:line="360" w:lineRule="auto"/>
        <w:ind w:firstLine="480" w:firstLineChars="200"/>
        <w:rPr>
          <w:rFonts w:hAnsi="宋体"/>
          <w:sz w:val="24"/>
        </w:rPr>
      </w:pPr>
      <w:r>
        <w:rPr>
          <w:rFonts w:hint="eastAsia" w:hAnsi="宋体"/>
          <w:sz w:val="24"/>
        </w:rPr>
        <w:t>2、负责做好公共环境环卫基础设施建设、维护，督促保持环境清洁卫生；</w:t>
      </w:r>
    </w:p>
    <w:p>
      <w:pPr>
        <w:suppressLineNumbers/>
        <w:spacing w:line="360" w:lineRule="auto"/>
        <w:ind w:firstLine="480" w:firstLineChars="200"/>
        <w:rPr>
          <w:rFonts w:hAnsi="宋体"/>
          <w:sz w:val="24"/>
        </w:rPr>
      </w:pPr>
      <w:r>
        <w:rPr>
          <w:rFonts w:hint="eastAsia" w:hAnsi="宋体"/>
          <w:sz w:val="24"/>
        </w:rPr>
        <w:t>3、经常开展单位、各村的除四害工作的宣传；督促单位、各村落实除四害工作相关职责。</w:t>
      </w:r>
    </w:p>
    <w:p>
      <w:pPr>
        <w:suppressLineNumbers/>
        <w:spacing w:line="360" w:lineRule="auto"/>
        <w:ind w:firstLine="480" w:firstLineChars="200"/>
        <w:rPr>
          <w:rFonts w:hAnsi="宋体"/>
          <w:sz w:val="24"/>
        </w:rPr>
      </w:pPr>
      <w:r>
        <w:rPr>
          <w:rFonts w:hint="eastAsia" w:hAnsi="宋体"/>
          <w:sz w:val="24"/>
        </w:rPr>
        <w:t>4、有权委托第三方履行</w:t>
      </w:r>
      <w:r>
        <w:rPr>
          <w:rFonts w:hint="eastAsia" w:hAnsi="宋体"/>
          <w:sz w:val="24"/>
          <w:lang w:eastAsia="zh-CN"/>
        </w:rPr>
        <w:t>对</w:t>
      </w:r>
      <w:r>
        <w:rPr>
          <w:rFonts w:hint="eastAsia" w:hAnsi="宋体"/>
          <w:sz w:val="24"/>
        </w:rPr>
        <w:t>乙方的服务质量进行监督，并对服务不符合合同要求的，提出整改意见，作出相应违约处理，及至终止合同。</w:t>
      </w:r>
    </w:p>
    <w:p>
      <w:pPr>
        <w:suppressLineNumbers/>
        <w:spacing w:line="360" w:lineRule="auto"/>
        <w:ind w:firstLine="480" w:firstLineChars="200"/>
        <w:rPr>
          <w:rFonts w:hAnsi="宋体"/>
          <w:sz w:val="24"/>
        </w:rPr>
      </w:pPr>
      <w:r>
        <w:rPr>
          <w:rFonts w:hint="eastAsia" w:hAnsi="宋体"/>
          <w:sz w:val="24"/>
        </w:rPr>
        <w:t>5、并按合同规定支付服务费。</w:t>
      </w:r>
    </w:p>
    <w:p>
      <w:pPr>
        <w:suppressLineNumbers/>
        <w:spacing w:line="360" w:lineRule="auto"/>
        <w:rPr>
          <w:rFonts w:hAnsi="宋体"/>
          <w:b/>
          <w:bCs/>
          <w:sz w:val="24"/>
        </w:rPr>
      </w:pPr>
      <w:r>
        <w:rPr>
          <w:rFonts w:hint="eastAsia" w:hAnsi="宋体"/>
          <w:b/>
          <w:bCs/>
          <w:sz w:val="24"/>
        </w:rPr>
        <w:t xml:space="preserve">七、乙方的权利和义务 </w:t>
      </w:r>
    </w:p>
    <w:p>
      <w:pPr>
        <w:suppressLineNumbers/>
        <w:spacing w:line="360" w:lineRule="auto"/>
        <w:ind w:firstLine="480" w:firstLineChars="200"/>
        <w:rPr>
          <w:rFonts w:hAnsi="宋体"/>
          <w:sz w:val="24"/>
        </w:rPr>
      </w:pPr>
      <w:r>
        <w:rPr>
          <w:rFonts w:hint="eastAsia" w:hAnsi="宋体"/>
          <w:sz w:val="24"/>
        </w:rPr>
        <w:t>1、乙方按要求完成服务后，有权及时获得甲方的服务费用。</w:t>
      </w:r>
    </w:p>
    <w:p>
      <w:pPr>
        <w:suppressLineNumbers/>
        <w:spacing w:line="360" w:lineRule="auto"/>
        <w:ind w:firstLine="480" w:firstLineChars="200"/>
        <w:rPr>
          <w:rFonts w:hAnsi="宋体"/>
          <w:sz w:val="24"/>
        </w:rPr>
      </w:pPr>
      <w:r>
        <w:rPr>
          <w:rFonts w:hint="eastAsia" w:hAnsi="宋体"/>
          <w:sz w:val="24"/>
        </w:rPr>
        <w:t>2、乙方须严格执行投标文件承诺的除四害实施方案、技术方案；招标过程中涉及的文件、资料以及有关联的承诺作为合同的有效组成部分。</w:t>
      </w:r>
    </w:p>
    <w:p>
      <w:pPr>
        <w:suppressLineNumbers/>
        <w:spacing w:line="360" w:lineRule="auto"/>
        <w:ind w:firstLine="480" w:firstLineChars="200"/>
        <w:rPr>
          <w:rFonts w:hAnsi="宋体"/>
          <w:sz w:val="24"/>
        </w:rPr>
      </w:pPr>
      <w:r>
        <w:rPr>
          <w:rFonts w:hint="eastAsia" w:hAnsi="宋体"/>
          <w:sz w:val="24"/>
        </w:rPr>
        <w:t>3、乙方在承包期内须全面开展除四害消杀工作，服务范围内鼠、蚊、蝇、蟑螂等病媒生物得到有效控制，达到国家病媒生物密度控制标准（GB/T 27770-2011鼠类、GB/T 27771-2011蚊虫、GB/T 27772-2011蝇类、GB/T 27773-2011蜚蠊）C级及以上要求（</w:t>
      </w:r>
      <w:r>
        <w:rPr>
          <w:rFonts w:hint="eastAsia" w:hAnsi="宋体"/>
          <w:b/>
          <w:bCs/>
          <w:color w:val="FF0000"/>
          <w:sz w:val="24"/>
        </w:rPr>
        <w:t>上述4个标准须有一样达到B级及以上</w:t>
      </w:r>
      <w:r>
        <w:rPr>
          <w:rFonts w:hint="eastAsia" w:hAnsi="宋体"/>
          <w:sz w:val="24"/>
        </w:rPr>
        <w:t>）。</w:t>
      </w:r>
    </w:p>
    <w:p>
      <w:pPr>
        <w:suppressLineNumbers/>
        <w:spacing w:line="360" w:lineRule="auto"/>
        <w:ind w:firstLine="480" w:firstLineChars="200"/>
        <w:rPr>
          <w:rFonts w:hAnsi="宋体"/>
          <w:sz w:val="24"/>
        </w:rPr>
      </w:pPr>
      <w:r>
        <w:rPr>
          <w:rFonts w:hint="eastAsia" w:hAnsi="宋体"/>
          <w:sz w:val="24"/>
        </w:rPr>
        <w:t>4、乙方须将服务于本项目人员分工方案、工作人员的名单、电话号码、身份证复印件、有效的病媒生物预防控制培训合格证明复印件等资料交甲方备案，需要变更相关人员时须经甲方同意并更新备案资料。</w:t>
      </w:r>
    </w:p>
    <w:p>
      <w:pPr>
        <w:suppressLineNumbers/>
        <w:spacing w:line="360" w:lineRule="auto"/>
        <w:ind w:firstLine="480" w:firstLineChars="200"/>
        <w:rPr>
          <w:rFonts w:hAnsi="宋体"/>
          <w:sz w:val="24"/>
        </w:rPr>
      </w:pPr>
      <w:r>
        <w:rPr>
          <w:rFonts w:hint="eastAsia" w:hAnsi="宋体"/>
          <w:sz w:val="24"/>
        </w:rPr>
        <w:t>5、乙方需具备与施工规模相应的器械、设备和交通工具，服务于本项目人的固定技术员工和临时调配从业人员应均应持</w:t>
      </w:r>
      <w:r>
        <w:rPr>
          <w:rFonts w:hint="eastAsia" w:hAnsi="宋体"/>
          <w:b/>
          <w:bCs/>
          <w:sz w:val="24"/>
        </w:rPr>
        <w:t>有效的病媒生物预防控制培训合格证明</w:t>
      </w:r>
      <w:r>
        <w:rPr>
          <w:rFonts w:hint="eastAsia" w:hAnsi="宋体"/>
          <w:sz w:val="24"/>
        </w:rPr>
        <w:t>上岗</w:t>
      </w:r>
      <w:r>
        <w:rPr>
          <w:rFonts w:hint="eastAsia" w:hAnsi="宋体"/>
          <w:sz w:val="24"/>
          <w:lang w:eastAsia="zh-CN"/>
        </w:rPr>
        <w:t>，</w:t>
      </w:r>
      <w:r>
        <w:rPr>
          <w:rFonts w:hint="eastAsia" w:hAnsi="宋体"/>
          <w:sz w:val="24"/>
        </w:rPr>
        <w:t>固定技术员工必须每次参与现场消杀。</w:t>
      </w:r>
    </w:p>
    <w:p>
      <w:pPr>
        <w:suppressLineNumbers/>
        <w:spacing w:line="360" w:lineRule="auto"/>
        <w:ind w:firstLine="480" w:firstLineChars="200"/>
        <w:rPr>
          <w:rFonts w:hAnsi="宋体"/>
          <w:sz w:val="24"/>
        </w:rPr>
      </w:pPr>
      <w:r>
        <w:rPr>
          <w:rFonts w:hint="eastAsia" w:hAnsi="宋体"/>
          <w:sz w:val="24"/>
        </w:rPr>
        <w:t>6、乙方有责任协助甲方的开展除四害消杀服务指导以及防制宣传工作，做好技术支持，整理、完善甲方在国家卫生乡镇复评时所需的相关资料，每月做好工作计划、总结、密度监测、药械消耗及消杀工作记录表等资料的整理收集，并附当月参与消杀作业的固定和临时抽调从业人员清单，一并及时报送甲方。</w:t>
      </w:r>
    </w:p>
    <w:p>
      <w:pPr>
        <w:suppressLineNumbers/>
        <w:spacing w:line="360" w:lineRule="auto"/>
        <w:ind w:firstLine="480" w:firstLineChars="200"/>
        <w:rPr>
          <w:rFonts w:hAnsi="宋体"/>
          <w:sz w:val="24"/>
        </w:rPr>
      </w:pPr>
      <w:r>
        <w:rPr>
          <w:rFonts w:hint="eastAsia" w:hAnsi="宋体"/>
          <w:sz w:val="24"/>
        </w:rPr>
        <w:t>7、乙方有责任指导“六小”单位消杀后及时清理四害尸体；帮助服务单位健全“四害”防制设施，提出改进意见，指导服务单位建立健全“除四害”工作台账。甲方要求乙方提供直接或间接服务于本项目的各类型资料时，乙方必须服从并按时如实提供。</w:t>
      </w:r>
    </w:p>
    <w:p>
      <w:pPr>
        <w:suppressLineNumbers/>
        <w:spacing w:line="360" w:lineRule="auto"/>
        <w:ind w:firstLine="480" w:firstLineChars="200"/>
        <w:rPr>
          <w:rFonts w:hAnsi="宋体"/>
          <w:sz w:val="24"/>
        </w:rPr>
      </w:pPr>
      <w:r>
        <w:rPr>
          <w:rFonts w:hint="eastAsia" w:hAnsi="宋体"/>
          <w:sz w:val="24"/>
        </w:rPr>
        <w:t>8、乙方除四害药物须与投标时技术文件提及的拟使用的消杀器械和药物一览表一致；药械选用符合国家规定要求，并经甲方认定的药物，严禁使用国家禁用或伪劣的消杀药物；自配药物，需向甲方提供毒饵主剂和诱饵主剂的有关证书；药物使用剂量、浓度、时间、方法、配伍等符合技术规定，不符合技术规定的药物甲方视为无效药品。</w:t>
      </w:r>
    </w:p>
    <w:p>
      <w:pPr>
        <w:suppressLineNumbers/>
        <w:spacing w:line="360" w:lineRule="auto"/>
        <w:ind w:firstLine="480" w:firstLineChars="200"/>
        <w:rPr>
          <w:rFonts w:hAnsi="宋体"/>
          <w:sz w:val="24"/>
        </w:rPr>
      </w:pPr>
      <w:r>
        <w:rPr>
          <w:rFonts w:hint="eastAsia" w:hAnsi="宋体"/>
          <w:sz w:val="24"/>
        </w:rPr>
        <w:t>9、乙方根据不同病媒生物特点、季节、环境类型等，科学合理安排消杀工作。</w:t>
      </w:r>
    </w:p>
    <w:p>
      <w:pPr>
        <w:suppressLineNumbers/>
        <w:spacing w:line="360" w:lineRule="auto"/>
        <w:ind w:firstLine="480" w:firstLineChars="200"/>
        <w:rPr>
          <w:rFonts w:hAnsi="宋体"/>
          <w:sz w:val="24"/>
        </w:rPr>
      </w:pPr>
      <w:r>
        <w:rPr>
          <w:rFonts w:hint="eastAsia" w:hAnsi="宋体"/>
          <w:sz w:val="24"/>
        </w:rPr>
        <w:t>10、执行合同期间不得发生因操作不规范而引起的安全事故和投诉事件，对易发生人畜误食的场所，应设中文警示标识，服务期间发生人畜药物中毒事故或其它人身财产损害的由乙方自行负责，做好药品采购使用的相关备案登记。</w:t>
      </w:r>
    </w:p>
    <w:p>
      <w:pPr>
        <w:suppressLineNumbers/>
        <w:spacing w:line="360" w:lineRule="auto"/>
        <w:ind w:firstLine="480" w:firstLineChars="200"/>
        <w:rPr>
          <w:rFonts w:hAnsi="宋体"/>
          <w:sz w:val="24"/>
        </w:rPr>
      </w:pPr>
      <w:r>
        <w:rPr>
          <w:rFonts w:hint="eastAsia" w:hAnsi="宋体"/>
          <w:sz w:val="24"/>
        </w:rPr>
        <w:t>11、乙方必须如实向甲方提供乙方在温岭市建成区范围内从事其他除四害或病媒生物预防控制有偿服务的详细资料。</w:t>
      </w:r>
    </w:p>
    <w:p>
      <w:pPr>
        <w:suppressLineNumbers/>
        <w:spacing w:line="360" w:lineRule="auto"/>
        <w:rPr>
          <w:rFonts w:hAnsi="宋体"/>
          <w:b/>
          <w:bCs/>
          <w:sz w:val="24"/>
        </w:rPr>
      </w:pPr>
      <w:r>
        <w:rPr>
          <w:rFonts w:hint="eastAsia" w:hAnsi="宋体"/>
          <w:b/>
          <w:bCs/>
          <w:sz w:val="24"/>
        </w:rPr>
        <w:t>八、违约责任</w:t>
      </w:r>
    </w:p>
    <w:p>
      <w:pPr>
        <w:suppressLineNumbers/>
        <w:spacing w:line="360" w:lineRule="auto"/>
        <w:ind w:firstLine="480" w:firstLineChars="200"/>
        <w:rPr>
          <w:rFonts w:hAnsi="宋体"/>
          <w:sz w:val="24"/>
        </w:rPr>
      </w:pPr>
      <w:r>
        <w:rPr>
          <w:rFonts w:hint="eastAsia" w:hAnsi="宋体"/>
          <w:sz w:val="24"/>
        </w:rPr>
        <w:t>1、甲方如未能履行本合同规定的义务，致使乙方无法正常开展服务工作，乙方有权及时书面通知甲方。</w:t>
      </w:r>
    </w:p>
    <w:p>
      <w:pPr>
        <w:suppressLineNumbers/>
        <w:spacing w:line="360" w:lineRule="auto"/>
        <w:ind w:firstLine="480" w:firstLineChars="200"/>
        <w:rPr>
          <w:rFonts w:hAnsi="宋体"/>
          <w:sz w:val="24"/>
        </w:rPr>
      </w:pPr>
      <w:r>
        <w:rPr>
          <w:rFonts w:hint="eastAsia" w:hAnsi="宋体"/>
          <w:sz w:val="24"/>
        </w:rPr>
        <w:t xml:space="preserve">2、乙方如未能按期完成合同要求的，甲方有权及时书面通知乙方。 </w:t>
      </w:r>
    </w:p>
    <w:p>
      <w:pPr>
        <w:suppressLineNumbers/>
        <w:spacing w:line="360" w:lineRule="auto"/>
        <w:ind w:firstLine="480" w:firstLineChars="200"/>
        <w:rPr>
          <w:rFonts w:hAnsi="宋体"/>
          <w:sz w:val="24"/>
        </w:rPr>
      </w:pPr>
      <w:r>
        <w:rPr>
          <w:rFonts w:hint="eastAsia" w:hAnsi="宋体"/>
          <w:sz w:val="24"/>
        </w:rPr>
        <w:t>3、在委托服务期内，乙方未能通过爱卫办检查考核及上级爱卫会的除四害监督考核等有关卫生要求的，甲方有权责令整改，直至通过相关验收为止；若逾期未整改视作违约，相关责任由乙方承担。</w:t>
      </w:r>
    </w:p>
    <w:p>
      <w:pPr>
        <w:suppressLineNumbers/>
        <w:spacing w:line="360" w:lineRule="auto"/>
        <w:ind w:firstLine="480" w:firstLineChars="200"/>
        <w:rPr>
          <w:rFonts w:hAnsi="宋体"/>
          <w:sz w:val="24"/>
        </w:rPr>
      </w:pPr>
      <w:r>
        <w:rPr>
          <w:rFonts w:hint="eastAsia" w:hAnsi="宋体"/>
          <w:sz w:val="24"/>
        </w:rPr>
        <w:t>4、乙方未按第七条（乙方的权利和义务）第2、4、5、6、7、8、9、11款执行，甲方可即时提出书面警告，并进行扣款处理，其中抽查发现使用药械与投标提供信息不一致或未按照甲方要求的每次扣款5000元（使用违禁药物扣款后立即终止合同），每发现一次消杀人员未到岗或参与现场消杀的技术员工与名单不相符的每人次扣款5000元，并开具整改通知书，对未持有效的病媒生物预防控制培训合格证明上岗作业的每人次扣款10000元并开具整改通知书及移交卫生计生行政部门处理；所提供消杀记录等资料不属实每发现一次扣除10000元并开具整改通知书，若情节严重，确认乙方未达到要求的，甲方有权利终止合同，没收履约保证金，甲方不再向乙方支付剩余款项；以上条款在项目实施过程中累计违反3次，合计收到3张整改通知书则甲方有权提前终止合同并没收履约金。</w:t>
      </w:r>
    </w:p>
    <w:p>
      <w:pPr>
        <w:suppressLineNumbers/>
        <w:spacing w:line="360" w:lineRule="auto"/>
        <w:ind w:firstLine="480" w:firstLineChars="200"/>
        <w:rPr>
          <w:rFonts w:hAnsi="宋体"/>
          <w:sz w:val="24"/>
        </w:rPr>
      </w:pPr>
      <w:r>
        <w:rPr>
          <w:rFonts w:hint="eastAsia" w:hAnsi="宋体"/>
          <w:sz w:val="24"/>
        </w:rPr>
        <w:t>5、乙方在合同到期时未能达到第七条（乙方的权利和义务）第3、10款要求，即时提出警告，并限期1个月内改正，在限期内整改落实后，支付发票金额；若警告后未在限期内改正，或乙方中途自行退出，或确认其不能达到要求的，没收合同履约保证金，即时终止合同，余款不再支付，并向甲方支付违约金，违约金额为合同总价的50%。</w:t>
      </w:r>
    </w:p>
    <w:p>
      <w:pPr>
        <w:suppressLineNumbers/>
        <w:spacing w:line="360" w:lineRule="auto"/>
        <w:ind w:firstLine="480" w:firstLineChars="200"/>
        <w:rPr>
          <w:rFonts w:hAnsi="宋体"/>
          <w:sz w:val="24"/>
        </w:rPr>
      </w:pPr>
      <w:r>
        <w:rPr>
          <w:rFonts w:hint="eastAsia" w:hAnsi="宋体"/>
          <w:sz w:val="24"/>
        </w:rPr>
        <w:t>6、乙方未按本次采购中提供的工作方案、技术方案和消杀服务要求等规定进行的，经限期整改，仍达不到预期效果的则按具体情况扣款5-10万</w:t>
      </w:r>
      <w:r>
        <w:rPr>
          <w:rFonts w:hint="eastAsia" w:hAnsi="宋体"/>
          <w:sz w:val="24"/>
          <w:lang w:eastAsia="zh-CN"/>
        </w:rPr>
        <w:t>，</w:t>
      </w:r>
      <w:r>
        <w:rPr>
          <w:rFonts w:hint="eastAsia" w:hAnsi="宋体"/>
          <w:sz w:val="24"/>
        </w:rPr>
        <w:t>其中抽查发现未按要求频次对重点公共场所及餐饮业开展消杀的，每家每期扣除500元，农贸市场每家每期扣除3000元。情节严重的，可由甲方单方终止合同，没收合同履约保证金，乙方向甲方返还已支付的资金。</w:t>
      </w:r>
    </w:p>
    <w:p>
      <w:pPr>
        <w:suppressLineNumbers/>
        <w:spacing w:line="360" w:lineRule="auto"/>
        <w:ind w:firstLine="480" w:firstLineChars="200"/>
        <w:rPr>
          <w:rFonts w:hAnsi="宋体"/>
          <w:sz w:val="24"/>
        </w:rPr>
      </w:pPr>
      <w:r>
        <w:rPr>
          <w:rFonts w:hint="eastAsia" w:hAnsi="宋体"/>
          <w:sz w:val="24"/>
        </w:rPr>
        <w:t>7</w:t>
      </w:r>
      <w:r>
        <w:rPr>
          <w:rFonts w:hint="eastAsia" w:hAnsi="宋体"/>
          <w:b/>
          <w:bCs/>
          <w:sz w:val="24"/>
        </w:rPr>
        <w:t>、合同规定的服务期间，若新河镇辖区内发生蚊媒传播疾病疫情，未执行</w:t>
      </w:r>
      <w:r>
        <w:rPr>
          <w:rFonts w:hint="eastAsia" w:hAnsi="宋体"/>
          <w:b/>
          <w:bCs/>
          <w:sz w:val="24"/>
          <w:lang w:eastAsia="zh-CN"/>
        </w:rPr>
        <w:t>甲方</w:t>
      </w:r>
      <w:r>
        <w:rPr>
          <w:rFonts w:hint="eastAsia" w:hAnsi="宋体"/>
          <w:b/>
          <w:bCs/>
          <w:sz w:val="24"/>
        </w:rPr>
        <w:t>的指令要求，开展疫点及周边的应急消杀工作情形的，不响应不执行每次扣10000元，响应不及时（不及时指从接到指令到到达应急消杀现场超过3小时）每次扣5000元，应急消杀时每个应急监测现场不少于2个人，必须经过培训且具有实际监测工作经验，人数不足或人员条件不符合每人每次扣1000元。</w:t>
      </w:r>
    </w:p>
    <w:p>
      <w:pPr>
        <w:suppressLineNumbers/>
        <w:spacing w:line="360" w:lineRule="auto"/>
        <w:rPr>
          <w:rFonts w:ascii="新宋体" w:hAnsi="新宋体" w:eastAsia="新宋体"/>
          <w:b/>
          <w:sz w:val="24"/>
        </w:rPr>
      </w:pPr>
      <w:r>
        <w:rPr>
          <w:rFonts w:hint="eastAsia" w:hAnsi="宋体"/>
          <w:b/>
          <w:bCs/>
          <w:sz w:val="24"/>
        </w:rPr>
        <w:t>九</w:t>
      </w:r>
      <w:r>
        <w:rPr>
          <w:rFonts w:hint="eastAsia" w:hAnsi="宋体"/>
          <w:sz w:val="24"/>
        </w:rPr>
        <w:t>、</w:t>
      </w:r>
      <w:r>
        <w:rPr>
          <w:rFonts w:hint="eastAsia" w:ascii="新宋体" w:hAnsi="新宋体" w:eastAsia="新宋体"/>
          <w:b/>
          <w:sz w:val="24"/>
        </w:rPr>
        <w:t>合同争议</w:t>
      </w:r>
    </w:p>
    <w:p>
      <w:pPr>
        <w:suppressLineNumbers/>
        <w:spacing w:line="360" w:lineRule="auto"/>
        <w:ind w:firstLine="480" w:firstLineChars="200"/>
        <w:rPr>
          <w:rFonts w:ascii="新宋体" w:hAnsi="新宋体" w:eastAsia="新宋体"/>
          <w:bCs/>
          <w:sz w:val="24"/>
        </w:rPr>
      </w:pPr>
      <w:r>
        <w:rPr>
          <w:rFonts w:hint="eastAsia" w:ascii="新宋体" w:hAnsi="新宋体" w:eastAsia="新宋体"/>
          <w:bCs/>
          <w:sz w:val="24"/>
        </w:rPr>
        <w:t>在本合同履行过程中发生争议，双方应当协商解决。双方不愿协商、调解解决或协商、调解不成的，双方商定，申请台州仲裁委员会仲裁。</w:t>
      </w:r>
    </w:p>
    <w:p>
      <w:pPr>
        <w:suppressLineNumbers/>
        <w:spacing w:line="360" w:lineRule="auto"/>
        <w:rPr>
          <w:rFonts w:ascii="新宋体" w:hAnsi="新宋体" w:eastAsia="新宋体"/>
          <w:b/>
          <w:sz w:val="24"/>
        </w:rPr>
      </w:pPr>
      <w:r>
        <w:rPr>
          <w:rFonts w:hint="eastAsia" w:ascii="新宋体" w:hAnsi="新宋体" w:eastAsia="新宋体"/>
          <w:b/>
          <w:sz w:val="24"/>
        </w:rPr>
        <w:t>十、转让和分包</w:t>
      </w:r>
    </w:p>
    <w:p>
      <w:pPr>
        <w:suppressLineNumbers/>
        <w:spacing w:line="360" w:lineRule="auto"/>
        <w:ind w:firstLine="480" w:firstLineChars="200"/>
        <w:rPr>
          <w:rFonts w:hAnsi="宋体"/>
          <w:sz w:val="24"/>
        </w:rPr>
      </w:pPr>
      <w:r>
        <w:rPr>
          <w:rFonts w:hint="eastAsia" w:hAnsi="宋体"/>
          <w:sz w:val="24"/>
        </w:rPr>
        <w:t>未经甲方事先书面同意，乙方不得部分转让或全部转让其应履行的合同义务。</w:t>
      </w:r>
    </w:p>
    <w:p>
      <w:pPr>
        <w:suppressLineNumbers/>
        <w:spacing w:line="360" w:lineRule="auto"/>
        <w:rPr>
          <w:rFonts w:hAnsi="宋体"/>
          <w:b/>
          <w:bCs/>
          <w:sz w:val="24"/>
        </w:rPr>
      </w:pPr>
      <w:r>
        <w:rPr>
          <w:rFonts w:hint="eastAsia" w:hAnsi="宋体"/>
          <w:b/>
          <w:bCs/>
          <w:sz w:val="24"/>
        </w:rPr>
        <w:t>十一、合同生效及其它</w:t>
      </w:r>
    </w:p>
    <w:p>
      <w:pPr>
        <w:suppressLineNumbers/>
        <w:spacing w:line="360" w:lineRule="auto"/>
        <w:ind w:firstLine="480" w:firstLineChars="200"/>
        <w:rPr>
          <w:rFonts w:hAnsi="宋体"/>
          <w:sz w:val="24"/>
        </w:rPr>
      </w:pPr>
      <w:r>
        <w:rPr>
          <w:rFonts w:hint="eastAsia" w:hAnsi="宋体"/>
          <w:sz w:val="24"/>
        </w:rPr>
        <w:t>1、合同经双方法定代表人或授权委托代理人签名并加盖单位公章后生效。</w:t>
      </w:r>
    </w:p>
    <w:p>
      <w:pPr>
        <w:overflowPunct w:val="0"/>
        <w:spacing w:line="360" w:lineRule="auto"/>
        <w:ind w:firstLine="480" w:firstLineChars="200"/>
        <w:rPr>
          <w:rFonts w:ascii="新宋体" w:hAnsi="新宋体" w:eastAsia="新宋体"/>
          <w:bCs/>
          <w:sz w:val="24"/>
        </w:rPr>
      </w:pPr>
      <w:r>
        <w:rPr>
          <w:rFonts w:hint="eastAsia" w:ascii="新宋体" w:hAnsi="新宋体" w:eastAsia="新宋体"/>
          <w:bCs/>
          <w:sz w:val="24"/>
        </w:rPr>
        <w:t>2、如需修改或补充合同内容，经协商，双方应签署书面修改或补充协议，该协议将作为本合同的一个组成部分。</w:t>
      </w:r>
    </w:p>
    <w:p>
      <w:pPr>
        <w:overflowPunct w:val="0"/>
        <w:spacing w:line="360" w:lineRule="auto"/>
        <w:ind w:firstLine="480" w:firstLineChars="200"/>
        <w:rPr>
          <w:rFonts w:ascii="新宋体" w:hAnsi="新宋体" w:eastAsia="新宋体"/>
          <w:bCs/>
          <w:sz w:val="24"/>
        </w:rPr>
      </w:pPr>
      <w:r>
        <w:rPr>
          <w:rFonts w:hint="eastAsia" w:ascii="新宋体" w:hAnsi="新宋体" w:eastAsia="新宋体"/>
          <w:bCs/>
          <w:sz w:val="24"/>
        </w:rPr>
        <w:t>3、本合同未尽事宜，遵照《民法典》有关条文执行。</w:t>
      </w:r>
    </w:p>
    <w:p>
      <w:pPr>
        <w:suppressLineNumbers/>
        <w:spacing w:line="360" w:lineRule="auto"/>
        <w:ind w:firstLine="480" w:firstLineChars="200"/>
        <w:rPr>
          <w:rFonts w:ascii="新宋体" w:hAnsi="新宋体" w:eastAsia="新宋体"/>
          <w:bCs/>
          <w:sz w:val="24"/>
        </w:rPr>
      </w:pPr>
      <w:r>
        <w:rPr>
          <w:rFonts w:hint="eastAsia" w:ascii="新宋体" w:hAnsi="新宋体" w:eastAsia="新宋体"/>
          <w:bCs/>
          <w:sz w:val="24"/>
        </w:rPr>
        <w:t>4、本合同一式柒份，正本一式贰份，具有同等法律效力，甲乙双方各执一份；副本伍份，甲乙双方各执壹份，其余送交有关部门备案。</w:t>
      </w:r>
    </w:p>
    <w:p>
      <w:pPr>
        <w:suppressLineNumbers/>
        <w:spacing w:line="360" w:lineRule="auto"/>
        <w:rPr>
          <w:rFonts w:hAnsi="宋体"/>
          <w:sz w:val="24"/>
        </w:rPr>
      </w:pPr>
      <w:r>
        <w:rPr>
          <w:rFonts w:hint="eastAsia" w:hAnsi="宋体"/>
          <w:sz w:val="24"/>
        </w:rPr>
        <w:t>十</w:t>
      </w:r>
      <w:r>
        <w:rPr>
          <w:rFonts w:hint="eastAsia" w:hAnsi="宋体"/>
          <w:sz w:val="24"/>
          <w:lang w:eastAsia="zh-CN"/>
        </w:rPr>
        <w:t>二</w:t>
      </w:r>
      <w:r>
        <w:rPr>
          <w:rFonts w:hint="eastAsia" w:hAnsi="宋体"/>
          <w:sz w:val="24"/>
        </w:rPr>
        <w:t>、本合同的见证单位为建经投资咨询有限公司。</w:t>
      </w:r>
    </w:p>
    <w:p>
      <w:pPr>
        <w:suppressLineNumbers/>
        <w:spacing w:line="360" w:lineRule="auto"/>
        <w:ind w:firstLine="480" w:firstLineChars="200"/>
        <w:rPr>
          <w:rFonts w:hAnsi="宋体"/>
          <w:sz w:val="24"/>
        </w:rPr>
      </w:pPr>
      <w:r>
        <w:rPr>
          <w:rFonts w:hint="eastAsia" w:hAnsi="宋体"/>
          <w:sz w:val="24"/>
        </w:rPr>
        <w:t xml:space="preserve">甲方：（公章）                     乙方：（公章）                           </w:t>
      </w:r>
    </w:p>
    <w:p>
      <w:pPr>
        <w:suppressLineNumbers/>
        <w:spacing w:line="360" w:lineRule="auto"/>
        <w:ind w:firstLine="480" w:firstLineChars="200"/>
        <w:rPr>
          <w:rFonts w:hAnsi="宋体"/>
          <w:sz w:val="24"/>
        </w:rPr>
      </w:pPr>
      <w:r>
        <w:rPr>
          <w:rFonts w:hint="eastAsia" w:hAnsi="宋体"/>
          <w:sz w:val="24"/>
        </w:rPr>
        <w:t>法定代表人：                       法定代表人：</w:t>
      </w:r>
    </w:p>
    <w:p>
      <w:pPr>
        <w:suppressLineNumbers/>
        <w:spacing w:line="360" w:lineRule="auto"/>
        <w:ind w:firstLine="480" w:firstLineChars="200"/>
        <w:rPr>
          <w:rFonts w:hAnsi="宋体"/>
          <w:sz w:val="24"/>
        </w:rPr>
      </w:pPr>
      <w:r>
        <w:rPr>
          <w:rFonts w:hint="eastAsia" w:hAnsi="宋体"/>
          <w:sz w:val="24"/>
        </w:rPr>
        <w:t>授权代表：                         授权代表：</w:t>
      </w:r>
    </w:p>
    <w:p>
      <w:pPr>
        <w:suppressLineNumbers/>
        <w:spacing w:line="360" w:lineRule="auto"/>
        <w:ind w:firstLine="480" w:firstLineChars="200"/>
        <w:rPr>
          <w:rFonts w:hAnsi="宋体"/>
          <w:sz w:val="24"/>
        </w:rPr>
      </w:pPr>
      <w:r>
        <w:rPr>
          <w:rFonts w:hint="eastAsia" w:hAnsi="宋体"/>
          <w:sz w:val="24"/>
        </w:rPr>
        <w:t>开户银行：                         开户银行：</w:t>
      </w:r>
    </w:p>
    <w:p>
      <w:pPr>
        <w:suppressLineNumbers/>
        <w:spacing w:line="360" w:lineRule="auto"/>
        <w:ind w:firstLine="480" w:firstLineChars="200"/>
        <w:rPr>
          <w:rFonts w:hAnsi="宋体"/>
          <w:sz w:val="24"/>
        </w:rPr>
      </w:pPr>
      <w:r>
        <w:rPr>
          <w:rFonts w:hint="eastAsia" w:hAnsi="宋体"/>
          <w:sz w:val="24"/>
          <w:lang w:eastAsia="zh-CN"/>
        </w:rPr>
        <w:t>银行账号</w:t>
      </w:r>
      <w:r>
        <w:rPr>
          <w:rFonts w:hint="eastAsia" w:hAnsi="宋体"/>
          <w:sz w:val="24"/>
        </w:rPr>
        <w:t xml:space="preserve">：                         </w:t>
      </w:r>
      <w:r>
        <w:rPr>
          <w:rFonts w:hint="eastAsia" w:hAnsi="宋体"/>
          <w:sz w:val="24"/>
          <w:lang w:eastAsia="zh-CN"/>
        </w:rPr>
        <w:t>银行账号</w:t>
      </w:r>
      <w:r>
        <w:rPr>
          <w:rFonts w:hint="eastAsia" w:hAnsi="宋体"/>
          <w:sz w:val="24"/>
        </w:rPr>
        <w:t>：</w:t>
      </w:r>
    </w:p>
    <w:p>
      <w:pPr>
        <w:suppressLineNumbers/>
        <w:spacing w:line="360" w:lineRule="auto"/>
        <w:ind w:firstLine="480" w:firstLineChars="200"/>
        <w:rPr>
          <w:rFonts w:hAnsi="宋体"/>
          <w:sz w:val="24"/>
        </w:rPr>
      </w:pPr>
      <w:r>
        <w:rPr>
          <w:rFonts w:hint="eastAsia" w:hAnsi="宋体"/>
          <w:sz w:val="24"/>
        </w:rPr>
        <w:t>合同签订时间：</w:t>
      </w:r>
    </w:p>
    <w:p>
      <w:pPr>
        <w:pStyle w:val="61"/>
        <w:numPr>
          <w:ilvl w:val="0"/>
          <w:numId w:val="0"/>
        </w:numPr>
        <w:spacing w:line="520" w:lineRule="exact"/>
        <w:rPr>
          <w:rFonts w:hint="default" w:hAnsi="宋体" w:cs="仿宋_GB2312"/>
          <w:sz w:val="32"/>
          <w:szCs w:val="32"/>
        </w:rPr>
        <w:sectPr>
          <w:footerReference r:id="rId6" w:type="first"/>
          <w:footerReference r:id="rId5" w:type="default"/>
          <w:pgSz w:w="11907" w:h="16840"/>
          <w:pgMar w:top="1440" w:right="1531" w:bottom="1440" w:left="1928" w:header="851" w:footer="1304" w:gutter="0"/>
          <w:pgNumType w:fmt="numberInDash" w:start="1"/>
          <w:cols w:space="720" w:num="1"/>
          <w:titlePg/>
          <w:docGrid w:type="linesAndChars" w:linePitch="312" w:charSpace="0"/>
        </w:sect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outlineLvl w:val="0"/>
        <w:rPr>
          <w:rFonts w:ascii="宋体" w:cs="宋体"/>
          <w:b/>
          <w:bCs/>
          <w:sz w:val="36"/>
          <w:szCs w:val="36"/>
        </w:rPr>
      </w:pPr>
      <w:bookmarkStart w:id="22" w:name="_Toc19126"/>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投标文件格式附件</w:t>
      </w:r>
      <w:bookmarkEnd w:id="22"/>
    </w:p>
    <w:p>
      <w:pPr>
        <w:rPr>
          <w:rFonts w:ascii="宋体"/>
          <w:b/>
          <w:bCs/>
          <w:kern w:val="0"/>
          <w:sz w:val="28"/>
          <w:szCs w:val="28"/>
        </w:rPr>
      </w:pPr>
      <w:r>
        <w:rPr>
          <w:rFonts w:hint="eastAsia" w:ascii="宋体" w:hAnsi="宋体" w:cs="宋体"/>
          <w:b/>
          <w:bCs/>
          <w:kern w:val="0"/>
          <w:sz w:val="28"/>
          <w:szCs w:val="28"/>
        </w:rPr>
        <w:br w:type="page"/>
      </w:r>
    </w:p>
    <w:p>
      <w:pPr>
        <w:spacing w:line="360" w:lineRule="auto"/>
        <w:rPr>
          <w:rFonts w:ascii="宋体" w:cs="宋体"/>
          <w:b/>
          <w:bCs/>
          <w:sz w:val="30"/>
          <w:szCs w:val="30"/>
        </w:rPr>
      </w:pPr>
    </w:p>
    <w:p>
      <w:pPr>
        <w:spacing w:line="360" w:lineRule="auto"/>
        <w:ind w:right="-110"/>
        <w:jc w:val="center"/>
        <w:outlineLvl w:val="0"/>
        <w:rPr>
          <w:rFonts w:ascii="宋体" w:hAnsi="宋体" w:cs="宋体"/>
          <w:spacing w:val="40"/>
          <w:sz w:val="40"/>
          <w:szCs w:val="40"/>
        </w:rPr>
      </w:pPr>
      <w:r>
        <w:rPr>
          <w:rFonts w:hint="eastAsia" w:ascii="宋体" w:hAnsi="宋体" w:cs="宋体"/>
          <w:spacing w:val="40"/>
          <w:sz w:val="40"/>
          <w:szCs w:val="40"/>
        </w:rPr>
        <w:t>温岭市新河镇</w:t>
      </w:r>
      <w:r>
        <w:rPr>
          <w:rFonts w:hint="eastAsia" w:ascii="宋体" w:hAnsi="宋体" w:cs="宋体"/>
          <w:spacing w:val="40"/>
          <w:sz w:val="40"/>
          <w:szCs w:val="40"/>
          <w:lang w:eastAsia="zh-CN"/>
        </w:rPr>
        <w:t>2022</w:t>
      </w:r>
      <w:r>
        <w:rPr>
          <w:rFonts w:hint="eastAsia" w:ascii="宋体" w:hAnsi="宋体" w:cs="宋体"/>
          <w:spacing w:val="40"/>
          <w:sz w:val="40"/>
          <w:szCs w:val="40"/>
        </w:rPr>
        <w:t>年度病媒生物防制</w:t>
      </w:r>
    </w:p>
    <w:p>
      <w:pPr>
        <w:spacing w:line="360" w:lineRule="auto"/>
        <w:ind w:right="-110"/>
        <w:jc w:val="center"/>
        <w:outlineLvl w:val="0"/>
        <w:rPr>
          <w:rFonts w:ascii="宋体"/>
          <w:spacing w:val="40"/>
          <w:sz w:val="40"/>
          <w:szCs w:val="40"/>
        </w:rPr>
      </w:pPr>
      <w:r>
        <w:rPr>
          <w:rFonts w:hint="eastAsia" w:ascii="宋体" w:hAnsi="宋体" w:cs="宋体"/>
          <w:spacing w:val="40"/>
          <w:sz w:val="40"/>
          <w:szCs w:val="40"/>
        </w:rPr>
        <w:t>专业化服务项目采购</w:t>
      </w:r>
    </w:p>
    <w:p>
      <w:pPr>
        <w:spacing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JJWL22030950</w:t>
      </w:r>
    </w:p>
    <w:p>
      <w:pPr>
        <w:autoSpaceDE w:val="0"/>
        <w:autoSpaceDN w:val="0"/>
        <w:adjustRightInd w:val="0"/>
        <w:spacing w:line="360" w:lineRule="auto"/>
        <w:jc w:val="center"/>
        <w:rPr>
          <w:rFonts w:ascii="宋体"/>
          <w:sz w:val="84"/>
          <w:szCs w:val="84"/>
          <w:lang w:val="zh-CN"/>
        </w:rPr>
      </w:pP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b/>
          <w:bCs/>
          <w:spacing w:val="40"/>
          <w:sz w:val="28"/>
          <w:szCs w:val="28"/>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pPr>
        <w:spacing w:line="360" w:lineRule="auto"/>
        <w:ind w:right="532" w:firstLine="720" w:firstLineChars="200"/>
        <w:rPr>
          <w:rFonts w:ascii="宋体"/>
          <w:sz w:val="36"/>
          <w:szCs w:val="36"/>
        </w:rPr>
      </w:pPr>
      <w:r>
        <w:rPr>
          <w:rFonts w:hint="eastAsia" w:ascii="宋体" w:hAnsi="宋体" w:cs="宋体"/>
          <w:sz w:val="36"/>
          <w:szCs w:val="36"/>
        </w:rPr>
        <w:t>投标人全称（公章）：</w:t>
      </w:r>
    </w:p>
    <w:p>
      <w:pPr>
        <w:spacing w:line="360" w:lineRule="auto"/>
        <w:ind w:right="532" w:firstLine="720" w:firstLineChars="20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pPr>
        <w:spacing w:line="360" w:lineRule="auto"/>
        <w:ind w:right="532" w:firstLine="720" w:firstLineChars="20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pPr>
        <w:snapToGrid w:val="0"/>
        <w:spacing w:before="50" w:after="50" w:line="360" w:lineRule="auto"/>
        <w:rPr>
          <w:rFonts w:ascii="仿宋_GB2312" w:hAnsi="宋体" w:eastAsia="仿宋_GB2312"/>
          <w:b/>
          <w:bCs/>
          <w:sz w:val="36"/>
          <w:szCs w:val="36"/>
        </w:rPr>
      </w:pPr>
    </w:p>
    <w:p>
      <w:pPr>
        <w:snapToGrid w:val="0"/>
        <w:spacing w:before="50" w:after="50" w:line="360" w:lineRule="auto"/>
        <w:rPr>
          <w:rFonts w:ascii="仿宋_GB2312" w:hAnsi="宋体" w:eastAsia="仿宋_GB2312"/>
          <w:b/>
          <w:bCs/>
          <w:sz w:val="36"/>
          <w:szCs w:val="36"/>
        </w:rPr>
      </w:pPr>
    </w:p>
    <w:p>
      <w:pPr>
        <w:rPr>
          <w:rFonts w:ascii="宋体" w:hAnsi="宋体" w:cs="宋体"/>
          <w:b/>
          <w:bCs/>
          <w:sz w:val="36"/>
          <w:szCs w:val="36"/>
        </w:rPr>
      </w:pPr>
      <w:r>
        <w:rPr>
          <w:rFonts w:hint="eastAsia" w:ascii="宋体" w:hAnsi="宋体" w:cs="宋体"/>
          <w:b/>
          <w:bCs/>
          <w:sz w:val="36"/>
          <w:szCs w:val="36"/>
        </w:rPr>
        <w:br w:type="page"/>
      </w: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资格证明文件包含以下内容</w:t>
      </w:r>
    </w:p>
    <w:p>
      <w:pPr>
        <w:pStyle w:val="17"/>
      </w:pPr>
    </w:p>
    <w:p>
      <w:pPr>
        <w:numPr>
          <w:ilvl w:val="0"/>
          <w:numId w:val="7"/>
        </w:numPr>
        <w:snapToGrid w:val="0"/>
        <w:spacing w:line="360" w:lineRule="auto"/>
        <w:jc w:val="left"/>
        <w:rPr>
          <w:rFonts w:ascii="宋体" w:cs="宋体"/>
          <w:sz w:val="28"/>
          <w:szCs w:val="28"/>
        </w:rPr>
      </w:pPr>
      <w:r>
        <w:rPr>
          <w:rFonts w:hint="eastAsia" w:ascii="宋体" w:hAnsi="宋体" w:cs="宋体"/>
          <w:sz w:val="28"/>
          <w:szCs w:val="28"/>
        </w:rPr>
        <w:t>投标声明书及其他证明材料；</w:t>
      </w:r>
    </w:p>
    <w:p>
      <w:pPr>
        <w:numPr>
          <w:ilvl w:val="0"/>
          <w:numId w:val="7"/>
        </w:numPr>
        <w:snapToGrid w:val="0"/>
        <w:spacing w:line="360" w:lineRule="auto"/>
        <w:jc w:val="left"/>
        <w:rPr>
          <w:rFonts w:ascii="宋体"/>
          <w:kern w:val="0"/>
          <w:sz w:val="28"/>
          <w:szCs w:val="28"/>
        </w:rPr>
      </w:pPr>
      <w:r>
        <w:rPr>
          <w:rFonts w:hint="eastAsia" w:cs="宋体"/>
          <w:sz w:val="28"/>
          <w:szCs w:val="28"/>
        </w:rPr>
        <w:t>授权委托书、法定代表人身份证明书；</w:t>
      </w:r>
    </w:p>
    <w:p>
      <w:pPr>
        <w:numPr>
          <w:ilvl w:val="0"/>
          <w:numId w:val="7"/>
        </w:numPr>
        <w:snapToGrid w:val="0"/>
        <w:spacing w:line="360" w:lineRule="auto"/>
        <w:jc w:val="left"/>
        <w:rPr>
          <w:rFonts w:ascii="宋体"/>
          <w:kern w:val="0"/>
          <w:sz w:val="28"/>
          <w:szCs w:val="28"/>
        </w:rPr>
      </w:pPr>
      <w:r>
        <w:rPr>
          <w:rFonts w:hint="eastAsia" w:cs="宋体"/>
          <w:sz w:val="28"/>
          <w:szCs w:val="28"/>
        </w:rPr>
        <w:t>法人或者其他组织的营业执照等证明文件，自然人的身份证明；</w:t>
      </w:r>
    </w:p>
    <w:p>
      <w:pPr>
        <w:numPr>
          <w:ilvl w:val="0"/>
          <w:numId w:val="7"/>
        </w:numPr>
        <w:snapToGrid w:val="0"/>
        <w:spacing w:line="360" w:lineRule="auto"/>
        <w:jc w:val="left"/>
        <w:rPr>
          <w:rFonts w:ascii="宋体"/>
          <w:sz w:val="28"/>
          <w:szCs w:val="28"/>
        </w:rPr>
      </w:pPr>
      <w:r>
        <w:rPr>
          <w:rFonts w:hint="eastAsia" w:cs="宋体"/>
          <w:sz w:val="28"/>
          <w:szCs w:val="28"/>
        </w:rPr>
        <w:t>财务状况报告，依法缴纳税收和社会保障资金的相关材料</w:t>
      </w:r>
      <w:r>
        <w:rPr>
          <w:rFonts w:hint="eastAsia" w:ascii="宋体" w:hAnsi="宋体" w:cs="宋体"/>
          <w:sz w:val="28"/>
          <w:szCs w:val="28"/>
        </w:rPr>
        <w:t>；</w:t>
      </w:r>
    </w:p>
    <w:p>
      <w:pPr>
        <w:numPr>
          <w:ilvl w:val="0"/>
          <w:numId w:val="7"/>
        </w:numPr>
        <w:snapToGrid w:val="0"/>
        <w:spacing w:line="360" w:lineRule="auto"/>
        <w:jc w:val="left"/>
        <w:rPr>
          <w:rFonts w:ascii="宋体"/>
          <w:kern w:val="0"/>
          <w:sz w:val="28"/>
          <w:szCs w:val="28"/>
        </w:rPr>
      </w:pPr>
      <w:r>
        <w:rPr>
          <w:rFonts w:hint="eastAsia" w:cs="宋体"/>
          <w:sz w:val="28"/>
          <w:szCs w:val="28"/>
        </w:rPr>
        <w:t>具备履行合同所必需的设备和专业技术能力的证明材料</w:t>
      </w:r>
      <w:r>
        <w:rPr>
          <w:rFonts w:hint="eastAsia" w:ascii="宋体" w:hAnsi="宋体" w:cs="宋体"/>
          <w:sz w:val="28"/>
          <w:szCs w:val="28"/>
        </w:rPr>
        <w:t>；</w:t>
      </w:r>
    </w:p>
    <w:p>
      <w:pPr>
        <w:numPr>
          <w:ilvl w:val="0"/>
          <w:numId w:val="7"/>
        </w:numPr>
        <w:snapToGrid w:val="0"/>
        <w:spacing w:line="360" w:lineRule="auto"/>
        <w:jc w:val="left"/>
        <w:rPr>
          <w:rFonts w:ascii="宋体" w:hAnsi="宋体" w:cs="宋体"/>
          <w:b/>
          <w:bCs/>
          <w:color w:val="FF0000"/>
          <w:kern w:val="0"/>
          <w:sz w:val="28"/>
          <w:szCs w:val="28"/>
        </w:rPr>
      </w:pPr>
      <w:r>
        <w:rPr>
          <w:rFonts w:hint="eastAsia" w:ascii="宋体" w:hAnsi="宋体" w:cs="宋体"/>
          <w:b/>
          <w:bCs/>
          <w:color w:val="FF0000"/>
          <w:kern w:val="0"/>
          <w:sz w:val="28"/>
          <w:szCs w:val="28"/>
        </w:rPr>
        <w:t>投标人的《中小企业声明函（服务）》等相关证明材料；</w:t>
      </w:r>
    </w:p>
    <w:p>
      <w:pPr>
        <w:numPr>
          <w:ilvl w:val="0"/>
          <w:numId w:val="7"/>
        </w:numPr>
        <w:snapToGrid w:val="0"/>
        <w:spacing w:line="360" w:lineRule="auto"/>
        <w:jc w:val="left"/>
        <w:rPr>
          <w:rFonts w:ascii="宋体"/>
          <w:kern w:val="0"/>
          <w:sz w:val="28"/>
          <w:szCs w:val="28"/>
        </w:rPr>
      </w:pPr>
      <w:r>
        <w:rPr>
          <w:rFonts w:hint="eastAsia" w:ascii="宋体" w:hAnsi="宋体" w:cs="宋体"/>
          <w:kern w:val="0"/>
          <w:sz w:val="28"/>
          <w:szCs w:val="28"/>
        </w:rPr>
        <w:t>投标人认为需要提供的</w:t>
      </w:r>
      <w:r>
        <w:rPr>
          <w:rFonts w:hint="eastAsia" w:ascii="宋体" w:hAnsi="宋体" w:cs="宋体"/>
          <w:kern w:val="0"/>
          <w:sz w:val="28"/>
          <w:szCs w:val="28"/>
          <w:lang w:eastAsia="zh-CN"/>
        </w:rPr>
        <w:t>其他</w:t>
      </w:r>
      <w:r>
        <w:rPr>
          <w:rFonts w:hint="eastAsia" w:ascii="宋体" w:hAnsi="宋体" w:cs="宋体"/>
          <w:kern w:val="0"/>
          <w:sz w:val="28"/>
          <w:szCs w:val="28"/>
        </w:rPr>
        <w:t>文件和资料</w:t>
      </w:r>
      <w:r>
        <w:rPr>
          <w:rFonts w:hint="eastAsia" w:ascii="宋体" w:hAnsi="宋体" w:cs="宋体"/>
          <w:sz w:val="28"/>
          <w:szCs w:val="28"/>
        </w:rPr>
        <w:t>。</w:t>
      </w:r>
    </w:p>
    <w:p>
      <w:pPr>
        <w:spacing w:line="360" w:lineRule="auto"/>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jc w:val="left"/>
        <w:rPr>
          <w:rFonts w:ascii="宋体" w:hAnsi="宋体" w:cs="宋体"/>
          <w:b/>
          <w:bCs/>
          <w:color w:val="0000FF"/>
          <w:sz w:val="24"/>
          <w:szCs w:val="24"/>
        </w:rPr>
      </w:pPr>
      <w:r>
        <w:rPr>
          <w:rFonts w:hint="eastAsia" w:ascii="宋体" w:hAnsi="宋体" w:cs="宋体"/>
          <w:b/>
          <w:bCs/>
          <w:color w:val="0000FF"/>
          <w:sz w:val="24"/>
          <w:szCs w:val="24"/>
        </w:rPr>
        <w:t>注：1、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pPr>
        <w:spacing w:line="360" w:lineRule="auto"/>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widowControl/>
        <w:jc w:val="left"/>
        <w:rPr>
          <w:rFonts w:hint="eastAsia" w:ascii="宋体" w:hAnsi="宋体" w:cs="宋体"/>
          <w:b/>
          <w:bCs/>
          <w:sz w:val="24"/>
          <w:szCs w:val="24"/>
        </w:rPr>
      </w:pPr>
    </w:p>
    <w:p>
      <w:pPr>
        <w:widowControl/>
        <w:jc w:val="left"/>
        <w:rPr>
          <w:rFonts w:ascii="宋体"/>
          <w:b/>
          <w:bCs/>
          <w:sz w:val="28"/>
          <w:szCs w:val="28"/>
        </w:rPr>
      </w:pPr>
      <w:r>
        <w:rPr>
          <w:rFonts w:hint="eastAsia" w:ascii="宋体" w:hAnsi="宋体" w:cs="宋体"/>
          <w:b/>
          <w:bCs/>
          <w:sz w:val="24"/>
          <w:szCs w:val="24"/>
        </w:rPr>
        <w:t>附件1：</w:t>
      </w:r>
    </w:p>
    <w:p>
      <w:pPr>
        <w:adjustRightInd w:val="0"/>
        <w:snapToGrid w:val="0"/>
        <w:spacing w:line="440" w:lineRule="exact"/>
        <w:ind w:firstLine="643" w:firstLineChars="200"/>
        <w:jc w:val="center"/>
        <w:rPr>
          <w:rFonts w:ascii="宋体"/>
          <w:b/>
          <w:bCs/>
          <w:kern w:val="0"/>
          <w:sz w:val="32"/>
          <w:szCs w:val="32"/>
          <w:lang w:val="zh-CN"/>
        </w:rPr>
      </w:pPr>
      <w:r>
        <w:rPr>
          <w:rFonts w:hint="eastAsia" w:ascii="宋体" w:hAnsi="宋体" w:cs="宋体"/>
          <w:b/>
          <w:bCs/>
          <w:kern w:val="0"/>
          <w:sz w:val="32"/>
          <w:szCs w:val="32"/>
          <w:lang w:val="zh-CN"/>
        </w:rPr>
        <w:t>投标声明书</w:t>
      </w:r>
    </w:p>
    <w:p>
      <w:pPr>
        <w:snapToGrid w:val="0"/>
        <w:spacing w:line="440" w:lineRule="exact"/>
        <w:rPr>
          <w:rFonts w:ascii="宋体"/>
          <w:kern w:val="0"/>
          <w:sz w:val="24"/>
          <w:szCs w:val="24"/>
        </w:rPr>
      </w:pPr>
      <w:r>
        <w:rPr>
          <w:rFonts w:hint="eastAsia" w:ascii="宋体" w:hAnsi="宋体" w:cs="宋体"/>
          <w:sz w:val="24"/>
          <w:szCs w:val="24"/>
          <w:u w:val="single"/>
          <w:lang w:eastAsia="zh-CN"/>
        </w:rPr>
        <w:t>温岭市新河镇人民政府</w:t>
      </w:r>
      <w:r>
        <w:rPr>
          <w:rFonts w:hint="eastAsia" w:ascii="宋体" w:hAnsi="宋体" w:cs="宋体"/>
          <w:kern w:val="0"/>
          <w:sz w:val="24"/>
          <w:szCs w:val="24"/>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ascii="宋体" w:hAnsi="宋体" w:cs="宋体"/>
          <w:kern w:val="0"/>
          <w:sz w:val="24"/>
          <w:szCs w:val="24"/>
          <w:u w:val="single"/>
        </w:rPr>
        <w:t xml:space="preserve"> </w:t>
      </w:r>
      <w:r>
        <w:rPr>
          <w:rFonts w:hint="eastAsia" w:ascii="宋体" w:hAnsi="宋体" w:cs="宋体"/>
          <w:kern w:val="0"/>
          <w:sz w:val="24"/>
          <w:szCs w:val="24"/>
          <w:u w:val="single"/>
        </w:rPr>
        <w:t>姓名</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投标人名称</w:t>
      </w:r>
      <w:r>
        <w:rPr>
          <w:rFonts w:ascii="宋体" w:hAnsi="宋体" w:cs="宋体"/>
          <w:kern w:val="0"/>
          <w:sz w:val="24"/>
          <w:szCs w:val="24"/>
          <w:u w:val="single"/>
        </w:rPr>
        <w:t xml:space="preserve"> </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温岭市新河镇2022年度病媒生物防制专业化服务项目采购</w:t>
      </w:r>
      <w:r>
        <w:rPr>
          <w:rFonts w:hint="eastAsia" w:ascii="宋体" w:hAnsi="宋体" w:cs="宋体"/>
          <w:kern w:val="0"/>
          <w:sz w:val="24"/>
          <w:szCs w:val="24"/>
        </w:rPr>
        <w:t>（编号为</w:t>
      </w:r>
      <w:r>
        <w:rPr>
          <w:rFonts w:hint="eastAsia" w:ascii="宋体" w:hAnsi="宋体" w:cs="宋体"/>
          <w:kern w:val="0"/>
          <w:sz w:val="24"/>
          <w:szCs w:val="24"/>
          <w:u w:val="single"/>
          <w:lang w:eastAsia="zh-CN"/>
        </w:rPr>
        <w:t>JJWL22030950</w:t>
      </w:r>
      <w:r>
        <w:rPr>
          <w:rFonts w:hint="eastAsia" w:ascii="宋体" w:hAnsi="宋体" w:cs="宋体"/>
          <w:kern w:val="0"/>
          <w:sz w:val="24"/>
          <w:szCs w:val="24"/>
        </w:rPr>
        <w:t>）的投标，为此，我公司就本次投标有关事项郑重声明如下：</w:t>
      </w:r>
    </w:p>
    <w:p>
      <w:pPr>
        <w:snapToGrid w:val="0"/>
        <w:spacing w:line="440" w:lineRule="exact"/>
        <w:ind w:firstLine="480" w:firstLineChars="200"/>
        <w:rPr>
          <w:rFonts w:ascii="宋体" w:cs="宋体"/>
          <w:kern w:val="0"/>
          <w:sz w:val="24"/>
          <w:szCs w:val="24"/>
          <w:u w:val="single"/>
        </w:rPr>
      </w:pPr>
      <w:r>
        <w:rPr>
          <w:rFonts w:hint="eastAsia" w:ascii="Arial" w:hAnsi="Arial" w:cs="宋体"/>
          <w:sz w:val="24"/>
          <w:szCs w:val="24"/>
          <w:u w:val="single"/>
        </w:rPr>
        <w:t>我公司声明截止投标时间近三年以来，</w:t>
      </w:r>
      <w:r>
        <w:rPr>
          <w:rFonts w:hint="eastAsia" w:ascii="宋体" w:hAnsi="宋体" w:cs="宋体"/>
          <w:kern w:val="0"/>
          <w:sz w:val="24"/>
          <w:szCs w:val="24"/>
          <w:u w:val="single"/>
        </w:rPr>
        <w:t>在经营活动中无任何不良行为记录；无重大违法记录（重大违法记录是指供应商因违法经营受到刑事处罚或者责令停产停业、吊销许可证或者执照、较大数额罚款等行政处罚）。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0" w:firstLineChars="200"/>
        <w:rPr>
          <w:rFonts w:ascii="宋体" w:cs="宋体"/>
          <w:kern w:val="0"/>
          <w:sz w:val="24"/>
          <w:szCs w:val="24"/>
          <w:u w:val="single"/>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u w:val="single"/>
        </w:rPr>
        <w:t>截止投标响应截止时间前，未被“信用中国”（</w:t>
      </w:r>
      <w:r>
        <w:rPr>
          <w:rFonts w:ascii="宋体" w:hAnsi="宋体" w:cs="宋体"/>
          <w:kern w:val="0"/>
          <w:sz w:val="24"/>
          <w:szCs w:val="24"/>
          <w:u w:val="single"/>
        </w:rPr>
        <w:t>www.creditchina.gov.cn</w:t>
      </w:r>
      <w:r>
        <w:rPr>
          <w:rFonts w:hint="eastAsia" w:ascii="宋体" w:hAnsi="宋体" w:cs="宋体"/>
          <w:kern w:val="0"/>
          <w:sz w:val="24"/>
          <w:szCs w:val="24"/>
          <w:u w:val="single"/>
        </w:rPr>
        <w:t>）、“中国政府采购网”（</w:t>
      </w:r>
      <w:r>
        <w:rPr>
          <w:rFonts w:ascii="宋体" w:hAnsi="宋体" w:cs="宋体"/>
          <w:kern w:val="0"/>
          <w:sz w:val="24"/>
          <w:szCs w:val="24"/>
          <w:u w:val="single"/>
        </w:rPr>
        <w:t>www.ccgp.gov.cn</w:t>
      </w:r>
      <w:r>
        <w:rPr>
          <w:rFonts w:hint="eastAsia" w:ascii="宋体" w:hAnsi="宋体" w:cs="宋体"/>
          <w:kern w:val="0"/>
          <w:sz w:val="24"/>
          <w:szCs w:val="24"/>
          <w:u w:val="single"/>
        </w:rPr>
        <w:t>）列入失信被执行人、重大税收违法案件当事人名单、政府采购严重违法失信行为记录名单。</w:t>
      </w:r>
      <w:r>
        <w:rPr>
          <w:rFonts w:ascii="宋体" w:hAnsi="宋体" w:cs="宋体"/>
          <w:kern w:val="0"/>
          <w:sz w:val="24"/>
          <w:szCs w:val="24"/>
          <w:u w:val="single"/>
        </w:rPr>
        <w:t xml:space="preserve"> </w:t>
      </w:r>
      <w:r>
        <w:rPr>
          <w:rFonts w:hint="eastAsia" w:ascii="宋体" w:hAnsi="宋体" w:cs="宋体"/>
          <w:b/>
          <w:bCs/>
          <w:kern w:val="0"/>
          <w:sz w:val="24"/>
          <w:szCs w:val="24"/>
          <w:u w:val="single"/>
        </w:rPr>
        <w:t>（</w:t>
      </w:r>
      <w:r>
        <w:rPr>
          <w:rFonts w:hint="eastAsia" w:ascii="宋体" w:hAnsi="宋体" w:cs="宋体"/>
          <w:b/>
          <w:bCs/>
          <w:color w:val="FF0000"/>
          <w:kern w:val="0"/>
          <w:sz w:val="24"/>
          <w:szCs w:val="24"/>
          <w:u w:val="single"/>
        </w:rPr>
        <w:t>后附相关网页查询截图</w:t>
      </w:r>
      <w:r>
        <w:rPr>
          <w:rFonts w:hint="eastAsia" w:ascii="宋体" w:hAnsi="宋体" w:cs="宋体"/>
          <w:b/>
          <w:bCs/>
          <w:kern w:val="0"/>
          <w:sz w:val="24"/>
          <w:szCs w:val="24"/>
          <w:u w:val="single"/>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40" w:lineRule="exact"/>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ascii="宋体"/>
          <w:kern w:val="0"/>
          <w:sz w:val="24"/>
          <w:szCs w:val="24"/>
          <w:lang w:val="af-ZA"/>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ascii="仿宋_GB2312" w:hAnsi="仿宋_GB2312" w:eastAsia="仿宋_GB2312"/>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lang w:val="af-ZA"/>
        </w:rPr>
        <w:t>、我</w:t>
      </w:r>
      <w:r>
        <w:rPr>
          <w:rFonts w:hint="eastAsia" w:ascii="宋体" w:hAnsi="宋体" w:cs="宋体"/>
          <w:kern w:val="0"/>
          <w:sz w:val="24"/>
          <w:szCs w:val="24"/>
          <w:lang w:val="zh-CN"/>
        </w:rPr>
        <w:t>公司</w:t>
      </w:r>
      <w:r>
        <w:rPr>
          <w:rFonts w:hint="eastAsia" w:ascii="宋体" w:hAnsi="宋体" w:cs="宋体"/>
          <w:kern w:val="0"/>
          <w:sz w:val="24"/>
          <w:szCs w:val="24"/>
          <w:lang w:val="af-ZA"/>
        </w:rPr>
        <w:t>严格履行政府采购合同，不降低合同约定的产品质量和服务，不擅自变更、中止、终止合同，或拒绝履行合同义务；</w:t>
      </w:r>
    </w:p>
    <w:p>
      <w:pPr>
        <w:snapToGrid w:val="0"/>
        <w:spacing w:line="440" w:lineRule="exact"/>
        <w:ind w:firstLine="480" w:firstLineChars="200"/>
        <w:rPr>
          <w:rFonts w:ascii="宋体"/>
          <w:sz w:val="24"/>
          <w:szCs w:val="24"/>
        </w:rPr>
      </w:pPr>
      <w:r>
        <w:rPr>
          <w:rFonts w:hint="eastAsia" w:ascii="宋体" w:hAnsi="宋体" w:cs="宋体"/>
          <w:sz w:val="24"/>
          <w:szCs w:val="24"/>
          <w:lang w:val="en-US" w:eastAsia="zh-CN"/>
        </w:rPr>
        <w:t>7</w:t>
      </w: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pPr>
        <w:adjustRightInd w:val="0"/>
        <w:snapToGrid w:val="0"/>
        <w:spacing w:line="440" w:lineRule="exact"/>
        <w:ind w:firstLine="480" w:firstLineChars="200"/>
        <w:rPr>
          <w:rFonts w:ascii="宋体"/>
          <w:kern w:val="0"/>
          <w:sz w:val="24"/>
          <w:szCs w:val="24"/>
        </w:rPr>
      </w:pP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投标人名称（公章）：</w:t>
      </w: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法定代表人或授权委托人（签字或盖章）：</w:t>
      </w:r>
    </w:p>
    <w:p>
      <w:pPr>
        <w:adjustRightInd w:val="0"/>
        <w:snapToGrid w:val="0"/>
        <w:spacing w:line="440" w:lineRule="exact"/>
        <w:ind w:firstLine="480" w:firstLineChars="200"/>
        <w:jc w:val="center"/>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日期：</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ind w:right="480"/>
        <w:rPr>
          <w:rFonts w:ascii="宋体" w:hAnsi="宋体" w:cs="宋体"/>
          <w:b/>
          <w:bCs/>
          <w:sz w:val="28"/>
          <w:szCs w:val="28"/>
        </w:rPr>
      </w:pPr>
    </w:p>
    <w:p>
      <w:pPr>
        <w:adjustRightInd w:val="0"/>
        <w:snapToGrid w:val="0"/>
        <w:spacing w:line="360" w:lineRule="auto"/>
        <w:ind w:right="480"/>
        <w:rPr>
          <w:rFonts w:ascii="宋体"/>
          <w:b/>
          <w:bCs/>
          <w:sz w:val="28"/>
          <w:szCs w:val="28"/>
        </w:rPr>
      </w:pPr>
      <w:r>
        <w:rPr>
          <w:rFonts w:hint="eastAsia" w:ascii="宋体" w:hAnsi="宋体" w:cs="宋体"/>
          <w:b/>
          <w:bCs/>
          <w:sz w:val="24"/>
          <w:szCs w:val="24"/>
        </w:rPr>
        <w:t>附件2-1:</w:t>
      </w:r>
    </w:p>
    <w:p>
      <w:pPr>
        <w:pStyle w:val="11"/>
        <w:spacing w:before="120" w:after="120" w:line="48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法定代表人身份证明书</w:t>
      </w:r>
    </w:p>
    <w:p>
      <w:pPr>
        <w:spacing w:line="540" w:lineRule="exact"/>
        <w:ind w:firstLine="480"/>
        <w:jc w:val="center"/>
        <w:rPr>
          <w:rFonts w:ascii="宋体" w:hAnsi="宋体"/>
        </w:rPr>
      </w:pPr>
    </w:p>
    <w:p>
      <w:pPr>
        <w:spacing w:line="540" w:lineRule="exact"/>
        <w:ind w:firstLine="480"/>
        <w:rPr>
          <w:rFonts w:ascii="宋体" w:hAnsi="宋体"/>
        </w:rPr>
      </w:pPr>
    </w:p>
    <w:p>
      <w:pPr>
        <w:spacing w:line="540" w:lineRule="exact"/>
        <w:ind w:firstLine="480"/>
        <w:rPr>
          <w:rFonts w:ascii="宋体" w:hAnsi="宋体"/>
        </w:rPr>
      </w:pPr>
      <w:r>
        <w:rPr>
          <w:rFonts w:hint="eastAsia" w:ascii="宋体" w:hAnsi="宋体"/>
          <w:u w:val="single"/>
        </w:rPr>
        <w:t>　 ｛姓名｝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hint="eastAsia" w:ascii="宋体" w:hAnsi="宋体"/>
          <w:u w:val="single"/>
        </w:rPr>
        <w:t xml:space="preserve">                       </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投标人</w:t>
      </w:r>
      <w:r>
        <w:rPr>
          <w:rFonts w:ascii="宋体" w:hAnsi="宋体"/>
          <w:u w:val="single"/>
        </w:rPr>
        <w:t xml:space="preserve">名称｝ </w:t>
      </w:r>
      <w:r>
        <w:rPr>
          <w:rFonts w:ascii="宋体" w:hAnsi="宋体"/>
        </w:rPr>
        <w:t>的法定代表人。</w:t>
      </w:r>
    </w:p>
    <w:p>
      <w:pPr>
        <w:spacing w:line="540" w:lineRule="exact"/>
        <w:ind w:firstLine="480"/>
        <w:rPr>
          <w:rFonts w:ascii="宋体" w:hAnsi="宋体"/>
        </w:rPr>
      </w:pPr>
      <w:r>
        <w:rPr>
          <w:rFonts w:ascii="宋体" w:hAnsi="宋体"/>
        </w:rPr>
        <w:t>特此证明。</w:t>
      </w:r>
    </w:p>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3675" w:firstLineChars="1750"/>
        <w:rPr>
          <w:rFonts w:ascii="宋体" w:hAnsi="宋体"/>
        </w:rPr>
      </w:pPr>
      <w:r>
        <w:rPr>
          <w:rFonts w:ascii="宋体" w:hAnsi="宋体"/>
          <w:u w:val="single"/>
        </w:rPr>
        <w:t>　｛</w:t>
      </w:r>
      <w:r>
        <w:rPr>
          <w:rFonts w:hint="eastAsia" w:ascii="宋体" w:hAnsi="宋体"/>
          <w:u w:val="single"/>
        </w:rPr>
        <w:t>投标人</w:t>
      </w:r>
      <w:r>
        <w:rPr>
          <w:rFonts w:ascii="宋体" w:hAnsi="宋体"/>
          <w:u w:val="single"/>
        </w:rPr>
        <w:t>名称｝　</w:t>
      </w:r>
      <w:r>
        <w:rPr>
          <w:rFonts w:ascii="宋体" w:hAnsi="宋体"/>
        </w:rPr>
        <w:t>（盖章）</w:t>
      </w:r>
    </w:p>
    <w:p>
      <w:pPr>
        <w:spacing w:line="540" w:lineRule="exact"/>
        <w:ind w:firstLine="3990" w:firstLineChars="190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tbl>
      <w:tblPr>
        <w:tblStyle w:val="19"/>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pPr>
              <w:ind w:firstLine="480"/>
              <w:jc w:val="center"/>
              <w:rPr>
                <w:rFonts w:ascii="宋体" w:hAnsi="宋体"/>
              </w:rPr>
            </w:pPr>
            <w:r>
              <w:rPr>
                <w:rFonts w:ascii="宋体" w:hAnsi="宋体"/>
              </w:rPr>
              <w:t>法定代表人身份证</w:t>
            </w:r>
            <w:r>
              <w:rPr>
                <w:rFonts w:hint="eastAsia" w:ascii="宋体" w:hAnsi="宋体"/>
              </w:rPr>
              <w:t>正反面</w:t>
            </w:r>
            <w:r>
              <w:rPr>
                <w:rFonts w:ascii="宋体" w:hAnsi="宋体"/>
              </w:rPr>
              <w:t>复印件粘贴处</w:t>
            </w:r>
          </w:p>
        </w:tc>
      </w:tr>
    </w:tbl>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480"/>
        <w:rPr>
          <w:rFonts w:ascii="宋体" w:hAnsi="宋体"/>
        </w:rPr>
      </w:pPr>
    </w:p>
    <w:p>
      <w:pPr>
        <w:spacing w:line="540" w:lineRule="exact"/>
        <w:ind w:firstLine="480"/>
        <w:rPr>
          <w:rFonts w:ascii="宋体" w:hAnsi="宋体"/>
        </w:rPr>
      </w:pPr>
      <w:r>
        <w:rPr>
          <w:rFonts w:ascii="宋体" w:hAnsi="宋体"/>
        </w:rPr>
        <w:t xml:space="preserve">  </w:t>
      </w:r>
    </w:p>
    <w:p>
      <w:pPr>
        <w:ind w:firstLine="480"/>
        <w:rPr>
          <w:rFonts w:ascii="宋体" w:hAnsi="宋体"/>
        </w:rPr>
      </w:pPr>
    </w:p>
    <w:p>
      <w:pPr>
        <w:adjustRightInd w:val="0"/>
        <w:snapToGrid w:val="0"/>
        <w:spacing w:line="360" w:lineRule="auto"/>
        <w:ind w:right="480"/>
        <w:rPr>
          <w:rFonts w:ascii="宋体"/>
          <w:b/>
          <w:bCs/>
          <w:sz w:val="28"/>
          <w:szCs w:val="28"/>
        </w:rPr>
      </w:pPr>
      <w:r>
        <w:rPr>
          <w:bCs/>
        </w:rPr>
        <w:br w:type="page"/>
      </w:r>
      <w:r>
        <w:rPr>
          <w:rFonts w:hint="eastAsia" w:ascii="宋体" w:hAnsi="宋体" w:cs="宋体"/>
          <w:b/>
          <w:bCs/>
          <w:sz w:val="24"/>
          <w:szCs w:val="24"/>
        </w:rPr>
        <w:t>附件2-2:</w:t>
      </w:r>
    </w:p>
    <w:p>
      <w:pPr>
        <w:spacing w:line="360" w:lineRule="auto"/>
        <w:jc w:val="center"/>
        <w:rPr>
          <w:rFonts w:ascii="宋体"/>
          <w:b/>
          <w:bCs/>
          <w:kern w:val="0"/>
          <w:sz w:val="32"/>
          <w:szCs w:val="32"/>
          <w:lang w:val="zh-CN"/>
        </w:rPr>
      </w:pPr>
      <w:r>
        <w:rPr>
          <w:rFonts w:hint="eastAsia" w:ascii="宋体" w:hAnsi="宋体" w:cs="宋体"/>
          <w:b/>
          <w:bCs/>
          <w:kern w:val="0"/>
          <w:sz w:val="32"/>
          <w:szCs w:val="32"/>
          <w:lang w:val="zh-CN"/>
        </w:rPr>
        <w:t>授权委托书</w:t>
      </w:r>
    </w:p>
    <w:p>
      <w:pPr>
        <w:spacing w:line="360" w:lineRule="auto"/>
        <w:ind w:firstLine="420" w:firstLineChars="200"/>
        <w:rPr>
          <w:rFonts w:ascii="宋体"/>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ascii="宋体" w:hAnsi="宋体" w:cs="宋体"/>
          <w:kern w:val="0"/>
          <w:sz w:val="24"/>
          <w:szCs w:val="24"/>
        </w:rPr>
        <w:t xml:space="preserve">       </w:t>
      </w:r>
      <w:r>
        <w:rPr>
          <w:rFonts w:hint="eastAsia" w:ascii="宋体" w:hAnsi="宋体" w:cs="宋体"/>
          <w:kern w:val="0"/>
          <w:sz w:val="24"/>
          <w:szCs w:val="24"/>
        </w:rPr>
        <w:t>（身份证号：</w:t>
      </w:r>
      <w:r>
        <w:rPr>
          <w:rFonts w:ascii="宋体" w:hAnsi="宋体" w:cs="宋体"/>
          <w:kern w:val="0"/>
          <w:sz w:val="24"/>
          <w:szCs w:val="24"/>
        </w:rPr>
        <w:t xml:space="preserve">              </w:t>
      </w:r>
      <w:r>
        <w:rPr>
          <w:rFonts w:hint="eastAsia" w:ascii="宋体" w:hAnsi="宋体" w:cs="宋体"/>
          <w:kern w:val="0"/>
          <w:sz w:val="24"/>
          <w:szCs w:val="24"/>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lang w:eastAsia="zh-CN"/>
        </w:rPr>
        <w:t>，</w:t>
      </w:r>
      <w:r>
        <w:rPr>
          <w:rFonts w:hint="eastAsia" w:ascii="宋体" w:hAnsi="宋体" w:cs="宋体"/>
          <w:kern w:val="0"/>
          <w:sz w:val="24"/>
          <w:szCs w:val="24"/>
        </w:rPr>
        <w:t>本单位将承担该代理人行为的全部法律后果和法律责任。代理人无权转换委托权。</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法定代表人（签章）：　　　　　日期：　　年　　月　　日</w:t>
      </w:r>
    </w:p>
    <w:p>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、代理人身份证复印件（单位加盖公章）</w:t>
      </w:r>
    </w:p>
    <w:p>
      <w:pPr>
        <w:spacing w:line="360" w:lineRule="auto"/>
        <w:ind w:firstLine="480" w:firstLineChars="2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、法定代表人身份证复印件（单位加盖公章）</w:t>
      </w:r>
    </w:p>
    <w:p>
      <w:pPr>
        <w:rPr>
          <w:rFonts w:ascii="仿宋_GB2312" w:hAnsi="宋体"/>
          <w:sz w:val="30"/>
          <w:szCs w:val="30"/>
        </w:rPr>
      </w:pPr>
      <w:r>
        <w:rPr>
          <w:rFonts w:ascii="宋体"/>
          <w:b/>
          <w:bCs/>
          <w:sz w:val="28"/>
          <w:szCs w:val="28"/>
        </w:rPr>
        <w:br w:type="page"/>
      </w:r>
      <w:r>
        <w:rPr>
          <w:rFonts w:hint="eastAsia" w:ascii="宋体" w:hAnsi="宋体" w:cs="宋体"/>
          <w:b/>
          <w:bCs/>
          <w:sz w:val="24"/>
          <w:szCs w:val="24"/>
        </w:rPr>
        <w:t>附件3（</w:t>
      </w:r>
      <w:r>
        <w:rPr>
          <w:rFonts w:hint="eastAsia" w:ascii="宋体" w:hAnsi="宋体" w:cs="宋体"/>
          <w:b/>
          <w:bCs/>
          <w:color w:val="0000FF"/>
          <w:sz w:val="24"/>
          <w:szCs w:val="24"/>
          <w:u w:val="single"/>
        </w:rPr>
        <w:t>必须提供</w:t>
      </w:r>
      <w:r>
        <w:rPr>
          <w:rFonts w:hint="eastAsia" w:ascii="宋体" w:hAnsi="宋体" w:cs="宋体"/>
          <w:b/>
          <w:bCs/>
          <w:sz w:val="24"/>
          <w:szCs w:val="24"/>
        </w:rPr>
        <w:t>）:</w:t>
      </w:r>
    </w:p>
    <w:p>
      <w:pPr>
        <w:widowControl/>
        <w:jc w:val="center"/>
      </w:pPr>
      <w:r>
        <w:rPr>
          <w:rFonts w:hint="eastAsia" w:ascii="宋体" w:hAnsi="宋体" w:cs="宋体"/>
          <w:b/>
          <w:color w:val="000000"/>
          <w:kern w:val="0"/>
          <w:sz w:val="36"/>
          <w:szCs w:val="36"/>
        </w:rPr>
        <w:t>中小企业声明函（服务）</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本公司（联合体）郑重声明，根据《政府采购促进中小企业发展管理办法》（财库﹝2020﹞46 号）的规定，本公司（联合体）参加</w:t>
      </w:r>
      <w:r>
        <w:rPr>
          <w:rFonts w:hint="eastAsia" w:ascii="宋体" w:hAnsi="宋体" w:cs="宋体"/>
          <w:spacing w:val="6"/>
          <w:sz w:val="24"/>
          <w:szCs w:val="24"/>
          <w:u w:val="single"/>
        </w:rPr>
        <w:t>（单位名称）</w:t>
      </w:r>
      <w:r>
        <w:rPr>
          <w:rFonts w:hint="eastAsia" w:ascii="宋体" w:hAnsi="宋体" w:cs="宋体"/>
          <w:spacing w:val="6"/>
          <w:sz w:val="24"/>
          <w:szCs w:val="24"/>
        </w:rPr>
        <w:t>的</w:t>
      </w:r>
      <w:r>
        <w:rPr>
          <w:rFonts w:hint="eastAsia" w:ascii="宋体" w:hAnsi="宋体" w:cs="宋体"/>
          <w:spacing w:val="6"/>
          <w:sz w:val="24"/>
          <w:szCs w:val="24"/>
          <w:u w:val="single"/>
        </w:rPr>
        <w:t>（项目名称）</w:t>
      </w:r>
      <w:r>
        <w:rPr>
          <w:rFonts w:hint="eastAsia" w:ascii="宋体" w:hAnsi="宋体" w:cs="宋体"/>
          <w:spacing w:val="6"/>
          <w:sz w:val="24"/>
          <w:szCs w:val="24"/>
        </w:rPr>
        <w:t>采购活动，服务全部由符合政策要求的中小企业承接。相关企业（含联合体中的中小企业、签订分包意向协议的中小企业）的具体情况如下：</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1.</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 xml:space="preserve"> 其他未列明行业（水利、环境和公共设施管理业） </w:t>
      </w:r>
      <w:r>
        <w:rPr>
          <w:rFonts w:hint="eastAsia" w:ascii="宋体" w:hAnsi="宋体" w:cs="宋体"/>
          <w:spacing w:val="6"/>
          <w:sz w:val="24"/>
          <w:szCs w:val="24"/>
        </w:rPr>
        <w:t>；承建（承接）企业为</w:t>
      </w:r>
      <w:r>
        <w:rPr>
          <w:rFonts w:hint="eastAsia" w:ascii="宋体" w:hAnsi="宋体" w:cs="宋体"/>
          <w:spacing w:val="6"/>
          <w:sz w:val="24"/>
          <w:szCs w:val="24"/>
          <w:u w:val="single"/>
        </w:rPr>
        <w:t>（企业名称）</w:t>
      </w:r>
      <w:r>
        <w:rPr>
          <w:rFonts w:hint="eastAsia" w:ascii="宋体" w:hAnsi="宋体" w:cs="宋体"/>
          <w:spacing w:val="6"/>
          <w:sz w:val="24"/>
          <w:szCs w:val="24"/>
        </w:rPr>
        <w:t>，从业人员</w:t>
      </w:r>
      <w:r>
        <w:rPr>
          <w:rFonts w:hint="eastAsia" w:ascii="宋体" w:hAnsi="宋体" w:cs="宋体"/>
          <w:spacing w:val="6"/>
          <w:sz w:val="24"/>
          <w:szCs w:val="24"/>
          <w:u w:val="single"/>
        </w:rPr>
        <w:t xml:space="preserve">     </w:t>
      </w:r>
      <w:r>
        <w:rPr>
          <w:rFonts w:hint="eastAsia" w:ascii="宋体" w:hAnsi="宋体" w:cs="宋体"/>
          <w:spacing w:val="6"/>
          <w:sz w:val="24"/>
          <w:szCs w:val="24"/>
        </w:rPr>
        <w:t>人，营业收入为</w:t>
      </w:r>
      <w:r>
        <w:rPr>
          <w:rFonts w:hint="eastAsia" w:ascii="宋体" w:hAnsi="宋体" w:cs="宋体"/>
          <w:spacing w:val="6"/>
          <w:sz w:val="24"/>
          <w:szCs w:val="24"/>
          <w:u w:val="single"/>
        </w:rPr>
        <w:t xml:space="preserve">     </w:t>
      </w:r>
      <w:r>
        <w:rPr>
          <w:rFonts w:hint="eastAsia" w:ascii="宋体" w:hAnsi="宋体" w:cs="宋体"/>
          <w:spacing w:val="6"/>
          <w:sz w:val="24"/>
          <w:szCs w:val="24"/>
        </w:rPr>
        <w:t>万元，资产总额为</w:t>
      </w:r>
      <w:r>
        <w:rPr>
          <w:rFonts w:hint="eastAsia" w:ascii="宋体" w:hAnsi="宋体" w:cs="宋体"/>
          <w:spacing w:val="6"/>
          <w:sz w:val="24"/>
          <w:szCs w:val="24"/>
          <w:u w:val="single"/>
        </w:rPr>
        <w:t xml:space="preserve">    </w:t>
      </w:r>
      <w:r>
        <w:rPr>
          <w:rFonts w:hint="eastAsia" w:ascii="宋体" w:hAnsi="宋体" w:cs="宋体"/>
          <w:spacing w:val="6"/>
          <w:sz w:val="24"/>
          <w:szCs w:val="24"/>
        </w:rPr>
        <w:t>万元</w:t>
      </w:r>
      <w:r>
        <w:rPr>
          <w:rFonts w:ascii="Calibri" w:hAnsi="Calibri" w:cs="Calibri"/>
          <w:color w:val="000000"/>
          <w:kern w:val="0"/>
          <w:sz w:val="16"/>
          <w:szCs w:val="16"/>
        </w:rPr>
        <w:t>①</w:t>
      </w:r>
      <w:r>
        <w:rPr>
          <w:rFonts w:hint="eastAsia" w:ascii="宋体" w:hAnsi="宋体" w:cs="宋体"/>
          <w:spacing w:val="6"/>
          <w:sz w:val="24"/>
          <w:szCs w:val="24"/>
        </w:rPr>
        <w:t>，属于</w:t>
      </w:r>
      <w:r>
        <w:rPr>
          <w:rFonts w:hint="eastAsia" w:ascii="宋体" w:hAnsi="宋体" w:cs="宋体"/>
          <w:spacing w:val="6"/>
          <w:sz w:val="24"/>
          <w:szCs w:val="24"/>
          <w:u w:val="single"/>
        </w:rPr>
        <w:t>（中型企业、小型企业、微型企业）</w:t>
      </w:r>
      <w:r>
        <w:rPr>
          <w:rFonts w:hint="eastAsia" w:ascii="宋体" w:hAnsi="宋体" w:cs="宋体"/>
          <w:spacing w:val="6"/>
          <w:sz w:val="24"/>
          <w:szCs w:val="24"/>
        </w:rPr>
        <w:t xml:space="preserve">； </w:t>
      </w:r>
    </w:p>
    <w:p>
      <w:pPr>
        <w:spacing w:line="588" w:lineRule="exact"/>
        <w:rPr>
          <w:rFonts w:ascii="宋体" w:hAnsi="宋体" w:cs="宋体"/>
          <w:spacing w:val="6"/>
          <w:sz w:val="24"/>
          <w:szCs w:val="24"/>
        </w:rPr>
      </w:pPr>
      <w:r>
        <w:rPr>
          <w:rFonts w:hint="eastAsia" w:ascii="宋体" w:hAnsi="宋体" w:cs="宋体"/>
          <w:spacing w:val="6"/>
          <w:sz w:val="24"/>
          <w:szCs w:val="24"/>
        </w:rPr>
        <w:t>……</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本企业对上述声明内容的真实性负责。如有虚假，将依法承担相应责任。 </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企业名称（盖章）： </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日 期： </w:t>
      </w:r>
    </w:p>
    <w:p>
      <w:pPr>
        <w:widowControl/>
        <w:jc w:val="left"/>
        <w:rPr>
          <w:color w:val="000000"/>
          <w:kern w:val="0"/>
          <w:sz w:val="10"/>
          <w:szCs w:val="10"/>
        </w:rPr>
      </w:pPr>
    </w:p>
    <w:p>
      <w:pPr>
        <w:widowControl/>
        <w:jc w:val="left"/>
        <w:rPr>
          <w:color w:val="000000"/>
          <w:kern w:val="0"/>
          <w:sz w:val="10"/>
          <w:szCs w:val="10"/>
        </w:rPr>
      </w:pPr>
    </w:p>
    <w:p>
      <w:pPr>
        <w:widowControl/>
        <w:jc w:val="left"/>
        <w:rPr>
          <w:rFonts w:ascii="宋体" w:hAnsi="宋体" w:cs="宋体"/>
          <w:color w:val="000000"/>
          <w:kern w:val="0"/>
          <w:sz w:val="16"/>
          <w:szCs w:val="16"/>
        </w:rPr>
        <w:sectPr>
          <w:headerReference r:id="rId7" w:type="default"/>
          <w:footerReference r:id="rId8" w:type="default"/>
          <w:pgSz w:w="11906" w:h="16838"/>
          <w:pgMar w:top="1361" w:right="1644" w:bottom="1361" w:left="1644" w:header="851" w:footer="964" w:gutter="0"/>
          <w:pgNumType w:fmt="numberInDash"/>
          <w:cols w:space="425" w:num="1"/>
          <w:docGrid w:type="lines" w:linePitch="312" w:charSpace="0"/>
        </w:sectPr>
      </w:pPr>
      <w:r>
        <w:rPr>
          <w:rFonts w:ascii="Calibri" w:hAnsi="Calibri" w:cs="Calibri"/>
          <w:color w:val="000000"/>
          <w:kern w:val="0"/>
          <w:sz w:val="16"/>
          <w:szCs w:val="16"/>
        </w:rPr>
        <w:t>①</w:t>
      </w:r>
      <w:r>
        <w:rPr>
          <w:rFonts w:hint="eastAsia" w:ascii="宋体" w:hAnsi="宋体" w:cs="宋体"/>
          <w:color w:val="000000"/>
          <w:kern w:val="0"/>
          <w:sz w:val="16"/>
          <w:szCs w:val="16"/>
        </w:rPr>
        <w:t>从业人员、营业收入、资产总额填报上一年度数据，无上一年度数据的新成立企业可不填报。</w:t>
      </w:r>
    </w:p>
    <w:tbl>
      <w:tblPr>
        <w:tblStyle w:val="19"/>
        <w:tblW w:w="14800" w:type="dxa"/>
        <w:tblInd w:w="-176"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87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60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346"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24"/>
              </w:rPr>
            </w:pPr>
          </w:p>
        </w:tc>
        <w:tc>
          <w:tcPr>
            <w:tcW w:w="1441"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90"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47"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321"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623"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4"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036"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5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055"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1、农林牧渔业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2、工业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3、建筑业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300≤Y＜6000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300≤Z＜5000</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4、批发业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X＜5</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5、零售业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10≤X＜50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100≤Y＜500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6、交通运输业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200≤Y＜3000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V＜200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7、仓储业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8、邮政业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9、住宿业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10、餐饮业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11、信息传输业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12、软件和信息技术服务业</w:t>
            </w:r>
          </w:p>
        </w:tc>
        <w:tc>
          <w:tcPr>
            <w:tcW w:w="144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1000≤Y＜10000</w:t>
            </w:r>
          </w:p>
        </w:tc>
        <w:tc>
          <w:tcPr>
            <w:tcW w:w="1647"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50≤Y＜1000</w:t>
            </w:r>
          </w:p>
        </w:tc>
        <w:tc>
          <w:tcPr>
            <w:tcW w:w="1664"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Y＜50</w:t>
            </w:r>
          </w:p>
        </w:tc>
        <w:tc>
          <w:tcPr>
            <w:tcW w:w="105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13、房地产开发经营</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2000≤Z＜5000</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14、物业管理</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15、租赁和商务服务业</w:t>
            </w:r>
          </w:p>
        </w:tc>
        <w:tc>
          <w:tcPr>
            <w:tcW w:w="144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8000≤Z＜120000</w:t>
            </w:r>
          </w:p>
        </w:tc>
        <w:tc>
          <w:tcPr>
            <w:tcW w:w="13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664"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100≤Z＜8000</w:t>
            </w:r>
          </w:p>
        </w:tc>
        <w:tc>
          <w:tcPr>
            <w:tcW w:w="10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05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16、其他未列明行业</w:t>
            </w:r>
          </w:p>
        </w:tc>
        <w:tc>
          <w:tcPr>
            <w:tcW w:w="1441"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64"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055"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pPr>
              <w:widowControl/>
              <w:ind w:firstLine="600" w:firstLineChars="3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pPr>
        <w:widowControl/>
        <w:jc w:val="left"/>
        <w:rPr>
          <w:rFonts w:ascii="宋体"/>
          <w:b/>
          <w:bCs/>
          <w:spacing w:val="21"/>
          <w:kern w:val="0"/>
          <w:sz w:val="32"/>
          <w:szCs w:val="32"/>
        </w:rPr>
        <w:sectPr>
          <w:pgSz w:w="16838" w:h="11906" w:orient="landscape"/>
          <w:pgMar w:top="850" w:right="1361" w:bottom="1134" w:left="1361" w:header="851" w:footer="964" w:gutter="0"/>
          <w:pgNumType w:fmt="numberInDash"/>
          <w:cols w:space="425" w:num="1"/>
          <w:docGrid w:type="lines" w:linePitch="312" w:charSpace="0"/>
        </w:sectPr>
      </w:pPr>
    </w:p>
    <w:p>
      <w:pPr>
        <w:pStyle w:val="10"/>
        <w:spacing w:line="400" w:lineRule="exact"/>
        <w:rPr>
          <w:rFonts w:ascii="宋体" w:hAnsi="宋体" w:cs="宋体"/>
        </w:rPr>
      </w:pPr>
      <w:r>
        <w:rPr>
          <w:rFonts w:hint="eastAsia" w:ascii="宋体" w:hAnsi="宋体" w:cs="宋体"/>
        </w:rPr>
        <w:t>中小企业声明函填写说明：</w:t>
      </w:r>
    </w:p>
    <w:p>
      <w:pPr>
        <w:pStyle w:val="10"/>
        <w:spacing w:line="400" w:lineRule="exact"/>
        <w:rPr>
          <w:rFonts w:ascii="宋体" w:hAnsi="宋体" w:cs="宋体"/>
        </w:rPr>
      </w:pPr>
      <w:r>
        <w:rPr>
          <w:rFonts w:hint="eastAsia" w:ascii="宋体" w:hAnsi="宋体" w:cs="宋体"/>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52"/>
        <w:spacing w:line="360" w:lineRule="auto"/>
        <w:ind w:right="360"/>
        <w:rPr>
          <w:rFonts w:ascii="宋体"/>
          <w:b/>
          <w:bCs/>
          <w:spacing w:val="21"/>
          <w:kern w:val="0"/>
          <w:sz w:val="32"/>
          <w:szCs w:val="32"/>
        </w:rPr>
        <w:sectPr>
          <w:pgSz w:w="16838" w:h="11906" w:orient="landscape"/>
          <w:pgMar w:top="1644" w:right="1361" w:bottom="1644" w:left="1361" w:header="851" w:footer="964" w:gutter="0"/>
          <w:pgNumType w:fmt="numberInDash"/>
          <w:cols w:space="425" w:num="1"/>
          <w:docGrid w:type="lines" w:linePitch="312" w:charSpace="0"/>
        </w:sectPr>
      </w:pPr>
      <w:r>
        <w:rPr>
          <w:rFonts w:hint="eastAsia" w:ascii="宋体" w:hAnsi="宋体" w:cs="宋体"/>
        </w:rPr>
        <w:t xml:space="preserve">    2、</w:t>
      </w:r>
      <w:r>
        <w:rPr>
          <w:rFonts w:hint="eastAsia" w:ascii="宋体" w:hAnsi="宋体" w:cs="宋体"/>
          <w:b/>
          <w:bCs/>
          <w:u w:val="single"/>
        </w:rPr>
        <w:t>本项目标的所属行业为：其他未列明行业</w:t>
      </w:r>
      <w:r>
        <w:rPr>
          <w:rFonts w:hint="eastAsia" w:ascii="宋体" w:hAnsi="宋体" w:cs="宋体"/>
          <w:b/>
          <w:bCs/>
          <w:u w:val="single"/>
          <w:lang w:eastAsia="zh-CN"/>
        </w:rPr>
        <w:t>（</w:t>
      </w:r>
      <w:r>
        <w:rPr>
          <w:rFonts w:hint="eastAsia" w:ascii="宋体" w:hAnsi="宋体" w:cs="宋体"/>
          <w:b/>
          <w:bCs/>
          <w:u w:val="single"/>
        </w:rPr>
        <w:t>水利、环境和公共设施管理业</w:t>
      </w:r>
      <w:r>
        <w:rPr>
          <w:rFonts w:hint="eastAsia" w:ascii="宋体" w:hAnsi="宋体" w:cs="宋体"/>
          <w:b/>
          <w:bCs/>
          <w:u w:val="single"/>
          <w:lang w:eastAsia="zh-CN"/>
        </w:rPr>
        <w:t>）</w:t>
      </w:r>
      <w:r>
        <w:rPr>
          <w:rFonts w:hint="eastAsia" w:ascii="宋体" w:hAnsi="宋体" w:cs="宋体"/>
          <w:b/>
          <w:bCs/>
          <w:u w:val="single"/>
        </w:rPr>
        <w:t>。</w:t>
      </w:r>
    </w:p>
    <w:p>
      <w:pPr>
        <w:widowControl/>
        <w:jc w:val="left"/>
        <w:rPr>
          <w:rFonts w:ascii="仿宋_GB2312" w:hAnsi="宋体" w:eastAsia="仿宋_GB2312"/>
          <w:b/>
          <w:bCs/>
          <w:sz w:val="30"/>
          <w:szCs w:val="30"/>
        </w:rPr>
      </w:pPr>
    </w:p>
    <w:p>
      <w:pPr>
        <w:spacing w:line="360" w:lineRule="auto"/>
        <w:ind w:right="-110"/>
        <w:jc w:val="center"/>
        <w:outlineLvl w:val="0"/>
        <w:rPr>
          <w:rFonts w:hint="eastAsia" w:ascii="宋体" w:eastAsia="宋体"/>
          <w:spacing w:val="40"/>
          <w:sz w:val="52"/>
          <w:szCs w:val="52"/>
          <w:lang w:eastAsia="zh-CN"/>
        </w:rPr>
      </w:pPr>
      <w:r>
        <w:rPr>
          <w:rFonts w:hint="eastAsia" w:ascii="宋体" w:hAnsi="宋体" w:cs="宋体"/>
          <w:spacing w:val="40"/>
          <w:sz w:val="40"/>
          <w:szCs w:val="40"/>
          <w:lang w:eastAsia="zh-CN"/>
        </w:rPr>
        <w:t>温岭市新河镇2022年度病媒生物防制专业化服务项目采购</w:t>
      </w:r>
    </w:p>
    <w:p>
      <w:pPr>
        <w:spacing w:beforeLines="100" w:line="360" w:lineRule="auto"/>
        <w:ind w:right="-108"/>
        <w:jc w:val="center"/>
        <w:rPr>
          <w:rFonts w:ascii="宋体" w:hAnsi="宋体" w:cs="宋体"/>
          <w:sz w:val="36"/>
          <w:szCs w:val="36"/>
        </w:rPr>
      </w:pPr>
    </w:p>
    <w:p>
      <w:pPr>
        <w:spacing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JJWL22030950</w:t>
      </w:r>
    </w:p>
    <w:p>
      <w:pPr>
        <w:autoSpaceDE w:val="0"/>
        <w:autoSpaceDN w:val="0"/>
        <w:adjustRightInd w:val="0"/>
        <w:spacing w:line="360" w:lineRule="auto"/>
        <w:jc w:val="center"/>
        <w:rPr>
          <w:rFonts w:ascii="宋体"/>
          <w:sz w:val="56"/>
          <w:szCs w:val="56"/>
          <w:lang w:val="zh-CN"/>
        </w:rPr>
      </w:pPr>
    </w:p>
    <w:p>
      <w:pPr>
        <w:pStyle w:val="17"/>
        <w:rPr>
          <w:lang w:val="zh-CN"/>
        </w:rPr>
      </w:pP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cs="宋体"/>
          <w:b/>
          <w:bCs/>
          <w:spacing w:val="40"/>
          <w:sz w:val="28"/>
          <w:szCs w:val="28"/>
          <w:lang w:val="zh-CN"/>
        </w:rPr>
      </w:pPr>
      <w:r>
        <w:rPr>
          <w:rFonts w:hint="eastAsia" w:ascii="宋体" w:hAnsi="宋体" w:cs="宋体"/>
          <w:b/>
          <w:bCs/>
          <w:spacing w:val="40"/>
          <w:sz w:val="28"/>
          <w:szCs w:val="28"/>
          <w:lang w:val="zh-CN"/>
        </w:rPr>
        <w:t>（商务技术文件）</w:t>
      </w:r>
    </w:p>
    <w:p>
      <w:pPr>
        <w:spacing w:line="360" w:lineRule="auto"/>
        <w:ind w:right="532" w:firstLine="720" w:firstLineChars="200"/>
        <w:rPr>
          <w:rFonts w:ascii="宋体"/>
          <w:sz w:val="36"/>
          <w:szCs w:val="36"/>
        </w:rPr>
      </w:pPr>
      <w:r>
        <w:rPr>
          <w:rFonts w:hint="eastAsia" w:ascii="宋体" w:hAnsi="宋体" w:cs="宋体"/>
          <w:sz w:val="36"/>
          <w:szCs w:val="36"/>
        </w:rPr>
        <w:t>投标人全称（公章）：</w:t>
      </w:r>
    </w:p>
    <w:p>
      <w:pPr>
        <w:spacing w:line="360" w:lineRule="auto"/>
        <w:ind w:right="532" w:firstLine="720" w:firstLineChars="20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pPr>
        <w:spacing w:line="360" w:lineRule="auto"/>
        <w:ind w:right="532" w:firstLine="720" w:firstLineChars="20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pPr>
        <w:snapToGrid w:val="0"/>
        <w:spacing w:before="50" w:after="50" w:line="360" w:lineRule="auto"/>
        <w:jc w:val="center"/>
        <w:rPr>
          <w:rFonts w:hint="eastAsia" w:ascii="宋体" w:eastAsia="宋体"/>
          <w:b/>
          <w:bCs/>
          <w:sz w:val="32"/>
          <w:szCs w:val="32"/>
          <w:lang w:eastAsia="zh-CN"/>
        </w:rPr>
      </w:pPr>
      <w:r>
        <w:rPr>
          <w:rFonts w:ascii="宋体" w:hAnsi="宋体" w:cs="宋体"/>
          <w:b/>
          <w:bCs/>
          <w:sz w:val="32"/>
          <w:szCs w:val="32"/>
          <w:lang w:val="zh-CN"/>
        </w:rPr>
        <w:br w:type="page"/>
      </w:r>
      <w:r>
        <w:rPr>
          <w:rFonts w:hint="eastAsia" w:ascii="宋体" w:hAnsi="宋体" w:cs="宋体"/>
          <w:b/>
          <w:bCs/>
          <w:sz w:val="32"/>
          <w:szCs w:val="32"/>
          <w:lang w:val="zh-CN"/>
        </w:rPr>
        <w:t>商务技术文件</w:t>
      </w:r>
      <w:r>
        <w:rPr>
          <w:rFonts w:hint="eastAsia" w:ascii="宋体" w:hAnsi="宋体" w:cs="宋体"/>
          <w:b/>
          <w:bCs/>
          <w:sz w:val="32"/>
          <w:szCs w:val="32"/>
        </w:rPr>
        <w:t>目录</w:t>
      </w:r>
      <w:r>
        <w:rPr>
          <w:rFonts w:hint="eastAsia" w:ascii="宋体" w:hAnsi="宋体" w:cs="宋体"/>
          <w:b/>
          <w:bCs/>
          <w:sz w:val="32"/>
          <w:szCs w:val="32"/>
          <w:lang w:eastAsia="zh-CN"/>
        </w:rPr>
        <w:t>（仅供参考）</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供应商自评表………………………………………………页码；</w:t>
      </w:r>
    </w:p>
    <w:p>
      <w:pPr>
        <w:numPr>
          <w:ilvl w:val="0"/>
          <w:numId w:val="8"/>
        </w:numPr>
        <w:snapToGrid w:val="0"/>
        <w:spacing w:line="360" w:lineRule="auto"/>
        <w:ind w:left="631" w:leftChars="265" w:hanging="75" w:hangingChars="27"/>
        <w:jc w:val="distribute"/>
        <w:rPr>
          <w:rFonts w:cs="宋体"/>
          <w:sz w:val="28"/>
          <w:szCs w:val="28"/>
        </w:rPr>
      </w:pPr>
      <w:r>
        <w:rPr>
          <w:rFonts w:hint="eastAsia" w:cs="宋体"/>
          <w:sz w:val="28"/>
          <w:szCs w:val="28"/>
        </w:rPr>
        <w:t>投标人基本情况表</w:t>
      </w:r>
      <w:r>
        <w:rPr>
          <w:rFonts w:hint="eastAsia" w:cs="宋体"/>
          <w:sz w:val="28"/>
          <w:szCs w:val="28"/>
          <w:lang w:eastAsia="zh-CN"/>
        </w:rPr>
        <w:t>（</w:t>
      </w:r>
      <w:r>
        <w:rPr>
          <w:rFonts w:hint="eastAsia" w:cs="宋体"/>
          <w:sz w:val="28"/>
          <w:szCs w:val="28"/>
        </w:rPr>
        <w:t>后附《浙江省病媒生物预防控制服务单位   备案确认书》)…………………………………………………页码；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证书一览表…………………………………………………页码；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拟投入主要人员配备表……………………………………页码；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类似业绩一览表……………………………………………页码；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类似项目情况表……………………………………………页码；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技术商务偏离表……………………………………………页码；</w:t>
      </w:r>
    </w:p>
    <w:p>
      <w:pPr>
        <w:numPr>
          <w:ilvl w:val="0"/>
          <w:numId w:val="8"/>
        </w:numPr>
        <w:snapToGrid w:val="0"/>
        <w:spacing w:line="360" w:lineRule="auto"/>
        <w:ind w:firstLine="560" w:firstLineChars="200"/>
        <w:jc w:val="distribute"/>
        <w:rPr>
          <w:rFonts w:cs="宋体"/>
          <w:sz w:val="28"/>
          <w:szCs w:val="28"/>
        </w:rPr>
      </w:pPr>
      <w:r>
        <w:rPr>
          <w:rFonts w:hint="eastAsia" w:cs="宋体"/>
          <w:sz w:val="28"/>
          <w:szCs w:val="28"/>
        </w:rPr>
        <w:t>投标人认为需要提供的其他内容………………………页码。</w:t>
      </w:r>
    </w:p>
    <w:p>
      <w:pPr>
        <w:rPr>
          <w:rFonts w:ascii="宋体" w:hAnsi="宋体" w:cs="宋体"/>
          <w:b/>
          <w:bCs/>
          <w:sz w:val="24"/>
        </w:rPr>
      </w:pPr>
      <w:r>
        <w:rPr>
          <w:b/>
          <w:bCs/>
          <w:sz w:val="28"/>
          <w:szCs w:val="28"/>
        </w:rPr>
        <w:br w:type="page"/>
      </w:r>
      <w:r>
        <w:rPr>
          <w:rFonts w:hint="eastAsia" w:ascii="宋体" w:hAnsi="宋体" w:cs="宋体"/>
          <w:b/>
          <w:bCs/>
          <w:sz w:val="24"/>
        </w:rPr>
        <w:t>附件1：</w:t>
      </w:r>
    </w:p>
    <w:p>
      <w:pPr>
        <w:pStyle w:val="11"/>
        <w:spacing w:before="120" w:after="120" w:line="48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供应商自评表</w:t>
      </w:r>
    </w:p>
    <w:tbl>
      <w:tblPr>
        <w:tblStyle w:val="19"/>
        <w:tblW w:w="10558"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92"/>
        <w:gridCol w:w="7196"/>
        <w:gridCol w:w="66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trPr>
        <w:tc>
          <w:tcPr>
            <w:tcW w:w="609" w:type="dxa"/>
            <w:vAlign w:val="center"/>
          </w:tcPr>
          <w:p>
            <w:pPr>
              <w:pStyle w:val="11"/>
              <w:spacing w:before="120" w:after="120" w:line="480" w:lineRule="auto"/>
              <w:jc w:val="center"/>
              <w:rPr>
                <w:rFonts w:hAnsi="宋体"/>
                <w:b/>
                <w:sz w:val="18"/>
                <w:szCs w:val="18"/>
              </w:rPr>
            </w:pPr>
            <w:r>
              <w:rPr>
                <w:rFonts w:hAnsi="宋体"/>
                <w:b/>
                <w:sz w:val="18"/>
                <w:szCs w:val="18"/>
              </w:rPr>
              <w:t>序号</w:t>
            </w:r>
          </w:p>
        </w:tc>
        <w:tc>
          <w:tcPr>
            <w:tcW w:w="8288" w:type="dxa"/>
            <w:gridSpan w:val="2"/>
            <w:vAlign w:val="center"/>
          </w:tcPr>
          <w:p>
            <w:pPr>
              <w:pStyle w:val="11"/>
              <w:spacing w:before="120" w:after="120" w:line="480" w:lineRule="auto"/>
              <w:jc w:val="center"/>
              <w:rPr>
                <w:rFonts w:hAnsi="宋体"/>
                <w:b/>
                <w:sz w:val="18"/>
                <w:szCs w:val="18"/>
              </w:rPr>
            </w:pPr>
            <w:r>
              <w:rPr>
                <w:rFonts w:hAnsi="宋体"/>
                <w:b/>
                <w:sz w:val="18"/>
                <w:szCs w:val="18"/>
              </w:rPr>
              <w:t>评分内容</w:t>
            </w:r>
          </w:p>
        </w:tc>
        <w:tc>
          <w:tcPr>
            <w:tcW w:w="666" w:type="dxa"/>
            <w:vAlign w:val="center"/>
          </w:tcPr>
          <w:p>
            <w:pPr>
              <w:pStyle w:val="11"/>
              <w:spacing w:before="120" w:after="120"/>
              <w:jc w:val="center"/>
              <w:rPr>
                <w:rFonts w:hAnsi="宋体"/>
                <w:b/>
                <w:sz w:val="18"/>
                <w:szCs w:val="18"/>
              </w:rPr>
            </w:pPr>
            <w:r>
              <w:rPr>
                <w:rFonts w:hAnsi="宋体"/>
                <w:b/>
                <w:sz w:val="18"/>
                <w:szCs w:val="18"/>
              </w:rPr>
              <w:t>自评分值</w:t>
            </w:r>
          </w:p>
        </w:tc>
        <w:tc>
          <w:tcPr>
            <w:tcW w:w="995" w:type="dxa"/>
            <w:vAlign w:val="center"/>
          </w:tcPr>
          <w:p>
            <w:pPr>
              <w:pStyle w:val="11"/>
              <w:spacing w:before="120" w:after="120"/>
              <w:jc w:val="center"/>
              <w:rPr>
                <w:rFonts w:hAnsi="宋体"/>
                <w:b/>
                <w:sz w:val="18"/>
                <w:szCs w:val="18"/>
              </w:rPr>
            </w:pPr>
            <w:r>
              <w:rPr>
                <w:rFonts w:hAnsi="宋体"/>
                <w:b/>
                <w:sz w:val="18"/>
                <w:szCs w:val="18"/>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blHeader/>
        </w:trPr>
        <w:tc>
          <w:tcPr>
            <w:tcW w:w="609" w:type="dxa"/>
            <w:vAlign w:val="center"/>
          </w:tcPr>
          <w:p>
            <w:pPr>
              <w:spacing w:line="300" w:lineRule="exact"/>
              <w:jc w:val="center"/>
              <w:rPr>
                <w:rFonts w:ascii="宋体" w:hAnsi="宋体" w:cs="宋体"/>
                <w:b/>
                <w:sz w:val="18"/>
                <w:szCs w:val="18"/>
              </w:rPr>
            </w:pPr>
            <w:r>
              <w:rPr>
                <w:rFonts w:hint="eastAsia" w:ascii="宋体" w:hAnsi="宋体" w:cs="宋体"/>
                <w:b/>
                <w:sz w:val="18"/>
                <w:szCs w:val="18"/>
              </w:rPr>
              <w:t>1.1</w:t>
            </w:r>
          </w:p>
        </w:tc>
        <w:tc>
          <w:tcPr>
            <w:tcW w:w="1092" w:type="dxa"/>
            <w:vMerge w:val="restart"/>
            <w:vAlign w:val="center"/>
          </w:tcPr>
          <w:p>
            <w:pPr>
              <w:spacing w:line="300" w:lineRule="exact"/>
              <w:jc w:val="center"/>
              <w:rPr>
                <w:rFonts w:ascii="宋体" w:hAnsi="宋体" w:cs="宋体"/>
                <w:sz w:val="24"/>
                <w:szCs w:val="22"/>
              </w:rPr>
            </w:pPr>
            <w:r>
              <w:rPr>
                <w:rFonts w:hint="eastAsia" w:ascii="宋体" w:hAnsi="宋体" w:cs="宋体"/>
                <w:sz w:val="22"/>
                <w:szCs w:val="20"/>
              </w:rPr>
              <w:t>投标供应商综合实力</w:t>
            </w:r>
          </w:p>
        </w:tc>
        <w:tc>
          <w:tcPr>
            <w:tcW w:w="7196" w:type="dxa"/>
            <w:vAlign w:val="center"/>
          </w:tcPr>
          <w:p>
            <w:pPr>
              <w:spacing w:line="300" w:lineRule="exact"/>
              <w:rPr>
                <w:rFonts w:ascii="宋体" w:hAnsi="宋体" w:cs="宋体"/>
                <w:sz w:val="22"/>
              </w:rPr>
            </w:pPr>
            <w:r>
              <w:rPr>
                <w:rFonts w:hint="eastAsia" w:ascii="宋体" w:hAnsi="宋体" w:cs="宋体"/>
                <w:sz w:val="22"/>
              </w:rPr>
              <w:t>根据投标人自2019年1月1日以来参加市级及以上政府部门组织的病媒生物技能比武等活动中获奖的，其中每提供一个省级一等奖得1分，二等奖得0.5分，三等奖得0.25分，每提供一个市级一等奖得0.5分，二等奖得0.25分，三等奖得0.1分，同一奖项只计取一次，就高得分，本项最高得2分。</w:t>
            </w:r>
          </w:p>
          <w:p>
            <w:pPr>
              <w:spacing w:line="300" w:lineRule="exact"/>
              <w:rPr>
                <w:rFonts w:ascii="宋体" w:hAnsi="宋体" w:eastAsia="宋体" w:cs="宋体"/>
                <w:kern w:val="2"/>
                <w:sz w:val="22"/>
                <w:szCs w:val="21"/>
                <w:lang w:val="en-US" w:eastAsia="zh-CN" w:bidi="ar-SA"/>
              </w:rPr>
            </w:pPr>
            <w:r>
              <w:rPr>
                <w:rFonts w:hint="eastAsia" w:ascii="宋体" w:hAnsi="宋体" w:cs="宋体"/>
                <w:b/>
                <w:bCs/>
                <w:sz w:val="22"/>
              </w:rPr>
              <w:t>（相关奖项证明材料中须体现投标人名称，否则不得分。）</w:t>
            </w:r>
          </w:p>
        </w:tc>
        <w:tc>
          <w:tcPr>
            <w:tcW w:w="666" w:type="dxa"/>
            <w:vAlign w:val="center"/>
          </w:tcPr>
          <w:p>
            <w:pPr>
              <w:pStyle w:val="11"/>
              <w:spacing w:before="120" w:after="120"/>
              <w:jc w:val="center"/>
              <w:rPr>
                <w:rFonts w:hAnsi="宋体"/>
                <w:b/>
                <w:sz w:val="18"/>
                <w:szCs w:val="18"/>
              </w:rPr>
            </w:pPr>
          </w:p>
        </w:tc>
        <w:tc>
          <w:tcPr>
            <w:tcW w:w="995" w:type="dxa"/>
            <w:vAlign w:val="center"/>
          </w:tcPr>
          <w:p>
            <w:pPr>
              <w:pStyle w:val="11"/>
              <w:spacing w:before="120" w:after="120"/>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trPr>
        <w:tc>
          <w:tcPr>
            <w:tcW w:w="609" w:type="dxa"/>
            <w:vAlign w:val="center"/>
          </w:tcPr>
          <w:p>
            <w:pPr>
              <w:spacing w:line="300" w:lineRule="exact"/>
              <w:jc w:val="center"/>
              <w:rPr>
                <w:rFonts w:ascii="宋体" w:hAnsi="宋体" w:cs="宋体"/>
                <w:b/>
                <w:sz w:val="18"/>
                <w:szCs w:val="18"/>
              </w:rPr>
            </w:pPr>
            <w:r>
              <w:rPr>
                <w:rFonts w:hint="eastAsia" w:ascii="宋体" w:hAnsi="宋体" w:cs="宋体"/>
                <w:b/>
                <w:sz w:val="18"/>
                <w:szCs w:val="18"/>
              </w:rPr>
              <w:t>1.2</w:t>
            </w:r>
          </w:p>
        </w:tc>
        <w:tc>
          <w:tcPr>
            <w:tcW w:w="1092" w:type="dxa"/>
            <w:vMerge w:val="continue"/>
            <w:vAlign w:val="center"/>
          </w:tcPr>
          <w:p>
            <w:pPr>
              <w:spacing w:line="300" w:lineRule="exact"/>
              <w:jc w:val="center"/>
              <w:rPr>
                <w:rFonts w:ascii="宋体" w:hAnsi="宋体" w:cs="宋体"/>
                <w:sz w:val="22"/>
                <w:szCs w:val="20"/>
              </w:rPr>
            </w:pPr>
          </w:p>
        </w:tc>
        <w:tc>
          <w:tcPr>
            <w:tcW w:w="7196" w:type="dxa"/>
            <w:vAlign w:val="center"/>
          </w:tcPr>
          <w:p>
            <w:pPr>
              <w:spacing w:line="300" w:lineRule="exact"/>
              <w:rPr>
                <w:rFonts w:ascii="宋体" w:hAnsi="宋体" w:cs="宋体"/>
                <w:sz w:val="22"/>
              </w:rPr>
            </w:pPr>
            <w:r>
              <w:rPr>
                <w:rFonts w:hint="eastAsia" w:ascii="宋体" w:hAnsi="宋体" w:cs="宋体"/>
                <w:sz w:val="22"/>
              </w:rPr>
              <w:t>投标人自2019年1月1日以来得过政府部门颁发的与病媒生物防制或防疫相关奖项、荣誉的，每提供一个得1分。</w:t>
            </w:r>
          </w:p>
          <w:p>
            <w:pPr>
              <w:spacing w:line="300" w:lineRule="exact"/>
              <w:rPr>
                <w:rFonts w:ascii="宋体" w:hAnsi="宋体" w:eastAsia="宋体" w:cs="宋体"/>
                <w:kern w:val="2"/>
                <w:sz w:val="22"/>
                <w:szCs w:val="21"/>
                <w:lang w:val="en-US" w:eastAsia="zh-CN" w:bidi="ar-SA"/>
              </w:rPr>
            </w:pPr>
            <w:r>
              <w:rPr>
                <w:rFonts w:hint="eastAsia" w:ascii="宋体" w:hAnsi="宋体" w:cs="宋体"/>
                <w:b/>
                <w:bCs/>
                <w:sz w:val="22"/>
              </w:rPr>
              <w:t>（相关奖项、荣誉证明材料须体现投标人名称，否则不得分。本项内容与第一项内容不可重复计分。）</w:t>
            </w:r>
          </w:p>
        </w:tc>
        <w:tc>
          <w:tcPr>
            <w:tcW w:w="666" w:type="dxa"/>
            <w:vAlign w:val="center"/>
          </w:tcPr>
          <w:p>
            <w:pPr>
              <w:pStyle w:val="11"/>
              <w:spacing w:before="120" w:after="120"/>
              <w:jc w:val="center"/>
              <w:rPr>
                <w:rFonts w:hAnsi="宋体"/>
                <w:b/>
                <w:sz w:val="18"/>
                <w:szCs w:val="18"/>
              </w:rPr>
            </w:pPr>
          </w:p>
        </w:tc>
        <w:tc>
          <w:tcPr>
            <w:tcW w:w="995" w:type="dxa"/>
            <w:vAlign w:val="center"/>
          </w:tcPr>
          <w:p>
            <w:pPr>
              <w:pStyle w:val="11"/>
              <w:spacing w:before="120" w:after="120"/>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609" w:type="dxa"/>
            <w:vAlign w:val="center"/>
          </w:tcPr>
          <w:p>
            <w:pPr>
              <w:pStyle w:val="11"/>
              <w:spacing w:before="120" w:after="120" w:line="480" w:lineRule="auto"/>
              <w:jc w:val="center"/>
              <w:rPr>
                <w:rFonts w:hAnsi="宋体"/>
                <w:b/>
                <w:sz w:val="18"/>
                <w:szCs w:val="18"/>
              </w:rPr>
            </w:pPr>
            <w:r>
              <w:rPr>
                <w:rFonts w:hint="eastAsia" w:hAnsi="宋体"/>
                <w:b/>
                <w:sz w:val="18"/>
                <w:szCs w:val="18"/>
              </w:rPr>
              <w:t>2</w:t>
            </w:r>
          </w:p>
        </w:tc>
        <w:tc>
          <w:tcPr>
            <w:tcW w:w="1092" w:type="dxa"/>
            <w:vAlign w:val="center"/>
          </w:tcPr>
          <w:p>
            <w:pPr>
              <w:spacing w:line="300" w:lineRule="exact"/>
              <w:jc w:val="center"/>
              <w:rPr>
                <w:rFonts w:ascii="宋体" w:hAnsi="宋体" w:cs="宋体"/>
                <w:sz w:val="22"/>
                <w:szCs w:val="20"/>
              </w:rPr>
            </w:pPr>
            <w:r>
              <w:rPr>
                <w:rFonts w:hint="eastAsia" w:ascii="宋体" w:hAnsi="宋体" w:cs="宋体"/>
                <w:sz w:val="22"/>
                <w:szCs w:val="20"/>
              </w:rPr>
              <w:t>拟投入技术</w:t>
            </w:r>
          </w:p>
          <w:p>
            <w:pPr>
              <w:spacing w:line="300" w:lineRule="exact"/>
              <w:jc w:val="center"/>
              <w:rPr>
                <w:rFonts w:ascii="宋体" w:hAnsi="宋体" w:cs="宋体"/>
                <w:sz w:val="24"/>
                <w:szCs w:val="22"/>
              </w:rPr>
            </w:pPr>
            <w:r>
              <w:rPr>
                <w:rFonts w:hint="eastAsia" w:ascii="宋体" w:hAnsi="宋体" w:cs="宋体"/>
                <w:sz w:val="22"/>
                <w:szCs w:val="20"/>
              </w:rPr>
              <w:t>力量</w:t>
            </w:r>
          </w:p>
        </w:tc>
        <w:tc>
          <w:tcPr>
            <w:tcW w:w="7196" w:type="dxa"/>
            <w:vAlign w:val="center"/>
          </w:tcPr>
          <w:p>
            <w:pPr>
              <w:spacing w:line="300" w:lineRule="exact"/>
              <w:rPr>
                <w:rFonts w:ascii="宋体" w:hAnsi="宋体" w:cs="宋体"/>
                <w:sz w:val="22"/>
              </w:rPr>
            </w:pPr>
            <w:r>
              <w:rPr>
                <w:rFonts w:hint="eastAsia" w:ascii="宋体" w:hAnsi="宋体" w:cs="宋体"/>
                <w:sz w:val="22"/>
              </w:rPr>
              <w:t>1.拟派作业人员持有有害生物防制高级</w:t>
            </w:r>
            <w:r>
              <w:rPr>
                <w:rFonts w:hint="eastAsia" w:ascii="宋体" w:hAnsi="宋体" w:cs="宋体"/>
                <w:sz w:val="22"/>
                <w:lang w:eastAsia="zh-CN"/>
              </w:rPr>
              <w:t>（</w:t>
            </w:r>
            <w:r>
              <w:rPr>
                <w:rFonts w:hint="eastAsia" w:ascii="宋体" w:hAnsi="宋体" w:cs="宋体"/>
                <w:sz w:val="22"/>
              </w:rPr>
              <w:t>三级）资质证书技术人员，每提供一名得2分，本项最高得6分；</w:t>
            </w:r>
          </w:p>
          <w:p>
            <w:pPr>
              <w:spacing w:line="300" w:lineRule="exact"/>
              <w:rPr>
                <w:rFonts w:ascii="宋体" w:hAnsi="宋体" w:cs="宋体"/>
                <w:sz w:val="22"/>
              </w:rPr>
            </w:pPr>
            <w:r>
              <w:rPr>
                <w:rFonts w:hint="eastAsia" w:ascii="宋体" w:hAnsi="宋体" w:cs="宋体"/>
                <w:sz w:val="22"/>
              </w:rPr>
              <w:t>2.拟派作业人员持有害生物防制中级（四级）资质证书技术人员，每提供一名得1.5分，本项最高得6分；</w:t>
            </w:r>
          </w:p>
          <w:p>
            <w:pPr>
              <w:spacing w:line="300" w:lineRule="exact"/>
              <w:rPr>
                <w:rFonts w:ascii="宋体" w:hAnsi="宋体" w:cs="宋体"/>
                <w:sz w:val="22"/>
              </w:rPr>
            </w:pPr>
            <w:r>
              <w:rPr>
                <w:rFonts w:hint="eastAsia" w:ascii="宋体" w:hAnsi="宋体" w:cs="宋体"/>
                <w:sz w:val="22"/>
              </w:rPr>
              <w:t>3.拟派作业人员持有害生物防制初级（五级）资质证书技术人员，每提供一名得1分，本项最高得4分；</w:t>
            </w:r>
          </w:p>
          <w:p>
            <w:pPr>
              <w:spacing w:line="300" w:lineRule="exact"/>
              <w:rPr>
                <w:rFonts w:ascii="宋体" w:hAnsi="宋体" w:cs="宋体"/>
                <w:b/>
                <w:bCs/>
                <w:sz w:val="22"/>
              </w:rPr>
            </w:pPr>
            <w:r>
              <w:rPr>
                <w:rFonts w:hint="eastAsia" w:ascii="宋体" w:hAnsi="宋体" w:cs="宋体"/>
                <w:b/>
                <w:bCs/>
                <w:sz w:val="22"/>
              </w:rPr>
              <w:t>注</w:t>
            </w:r>
            <w:r>
              <w:rPr>
                <w:rFonts w:hint="eastAsia" w:ascii="宋体" w:hAnsi="宋体" w:cs="宋体"/>
                <w:b/>
                <w:bCs/>
                <w:sz w:val="22"/>
                <w:lang w:eastAsia="zh-CN"/>
              </w:rPr>
              <w:t>：</w:t>
            </w:r>
            <w:r>
              <w:rPr>
                <w:rFonts w:hint="eastAsia" w:ascii="宋体" w:hAnsi="宋体" w:cs="宋体"/>
                <w:b/>
                <w:bCs/>
                <w:sz w:val="22"/>
              </w:rPr>
              <w:t>高级可代中级或初级、中级可代初级，</w:t>
            </w:r>
            <w:r>
              <w:rPr>
                <w:rFonts w:hint="eastAsia" w:ascii="宋体" w:hAnsi="宋体" w:cs="宋体"/>
                <w:b/>
                <w:bCs/>
                <w:color w:val="FF0000"/>
                <w:sz w:val="22"/>
                <w:szCs w:val="20"/>
              </w:rPr>
              <w:t>上述人员不可重复。</w:t>
            </w:r>
          </w:p>
          <w:p>
            <w:pPr>
              <w:spacing w:line="300" w:lineRule="exact"/>
              <w:rPr>
                <w:rFonts w:ascii="宋体" w:hAnsi="宋体" w:eastAsia="宋体" w:cs="宋体"/>
                <w:kern w:val="2"/>
                <w:sz w:val="22"/>
                <w:szCs w:val="21"/>
                <w:lang w:val="en-US" w:eastAsia="zh-CN" w:bidi="ar-SA"/>
              </w:rPr>
            </w:pPr>
            <w:r>
              <w:rPr>
                <w:rFonts w:hint="eastAsia" w:ascii="宋体" w:hAnsi="宋体" w:cs="宋体"/>
                <w:sz w:val="22"/>
              </w:rPr>
              <w:t>（本项评分最高16分，至少提供8名拟派技术人员，须同时提供相关证书复印件和投标截止时间前6个月内的代缴个税税单或参加社会保险的《投保单》或《社会保险参保人员证明》等证明，投标文件中需提供相关清晰可辨复印件，否则不得分。）有完善的内部组织管理制度（工作考勤、监督管理机制及奖罚管理）。</w:t>
            </w:r>
          </w:p>
        </w:tc>
        <w:tc>
          <w:tcPr>
            <w:tcW w:w="666" w:type="dxa"/>
          </w:tcPr>
          <w:p>
            <w:pPr>
              <w:pStyle w:val="11"/>
              <w:spacing w:before="120" w:after="120" w:line="480" w:lineRule="auto"/>
              <w:jc w:val="center"/>
              <w:rPr>
                <w:rFonts w:hAnsi="宋体"/>
                <w:b/>
                <w:sz w:val="18"/>
                <w:szCs w:val="18"/>
              </w:rPr>
            </w:pPr>
          </w:p>
        </w:tc>
        <w:tc>
          <w:tcPr>
            <w:tcW w:w="995" w:type="dxa"/>
          </w:tcPr>
          <w:p>
            <w:pPr>
              <w:pStyle w:val="11"/>
              <w:spacing w:before="120" w:after="120" w:line="480" w:lineRule="auto"/>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609" w:type="dxa"/>
            <w:vAlign w:val="center"/>
          </w:tcPr>
          <w:p>
            <w:pPr>
              <w:pStyle w:val="11"/>
              <w:spacing w:before="120" w:after="120" w:line="480" w:lineRule="auto"/>
              <w:jc w:val="center"/>
              <w:rPr>
                <w:rFonts w:hAnsi="宋体"/>
                <w:b/>
                <w:sz w:val="18"/>
                <w:szCs w:val="18"/>
              </w:rPr>
            </w:pPr>
            <w:r>
              <w:rPr>
                <w:rFonts w:hint="eastAsia" w:hAnsi="宋体"/>
                <w:b/>
                <w:sz w:val="18"/>
                <w:szCs w:val="18"/>
              </w:rPr>
              <w:t>3</w:t>
            </w:r>
          </w:p>
        </w:tc>
        <w:tc>
          <w:tcPr>
            <w:tcW w:w="1092" w:type="dxa"/>
            <w:vAlign w:val="center"/>
          </w:tcPr>
          <w:p>
            <w:pPr>
              <w:jc w:val="center"/>
              <w:rPr>
                <w:rFonts w:ascii="宋体" w:hAnsi="宋体" w:cs="宋体"/>
                <w:sz w:val="24"/>
                <w:lang w:val="zh-CN"/>
              </w:rPr>
            </w:pPr>
            <w:r>
              <w:rPr>
                <w:rFonts w:hint="eastAsia" w:ascii="宋体" w:hAnsi="宋体" w:cs="宋体"/>
                <w:sz w:val="22"/>
                <w:szCs w:val="20"/>
              </w:rPr>
              <w:t>服务业绩</w:t>
            </w:r>
          </w:p>
        </w:tc>
        <w:tc>
          <w:tcPr>
            <w:tcW w:w="7196" w:type="dxa"/>
            <w:vAlign w:val="center"/>
          </w:tcPr>
          <w:p>
            <w:pPr>
              <w:spacing w:line="300" w:lineRule="exact"/>
              <w:rPr>
                <w:rFonts w:ascii="宋体" w:hAnsi="宋体" w:eastAsia="宋体" w:cs="宋体"/>
                <w:kern w:val="2"/>
                <w:sz w:val="22"/>
                <w:szCs w:val="21"/>
                <w:lang w:val="zh-CN" w:eastAsia="zh-CN" w:bidi="ar-SA"/>
              </w:rPr>
            </w:pPr>
            <w:r>
              <w:rPr>
                <w:rFonts w:hint="eastAsia" w:ascii="宋体" w:hAnsi="宋体" w:cs="宋体"/>
                <w:sz w:val="22"/>
                <w:szCs w:val="20"/>
              </w:rPr>
              <w:t>自2019年1月1日（以合同签订时间为准）以来，提供成功创建（或复评）国家级、省级、地市级卫生乡镇（或城市）案例，国家级每个案例得1.5分，省级每个案例得1分，地市级每个案例得0.5分，本项最高得3分。</w:t>
            </w:r>
            <w:r>
              <w:rPr>
                <w:rFonts w:hint="eastAsia" w:ascii="宋体" w:hAnsi="宋体" w:cs="宋体"/>
                <w:sz w:val="22"/>
                <w:szCs w:val="20"/>
                <w:lang w:eastAsia="zh-CN"/>
              </w:rPr>
              <w:t>（</w:t>
            </w:r>
            <w:r>
              <w:rPr>
                <w:rFonts w:hint="eastAsia" w:ascii="宋体" w:hAnsi="宋体" w:cs="宋体"/>
                <w:b/>
                <w:bCs/>
                <w:sz w:val="22"/>
                <w:szCs w:val="20"/>
              </w:rPr>
              <w:t>注：须提供以下证明材料：1、项目合同；2、相关创建成功案例证明材料（网上公示的可提供网页截图）；二者缺一不可，否则不得分，相关资料复印件均应编入商务技术文件中。请按照：A业绩合同、A业绩创建成功证明材料；B业绩合同……这样的顺序编制。）</w:t>
            </w:r>
          </w:p>
        </w:tc>
        <w:tc>
          <w:tcPr>
            <w:tcW w:w="666" w:type="dxa"/>
          </w:tcPr>
          <w:p>
            <w:pPr>
              <w:pStyle w:val="11"/>
              <w:spacing w:before="120" w:after="120" w:line="480" w:lineRule="auto"/>
              <w:jc w:val="center"/>
              <w:rPr>
                <w:rFonts w:hAnsi="宋体"/>
                <w:b/>
                <w:sz w:val="18"/>
                <w:szCs w:val="18"/>
              </w:rPr>
            </w:pPr>
          </w:p>
        </w:tc>
        <w:tc>
          <w:tcPr>
            <w:tcW w:w="995" w:type="dxa"/>
          </w:tcPr>
          <w:p>
            <w:pPr>
              <w:pStyle w:val="11"/>
              <w:spacing w:before="120" w:after="120" w:line="480" w:lineRule="auto"/>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09" w:type="dxa"/>
            <w:vAlign w:val="center"/>
          </w:tcPr>
          <w:p>
            <w:pPr>
              <w:pStyle w:val="11"/>
              <w:spacing w:before="120" w:after="120" w:line="480" w:lineRule="auto"/>
              <w:jc w:val="center"/>
              <w:rPr>
                <w:rFonts w:hAnsi="宋体"/>
                <w:b/>
                <w:sz w:val="18"/>
                <w:szCs w:val="18"/>
              </w:rPr>
            </w:pPr>
            <w:r>
              <w:rPr>
                <w:rFonts w:hint="eastAsia" w:hAnsi="宋体"/>
                <w:b/>
                <w:sz w:val="18"/>
                <w:szCs w:val="18"/>
              </w:rPr>
              <w:t>4</w:t>
            </w:r>
          </w:p>
        </w:tc>
        <w:tc>
          <w:tcPr>
            <w:tcW w:w="1092" w:type="dxa"/>
            <w:vAlign w:val="center"/>
          </w:tcPr>
          <w:p>
            <w:pPr>
              <w:spacing w:line="300" w:lineRule="exact"/>
              <w:jc w:val="center"/>
              <w:rPr>
                <w:rFonts w:ascii="宋体" w:hAnsi="宋体" w:cs="宋体"/>
                <w:sz w:val="24"/>
              </w:rPr>
            </w:pPr>
            <w:r>
              <w:rPr>
                <w:rFonts w:hint="eastAsia" w:ascii="宋体" w:hAnsi="宋体" w:cs="宋体"/>
                <w:sz w:val="22"/>
                <w:szCs w:val="20"/>
              </w:rPr>
              <w:t>项目需求和服务承诺</w:t>
            </w:r>
          </w:p>
        </w:tc>
        <w:tc>
          <w:tcPr>
            <w:tcW w:w="7196" w:type="dxa"/>
            <w:vAlign w:val="center"/>
          </w:tcPr>
          <w:p>
            <w:pPr>
              <w:spacing w:line="300" w:lineRule="exact"/>
              <w:rPr>
                <w:rFonts w:ascii="宋体" w:hAnsi="宋体" w:eastAsia="宋体" w:cs="宋体"/>
                <w:kern w:val="2"/>
                <w:sz w:val="22"/>
                <w:szCs w:val="20"/>
                <w:lang w:val="en-US" w:eastAsia="zh-CN" w:bidi="ar-SA"/>
              </w:rPr>
            </w:pPr>
            <w:r>
              <w:rPr>
                <w:rFonts w:hint="eastAsia" w:ascii="宋体" w:hAnsi="宋体" w:cs="宋体"/>
                <w:sz w:val="22"/>
                <w:szCs w:val="20"/>
              </w:rPr>
              <w:t>供应商承诺中标后在服务辖区设立服务站点，拟派常驻技术人员在满足</w:t>
            </w:r>
            <w:r>
              <w:rPr>
                <w:rFonts w:hint="eastAsia" w:ascii="宋体" w:hAnsi="宋体" w:cs="宋体"/>
                <w:sz w:val="22"/>
                <w:szCs w:val="20"/>
                <w:lang w:eastAsia="zh-CN"/>
              </w:rPr>
              <w:t>乡镇</w:t>
            </w:r>
            <w:r>
              <w:rPr>
                <w:rFonts w:hint="eastAsia" w:ascii="宋体" w:hAnsi="宋体" w:cs="宋体"/>
                <w:sz w:val="22"/>
                <w:szCs w:val="20"/>
              </w:rPr>
              <w:t>有1人的基础上，每增加1人加1分，最高累计得分不超过3分。（</w:t>
            </w:r>
            <w:r>
              <w:rPr>
                <w:rFonts w:hint="eastAsia" w:ascii="宋体" w:hAnsi="宋体" w:cs="宋体"/>
                <w:b/>
                <w:bCs/>
                <w:sz w:val="22"/>
                <w:szCs w:val="20"/>
              </w:rPr>
              <w:t>须根据项目实际情况，按</w:t>
            </w:r>
            <w:r>
              <w:rPr>
                <w:rFonts w:hint="eastAsia" w:ascii="宋体" w:hAnsi="宋体" w:cs="宋体"/>
                <w:b/>
                <w:bCs/>
                <w:sz w:val="22"/>
                <w:szCs w:val="20"/>
                <w:lang w:eastAsia="zh-CN"/>
              </w:rPr>
              <w:t>乡镇</w:t>
            </w:r>
            <w:r>
              <w:rPr>
                <w:rFonts w:hint="eastAsia" w:ascii="宋体" w:hAnsi="宋体" w:cs="宋体"/>
                <w:b/>
                <w:bCs/>
                <w:sz w:val="22"/>
                <w:szCs w:val="20"/>
              </w:rPr>
              <w:t>实际消杀范围配备人员，并提供</w:t>
            </w:r>
            <w:r>
              <w:rPr>
                <w:rFonts w:hint="eastAsia" w:ascii="宋体" w:hAnsi="宋体" w:cs="宋体"/>
                <w:b/>
                <w:bCs/>
                <w:sz w:val="22"/>
                <w:szCs w:val="20"/>
                <w:lang w:eastAsia="zh-CN"/>
              </w:rPr>
              <w:t>乡镇</w:t>
            </w:r>
            <w:r>
              <w:rPr>
                <w:rFonts w:hint="eastAsia" w:ascii="宋体" w:hAnsi="宋体" w:cs="宋体"/>
                <w:b/>
                <w:bCs/>
                <w:sz w:val="22"/>
                <w:szCs w:val="20"/>
              </w:rPr>
              <w:t>拟投入人员的名单，并附有效培训合格证（或资格证书）复印件和身份证复印件，且人员不可重复，否则不得分</w:t>
            </w:r>
            <w:r>
              <w:rPr>
                <w:rFonts w:hint="eastAsia" w:ascii="宋体" w:hAnsi="宋体" w:cs="宋体"/>
                <w:sz w:val="22"/>
                <w:szCs w:val="20"/>
              </w:rPr>
              <w:t>）</w:t>
            </w:r>
          </w:p>
        </w:tc>
        <w:tc>
          <w:tcPr>
            <w:tcW w:w="666" w:type="dxa"/>
          </w:tcPr>
          <w:p>
            <w:pPr>
              <w:pStyle w:val="11"/>
              <w:spacing w:before="120" w:after="120" w:line="480" w:lineRule="auto"/>
              <w:jc w:val="center"/>
              <w:rPr>
                <w:rFonts w:hAnsi="宋体"/>
                <w:b/>
                <w:sz w:val="18"/>
                <w:szCs w:val="18"/>
              </w:rPr>
            </w:pPr>
          </w:p>
        </w:tc>
        <w:tc>
          <w:tcPr>
            <w:tcW w:w="995" w:type="dxa"/>
          </w:tcPr>
          <w:p>
            <w:pPr>
              <w:pStyle w:val="11"/>
              <w:spacing w:before="120" w:after="120" w:line="480" w:lineRule="auto"/>
              <w:jc w:val="center"/>
              <w:rPr>
                <w:rFonts w:hAnsi="宋体"/>
                <w:b/>
                <w:sz w:val="18"/>
                <w:szCs w:val="18"/>
              </w:rPr>
            </w:pPr>
          </w:p>
        </w:tc>
      </w:tr>
    </w:tbl>
    <w:p>
      <w:pPr>
        <w:spacing w:line="500" w:lineRule="exact"/>
        <w:jc w:val="left"/>
        <w:textAlignment w:val="baseline"/>
        <w:rPr>
          <w:rFonts w:hAnsi="宋体"/>
          <w:sz w:val="24"/>
        </w:rPr>
      </w:pPr>
      <w:r>
        <w:rPr>
          <w:rFonts w:hint="eastAsia" w:hAnsi="宋体"/>
          <w:sz w:val="24"/>
        </w:rPr>
        <w:t>投标人全称（盖章）：</w:t>
      </w:r>
    </w:p>
    <w:p>
      <w:pPr>
        <w:spacing w:line="500" w:lineRule="exact"/>
        <w:textAlignment w:val="baseline"/>
        <w:rPr>
          <w:rFonts w:hAnsi="宋体"/>
          <w:sz w:val="24"/>
        </w:rPr>
      </w:pPr>
      <w:r>
        <w:rPr>
          <w:rFonts w:hint="eastAsia" w:hAnsi="宋体" w:cs="仿宋_GB2312"/>
          <w:sz w:val="24"/>
        </w:rPr>
        <w:t>法定代表人或</w:t>
      </w:r>
      <w:r>
        <w:rPr>
          <w:rFonts w:hint="eastAsia" w:hAnsi="宋体"/>
          <w:sz w:val="24"/>
        </w:rPr>
        <w:t xml:space="preserve">委托代理人（盖章或签字）：                 </w:t>
      </w:r>
    </w:p>
    <w:p>
      <w:pPr>
        <w:spacing w:line="500" w:lineRule="exact"/>
        <w:textAlignment w:val="baseline"/>
        <w:rPr>
          <w:rFonts w:hAnsi="宋体"/>
          <w:sz w:val="24"/>
        </w:rPr>
      </w:pPr>
      <w:r>
        <w:rPr>
          <w:rFonts w:hint="eastAsia" w:hAnsi="宋体"/>
          <w:sz w:val="24"/>
        </w:rPr>
        <w:t xml:space="preserve">日  </w:t>
      </w:r>
      <w:r>
        <w:rPr>
          <w:rFonts w:hAnsi="宋体"/>
          <w:sz w:val="24"/>
        </w:rPr>
        <w:t xml:space="preserve">  </w:t>
      </w:r>
      <w:r>
        <w:rPr>
          <w:rFonts w:hint="eastAsia" w:hAnsi="宋体"/>
          <w:sz w:val="24"/>
        </w:rPr>
        <w:t xml:space="preserve">期： </w:t>
      </w:r>
      <w:r>
        <w:rPr>
          <w:rFonts w:hAnsi="宋体"/>
          <w:sz w:val="24"/>
        </w:rPr>
        <w:t xml:space="preserve"> </w:t>
      </w:r>
    </w:p>
    <w:p>
      <w:pPr>
        <w:rPr>
          <w:rFonts w:ascii="宋体" w:hAnsi="宋体" w:cs="宋体"/>
          <w:b/>
          <w:bCs/>
          <w:sz w:val="24"/>
        </w:rPr>
      </w:pPr>
      <w:r>
        <w:rPr>
          <w:rFonts w:hint="eastAsia" w:ascii="宋体" w:hAnsi="宋体" w:cs="宋体"/>
          <w:b/>
          <w:bCs/>
          <w:sz w:val="24"/>
        </w:rPr>
        <w:br w:type="page"/>
      </w:r>
    </w:p>
    <w:p>
      <w:pPr>
        <w:spacing w:line="500" w:lineRule="exact"/>
        <w:rPr>
          <w:rFonts w:ascii="宋体" w:hAnsi="宋体" w:cs="宋体"/>
          <w:b/>
          <w:bCs/>
          <w:sz w:val="24"/>
        </w:rPr>
      </w:pPr>
      <w:r>
        <w:rPr>
          <w:rFonts w:hint="eastAsia" w:ascii="宋体" w:hAnsi="宋体" w:cs="宋体"/>
          <w:b/>
          <w:bCs/>
          <w:sz w:val="24"/>
        </w:rPr>
        <w:t>附件2：</w:t>
      </w:r>
    </w:p>
    <w:p>
      <w:pPr>
        <w:pStyle w:val="42"/>
        <w:shd w:val="clear" w:color="auto" w:fill="FFFFFF"/>
        <w:spacing w:before="0" w:beforeAutospacing="0" w:after="0" w:afterAutospacing="0" w:line="360" w:lineRule="auto"/>
        <w:jc w:val="center"/>
        <w:rPr>
          <w:rFonts w:cs="Times New Roman"/>
          <w:b/>
          <w:bCs/>
          <w:spacing w:val="21"/>
          <w:sz w:val="32"/>
          <w:szCs w:val="32"/>
        </w:rPr>
      </w:pPr>
      <w:r>
        <w:rPr>
          <w:b/>
          <w:bCs/>
          <w:sz w:val="32"/>
          <w:szCs w:val="32"/>
        </w:rPr>
        <w:t xml:space="preserve">  </w:t>
      </w:r>
      <w:r>
        <w:rPr>
          <w:rFonts w:hint="eastAsia"/>
          <w:b/>
          <w:bCs/>
          <w:sz w:val="32"/>
          <w:szCs w:val="32"/>
        </w:rPr>
        <w:t>投标</w:t>
      </w:r>
      <w:r>
        <w:rPr>
          <w:rFonts w:hint="eastAsia"/>
          <w:b/>
          <w:bCs/>
          <w:spacing w:val="21"/>
          <w:sz w:val="32"/>
          <w:szCs w:val="32"/>
        </w:rPr>
        <w:t>人基本情况表</w:t>
      </w:r>
    </w:p>
    <w:tbl>
      <w:tblPr>
        <w:tblStyle w:val="19"/>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exact"/>
          <w:jc w:val="center"/>
        </w:trPr>
        <w:tc>
          <w:tcPr>
            <w:tcW w:w="1802" w:type="dxa"/>
            <w:tcBorders>
              <w:top w:val="single" w:color="000000" w:sz="12" w:space="0"/>
            </w:tcBorders>
            <w:vAlign w:val="center"/>
          </w:tcPr>
          <w:p>
            <w:pPr>
              <w:pStyle w:val="58"/>
              <w:ind w:firstLine="315"/>
              <w:rPr>
                <w:color w:val="auto"/>
                <w:sz w:val="21"/>
              </w:rPr>
            </w:pPr>
            <w:r>
              <w:rPr>
                <w:rFonts w:hint="eastAsia"/>
                <w:color w:val="auto"/>
                <w:sz w:val="21"/>
              </w:rPr>
              <w:t>投标人名称</w:t>
            </w:r>
          </w:p>
        </w:tc>
        <w:tc>
          <w:tcPr>
            <w:tcW w:w="7743" w:type="dxa"/>
            <w:gridSpan w:val="8"/>
            <w:tcBorders>
              <w:top w:val="single" w:color="000000" w:sz="12" w:space="0"/>
            </w:tcBorders>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58"/>
              <w:ind w:firstLine="315"/>
              <w:rPr>
                <w:color w:val="auto"/>
                <w:sz w:val="21"/>
              </w:rPr>
            </w:pPr>
            <w:r>
              <w:rPr>
                <w:rFonts w:hint="eastAsia"/>
                <w:color w:val="auto"/>
                <w:sz w:val="21"/>
              </w:rPr>
              <w:t>注册地址</w:t>
            </w:r>
          </w:p>
        </w:tc>
        <w:tc>
          <w:tcPr>
            <w:tcW w:w="3747" w:type="dxa"/>
            <w:gridSpan w:val="4"/>
            <w:vAlign w:val="center"/>
          </w:tcPr>
          <w:p>
            <w:pPr>
              <w:pStyle w:val="58"/>
              <w:ind w:firstLine="315"/>
              <w:rPr>
                <w:color w:val="auto"/>
                <w:sz w:val="21"/>
              </w:rPr>
            </w:pPr>
          </w:p>
        </w:tc>
        <w:tc>
          <w:tcPr>
            <w:tcW w:w="1258" w:type="dxa"/>
            <w:vAlign w:val="center"/>
          </w:tcPr>
          <w:p>
            <w:pPr>
              <w:pStyle w:val="58"/>
              <w:ind w:firstLineChars="0"/>
              <w:jc w:val="center"/>
              <w:rPr>
                <w:color w:val="auto"/>
                <w:sz w:val="21"/>
              </w:rPr>
            </w:pPr>
            <w:r>
              <w:rPr>
                <w:rFonts w:hint="eastAsia"/>
                <w:color w:val="auto"/>
                <w:sz w:val="21"/>
              </w:rPr>
              <w:t>邮政编码</w:t>
            </w:r>
          </w:p>
        </w:tc>
        <w:tc>
          <w:tcPr>
            <w:tcW w:w="2738" w:type="dxa"/>
            <w:gridSpan w:val="3"/>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pPr>
              <w:pStyle w:val="58"/>
              <w:ind w:firstLine="315"/>
              <w:rPr>
                <w:color w:val="auto"/>
                <w:sz w:val="21"/>
              </w:rPr>
            </w:pPr>
            <w:r>
              <w:rPr>
                <w:rFonts w:hint="eastAsia"/>
                <w:color w:val="auto"/>
                <w:sz w:val="21"/>
              </w:rPr>
              <w:t>联系方式</w:t>
            </w:r>
          </w:p>
        </w:tc>
        <w:tc>
          <w:tcPr>
            <w:tcW w:w="990" w:type="dxa"/>
            <w:vAlign w:val="center"/>
          </w:tcPr>
          <w:p>
            <w:pPr>
              <w:pStyle w:val="58"/>
              <w:ind w:firstLine="0" w:firstLineChars="0"/>
              <w:jc w:val="center"/>
              <w:rPr>
                <w:color w:val="auto"/>
                <w:sz w:val="21"/>
              </w:rPr>
            </w:pPr>
            <w:r>
              <w:rPr>
                <w:rFonts w:hint="eastAsia"/>
                <w:color w:val="auto"/>
                <w:sz w:val="21"/>
              </w:rPr>
              <w:t>联系人</w:t>
            </w:r>
          </w:p>
        </w:tc>
        <w:tc>
          <w:tcPr>
            <w:tcW w:w="2757" w:type="dxa"/>
            <w:gridSpan w:val="3"/>
            <w:vAlign w:val="center"/>
          </w:tcPr>
          <w:p>
            <w:pPr>
              <w:pStyle w:val="58"/>
              <w:ind w:firstLine="315"/>
              <w:rPr>
                <w:color w:val="auto"/>
                <w:sz w:val="21"/>
              </w:rPr>
            </w:pPr>
          </w:p>
        </w:tc>
        <w:tc>
          <w:tcPr>
            <w:tcW w:w="1258" w:type="dxa"/>
            <w:vAlign w:val="center"/>
          </w:tcPr>
          <w:p>
            <w:pPr>
              <w:pStyle w:val="58"/>
              <w:ind w:firstLineChars="0"/>
              <w:jc w:val="center"/>
              <w:rPr>
                <w:color w:val="auto"/>
                <w:sz w:val="21"/>
              </w:rPr>
            </w:pPr>
            <w:r>
              <w:rPr>
                <w:rFonts w:hint="eastAsia"/>
                <w:color w:val="auto"/>
                <w:sz w:val="21"/>
              </w:rPr>
              <w:t>电</w:t>
            </w:r>
            <w:r>
              <w:rPr>
                <w:color w:val="auto"/>
                <w:sz w:val="21"/>
              </w:rPr>
              <w:t xml:space="preserve"> </w:t>
            </w:r>
            <w:r>
              <w:rPr>
                <w:rFonts w:hint="eastAsia"/>
                <w:color w:val="auto"/>
                <w:sz w:val="21"/>
              </w:rPr>
              <w:t>话</w:t>
            </w:r>
          </w:p>
        </w:tc>
        <w:tc>
          <w:tcPr>
            <w:tcW w:w="2738" w:type="dxa"/>
            <w:gridSpan w:val="3"/>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pPr>
              <w:pStyle w:val="58"/>
              <w:ind w:firstLine="315"/>
              <w:jc w:val="center"/>
              <w:rPr>
                <w:color w:val="auto"/>
                <w:sz w:val="21"/>
              </w:rPr>
            </w:pPr>
          </w:p>
        </w:tc>
        <w:tc>
          <w:tcPr>
            <w:tcW w:w="990" w:type="dxa"/>
            <w:vAlign w:val="center"/>
          </w:tcPr>
          <w:p>
            <w:pPr>
              <w:pStyle w:val="58"/>
              <w:ind w:firstLine="0" w:firstLineChars="0"/>
              <w:jc w:val="center"/>
              <w:rPr>
                <w:color w:val="auto"/>
                <w:sz w:val="21"/>
              </w:rPr>
            </w:pPr>
            <w:r>
              <w:rPr>
                <w:rFonts w:hint="eastAsia"/>
                <w:color w:val="auto"/>
                <w:sz w:val="21"/>
              </w:rPr>
              <w:t>传</w:t>
            </w:r>
            <w:r>
              <w:rPr>
                <w:color w:val="auto"/>
                <w:sz w:val="21"/>
              </w:rPr>
              <w:t xml:space="preserve"> </w:t>
            </w:r>
            <w:r>
              <w:rPr>
                <w:rFonts w:hint="eastAsia"/>
                <w:color w:val="auto"/>
                <w:sz w:val="21"/>
              </w:rPr>
              <w:t>真</w:t>
            </w:r>
          </w:p>
        </w:tc>
        <w:tc>
          <w:tcPr>
            <w:tcW w:w="2757" w:type="dxa"/>
            <w:gridSpan w:val="3"/>
            <w:vAlign w:val="center"/>
          </w:tcPr>
          <w:p>
            <w:pPr>
              <w:pStyle w:val="58"/>
              <w:ind w:firstLine="315"/>
              <w:rPr>
                <w:color w:val="auto"/>
                <w:sz w:val="21"/>
              </w:rPr>
            </w:pPr>
          </w:p>
        </w:tc>
        <w:tc>
          <w:tcPr>
            <w:tcW w:w="1258" w:type="dxa"/>
            <w:vAlign w:val="center"/>
          </w:tcPr>
          <w:p>
            <w:pPr>
              <w:pStyle w:val="58"/>
              <w:ind w:firstLineChars="0"/>
              <w:jc w:val="center"/>
              <w:rPr>
                <w:color w:val="auto"/>
                <w:sz w:val="21"/>
              </w:rPr>
            </w:pPr>
            <w:r>
              <w:rPr>
                <w:rFonts w:hint="eastAsia"/>
                <w:color w:val="auto"/>
                <w:sz w:val="21"/>
              </w:rPr>
              <w:t>电子邮件</w:t>
            </w:r>
          </w:p>
        </w:tc>
        <w:tc>
          <w:tcPr>
            <w:tcW w:w="2738" w:type="dxa"/>
            <w:gridSpan w:val="3"/>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58"/>
              <w:ind w:firstLine="315"/>
              <w:rPr>
                <w:color w:val="auto"/>
                <w:sz w:val="21"/>
              </w:rPr>
            </w:pPr>
            <w:r>
              <w:rPr>
                <w:rFonts w:hint="eastAsia"/>
                <w:color w:val="auto"/>
                <w:sz w:val="21"/>
              </w:rPr>
              <w:t>法定代表人</w:t>
            </w:r>
          </w:p>
        </w:tc>
        <w:tc>
          <w:tcPr>
            <w:tcW w:w="990" w:type="dxa"/>
            <w:vAlign w:val="center"/>
          </w:tcPr>
          <w:p>
            <w:pPr>
              <w:pStyle w:val="58"/>
              <w:ind w:firstLine="315"/>
              <w:rPr>
                <w:color w:val="auto"/>
                <w:sz w:val="21"/>
              </w:rPr>
            </w:pPr>
            <w:r>
              <w:rPr>
                <w:rFonts w:hint="eastAsia"/>
                <w:color w:val="auto"/>
                <w:sz w:val="21"/>
              </w:rPr>
              <w:t>姓名</w:t>
            </w:r>
          </w:p>
        </w:tc>
        <w:tc>
          <w:tcPr>
            <w:tcW w:w="924" w:type="dxa"/>
            <w:vAlign w:val="center"/>
          </w:tcPr>
          <w:p>
            <w:pPr>
              <w:pStyle w:val="58"/>
              <w:ind w:firstLine="315"/>
              <w:rPr>
                <w:color w:val="auto"/>
                <w:sz w:val="21"/>
              </w:rPr>
            </w:pPr>
          </w:p>
        </w:tc>
        <w:tc>
          <w:tcPr>
            <w:tcW w:w="1469" w:type="dxa"/>
            <w:vAlign w:val="center"/>
          </w:tcPr>
          <w:p>
            <w:pPr>
              <w:pStyle w:val="58"/>
              <w:ind w:firstLine="315"/>
              <w:rPr>
                <w:color w:val="auto"/>
                <w:sz w:val="21"/>
              </w:rPr>
            </w:pPr>
            <w:r>
              <w:rPr>
                <w:rFonts w:hint="eastAsia"/>
                <w:color w:val="auto"/>
                <w:sz w:val="21"/>
              </w:rPr>
              <w:t>技术职称</w:t>
            </w:r>
          </w:p>
        </w:tc>
        <w:tc>
          <w:tcPr>
            <w:tcW w:w="2198" w:type="dxa"/>
            <w:gridSpan w:val="3"/>
            <w:vAlign w:val="center"/>
          </w:tcPr>
          <w:p>
            <w:pPr>
              <w:pStyle w:val="58"/>
              <w:ind w:firstLine="315"/>
              <w:rPr>
                <w:color w:val="auto"/>
                <w:sz w:val="21"/>
              </w:rPr>
            </w:pPr>
          </w:p>
        </w:tc>
        <w:tc>
          <w:tcPr>
            <w:tcW w:w="1003" w:type="dxa"/>
            <w:vAlign w:val="center"/>
          </w:tcPr>
          <w:p>
            <w:pPr>
              <w:pStyle w:val="58"/>
              <w:ind w:firstLine="315"/>
              <w:rPr>
                <w:color w:val="auto"/>
                <w:sz w:val="21"/>
              </w:rPr>
            </w:pPr>
            <w:r>
              <w:rPr>
                <w:rFonts w:hint="eastAsia"/>
                <w:color w:val="auto"/>
                <w:sz w:val="21"/>
              </w:rPr>
              <w:t>电话</w:t>
            </w:r>
          </w:p>
        </w:tc>
        <w:tc>
          <w:tcPr>
            <w:tcW w:w="1159" w:type="dxa"/>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exact"/>
          <w:jc w:val="center"/>
        </w:trPr>
        <w:tc>
          <w:tcPr>
            <w:tcW w:w="1802" w:type="dxa"/>
            <w:vAlign w:val="center"/>
          </w:tcPr>
          <w:p>
            <w:pPr>
              <w:pStyle w:val="58"/>
              <w:ind w:firstLine="315"/>
              <w:rPr>
                <w:color w:val="auto"/>
                <w:sz w:val="21"/>
              </w:rPr>
            </w:pPr>
            <w:r>
              <w:rPr>
                <w:rFonts w:hint="eastAsia"/>
                <w:color w:val="auto"/>
                <w:sz w:val="21"/>
              </w:rPr>
              <w:t>技术负责人</w:t>
            </w:r>
          </w:p>
        </w:tc>
        <w:tc>
          <w:tcPr>
            <w:tcW w:w="990" w:type="dxa"/>
            <w:vAlign w:val="center"/>
          </w:tcPr>
          <w:p>
            <w:pPr>
              <w:pStyle w:val="58"/>
              <w:ind w:firstLine="315"/>
              <w:rPr>
                <w:color w:val="auto"/>
                <w:sz w:val="21"/>
              </w:rPr>
            </w:pPr>
            <w:r>
              <w:rPr>
                <w:rFonts w:hint="eastAsia"/>
                <w:color w:val="auto"/>
                <w:sz w:val="21"/>
              </w:rPr>
              <w:t>姓名</w:t>
            </w:r>
          </w:p>
        </w:tc>
        <w:tc>
          <w:tcPr>
            <w:tcW w:w="924" w:type="dxa"/>
            <w:vAlign w:val="center"/>
          </w:tcPr>
          <w:p>
            <w:pPr>
              <w:pStyle w:val="58"/>
              <w:ind w:firstLine="315"/>
              <w:rPr>
                <w:color w:val="auto"/>
                <w:sz w:val="21"/>
              </w:rPr>
            </w:pPr>
          </w:p>
        </w:tc>
        <w:tc>
          <w:tcPr>
            <w:tcW w:w="1469" w:type="dxa"/>
            <w:vAlign w:val="center"/>
          </w:tcPr>
          <w:p>
            <w:pPr>
              <w:pStyle w:val="58"/>
              <w:ind w:firstLine="315"/>
              <w:rPr>
                <w:color w:val="auto"/>
                <w:sz w:val="21"/>
              </w:rPr>
            </w:pPr>
            <w:r>
              <w:rPr>
                <w:rFonts w:hint="eastAsia"/>
                <w:color w:val="auto"/>
                <w:sz w:val="21"/>
              </w:rPr>
              <w:t>技术职称</w:t>
            </w:r>
          </w:p>
        </w:tc>
        <w:tc>
          <w:tcPr>
            <w:tcW w:w="2198" w:type="dxa"/>
            <w:gridSpan w:val="3"/>
            <w:vAlign w:val="center"/>
          </w:tcPr>
          <w:p>
            <w:pPr>
              <w:pStyle w:val="58"/>
              <w:ind w:firstLine="315"/>
              <w:rPr>
                <w:color w:val="auto"/>
                <w:sz w:val="21"/>
              </w:rPr>
            </w:pPr>
          </w:p>
        </w:tc>
        <w:tc>
          <w:tcPr>
            <w:tcW w:w="1003" w:type="dxa"/>
            <w:vAlign w:val="center"/>
          </w:tcPr>
          <w:p>
            <w:pPr>
              <w:pStyle w:val="58"/>
              <w:ind w:firstLine="315"/>
              <w:rPr>
                <w:color w:val="auto"/>
                <w:sz w:val="21"/>
              </w:rPr>
            </w:pPr>
            <w:r>
              <w:rPr>
                <w:rFonts w:hint="eastAsia"/>
                <w:color w:val="auto"/>
                <w:sz w:val="21"/>
              </w:rPr>
              <w:t>电话</w:t>
            </w:r>
          </w:p>
        </w:tc>
        <w:tc>
          <w:tcPr>
            <w:tcW w:w="1159" w:type="dxa"/>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exact"/>
          <w:jc w:val="center"/>
        </w:trPr>
        <w:tc>
          <w:tcPr>
            <w:tcW w:w="1802" w:type="dxa"/>
            <w:vAlign w:val="center"/>
          </w:tcPr>
          <w:p>
            <w:pPr>
              <w:pStyle w:val="58"/>
              <w:ind w:firstLine="315"/>
              <w:rPr>
                <w:color w:val="auto"/>
                <w:sz w:val="21"/>
              </w:rPr>
            </w:pPr>
            <w:r>
              <w:rPr>
                <w:rFonts w:hint="eastAsia"/>
                <w:color w:val="auto"/>
                <w:sz w:val="21"/>
              </w:rPr>
              <w:t>成立时间</w:t>
            </w:r>
          </w:p>
        </w:tc>
        <w:tc>
          <w:tcPr>
            <w:tcW w:w="1914" w:type="dxa"/>
            <w:gridSpan w:val="2"/>
            <w:vAlign w:val="center"/>
          </w:tcPr>
          <w:p>
            <w:pPr>
              <w:pStyle w:val="58"/>
              <w:ind w:firstLine="315"/>
              <w:rPr>
                <w:color w:val="auto"/>
                <w:sz w:val="21"/>
              </w:rPr>
            </w:pPr>
          </w:p>
        </w:tc>
        <w:tc>
          <w:tcPr>
            <w:tcW w:w="5829" w:type="dxa"/>
            <w:gridSpan w:val="6"/>
            <w:vAlign w:val="center"/>
          </w:tcPr>
          <w:p>
            <w:pPr>
              <w:pStyle w:val="58"/>
              <w:ind w:firstLine="315"/>
              <w:rPr>
                <w:color w:val="auto"/>
                <w:sz w:val="21"/>
              </w:rPr>
            </w:pPr>
            <w:r>
              <w:rPr>
                <w:rFonts w:hint="eastAsia"/>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662" w:hRule="exact"/>
          <w:jc w:val="center"/>
        </w:trPr>
        <w:tc>
          <w:tcPr>
            <w:tcW w:w="1802" w:type="dxa"/>
            <w:vAlign w:val="center"/>
          </w:tcPr>
          <w:p>
            <w:pPr>
              <w:pStyle w:val="58"/>
              <w:ind w:firstLine="315"/>
              <w:rPr>
                <w:color w:val="auto"/>
                <w:sz w:val="21"/>
              </w:rPr>
            </w:pPr>
            <w:r>
              <w:rPr>
                <w:rFonts w:hint="eastAsia"/>
                <w:color w:val="auto"/>
                <w:sz w:val="21"/>
              </w:rPr>
              <w:t>企业资质</w:t>
            </w:r>
          </w:p>
        </w:tc>
        <w:tc>
          <w:tcPr>
            <w:tcW w:w="1914" w:type="dxa"/>
            <w:gridSpan w:val="2"/>
            <w:vAlign w:val="center"/>
          </w:tcPr>
          <w:p>
            <w:pPr>
              <w:pStyle w:val="58"/>
              <w:ind w:firstLine="315"/>
              <w:rPr>
                <w:color w:val="auto"/>
                <w:sz w:val="21"/>
              </w:rPr>
            </w:pPr>
          </w:p>
        </w:tc>
        <w:tc>
          <w:tcPr>
            <w:tcW w:w="1469" w:type="dxa"/>
            <w:vMerge w:val="restart"/>
            <w:vAlign w:val="center"/>
          </w:tcPr>
          <w:p>
            <w:pPr>
              <w:pStyle w:val="58"/>
              <w:ind w:firstLine="315"/>
              <w:rPr>
                <w:color w:val="auto"/>
                <w:sz w:val="21"/>
              </w:rPr>
            </w:pPr>
            <w:r>
              <w:rPr>
                <w:rFonts w:hint="eastAsia"/>
                <w:color w:val="auto"/>
                <w:sz w:val="21"/>
              </w:rPr>
              <w:t>其中</w:t>
            </w:r>
          </w:p>
        </w:tc>
        <w:tc>
          <w:tcPr>
            <w:tcW w:w="2198" w:type="dxa"/>
            <w:gridSpan w:val="3"/>
            <w:vAlign w:val="center"/>
          </w:tcPr>
          <w:p>
            <w:pPr>
              <w:pStyle w:val="58"/>
              <w:ind w:firstLine="315"/>
              <w:rPr>
                <w:color w:val="auto"/>
                <w:sz w:val="21"/>
              </w:rPr>
            </w:pPr>
            <w:r>
              <w:rPr>
                <w:rFonts w:hint="eastAsia"/>
                <w:color w:val="auto"/>
                <w:sz w:val="21"/>
              </w:rPr>
              <w:t>项目负责人</w:t>
            </w:r>
          </w:p>
        </w:tc>
        <w:tc>
          <w:tcPr>
            <w:tcW w:w="2162" w:type="dxa"/>
            <w:gridSpan w:val="2"/>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58"/>
              <w:ind w:firstLine="315"/>
              <w:rPr>
                <w:color w:val="auto"/>
                <w:sz w:val="21"/>
              </w:rPr>
            </w:pPr>
            <w:r>
              <w:rPr>
                <w:rFonts w:hint="eastAsia"/>
                <w:color w:val="auto"/>
                <w:sz w:val="21"/>
              </w:rPr>
              <w:t>营业执照号</w:t>
            </w:r>
          </w:p>
        </w:tc>
        <w:tc>
          <w:tcPr>
            <w:tcW w:w="1914" w:type="dxa"/>
            <w:gridSpan w:val="2"/>
            <w:vAlign w:val="center"/>
          </w:tcPr>
          <w:p>
            <w:pPr>
              <w:pStyle w:val="58"/>
              <w:ind w:firstLine="315"/>
              <w:rPr>
                <w:color w:val="auto"/>
                <w:sz w:val="21"/>
              </w:rPr>
            </w:pPr>
          </w:p>
        </w:tc>
        <w:tc>
          <w:tcPr>
            <w:tcW w:w="1469" w:type="dxa"/>
            <w:vMerge w:val="continue"/>
            <w:vAlign w:val="center"/>
          </w:tcPr>
          <w:p>
            <w:pPr>
              <w:pStyle w:val="58"/>
              <w:ind w:firstLine="315"/>
              <w:rPr>
                <w:color w:val="auto"/>
                <w:sz w:val="21"/>
              </w:rPr>
            </w:pPr>
          </w:p>
        </w:tc>
        <w:tc>
          <w:tcPr>
            <w:tcW w:w="2198" w:type="dxa"/>
            <w:gridSpan w:val="3"/>
            <w:vAlign w:val="center"/>
          </w:tcPr>
          <w:p>
            <w:pPr>
              <w:pStyle w:val="58"/>
              <w:ind w:firstLine="315"/>
              <w:rPr>
                <w:color w:val="auto"/>
                <w:sz w:val="21"/>
              </w:rPr>
            </w:pPr>
            <w:r>
              <w:rPr>
                <w:rFonts w:hint="eastAsia"/>
                <w:color w:val="auto"/>
                <w:sz w:val="21"/>
              </w:rPr>
              <w:t>高级职称人员</w:t>
            </w:r>
          </w:p>
        </w:tc>
        <w:tc>
          <w:tcPr>
            <w:tcW w:w="2162" w:type="dxa"/>
            <w:gridSpan w:val="2"/>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58"/>
              <w:ind w:firstLine="315"/>
              <w:rPr>
                <w:color w:val="auto"/>
                <w:sz w:val="21"/>
              </w:rPr>
            </w:pPr>
            <w:r>
              <w:rPr>
                <w:rFonts w:hint="eastAsia"/>
                <w:color w:val="auto"/>
                <w:sz w:val="21"/>
              </w:rPr>
              <w:t>注册资金</w:t>
            </w:r>
          </w:p>
        </w:tc>
        <w:tc>
          <w:tcPr>
            <w:tcW w:w="1914" w:type="dxa"/>
            <w:gridSpan w:val="2"/>
            <w:vAlign w:val="center"/>
          </w:tcPr>
          <w:p>
            <w:pPr>
              <w:pStyle w:val="58"/>
              <w:ind w:firstLine="315"/>
              <w:rPr>
                <w:color w:val="auto"/>
                <w:sz w:val="21"/>
              </w:rPr>
            </w:pPr>
          </w:p>
        </w:tc>
        <w:tc>
          <w:tcPr>
            <w:tcW w:w="1469" w:type="dxa"/>
            <w:vMerge w:val="continue"/>
            <w:vAlign w:val="center"/>
          </w:tcPr>
          <w:p>
            <w:pPr>
              <w:pStyle w:val="58"/>
              <w:ind w:firstLine="315"/>
              <w:rPr>
                <w:color w:val="auto"/>
                <w:sz w:val="21"/>
              </w:rPr>
            </w:pPr>
          </w:p>
        </w:tc>
        <w:tc>
          <w:tcPr>
            <w:tcW w:w="2198" w:type="dxa"/>
            <w:gridSpan w:val="3"/>
            <w:vAlign w:val="center"/>
          </w:tcPr>
          <w:p>
            <w:pPr>
              <w:pStyle w:val="58"/>
              <w:ind w:firstLine="315"/>
              <w:rPr>
                <w:color w:val="auto"/>
                <w:sz w:val="21"/>
              </w:rPr>
            </w:pPr>
            <w:r>
              <w:rPr>
                <w:rFonts w:hint="eastAsia"/>
                <w:color w:val="auto"/>
                <w:sz w:val="21"/>
              </w:rPr>
              <w:t>中级职称人员</w:t>
            </w:r>
          </w:p>
        </w:tc>
        <w:tc>
          <w:tcPr>
            <w:tcW w:w="2162" w:type="dxa"/>
            <w:gridSpan w:val="2"/>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58"/>
              <w:ind w:firstLineChars="0"/>
              <w:jc w:val="center"/>
              <w:rPr>
                <w:color w:val="auto"/>
                <w:sz w:val="21"/>
              </w:rPr>
            </w:pPr>
            <w:r>
              <w:rPr>
                <w:rFonts w:hint="eastAsia"/>
                <w:color w:val="auto"/>
                <w:sz w:val="21"/>
              </w:rPr>
              <w:t>基本账户开户</w:t>
            </w:r>
          </w:p>
          <w:p>
            <w:pPr>
              <w:pStyle w:val="58"/>
              <w:ind w:firstLineChars="0"/>
              <w:jc w:val="center"/>
              <w:rPr>
                <w:color w:val="auto"/>
                <w:sz w:val="21"/>
              </w:rPr>
            </w:pPr>
            <w:r>
              <w:rPr>
                <w:rFonts w:hint="eastAsia"/>
                <w:color w:val="auto"/>
                <w:sz w:val="21"/>
              </w:rPr>
              <w:t>银行</w:t>
            </w:r>
          </w:p>
        </w:tc>
        <w:tc>
          <w:tcPr>
            <w:tcW w:w="1914" w:type="dxa"/>
            <w:gridSpan w:val="2"/>
            <w:vAlign w:val="center"/>
          </w:tcPr>
          <w:p>
            <w:pPr>
              <w:pStyle w:val="58"/>
              <w:ind w:firstLine="315"/>
              <w:rPr>
                <w:color w:val="auto"/>
                <w:sz w:val="21"/>
              </w:rPr>
            </w:pPr>
          </w:p>
        </w:tc>
        <w:tc>
          <w:tcPr>
            <w:tcW w:w="1469" w:type="dxa"/>
            <w:vMerge w:val="continue"/>
            <w:vAlign w:val="center"/>
          </w:tcPr>
          <w:p>
            <w:pPr>
              <w:pStyle w:val="58"/>
              <w:ind w:firstLine="315"/>
              <w:rPr>
                <w:color w:val="auto"/>
                <w:sz w:val="21"/>
              </w:rPr>
            </w:pPr>
          </w:p>
        </w:tc>
        <w:tc>
          <w:tcPr>
            <w:tcW w:w="2198" w:type="dxa"/>
            <w:gridSpan w:val="3"/>
            <w:vAlign w:val="center"/>
          </w:tcPr>
          <w:p>
            <w:pPr>
              <w:pStyle w:val="58"/>
              <w:ind w:firstLine="315"/>
              <w:rPr>
                <w:color w:val="auto"/>
                <w:sz w:val="21"/>
              </w:rPr>
            </w:pPr>
            <w:r>
              <w:rPr>
                <w:rFonts w:hint="eastAsia"/>
                <w:color w:val="auto"/>
                <w:sz w:val="21"/>
              </w:rPr>
              <w:t>初级职称人员</w:t>
            </w:r>
          </w:p>
        </w:tc>
        <w:tc>
          <w:tcPr>
            <w:tcW w:w="2162" w:type="dxa"/>
            <w:gridSpan w:val="2"/>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662" w:hRule="exact"/>
          <w:jc w:val="center"/>
        </w:trPr>
        <w:tc>
          <w:tcPr>
            <w:tcW w:w="1802" w:type="dxa"/>
            <w:vAlign w:val="center"/>
          </w:tcPr>
          <w:p>
            <w:pPr>
              <w:pStyle w:val="58"/>
              <w:ind w:firstLine="210" w:firstLineChars="100"/>
              <w:rPr>
                <w:color w:val="auto"/>
                <w:sz w:val="21"/>
              </w:rPr>
            </w:pPr>
            <w:r>
              <w:rPr>
                <w:rFonts w:hint="eastAsia"/>
                <w:color w:val="auto"/>
                <w:sz w:val="21"/>
              </w:rPr>
              <w:t>基本账户账号</w:t>
            </w:r>
          </w:p>
        </w:tc>
        <w:tc>
          <w:tcPr>
            <w:tcW w:w="1914" w:type="dxa"/>
            <w:gridSpan w:val="2"/>
            <w:vAlign w:val="center"/>
          </w:tcPr>
          <w:p>
            <w:pPr>
              <w:pStyle w:val="58"/>
              <w:ind w:firstLine="315"/>
              <w:rPr>
                <w:color w:val="auto"/>
                <w:sz w:val="21"/>
              </w:rPr>
            </w:pPr>
          </w:p>
        </w:tc>
        <w:tc>
          <w:tcPr>
            <w:tcW w:w="1469" w:type="dxa"/>
            <w:vMerge w:val="continue"/>
            <w:vAlign w:val="center"/>
          </w:tcPr>
          <w:p>
            <w:pPr>
              <w:pStyle w:val="58"/>
              <w:ind w:firstLine="315"/>
              <w:rPr>
                <w:color w:val="auto"/>
                <w:sz w:val="21"/>
              </w:rPr>
            </w:pPr>
          </w:p>
        </w:tc>
        <w:tc>
          <w:tcPr>
            <w:tcW w:w="2198" w:type="dxa"/>
            <w:gridSpan w:val="3"/>
            <w:vAlign w:val="center"/>
          </w:tcPr>
          <w:p>
            <w:pPr>
              <w:pStyle w:val="58"/>
              <w:ind w:firstLine="315"/>
              <w:rPr>
                <w:color w:val="auto"/>
                <w:sz w:val="21"/>
              </w:rPr>
            </w:pPr>
            <w:r>
              <w:rPr>
                <w:rFonts w:hint="eastAsia"/>
                <w:color w:val="auto"/>
                <w:sz w:val="21"/>
              </w:rPr>
              <w:t>其他</w:t>
            </w:r>
          </w:p>
        </w:tc>
        <w:tc>
          <w:tcPr>
            <w:tcW w:w="2162" w:type="dxa"/>
            <w:gridSpan w:val="2"/>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pPr>
              <w:pStyle w:val="58"/>
              <w:ind w:firstLine="315"/>
              <w:rPr>
                <w:color w:val="auto"/>
                <w:sz w:val="21"/>
              </w:rPr>
            </w:pPr>
            <w:r>
              <w:rPr>
                <w:rFonts w:hint="eastAsia"/>
                <w:color w:val="auto"/>
                <w:sz w:val="21"/>
              </w:rPr>
              <w:t>经营范围</w:t>
            </w:r>
          </w:p>
        </w:tc>
        <w:tc>
          <w:tcPr>
            <w:tcW w:w="7743" w:type="dxa"/>
            <w:gridSpan w:val="8"/>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pPr>
              <w:pStyle w:val="58"/>
              <w:ind w:firstLineChars="0"/>
              <w:jc w:val="center"/>
              <w:rPr>
                <w:color w:val="auto"/>
                <w:sz w:val="21"/>
              </w:rPr>
            </w:pPr>
            <w:r>
              <w:rPr>
                <w:rFonts w:hint="eastAsia"/>
                <w:color w:val="auto"/>
                <w:sz w:val="21"/>
              </w:rPr>
              <w:t>资产构成情况及投标人投资参股的关联企业情况</w:t>
            </w:r>
          </w:p>
        </w:tc>
        <w:tc>
          <w:tcPr>
            <w:tcW w:w="7743" w:type="dxa"/>
            <w:gridSpan w:val="8"/>
            <w:vAlign w:val="center"/>
          </w:tcPr>
          <w:p>
            <w:pPr>
              <w:pStyle w:val="58"/>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61" w:hRule="exact"/>
          <w:jc w:val="center"/>
        </w:trPr>
        <w:tc>
          <w:tcPr>
            <w:tcW w:w="1802" w:type="dxa"/>
            <w:tcBorders>
              <w:bottom w:val="single" w:color="000000" w:sz="12" w:space="0"/>
            </w:tcBorders>
            <w:vAlign w:val="center"/>
          </w:tcPr>
          <w:p>
            <w:pPr>
              <w:pStyle w:val="58"/>
              <w:ind w:firstLine="315"/>
              <w:jc w:val="center"/>
              <w:rPr>
                <w:color w:val="auto"/>
                <w:sz w:val="21"/>
              </w:rPr>
            </w:pPr>
            <w:r>
              <w:rPr>
                <w:rFonts w:hint="eastAsia"/>
                <w:color w:val="auto"/>
                <w:sz w:val="21"/>
              </w:rPr>
              <w:t>备</w:t>
            </w:r>
            <w:r>
              <w:rPr>
                <w:color w:val="auto"/>
                <w:sz w:val="21"/>
              </w:rPr>
              <w:t xml:space="preserve">    </w:t>
            </w:r>
            <w:r>
              <w:rPr>
                <w:rFonts w:hint="eastAsia"/>
                <w:color w:val="auto"/>
                <w:sz w:val="21"/>
              </w:rPr>
              <w:t>注</w:t>
            </w:r>
          </w:p>
        </w:tc>
        <w:tc>
          <w:tcPr>
            <w:tcW w:w="7743" w:type="dxa"/>
            <w:gridSpan w:val="8"/>
            <w:tcBorders>
              <w:bottom w:val="single" w:color="000000" w:sz="12" w:space="0"/>
            </w:tcBorders>
            <w:vAlign w:val="center"/>
          </w:tcPr>
          <w:p>
            <w:pPr>
              <w:pStyle w:val="58"/>
              <w:ind w:firstLine="315"/>
              <w:rPr>
                <w:color w:val="auto"/>
                <w:sz w:val="21"/>
              </w:rPr>
            </w:pPr>
          </w:p>
        </w:tc>
      </w:tr>
    </w:tbl>
    <w:p>
      <w:pPr>
        <w:widowControl/>
        <w:jc w:val="left"/>
        <w:rPr>
          <w:rFonts w:ascii="宋体" w:hAnsi="宋体" w:cs="宋体"/>
          <w:kern w:val="0"/>
          <w:sz w:val="24"/>
        </w:rPr>
        <w:sectPr>
          <w:footerReference r:id="rId9" w:type="default"/>
          <w:pgSz w:w="11907" w:h="16840"/>
          <w:pgMar w:top="1440" w:right="1531" w:bottom="1440" w:left="1928" w:header="851" w:footer="1304" w:gutter="0"/>
          <w:pgNumType w:fmt="numberInDash"/>
          <w:cols w:space="720" w:num="1"/>
          <w:docGrid w:type="linesAndChars" w:linePitch="312" w:charSpace="0"/>
        </w:sectPr>
      </w:pPr>
      <w:r>
        <w:rPr>
          <w:rFonts w:hint="eastAsia" w:ascii="宋体" w:hAnsi="宋体" w:cs="宋体"/>
          <w:kern w:val="0"/>
          <w:sz w:val="24"/>
        </w:rPr>
        <w:t>1、本表后应附《浙江省病媒生物预防控制服务单位备案确认书》复印件。</w:t>
      </w:r>
    </w:p>
    <w:p>
      <w:pPr>
        <w:widowControl/>
        <w:jc w:val="left"/>
        <w:rPr>
          <w:rFonts w:ascii="宋体"/>
          <w:b/>
          <w:bCs/>
          <w:sz w:val="28"/>
          <w:szCs w:val="28"/>
        </w:rPr>
      </w:pPr>
      <w:r>
        <w:rPr>
          <w:rFonts w:hint="eastAsia" w:ascii="宋体" w:hAnsi="宋体" w:cs="宋体"/>
          <w:b/>
          <w:bCs/>
          <w:sz w:val="24"/>
          <w:szCs w:val="24"/>
        </w:rPr>
        <w:t>附件3：</w:t>
      </w:r>
    </w:p>
    <w:p>
      <w:pPr>
        <w:pStyle w:val="46"/>
        <w:spacing w:line="360" w:lineRule="auto"/>
        <w:jc w:val="center"/>
        <w:rPr>
          <w:rFonts w:ascii="宋体"/>
          <w:b/>
          <w:bCs/>
          <w:spacing w:val="21"/>
          <w:kern w:val="0"/>
          <w:sz w:val="32"/>
          <w:szCs w:val="32"/>
        </w:rPr>
      </w:pPr>
      <w:r>
        <w:rPr>
          <w:rFonts w:hint="eastAsia" w:ascii="宋体" w:hAnsi="宋体" w:cs="宋体"/>
          <w:b/>
          <w:bCs/>
          <w:spacing w:val="21"/>
          <w:kern w:val="0"/>
          <w:sz w:val="32"/>
          <w:szCs w:val="32"/>
        </w:rPr>
        <w:t>证书一览表</w:t>
      </w:r>
    </w:p>
    <w:tbl>
      <w:tblPr>
        <w:tblStyle w:val="19"/>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pPr>
              <w:pStyle w:val="46"/>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tcPr>
          <w:p>
            <w:pPr>
              <w:pStyle w:val="46"/>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tcPr>
          <w:p>
            <w:pPr>
              <w:pStyle w:val="46"/>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tcPr>
          <w:p>
            <w:pPr>
              <w:pStyle w:val="46"/>
              <w:spacing w:line="360" w:lineRule="auto"/>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46"/>
              <w:spacing w:line="360" w:lineRule="auto"/>
              <w:jc w:val="center"/>
              <w:rPr>
                <w:rFonts w:ascii="宋体"/>
              </w:rPr>
            </w:pPr>
          </w:p>
        </w:tc>
        <w:tc>
          <w:tcPr>
            <w:tcW w:w="2388" w:type="dxa"/>
          </w:tcPr>
          <w:p>
            <w:pPr>
              <w:pStyle w:val="46"/>
              <w:spacing w:line="360" w:lineRule="auto"/>
              <w:jc w:val="center"/>
              <w:rPr>
                <w:rFonts w:ascii="宋体"/>
              </w:rPr>
            </w:pPr>
          </w:p>
        </w:tc>
        <w:tc>
          <w:tcPr>
            <w:tcW w:w="2390" w:type="dxa"/>
          </w:tcPr>
          <w:p>
            <w:pPr>
              <w:pStyle w:val="46"/>
              <w:spacing w:line="360" w:lineRule="auto"/>
              <w:jc w:val="center"/>
              <w:rPr>
                <w:rFonts w:ascii="宋体"/>
              </w:rPr>
            </w:pPr>
          </w:p>
        </w:tc>
        <w:tc>
          <w:tcPr>
            <w:tcW w:w="2165" w:type="dxa"/>
            <w:tcBorders>
              <w:right w:val="double" w:color="auto" w:sz="4" w:space="0"/>
            </w:tcBorders>
          </w:tcPr>
          <w:p>
            <w:pPr>
              <w:pStyle w:val="46"/>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pPr>
              <w:pStyle w:val="46"/>
              <w:spacing w:line="360" w:lineRule="auto"/>
              <w:jc w:val="center"/>
              <w:rPr>
                <w:rFonts w:ascii="宋体"/>
              </w:rPr>
            </w:pPr>
          </w:p>
        </w:tc>
        <w:tc>
          <w:tcPr>
            <w:tcW w:w="2388" w:type="dxa"/>
            <w:tcBorders>
              <w:bottom w:val="double" w:color="auto" w:sz="4" w:space="0"/>
            </w:tcBorders>
          </w:tcPr>
          <w:p>
            <w:pPr>
              <w:pStyle w:val="46"/>
              <w:spacing w:line="360" w:lineRule="auto"/>
              <w:jc w:val="center"/>
              <w:rPr>
                <w:rFonts w:ascii="宋体"/>
              </w:rPr>
            </w:pPr>
          </w:p>
        </w:tc>
        <w:tc>
          <w:tcPr>
            <w:tcW w:w="2390" w:type="dxa"/>
            <w:tcBorders>
              <w:bottom w:val="double" w:color="auto" w:sz="4" w:space="0"/>
            </w:tcBorders>
          </w:tcPr>
          <w:p>
            <w:pPr>
              <w:pStyle w:val="46"/>
              <w:spacing w:line="360" w:lineRule="auto"/>
              <w:jc w:val="center"/>
              <w:rPr>
                <w:rFonts w:ascii="宋体"/>
              </w:rPr>
            </w:pPr>
          </w:p>
        </w:tc>
        <w:tc>
          <w:tcPr>
            <w:tcW w:w="2165" w:type="dxa"/>
            <w:tcBorders>
              <w:bottom w:val="double" w:color="auto" w:sz="4" w:space="0"/>
              <w:right w:val="double" w:color="auto" w:sz="4" w:space="0"/>
            </w:tcBorders>
          </w:tcPr>
          <w:p>
            <w:pPr>
              <w:pStyle w:val="46"/>
              <w:spacing w:line="360" w:lineRule="auto"/>
              <w:jc w:val="center"/>
              <w:rPr>
                <w:rFonts w:ascii="宋体"/>
              </w:rPr>
            </w:pPr>
          </w:p>
        </w:tc>
      </w:tr>
    </w:tbl>
    <w:p>
      <w:pPr>
        <w:pStyle w:val="46"/>
        <w:tabs>
          <w:tab w:val="left" w:pos="1050"/>
        </w:tabs>
        <w:spacing w:line="360" w:lineRule="auto"/>
        <w:rPr>
          <w:rFonts w:ascii="仿宋_GB2312" w:hAnsi="宋体" w:eastAsia="仿宋_GB2312"/>
          <w:sz w:val="24"/>
          <w:szCs w:val="24"/>
        </w:rPr>
      </w:pPr>
    </w:p>
    <w:p>
      <w:pPr>
        <w:pStyle w:val="46"/>
        <w:tabs>
          <w:tab w:val="left" w:pos="1050"/>
        </w:tabs>
        <w:spacing w:line="360" w:lineRule="auto"/>
        <w:rPr>
          <w:rFonts w:ascii="宋体"/>
        </w:rPr>
      </w:pPr>
      <w:r>
        <w:rPr>
          <w:rFonts w:hint="eastAsia" w:ascii="宋体" w:hAnsi="宋体" w:cs="宋体"/>
          <w:b/>
          <w:bCs/>
        </w:rPr>
        <w:t>要求：</w:t>
      </w:r>
    </w:p>
    <w:p>
      <w:pPr>
        <w:pStyle w:val="46"/>
        <w:tabs>
          <w:tab w:val="left" w:pos="1050"/>
        </w:tabs>
        <w:spacing w:line="360" w:lineRule="auto"/>
        <w:ind w:firstLine="424" w:firstLineChars="202"/>
        <w:rPr>
          <w:rFonts w:ascii="宋体"/>
        </w:rPr>
      </w:pPr>
      <w:r>
        <w:rPr>
          <w:rFonts w:ascii="宋体" w:hAnsi="宋体" w:cs="宋体"/>
        </w:rPr>
        <w:t>1.</w:t>
      </w:r>
      <w:r>
        <w:rPr>
          <w:rFonts w:hint="eastAsia" w:ascii="宋体" w:hAnsi="宋体" w:cs="宋体"/>
        </w:rPr>
        <w:t>填写投标人获得资质、认证或企业信誉证书；</w:t>
      </w:r>
    </w:p>
    <w:p>
      <w:pPr>
        <w:pStyle w:val="46"/>
        <w:tabs>
          <w:tab w:val="left" w:pos="1050"/>
        </w:tabs>
        <w:spacing w:line="360" w:lineRule="auto"/>
        <w:ind w:firstLine="424" w:firstLineChars="202"/>
        <w:rPr>
          <w:rFonts w:ascii="宋体"/>
        </w:rPr>
      </w:pPr>
      <w:r>
        <w:rPr>
          <w:rFonts w:ascii="宋体" w:hAnsi="宋体" w:cs="宋体"/>
        </w:rPr>
        <w:t>2.</w:t>
      </w:r>
      <w:r>
        <w:rPr>
          <w:rFonts w:hint="eastAsia" w:ascii="宋体" w:hAnsi="宋体" w:cs="宋体"/>
        </w:rPr>
        <w:t>附所列证书复印件或其他证明材料。</w:t>
      </w:r>
    </w:p>
    <w:p>
      <w:pPr>
        <w:pStyle w:val="46"/>
        <w:tabs>
          <w:tab w:val="left" w:pos="1050"/>
        </w:tabs>
        <w:spacing w:line="360" w:lineRule="auto"/>
        <w:ind w:firstLine="720" w:firstLineChars="300"/>
        <w:rPr>
          <w:rFonts w:ascii="仿宋_GB2312" w:hAnsi="宋体" w:eastAsia="仿宋_GB2312"/>
          <w:sz w:val="24"/>
          <w:szCs w:val="24"/>
        </w:rPr>
      </w:pPr>
    </w:p>
    <w:p>
      <w:pPr>
        <w:pStyle w:val="46"/>
        <w:tabs>
          <w:tab w:val="left" w:pos="1050"/>
        </w:tabs>
        <w:spacing w:line="360" w:lineRule="auto"/>
        <w:ind w:firstLine="720" w:firstLineChars="300"/>
        <w:rPr>
          <w:rFonts w:ascii="仿宋_GB2312" w:hAnsi="宋体" w:eastAsia="仿宋_GB2312"/>
          <w:sz w:val="24"/>
          <w:szCs w:val="24"/>
        </w:rPr>
      </w:pPr>
    </w:p>
    <w:p>
      <w:pPr>
        <w:pStyle w:val="46"/>
        <w:tabs>
          <w:tab w:val="left" w:pos="1050"/>
        </w:tabs>
        <w:spacing w:line="360" w:lineRule="auto"/>
        <w:ind w:firstLine="720" w:firstLineChars="300"/>
        <w:rPr>
          <w:rFonts w:ascii="仿宋_GB2312" w:hAnsi="宋体" w:eastAsia="仿宋_GB2312"/>
          <w:sz w:val="24"/>
          <w:szCs w:val="24"/>
        </w:rPr>
      </w:pPr>
    </w:p>
    <w:p>
      <w:pPr>
        <w:spacing w:line="360" w:lineRule="auto"/>
        <w:ind w:firstLine="424" w:firstLineChars="177"/>
        <w:rPr>
          <w:rFonts w:ascii="宋体"/>
          <w:sz w:val="24"/>
          <w:szCs w:val="24"/>
          <w:u w:val="single"/>
        </w:rPr>
      </w:pPr>
      <w:r>
        <w:rPr>
          <w:rFonts w:hint="eastAsia" w:ascii="宋体" w:hAnsi="宋体" w:cs="宋体"/>
          <w:sz w:val="24"/>
          <w:szCs w:val="24"/>
        </w:rPr>
        <w:t>投标人名称（盖章）：</w:t>
      </w:r>
    </w:p>
    <w:p>
      <w:pPr>
        <w:spacing w:line="360" w:lineRule="auto"/>
        <w:ind w:left="420"/>
        <w:rPr>
          <w:rFonts w:ascii="宋体"/>
          <w:sz w:val="24"/>
          <w:szCs w:val="24"/>
        </w:rPr>
      </w:pP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rPr>
          <w:rFonts w:ascii="宋体"/>
          <w:sz w:val="24"/>
          <w:szCs w:val="24"/>
        </w:rPr>
      </w:pPr>
    </w:p>
    <w:p>
      <w:pPr>
        <w:pStyle w:val="42"/>
        <w:shd w:val="clear" w:color="auto" w:fill="FFFFFF"/>
        <w:spacing w:before="0" w:beforeAutospacing="0" w:after="0" w:afterAutospacing="0" w:line="360" w:lineRule="auto"/>
        <w:ind w:firstLine="424" w:firstLineChars="177"/>
        <w:rPr>
          <w:rFonts w:cs="Times New Roman"/>
          <w:b/>
          <w:bCs/>
          <w:spacing w:val="11"/>
        </w:rPr>
      </w:pPr>
      <w:r>
        <w:rPr>
          <w:rFonts w:hint="eastAsia"/>
        </w:rPr>
        <w:t>日</w:t>
      </w:r>
      <w:r>
        <w:t xml:space="preserve">        </w:t>
      </w:r>
      <w:r>
        <w:rPr>
          <w:rFonts w:hint="eastAsia"/>
        </w:rPr>
        <w:t>期</w:t>
      </w:r>
      <w:r>
        <w:rPr>
          <w:rFonts w:hint="eastAsia"/>
          <w:lang w:eastAsia="zh-CN"/>
        </w:rPr>
        <w:t>：</w:t>
      </w:r>
    </w:p>
    <w:p>
      <w:pPr>
        <w:widowControl/>
        <w:jc w:val="left"/>
        <w:rPr>
          <w:rFonts w:ascii="宋体"/>
          <w:b/>
          <w:bCs/>
          <w:sz w:val="28"/>
          <w:szCs w:val="28"/>
        </w:rPr>
        <w:sectPr>
          <w:pgSz w:w="11907" w:h="16840"/>
          <w:pgMar w:top="1440" w:right="1531" w:bottom="1440" w:left="1928" w:header="851" w:footer="1304" w:gutter="0"/>
          <w:pgNumType w:fmt="numberInDash"/>
          <w:cols w:space="720" w:num="1"/>
          <w:docGrid w:type="linesAndChars" w:linePitch="312" w:charSpace="0"/>
        </w:sectPr>
      </w:pPr>
    </w:p>
    <w:p>
      <w:pPr>
        <w:widowControl/>
        <w:jc w:val="left"/>
        <w:rPr>
          <w:rFonts w:ascii="宋体"/>
          <w:sz w:val="24"/>
          <w:szCs w:val="24"/>
        </w:rPr>
      </w:pPr>
      <w:r>
        <w:rPr>
          <w:rFonts w:hint="eastAsia" w:ascii="宋体" w:hAnsi="宋体" w:cs="宋体"/>
          <w:b/>
          <w:bCs/>
          <w:sz w:val="24"/>
          <w:szCs w:val="24"/>
        </w:rPr>
        <w:t>附件4:</w:t>
      </w:r>
    </w:p>
    <w:p>
      <w:pPr>
        <w:snapToGrid w:val="0"/>
        <w:spacing w:beforeLines="50" w:after="50" w:line="360" w:lineRule="auto"/>
        <w:jc w:val="center"/>
        <w:rPr>
          <w:rFonts w:ascii="宋体"/>
          <w:b/>
          <w:bCs/>
          <w:spacing w:val="21"/>
          <w:kern w:val="0"/>
          <w:sz w:val="32"/>
          <w:szCs w:val="32"/>
        </w:rPr>
      </w:pPr>
      <w:r>
        <w:rPr>
          <w:rFonts w:hint="eastAsia" w:ascii="宋体" w:hAnsi="宋体" w:cs="宋体"/>
          <w:b/>
          <w:bCs/>
          <w:spacing w:val="21"/>
          <w:kern w:val="0"/>
          <w:sz w:val="32"/>
          <w:szCs w:val="32"/>
        </w:rPr>
        <w:t>拟投入主要人员配备表</w:t>
      </w:r>
    </w:p>
    <w:p>
      <w:pPr>
        <w:snapToGrid w:val="0"/>
        <w:spacing w:beforeLines="50" w:after="50" w:line="360" w:lineRule="auto"/>
        <w:ind w:firstLine="2400" w:firstLineChars="1000"/>
        <w:rPr>
          <w:rFonts w:ascii="宋体"/>
          <w:sz w:val="24"/>
          <w:szCs w:val="24"/>
        </w:rPr>
      </w:pPr>
      <w:r>
        <w:rPr>
          <w:rFonts w:hint="eastAsia" w:ascii="宋体" w:hAnsi="宋体" w:cs="宋体"/>
          <w:sz w:val="24"/>
          <w:szCs w:val="24"/>
        </w:rPr>
        <w:t>（主要从业人员及其技术资格）</w:t>
      </w:r>
    </w:p>
    <w:tbl>
      <w:tblPr>
        <w:tblStyle w:val="19"/>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8"/>
        <w:gridCol w:w="1419"/>
        <w:gridCol w:w="1418"/>
        <w:gridCol w:w="1419"/>
        <w:gridCol w:w="141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9" w:type="dxa"/>
            <w:vAlign w:val="center"/>
          </w:tcPr>
          <w:p>
            <w:pPr>
              <w:pStyle w:val="56"/>
              <w:rPr>
                <w:rFonts w:hAnsi="宋体"/>
                <w:sz w:val="24"/>
                <w:szCs w:val="16"/>
              </w:rPr>
            </w:pPr>
            <w:r>
              <w:rPr>
                <w:rFonts w:hint="eastAsia" w:hAnsi="宋体"/>
                <w:sz w:val="24"/>
                <w:szCs w:val="16"/>
              </w:rPr>
              <w:t>岗位名称</w:t>
            </w:r>
          </w:p>
        </w:tc>
        <w:tc>
          <w:tcPr>
            <w:tcW w:w="1418" w:type="dxa"/>
            <w:vAlign w:val="center"/>
          </w:tcPr>
          <w:p>
            <w:pPr>
              <w:pStyle w:val="56"/>
              <w:rPr>
                <w:rFonts w:hAnsi="宋体"/>
                <w:sz w:val="24"/>
                <w:szCs w:val="16"/>
              </w:rPr>
            </w:pPr>
            <w:r>
              <w:rPr>
                <w:rFonts w:hint="eastAsia" w:hAnsi="宋体"/>
                <w:sz w:val="24"/>
                <w:szCs w:val="16"/>
              </w:rPr>
              <w:t>姓名</w:t>
            </w:r>
          </w:p>
        </w:tc>
        <w:tc>
          <w:tcPr>
            <w:tcW w:w="1419" w:type="dxa"/>
            <w:vAlign w:val="center"/>
          </w:tcPr>
          <w:p>
            <w:pPr>
              <w:pStyle w:val="56"/>
              <w:rPr>
                <w:rFonts w:hAnsi="宋体"/>
                <w:sz w:val="24"/>
                <w:szCs w:val="16"/>
              </w:rPr>
            </w:pPr>
            <w:r>
              <w:rPr>
                <w:rFonts w:hint="eastAsia" w:hAnsi="宋体"/>
                <w:sz w:val="24"/>
                <w:szCs w:val="16"/>
              </w:rPr>
              <w:t>职位</w:t>
            </w:r>
          </w:p>
        </w:tc>
        <w:tc>
          <w:tcPr>
            <w:tcW w:w="1418" w:type="dxa"/>
            <w:vAlign w:val="center"/>
          </w:tcPr>
          <w:p>
            <w:pPr>
              <w:pStyle w:val="56"/>
              <w:rPr>
                <w:rFonts w:hAnsi="宋体"/>
                <w:sz w:val="24"/>
                <w:szCs w:val="16"/>
              </w:rPr>
            </w:pPr>
            <w:r>
              <w:rPr>
                <w:rFonts w:hint="eastAsia" w:hAnsi="宋体"/>
                <w:sz w:val="24"/>
                <w:szCs w:val="16"/>
              </w:rPr>
              <w:t>学历</w:t>
            </w:r>
          </w:p>
        </w:tc>
        <w:tc>
          <w:tcPr>
            <w:tcW w:w="1419" w:type="dxa"/>
            <w:vAlign w:val="center"/>
          </w:tcPr>
          <w:p>
            <w:pPr>
              <w:pStyle w:val="56"/>
              <w:rPr>
                <w:rFonts w:hAnsi="宋体"/>
                <w:sz w:val="24"/>
                <w:szCs w:val="16"/>
              </w:rPr>
            </w:pPr>
            <w:r>
              <w:rPr>
                <w:rFonts w:hint="eastAsia" w:hAnsi="宋体"/>
                <w:sz w:val="24"/>
                <w:szCs w:val="16"/>
              </w:rPr>
              <w:t>持何种资格证书</w:t>
            </w:r>
          </w:p>
        </w:tc>
        <w:tc>
          <w:tcPr>
            <w:tcW w:w="1419" w:type="dxa"/>
            <w:vAlign w:val="center"/>
          </w:tcPr>
          <w:p>
            <w:pPr>
              <w:pStyle w:val="56"/>
              <w:rPr>
                <w:rFonts w:hAnsi="宋体"/>
                <w:sz w:val="24"/>
                <w:szCs w:val="16"/>
              </w:rPr>
            </w:pPr>
            <w:r>
              <w:rPr>
                <w:rFonts w:hint="eastAsia" w:hAnsi="宋体"/>
                <w:sz w:val="24"/>
                <w:szCs w:val="16"/>
              </w:rPr>
              <w:t>证书编号</w:t>
            </w:r>
          </w:p>
        </w:tc>
        <w:tc>
          <w:tcPr>
            <w:tcW w:w="1188" w:type="dxa"/>
            <w:vAlign w:val="center"/>
          </w:tcPr>
          <w:p>
            <w:pPr>
              <w:pStyle w:val="56"/>
              <w:rPr>
                <w:rFonts w:hAnsi="宋体"/>
                <w:sz w:val="24"/>
                <w:szCs w:val="16"/>
              </w:rPr>
            </w:pPr>
            <w:r>
              <w:rPr>
                <w:rFonts w:hint="eastAsia" w:hAnsi="宋体"/>
                <w:sz w:val="24"/>
                <w:szCs w:val="16"/>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19" w:type="dxa"/>
            <w:vAlign w:val="center"/>
          </w:tcPr>
          <w:p>
            <w:pPr>
              <w:pStyle w:val="56"/>
              <w:rPr>
                <w:rFonts w:hAnsi="宋体"/>
                <w:sz w:val="24"/>
                <w:szCs w:val="16"/>
              </w:rPr>
            </w:pPr>
            <w:r>
              <w:rPr>
                <w:rFonts w:hint="eastAsia" w:hAnsi="宋体"/>
                <w:sz w:val="24"/>
                <w:szCs w:val="16"/>
              </w:rPr>
              <w:t>项目负责人</w:t>
            </w: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pStyle w:val="56"/>
              <w:rPr>
                <w:rFonts w:hAnsi="宋体"/>
                <w:sz w:val="24"/>
                <w:szCs w:val="16"/>
              </w:rPr>
            </w:pPr>
            <w:r>
              <w:rPr>
                <w:rFonts w:hint="eastAsia" w:hAnsi="宋体"/>
                <w:sz w:val="24"/>
                <w:szCs w:val="16"/>
              </w:rPr>
              <w:t>其他人员</w:t>
            </w: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pStyle w:val="56"/>
              <w:rPr>
                <w:rFonts w:hAnsi="宋体"/>
                <w:sz w:val="24"/>
                <w:szCs w:val="16"/>
              </w:rPr>
            </w:pPr>
            <w:r>
              <w:rPr>
                <w:rFonts w:hint="eastAsia" w:hAnsi="宋体"/>
                <w:sz w:val="24"/>
                <w:szCs w:val="16"/>
              </w:rPr>
              <w:t>……</w:t>
            </w: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pStyle w:val="56"/>
              <w:rPr>
                <w:rFonts w:hAnsi="宋体"/>
                <w:sz w:val="24"/>
                <w:szCs w:val="16"/>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pStyle w:val="56"/>
              <w:rPr>
                <w:rFonts w:hAnsi="宋体"/>
                <w:sz w:val="24"/>
                <w:szCs w:val="16"/>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8"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419" w:type="dxa"/>
            <w:vAlign w:val="center"/>
          </w:tcPr>
          <w:p>
            <w:pPr>
              <w:spacing w:line="600" w:lineRule="exact"/>
              <w:jc w:val="center"/>
              <w:rPr>
                <w:rFonts w:ascii="仿宋_GB2312" w:eastAsia="仿宋_GB2312"/>
                <w:sz w:val="20"/>
                <w:szCs w:val="15"/>
              </w:rPr>
            </w:pPr>
          </w:p>
        </w:tc>
        <w:tc>
          <w:tcPr>
            <w:tcW w:w="1188" w:type="dxa"/>
            <w:vAlign w:val="center"/>
          </w:tcPr>
          <w:p>
            <w:pPr>
              <w:spacing w:line="600" w:lineRule="exact"/>
              <w:jc w:val="center"/>
              <w:rPr>
                <w:rFonts w:ascii="仿宋_GB2312" w:eastAsia="仿宋_GB2312"/>
                <w:sz w:val="20"/>
                <w:szCs w:val="15"/>
              </w:rPr>
            </w:pPr>
          </w:p>
        </w:tc>
      </w:tr>
    </w:tbl>
    <w:p>
      <w:pPr>
        <w:spacing w:line="360" w:lineRule="auto"/>
        <w:rPr>
          <w:rFonts w:ascii="宋体"/>
          <w:b/>
          <w:bCs/>
        </w:rPr>
      </w:pPr>
      <w:r>
        <w:rPr>
          <w:rFonts w:hint="eastAsia" w:ascii="宋体" w:hAnsi="宋体" w:cs="宋体"/>
          <w:b/>
          <w:bCs/>
        </w:rPr>
        <w:t>要求：</w:t>
      </w:r>
    </w:p>
    <w:p>
      <w:pPr>
        <w:pStyle w:val="43"/>
        <w:spacing w:line="360" w:lineRule="auto"/>
        <w:ind w:left="424" w:hanging="424" w:hangingChars="202"/>
        <w:rPr>
          <w:rFonts w:ascii="宋体" w:hAnsi="宋体" w:cs="宋体"/>
        </w:rPr>
      </w:pPr>
      <w:r>
        <w:rPr>
          <w:rFonts w:hint="eastAsia" w:ascii="宋体" w:hAnsi="宋体" w:cs="宋体"/>
        </w:rPr>
        <w:t>注：1、此表仅提供了表格形式，投标人应根据需要准备足够数量的表格来填写；</w:t>
      </w:r>
    </w:p>
    <w:p>
      <w:pPr>
        <w:pStyle w:val="43"/>
        <w:spacing w:line="360" w:lineRule="auto"/>
        <w:ind w:left="424" w:hanging="424" w:hangingChars="202"/>
        <w:rPr>
          <w:rFonts w:ascii="宋体" w:hAnsi="宋体" w:cs="宋体"/>
        </w:rPr>
      </w:pPr>
      <w:r>
        <w:rPr>
          <w:rFonts w:hint="eastAsia" w:ascii="宋体" w:hAnsi="宋体" w:cs="宋体"/>
        </w:rPr>
        <w:t xml:space="preserve">   2、请附相关证书复印件以及打印日期在本项目投标截止日之前6个月以内的</w:t>
      </w:r>
      <w:r>
        <w:rPr>
          <w:rFonts w:hint="eastAsia" w:ascii="宋体" w:hAnsi="宋体" w:cs="宋体"/>
          <w:lang w:val="zh-CN"/>
        </w:rPr>
        <w:t>社保缴费证明（社保证明以社保机构或政务网出具的为准）</w:t>
      </w:r>
      <w:r>
        <w:rPr>
          <w:rFonts w:hint="eastAsia" w:ascii="宋体" w:hAnsi="宋体" w:cs="宋体"/>
        </w:rPr>
        <w:t>。</w:t>
      </w:r>
    </w:p>
    <w:p>
      <w:pPr>
        <w:pStyle w:val="43"/>
        <w:spacing w:line="360" w:lineRule="auto"/>
        <w:ind w:left="485" w:hanging="484" w:hangingChars="202"/>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35"/>
        <w:rPr>
          <w:rFonts w:ascii="宋体"/>
          <w:b/>
          <w:bCs/>
          <w:sz w:val="28"/>
          <w:szCs w:val="28"/>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b/>
          <w:bCs/>
          <w:sz w:val="28"/>
          <w:szCs w:val="28"/>
        </w:rPr>
        <w:br w:type="page"/>
      </w:r>
    </w:p>
    <w:p>
      <w:pPr>
        <w:widowControl/>
        <w:jc w:val="left"/>
        <w:rPr>
          <w:rFonts w:ascii="宋体"/>
          <w:sz w:val="24"/>
          <w:szCs w:val="24"/>
        </w:rPr>
      </w:pPr>
      <w:r>
        <w:rPr>
          <w:rFonts w:hint="eastAsia" w:ascii="宋体" w:hAnsi="宋体" w:cs="宋体"/>
          <w:b/>
          <w:bCs/>
          <w:sz w:val="24"/>
          <w:szCs w:val="24"/>
        </w:rPr>
        <w:t>附件5:</w:t>
      </w:r>
    </w:p>
    <w:p>
      <w:pPr>
        <w:pStyle w:val="11"/>
        <w:spacing w:before="120" w:after="120" w:line="480" w:lineRule="auto"/>
        <w:jc w:val="center"/>
        <w:rPr>
          <w:rFonts w:hint="eastAsia" w:hAnsi="宋体" w:eastAsia="宋体"/>
          <w:b/>
          <w:sz w:val="32"/>
          <w:szCs w:val="32"/>
          <w:lang w:eastAsia="zh-CN"/>
        </w:rPr>
      </w:pPr>
      <w:r>
        <w:rPr>
          <w:rFonts w:hint="eastAsia" w:hAnsi="宋体"/>
          <w:b/>
          <w:sz w:val="32"/>
          <w:szCs w:val="32"/>
          <w:lang w:eastAsia="zh-CN"/>
        </w:rPr>
        <w:t>温岭市新河镇2022年度病媒生物防制专业化服务项目采购</w:t>
      </w:r>
    </w:p>
    <w:p>
      <w:pPr>
        <w:pStyle w:val="11"/>
        <w:spacing w:before="120" w:after="120" w:line="480" w:lineRule="auto"/>
        <w:jc w:val="center"/>
        <w:rPr>
          <w:rFonts w:hAnsi="宋体"/>
          <w:b/>
          <w:sz w:val="32"/>
          <w:szCs w:val="32"/>
        </w:rPr>
      </w:pPr>
      <w:r>
        <w:rPr>
          <w:rFonts w:hint="eastAsia" w:hAnsi="宋体"/>
          <w:b/>
          <w:sz w:val="32"/>
          <w:szCs w:val="32"/>
        </w:rPr>
        <w:t>类似业绩一览表</w:t>
      </w:r>
    </w:p>
    <w:p>
      <w:pPr>
        <w:pStyle w:val="11"/>
        <w:spacing w:before="120" w:after="120" w:line="480" w:lineRule="auto"/>
        <w:rPr>
          <w:rFonts w:hAnsi="宋体"/>
          <w:b/>
          <w:sz w:val="32"/>
          <w:szCs w:val="32"/>
        </w:rPr>
      </w:pPr>
      <w:r>
        <w:rPr>
          <w:rFonts w:hint="eastAsia" w:hAnsi="宋体"/>
          <w:color w:val="000000"/>
          <w:sz w:val="24"/>
        </w:rPr>
        <w:t>项目编号：</w:t>
      </w:r>
      <w:r>
        <w:rPr>
          <w:rFonts w:hAnsi="宋体"/>
          <w:sz w:val="24"/>
        </w:rPr>
        <w:t xml:space="preserve">                                          </w:t>
      </w:r>
    </w:p>
    <w:tbl>
      <w:tblPr>
        <w:tblStyle w:val="19"/>
        <w:tblW w:w="951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892"/>
        <w:gridCol w:w="1552"/>
        <w:gridCol w:w="1400"/>
        <w:gridCol w:w="1182"/>
        <w:gridCol w:w="1569"/>
        <w:gridCol w:w="1264"/>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7" w:type="dxa"/>
            <w:tcBorders>
              <w:top w:val="double" w:color="000000" w:sz="6" w:space="0"/>
            </w:tcBorders>
            <w:vAlign w:val="center"/>
          </w:tcPr>
          <w:p>
            <w:pPr>
              <w:spacing w:line="360" w:lineRule="auto"/>
              <w:jc w:val="center"/>
              <w:rPr>
                <w:rFonts w:ascii="宋体"/>
                <w:caps/>
                <w:spacing w:val="20"/>
              </w:rPr>
            </w:pPr>
            <w:r>
              <w:rPr>
                <w:rFonts w:hint="eastAsia" w:ascii="宋体" w:hAnsi="宋体"/>
                <w:caps/>
                <w:spacing w:val="20"/>
              </w:rPr>
              <w:t>序号</w:t>
            </w:r>
          </w:p>
        </w:tc>
        <w:tc>
          <w:tcPr>
            <w:tcW w:w="1892" w:type="dxa"/>
            <w:tcBorders>
              <w:top w:val="double" w:color="000000" w:sz="6" w:space="0"/>
            </w:tcBorders>
            <w:vAlign w:val="center"/>
          </w:tcPr>
          <w:p>
            <w:pPr>
              <w:spacing w:line="360" w:lineRule="auto"/>
              <w:jc w:val="center"/>
              <w:rPr>
                <w:rFonts w:ascii="宋体"/>
                <w:caps/>
                <w:spacing w:val="20"/>
              </w:rPr>
            </w:pPr>
            <w:r>
              <w:rPr>
                <w:rFonts w:hint="eastAsia" w:ascii="宋体" w:hAnsi="宋体"/>
                <w:caps/>
                <w:spacing w:val="20"/>
              </w:rPr>
              <w:t>项目名称</w:t>
            </w:r>
          </w:p>
        </w:tc>
        <w:tc>
          <w:tcPr>
            <w:tcW w:w="1552" w:type="dxa"/>
            <w:tcBorders>
              <w:top w:val="double" w:color="000000" w:sz="6" w:space="0"/>
            </w:tcBorders>
            <w:vAlign w:val="center"/>
          </w:tcPr>
          <w:p>
            <w:pPr>
              <w:spacing w:line="360" w:lineRule="auto"/>
              <w:jc w:val="center"/>
              <w:rPr>
                <w:rFonts w:ascii="宋体"/>
                <w:caps/>
                <w:spacing w:val="20"/>
              </w:rPr>
            </w:pPr>
            <w:r>
              <w:rPr>
                <w:rFonts w:hint="eastAsia" w:ascii="宋体" w:hAnsi="宋体"/>
                <w:caps/>
                <w:spacing w:val="20"/>
              </w:rPr>
              <w:t>业主名称</w:t>
            </w:r>
          </w:p>
        </w:tc>
        <w:tc>
          <w:tcPr>
            <w:tcW w:w="1400" w:type="dxa"/>
            <w:tcBorders>
              <w:top w:val="double" w:color="000000" w:sz="6" w:space="0"/>
            </w:tcBorders>
            <w:vAlign w:val="center"/>
          </w:tcPr>
          <w:p>
            <w:pPr>
              <w:spacing w:line="360" w:lineRule="auto"/>
              <w:jc w:val="center"/>
              <w:rPr>
                <w:rFonts w:ascii="宋体"/>
                <w:caps/>
                <w:spacing w:val="20"/>
              </w:rPr>
            </w:pPr>
            <w:r>
              <w:rPr>
                <w:rFonts w:hint="eastAsia" w:ascii="宋体" w:hAnsi="宋体"/>
                <w:caps/>
                <w:spacing w:val="20"/>
              </w:rPr>
              <w:t>合同金额</w:t>
            </w:r>
          </w:p>
        </w:tc>
        <w:tc>
          <w:tcPr>
            <w:tcW w:w="1182" w:type="dxa"/>
            <w:tcBorders>
              <w:top w:val="double" w:color="000000" w:sz="6" w:space="0"/>
            </w:tcBorders>
            <w:vAlign w:val="center"/>
          </w:tcPr>
          <w:p>
            <w:pPr>
              <w:spacing w:line="360" w:lineRule="auto"/>
              <w:jc w:val="center"/>
              <w:rPr>
                <w:rFonts w:ascii="宋体" w:hAnsi="宋体"/>
                <w:caps/>
                <w:spacing w:val="20"/>
              </w:rPr>
            </w:pPr>
            <w:r>
              <w:rPr>
                <w:rFonts w:hint="eastAsia" w:ascii="宋体" w:hAnsi="宋体"/>
                <w:caps/>
                <w:spacing w:val="20"/>
              </w:rPr>
              <w:t>签约</w:t>
            </w:r>
          </w:p>
          <w:p>
            <w:pPr>
              <w:spacing w:line="360" w:lineRule="auto"/>
              <w:jc w:val="center"/>
              <w:rPr>
                <w:rFonts w:ascii="宋体"/>
                <w:caps/>
                <w:spacing w:val="20"/>
              </w:rPr>
            </w:pPr>
            <w:r>
              <w:rPr>
                <w:rFonts w:hint="eastAsia" w:ascii="宋体" w:hAnsi="宋体"/>
                <w:caps/>
                <w:spacing w:val="20"/>
              </w:rPr>
              <w:t>日期</w:t>
            </w:r>
          </w:p>
        </w:tc>
        <w:tc>
          <w:tcPr>
            <w:tcW w:w="1569" w:type="dxa"/>
            <w:tcBorders>
              <w:top w:val="double" w:color="000000" w:sz="6" w:space="0"/>
            </w:tcBorders>
            <w:vAlign w:val="center"/>
          </w:tcPr>
          <w:p>
            <w:pPr>
              <w:jc w:val="center"/>
              <w:rPr>
                <w:rFonts w:ascii="宋体"/>
                <w:caps/>
                <w:spacing w:val="20"/>
              </w:rPr>
            </w:pPr>
            <w:r>
              <w:rPr>
                <w:rFonts w:hint="eastAsia" w:ascii="宋体" w:hAnsi="宋体"/>
                <w:caps/>
                <w:spacing w:val="20"/>
              </w:rPr>
              <w:t>业主单位联系人及电话</w:t>
            </w:r>
          </w:p>
        </w:tc>
        <w:tc>
          <w:tcPr>
            <w:tcW w:w="1264" w:type="dxa"/>
            <w:tcBorders>
              <w:top w:val="double" w:color="000000" w:sz="6" w:space="0"/>
            </w:tcBorders>
            <w:vAlign w:val="center"/>
          </w:tcPr>
          <w:p>
            <w:pPr>
              <w:jc w:val="center"/>
              <w:rPr>
                <w:rFonts w:ascii="宋体"/>
                <w:caps/>
                <w:spacing w:val="20"/>
              </w:rPr>
            </w:pPr>
            <w:r>
              <w:rPr>
                <w:rFonts w:hint="eastAsia" w:ascii="宋体" w:hAnsi="宋体"/>
                <w:caps/>
                <w:spacing w:val="20"/>
              </w:rPr>
              <w:t>是否提供满意度证明文件</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1</w:t>
            </w:r>
          </w:p>
        </w:tc>
        <w:tc>
          <w:tcPr>
            <w:tcW w:w="1892" w:type="dxa"/>
            <w:vAlign w:val="center"/>
          </w:tcPr>
          <w:p>
            <w:pPr>
              <w:spacing w:line="360" w:lineRule="auto"/>
              <w:rPr>
                <w:rFonts w:ascii="宋体"/>
                <w:spacing w:val="20"/>
                <w:sz w:val="24"/>
              </w:rPr>
            </w:pPr>
            <w:r>
              <w:rPr>
                <w:rFonts w:ascii="宋体"/>
              </w:rPr>
              <w:t> </w:t>
            </w:r>
          </w:p>
        </w:tc>
        <w:tc>
          <w:tcPr>
            <w:tcW w:w="1552" w:type="dxa"/>
            <w:vAlign w:val="center"/>
          </w:tcPr>
          <w:p>
            <w:pPr>
              <w:spacing w:line="360" w:lineRule="auto"/>
              <w:rPr>
                <w:rFonts w:ascii="宋体"/>
                <w:spacing w:val="20"/>
                <w:sz w:val="24"/>
              </w:rPr>
            </w:pPr>
            <w:r>
              <w:rPr>
                <w:rFonts w:ascii="宋体"/>
              </w:rPr>
              <w:t> </w:t>
            </w:r>
          </w:p>
        </w:tc>
        <w:tc>
          <w:tcPr>
            <w:tcW w:w="1400" w:type="dxa"/>
            <w:vAlign w:val="center"/>
          </w:tcPr>
          <w:p>
            <w:pPr>
              <w:spacing w:line="360" w:lineRule="auto"/>
              <w:rPr>
                <w:rFonts w:ascii="宋体"/>
                <w:spacing w:val="20"/>
                <w:sz w:val="24"/>
              </w:rPr>
            </w:pPr>
            <w:r>
              <w:rPr>
                <w:rFonts w:ascii="宋体"/>
              </w:rPr>
              <w:t> </w:t>
            </w:r>
          </w:p>
        </w:tc>
        <w:tc>
          <w:tcPr>
            <w:tcW w:w="1182" w:type="dxa"/>
            <w:vAlign w:val="center"/>
          </w:tcPr>
          <w:p>
            <w:pPr>
              <w:spacing w:line="360" w:lineRule="auto"/>
              <w:rPr>
                <w:rFonts w:ascii="宋体"/>
                <w:spacing w:val="20"/>
                <w:sz w:val="24"/>
              </w:rPr>
            </w:pPr>
            <w:r>
              <w:rPr>
                <w:rFonts w:ascii="宋体"/>
              </w:rPr>
              <w:t> </w:t>
            </w:r>
          </w:p>
        </w:tc>
        <w:tc>
          <w:tcPr>
            <w:tcW w:w="1569" w:type="dxa"/>
            <w:vAlign w:val="center"/>
          </w:tcPr>
          <w:p>
            <w:pPr>
              <w:spacing w:line="360" w:lineRule="auto"/>
              <w:rPr>
                <w:rFonts w:ascii="宋体"/>
                <w:spacing w:val="20"/>
                <w:sz w:val="24"/>
              </w:rPr>
            </w:pPr>
            <w:r>
              <w:rPr>
                <w:rFonts w:ascii="宋体"/>
              </w:rPr>
              <w:t> </w:t>
            </w: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2</w:t>
            </w:r>
          </w:p>
        </w:tc>
        <w:tc>
          <w:tcPr>
            <w:tcW w:w="1892" w:type="dxa"/>
            <w:vAlign w:val="center"/>
          </w:tcPr>
          <w:p>
            <w:pPr>
              <w:spacing w:line="360" w:lineRule="auto"/>
              <w:rPr>
                <w:rFonts w:ascii="宋体"/>
                <w:spacing w:val="20"/>
                <w:sz w:val="24"/>
              </w:rPr>
            </w:pPr>
          </w:p>
        </w:tc>
        <w:tc>
          <w:tcPr>
            <w:tcW w:w="1552" w:type="dxa"/>
            <w:vAlign w:val="center"/>
          </w:tcPr>
          <w:p>
            <w:pPr>
              <w:spacing w:line="360" w:lineRule="auto"/>
              <w:rPr>
                <w:rFonts w:ascii="宋体"/>
                <w:spacing w:val="20"/>
                <w:sz w:val="24"/>
              </w:rPr>
            </w:pPr>
            <w:r>
              <w:rPr>
                <w:rFonts w:ascii="宋体"/>
              </w:rPr>
              <w:t> </w:t>
            </w:r>
          </w:p>
        </w:tc>
        <w:tc>
          <w:tcPr>
            <w:tcW w:w="1400" w:type="dxa"/>
            <w:vAlign w:val="center"/>
          </w:tcPr>
          <w:p>
            <w:pPr>
              <w:spacing w:line="360" w:lineRule="auto"/>
              <w:rPr>
                <w:rFonts w:ascii="宋体"/>
                <w:spacing w:val="20"/>
                <w:sz w:val="24"/>
              </w:rPr>
            </w:pPr>
            <w:r>
              <w:rPr>
                <w:rFonts w:ascii="宋体"/>
              </w:rPr>
              <w:t> </w:t>
            </w:r>
          </w:p>
        </w:tc>
        <w:tc>
          <w:tcPr>
            <w:tcW w:w="1182" w:type="dxa"/>
            <w:vAlign w:val="center"/>
          </w:tcPr>
          <w:p>
            <w:pPr>
              <w:spacing w:line="360" w:lineRule="auto"/>
              <w:rPr>
                <w:rFonts w:ascii="宋体"/>
                <w:spacing w:val="20"/>
                <w:sz w:val="24"/>
              </w:rPr>
            </w:pPr>
            <w:r>
              <w:rPr>
                <w:rFonts w:ascii="宋体"/>
              </w:rPr>
              <w:t> </w:t>
            </w:r>
          </w:p>
        </w:tc>
        <w:tc>
          <w:tcPr>
            <w:tcW w:w="1569" w:type="dxa"/>
            <w:vAlign w:val="center"/>
          </w:tcPr>
          <w:p>
            <w:pPr>
              <w:spacing w:line="360" w:lineRule="auto"/>
              <w:rPr>
                <w:rFonts w:ascii="宋体"/>
                <w:spacing w:val="20"/>
                <w:sz w:val="24"/>
              </w:rPr>
            </w:pPr>
            <w:r>
              <w:rPr>
                <w:rFonts w:ascii="宋体"/>
              </w:rPr>
              <w:t> </w:t>
            </w: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3</w:t>
            </w:r>
          </w:p>
        </w:tc>
        <w:tc>
          <w:tcPr>
            <w:tcW w:w="1892" w:type="dxa"/>
            <w:vAlign w:val="center"/>
          </w:tcPr>
          <w:p>
            <w:pPr>
              <w:spacing w:line="360" w:lineRule="auto"/>
              <w:rPr>
                <w:rFonts w:ascii="宋体"/>
                <w:spacing w:val="20"/>
                <w:sz w:val="24"/>
              </w:rPr>
            </w:pPr>
            <w:r>
              <w:rPr>
                <w:rFonts w:ascii="宋体"/>
              </w:rPr>
              <w:t> </w:t>
            </w:r>
            <w:r>
              <w:rPr>
                <w:rFonts w:hint="eastAsia" w:ascii="宋体" w:hAnsi="宋体"/>
              </w:rPr>
              <w:t>……</w:t>
            </w:r>
          </w:p>
        </w:tc>
        <w:tc>
          <w:tcPr>
            <w:tcW w:w="1552" w:type="dxa"/>
            <w:vAlign w:val="center"/>
          </w:tcPr>
          <w:p>
            <w:pPr>
              <w:spacing w:line="360" w:lineRule="auto"/>
              <w:rPr>
                <w:rFonts w:ascii="宋体"/>
                <w:spacing w:val="20"/>
                <w:sz w:val="24"/>
              </w:rPr>
            </w:pPr>
            <w:r>
              <w:rPr>
                <w:rFonts w:ascii="宋体"/>
              </w:rPr>
              <w:t> </w:t>
            </w:r>
          </w:p>
        </w:tc>
        <w:tc>
          <w:tcPr>
            <w:tcW w:w="1400" w:type="dxa"/>
            <w:vAlign w:val="center"/>
          </w:tcPr>
          <w:p>
            <w:pPr>
              <w:spacing w:line="360" w:lineRule="auto"/>
              <w:rPr>
                <w:rFonts w:ascii="宋体"/>
                <w:spacing w:val="20"/>
                <w:sz w:val="24"/>
              </w:rPr>
            </w:pPr>
            <w:r>
              <w:rPr>
                <w:rFonts w:ascii="宋体"/>
              </w:rPr>
              <w:t> </w:t>
            </w:r>
          </w:p>
        </w:tc>
        <w:tc>
          <w:tcPr>
            <w:tcW w:w="1182" w:type="dxa"/>
            <w:vAlign w:val="center"/>
          </w:tcPr>
          <w:p>
            <w:pPr>
              <w:spacing w:line="360" w:lineRule="auto"/>
              <w:rPr>
                <w:rFonts w:ascii="宋体"/>
                <w:spacing w:val="20"/>
                <w:sz w:val="24"/>
              </w:rPr>
            </w:pPr>
            <w:r>
              <w:rPr>
                <w:rFonts w:ascii="宋体"/>
              </w:rPr>
              <w:t> </w:t>
            </w:r>
          </w:p>
        </w:tc>
        <w:tc>
          <w:tcPr>
            <w:tcW w:w="1569" w:type="dxa"/>
            <w:vAlign w:val="center"/>
          </w:tcPr>
          <w:p>
            <w:pPr>
              <w:spacing w:line="360" w:lineRule="auto"/>
              <w:rPr>
                <w:rFonts w:ascii="宋体"/>
                <w:spacing w:val="20"/>
                <w:sz w:val="24"/>
              </w:rPr>
            </w:pPr>
            <w:r>
              <w:rPr>
                <w:rFonts w:ascii="宋体"/>
              </w:rPr>
              <w:t> </w:t>
            </w: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4</w:t>
            </w:r>
          </w:p>
        </w:tc>
        <w:tc>
          <w:tcPr>
            <w:tcW w:w="1892" w:type="dxa"/>
            <w:vAlign w:val="center"/>
          </w:tcPr>
          <w:p>
            <w:pPr>
              <w:spacing w:line="360" w:lineRule="auto"/>
              <w:rPr>
                <w:rFonts w:ascii="宋体"/>
                <w:spacing w:val="20"/>
                <w:sz w:val="24"/>
              </w:rPr>
            </w:pPr>
            <w:r>
              <w:rPr>
                <w:rFonts w:ascii="宋体"/>
              </w:rPr>
              <w:t> </w:t>
            </w:r>
          </w:p>
        </w:tc>
        <w:tc>
          <w:tcPr>
            <w:tcW w:w="1552" w:type="dxa"/>
            <w:vAlign w:val="center"/>
          </w:tcPr>
          <w:p>
            <w:pPr>
              <w:spacing w:line="360" w:lineRule="auto"/>
              <w:rPr>
                <w:rFonts w:ascii="宋体"/>
                <w:spacing w:val="20"/>
                <w:sz w:val="24"/>
              </w:rPr>
            </w:pPr>
            <w:r>
              <w:rPr>
                <w:rFonts w:ascii="宋体"/>
              </w:rPr>
              <w:t> </w:t>
            </w:r>
          </w:p>
        </w:tc>
        <w:tc>
          <w:tcPr>
            <w:tcW w:w="1400" w:type="dxa"/>
            <w:vAlign w:val="center"/>
          </w:tcPr>
          <w:p>
            <w:pPr>
              <w:spacing w:line="360" w:lineRule="auto"/>
              <w:rPr>
                <w:rFonts w:ascii="宋体"/>
                <w:spacing w:val="20"/>
                <w:sz w:val="24"/>
              </w:rPr>
            </w:pPr>
            <w:r>
              <w:rPr>
                <w:rFonts w:ascii="宋体"/>
              </w:rPr>
              <w:t> </w:t>
            </w:r>
          </w:p>
        </w:tc>
        <w:tc>
          <w:tcPr>
            <w:tcW w:w="1182" w:type="dxa"/>
            <w:vAlign w:val="center"/>
          </w:tcPr>
          <w:p>
            <w:pPr>
              <w:spacing w:line="360" w:lineRule="auto"/>
              <w:rPr>
                <w:rFonts w:ascii="宋体"/>
                <w:spacing w:val="20"/>
                <w:sz w:val="24"/>
              </w:rPr>
            </w:pPr>
            <w:r>
              <w:rPr>
                <w:rFonts w:ascii="宋体"/>
              </w:rPr>
              <w:t> </w:t>
            </w:r>
          </w:p>
        </w:tc>
        <w:tc>
          <w:tcPr>
            <w:tcW w:w="1569" w:type="dxa"/>
            <w:vAlign w:val="center"/>
          </w:tcPr>
          <w:p>
            <w:pPr>
              <w:spacing w:line="360" w:lineRule="auto"/>
              <w:rPr>
                <w:rFonts w:ascii="宋体"/>
                <w:spacing w:val="20"/>
                <w:sz w:val="24"/>
              </w:rPr>
            </w:pPr>
            <w:r>
              <w:rPr>
                <w:rFonts w:ascii="宋体"/>
              </w:rPr>
              <w:t> </w:t>
            </w: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5</w:t>
            </w:r>
          </w:p>
        </w:tc>
        <w:tc>
          <w:tcPr>
            <w:tcW w:w="1892" w:type="dxa"/>
            <w:vAlign w:val="center"/>
          </w:tcPr>
          <w:p>
            <w:pPr>
              <w:spacing w:line="360" w:lineRule="auto"/>
              <w:rPr>
                <w:rFonts w:ascii="宋体"/>
              </w:rPr>
            </w:pPr>
          </w:p>
        </w:tc>
        <w:tc>
          <w:tcPr>
            <w:tcW w:w="1552" w:type="dxa"/>
            <w:vAlign w:val="center"/>
          </w:tcPr>
          <w:p>
            <w:pPr>
              <w:spacing w:line="360" w:lineRule="auto"/>
              <w:rPr>
                <w:rFonts w:ascii="宋体"/>
              </w:rPr>
            </w:pPr>
          </w:p>
        </w:tc>
        <w:tc>
          <w:tcPr>
            <w:tcW w:w="1400" w:type="dxa"/>
            <w:vAlign w:val="center"/>
          </w:tcPr>
          <w:p>
            <w:pPr>
              <w:spacing w:line="360" w:lineRule="auto"/>
              <w:rPr>
                <w:rFonts w:ascii="宋体"/>
              </w:rPr>
            </w:pPr>
          </w:p>
        </w:tc>
        <w:tc>
          <w:tcPr>
            <w:tcW w:w="1182" w:type="dxa"/>
            <w:vAlign w:val="center"/>
          </w:tcPr>
          <w:p>
            <w:pPr>
              <w:spacing w:line="360" w:lineRule="auto"/>
              <w:rPr>
                <w:rFonts w:ascii="宋体"/>
              </w:rPr>
            </w:pPr>
          </w:p>
        </w:tc>
        <w:tc>
          <w:tcPr>
            <w:tcW w:w="1569" w:type="dxa"/>
            <w:vAlign w:val="center"/>
          </w:tcPr>
          <w:p>
            <w:pPr>
              <w:spacing w:line="360" w:lineRule="auto"/>
              <w:rPr>
                <w:rFonts w:ascii="宋体"/>
              </w:rPr>
            </w:pP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6</w:t>
            </w:r>
          </w:p>
        </w:tc>
        <w:tc>
          <w:tcPr>
            <w:tcW w:w="1892" w:type="dxa"/>
            <w:vAlign w:val="center"/>
          </w:tcPr>
          <w:p>
            <w:pPr>
              <w:spacing w:line="360" w:lineRule="auto"/>
              <w:rPr>
                <w:rFonts w:ascii="宋体"/>
              </w:rPr>
            </w:pPr>
          </w:p>
        </w:tc>
        <w:tc>
          <w:tcPr>
            <w:tcW w:w="1552" w:type="dxa"/>
            <w:vAlign w:val="center"/>
          </w:tcPr>
          <w:p>
            <w:pPr>
              <w:spacing w:line="360" w:lineRule="auto"/>
              <w:rPr>
                <w:rFonts w:ascii="宋体"/>
              </w:rPr>
            </w:pPr>
          </w:p>
        </w:tc>
        <w:tc>
          <w:tcPr>
            <w:tcW w:w="1400" w:type="dxa"/>
            <w:vAlign w:val="center"/>
          </w:tcPr>
          <w:p>
            <w:pPr>
              <w:spacing w:line="360" w:lineRule="auto"/>
              <w:rPr>
                <w:rFonts w:ascii="宋体"/>
              </w:rPr>
            </w:pPr>
          </w:p>
        </w:tc>
        <w:tc>
          <w:tcPr>
            <w:tcW w:w="1182" w:type="dxa"/>
            <w:vAlign w:val="center"/>
          </w:tcPr>
          <w:p>
            <w:pPr>
              <w:spacing w:line="360" w:lineRule="auto"/>
              <w:rPr>
                <w:rFonts w:ascii="宋体"/>
              </w:rPr>
            </w:pPr>
          </w:p>
        </w:tc>
        <w:tc>
          <w:tcPr>
            <w:tcW w:w="1569" w:type="dxa"/>
            <w:vAlign w:val="center"/>
          </w:tcPr>
          <w:p>
            <w:pPr>
              <w:spacing w:line="360" w:lineRule="auto"/>
              <w:rPr>
                <w:rFonts w:ascii="宋体"/>
              </w:rPr>
            </w:pP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pPr>
              <w:spacing w:line="360" w:lineRule="auto"/>
              <w:jc w:val="center"/>
              <w:rPr>
                <w:rFonts w:ascii="宋体"/>
                <w:caps/>
                <w:spacing w:val="20"/>
              </w:rPr>
            </w:pPr>
            <w:r>
              <w:rPr>
                <w:rFonts w:ascii="宋体" w:hAnsi="宋体"/>
                <w:caps/>
                <w:spacing w:val="20"/>
              </w:rPr>
              <w:t>7</w:t>
            </w:r>
          </w:p>
        </w:tc>
        <w:tc>
          <w:tcPr>
            <w:tcW w:w="1892" w:type="dxa"/>
            <w:vAlign w:val="center"/>
          </w:tcPr>
          <w:p>
            <w:pPr>
              <w:spacing w:line="360" w:lineRule="auto"/>
              <w:rPr>
                <w:rFonts w:ascii="宋体"/>
              </w:rPr>
            </w:pPr>
          </w:p>
        </w:tc>
        <w:tc>
          <w:tcPr>
            <w:tcW w:w="1552" w:type="dxa"/>
            <w:vAlign w:val="center"/>
          </w:tcPr>
          <w:p>
            <w:pPr>
              <w:spacing w:line="360" w:lineRule="auto"/>
              <w:rPr>
                <w:rFonts w:ascii="宋体"/>
              </w:rPr>
            </w:pPr>
          </w:p>
        </w:tc>
        <w:tc>
          <w:tcPr>
            <w:tcW w:w="1400" w:type="dxa"/>
            <w:vAlign w:val="center"/>
          </w:tcPr>
          <w:p>
            <w:pPr>
              <w:spacing w:line="360" w:lineRule="auto"/>
              <w:rPr>
                <w:rFonts w:ascii="宋体"/>
              </w:rPr>
            </w:pPr>
          </w:p>
        </w:tc>
        <w:tc>
          <w:tcPr>
            <w:tcW w:w="1182" w:type="dxa"/>
            <w:vAlign w:val="center"/>
          </w:tcPr>
          <w:p>
            <w:pPr>
              <w:spacing w:line="360" w:lineRule="auto"/>
              <w:rPr>
                <w:rFonts w:ascii="宋体"/>
              </w:rPr>
            </w:pPr>
          </w:p>
        </w:tc>
        <w:tc>
          <w:tcPr>
            <w:tcW w:w="1569" w:type="dxa"/>
            <w:vAlign w:val="center"/>
          </w:tcPr>
          <w:p>
            <w:pPr>
              <w:spacing w:line="360" w:lineRule="auto"/>
              <w:rPr>
                <w:rFonts w:ascii="宋体"/>
              </w:rPr>
            </w:pPr>
          </w:p>
        </w:tc>
        <w:tc>
          <w:tcPr>
            <w:tcW w:w="1264" w:type="dxa"/>
            <w:vAlign w:val="center"/>
          </w:tcPr>
          <w:p>
            <w:pPr>
              <w:spacing w:line="360" w:lineRule="auto"/>
              <w:rPr>
                <w:rFonts w:ascii="宋体"/>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57" w:type="dxa"/>
            <w:tcBorders>
              <w:bottom w:val="double" w:color="000000" w:sz="6" w:space="0"/>
            </w:tcBorders>
            <w:vAlign w:val="center"/>
          </w:tcPr>
          <w:p>
            <w:pPr>
              <w:spacing w:line="360" w:lineRule="auto"/>
              <w:jc w:val="center"/>
              <w:rPr>
                <w:rFonts w:ascii="宋体"/>
                <w:caps/>
                <w:spacing w:val="20"/>
              </w:rPr>
            </w:pPr>
            <w:r>
              <w:rPr>
                <w:rFonts w:ascii="宋体" w:hAnsi="宋体"/>
                <w:caps/>
                <w:spacing w:val="20"/>
              </w:rPr>
              <w:t>8</w:t>
            </w:r>
          </w:p>
        </w:tc>
        <w:tc>
          <w:tcPr>
            <w:tcW w:w="1892" w:type="dxa"/>
            <w:tcBorders>
              <w:bottom w:val="double" w:color="000000" w:sz="6" w:space="0"/>
            </w:tcBorders>
            <w:vAlign w:val="center"/>
          </w:tcPr>
          <w:p>
            <w:pPr>
              <w:spacing w:line="360" w:lineRule="auto"/>
              <w:rPr>
                <w:rFonts w:ascii="宋体"/>
                <w:spacing w:val="20"/>
                <w:sz w:val="24"/>
              </w:rPr>
            </w:pPr>
            <w:r>
              <w:rPr>
                <w:rFonts w:ascii="宋体"/>
              </w:rPr>
              <w:t> </w:t>
            </w:r>
          </w:p>
        </w:tc>
        <w:tc>
          <w:tcPr>
            <w:tcW w:w="1552" w:type="dxa"/>
            <w:tcBorders>
              <w:bottom w:val="double" w:color="000000" w:sz="6" w:space="0"/>
            </w:tcBorders>
            <w:vAlign w:val="center"/>
          </w:tcPr>
          <w:p>
            <w:pPr>
              <w:spacing w:line="360" w:lineRule="auto"/>
              <w:rPr>
                <w:rFonts w:ascii="宋体"/>
                <w:spacing w:val="20"/>
                <w:sz w:val="24"/>
              </w:rPr>
            </w:pPr>
            <w:r>
              <w:rPr>
                <w:rFonts w:ascii="宋体"/>
              </w:rPr>
              <w:t> </w:t>
            </w:r>
          </w:p>
        </w:tc>
        <w:tc>
          <w:tcPr>
            <w:tcW w:w="1400" w:type="dxa"/>
            <w:tcBorders>
              <w:bottom w:val="double" w:color="000000" w:sz="6" w:space="0"/>
            </w:tcBorders>
            <w:vAlign w:val="center"/>
          </w:tcPr>
          <w:p>
            <w:pPr>
              <w:spacing w:line="360" w:lineRule="auto"/>
              <w:rPr>
                <w:rFonts w:ascii="宋体"/>
                <w:spacing w:val="20"/>
                <w:sz w:val="24"/>
              </w:rPr>
            </w:pPr>
            <w:r>
              <w:rPr>
                <w:rFonts w:ascii="宋体"/>
              </w:rPr>
              <w:t> </w:t>
            </w:r>
          </w:p>
        </w:tc>
        <w:tc>
          <w:tcPr>
            <w:tcW w:w="1182" w:type="dxa"/>
            <w:tcBorders>
              <w:bottom w:val="double" w:color="000000" w:sz="6" w:space="0"/>
            </w:tcBorders>
            <w:vAlign w:val="center"/>
          </w:tcPr>
          <w:p>
            <w:pPr>
              <w:spacing w:line="360" w:lineRule="auto"/>
              <w:rPr>
                <w:rFonts w:ascii="宋体"/>
                <w:spacing w:val="20"/>
                <w:sz w:val="24"/>
              </w:rPr>
            </w:pPr>
            <w:r>
              <w:rPr>
                <w:rFonts w:ascii="宋体"/>
              </w:rPr>
              <w:t> </w:t>
            </w:r>
          </w:p>
        </w:tc>
        <w:tc>
          <w:tcPr>
            <w:tcW w:w="1569" w:type="dxa"/>
            <w:tcBorders>
              <w:bottom w:val="double" w:color="000000" w:sz="6" w:space="0"/>
            </w:tcBorders>
            <w:vAlign w:val="center"/>
          </w:tcPr>
          <w:p>
            <w:pPr>
              <w:spacing w:line="360" w:lineRule="auto"/>
              <w:rPr>
                <w:rFonts w:ascii="宋体"/>
                <w:spacing w:val="20"/>
                <w:sz w:val="24"/>
              </w:rPr>
            </w:pPr>
            <w:r>
              <w:rPr>
                <w:rFonts w:ascii="宋体"/>
              </w:rPr>
              <w:t> </w:t>
            </w:r>
          </w:p>
        </w:tc>
        <w:tc>
          <w:tcPr>
            <w:tcW w:w="1264" w:type="dxa"/>
            <w:tcBorders>
              <w:bottom w:val="double" w:color="000000" w:sz="6" w:space="0"/>
            </w:tcBorders>
            <w:vAlign w:val="center"/>
          </w:tcPr>
          <w:p>
            <w:pPr>
              <w:spacing w:line="360" w:lineRule="auto"/>
              <w:rPr>
                <w:rFonts w:ascii="宋体"/>
              </w:rPr>
            </w:pPr>
          </w:p>
        </w:tc>
      </w:tr>
    </w:tbl>
    <w:p>
      <w:pPr>
        <w:tabs>
          <w:tab w:val="left" w:pos="4525"/>
        </w:tabs>
        <w:spacing w:line="460" w:lineRule="exact"/>
        <w:jc w:val="left"/>
        <w:rPr>
          <w:rFonts w:hAnsi="宋体"/>
          <w:sz w:val="24"/>
        </w:rPr>
      </w:pPr>
      <w:r>
        <w:rPr>
          <w:rFonts w:hint="eastAsia" w:hAnsi="宋体"/>
          <w:sz w:val="24"/>
        </w:rPr>
        <w:t>注：以上内容填写必须完整、真实，需提供相关业绩合同的复印件资料及投标人认为需要提供的证明材料。</w:t>
      </w:r>
    </w:p>
    <w:p>
      <w:pPr>
        <w:tabs>
          <w:tab w:val="left" w:pos="4525"/>
        </w:tabs>
        <w:spacing w:line="460" w:lineRule="exact"/>
        <w:jc w:val="left"/>
        <w:rPr>
          <w:rFonts w:hAnsi="宋体"/>
          <w:sz w:val="24"/>
        </w:rPr>
      </w:pPr>
    </w:p>
    <w:p>
      <w:pPr>
        <w:pStyle w:val="17"/>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rPr>
        <w:t>法定代表人或委托代理人（盖章或签名）：</w:t>
      </w:r>
    </w:p>
    <w:p>
      <w:pPr>
        <w:tabs>
          <w:tab w:val="left" w:pos="4525"/>
        </w:tabs>
        <w:spacing w:line="460" w:lineRule="exact"/>
        <w:jc w:val="left"/>
        <w:rPr>
          <w:rFonts w:hAnsi="宋体"/>
          <w:sz w:val="24"/>
        </w:rPr>
      </w:pPr>
      <w:r>
        <w:rPr>
          <w:rFonts w:hint="eastAsia" w:hAnsi="宋体"/>
          <w:sz w:val="24"/>
        </w:rPr>
        <w:t>日</w:t>
      </w:r>
      <w:r>
        <w:rPr>
          <w:rFonts w:hAnsi="宋体"/>
          <w:sz w:val="24"/>
        </w:rPr>
        <w:t xml:space="preserve">    </w:t>
      </w:r>
      <w:r>
        <w:rPr>
          <w:rFonts w:hint="eastAsia" w:hAnsi="宋体"/>
          <w:sz w:val="24"/>
        </w:rPr>
        <w:t>期：</w:t>
      </w:r>
    </w:p>
    <w:p>
      <w:pPr>
        <w:widowControl/>
        <w:snapToGrid w:val="0"/>
        <w:spacing w:line="560" w:lineRule="exact"/>
        <w:rPr>
          <w:rFonts w:ascii="宋体" w:cs="宋体"/>
          <w:b/>
          <w:kern w:val="0"/>
          <w:sz w:val="24"/>
        </w:rPr>
      </w:pPr>
    </w:p>
    <w:p>
      <w:pPr>
        <w:pStyle w:val="11"/>
        <w:spacing w:before="120" w:after="120" w:line="480" w:lineRule="auto"/>
        <w:rPr>
          <w:rFonts w:hAnsi="宋体"/>
          <w:b/>
          <w:bCs/>
          <w:spacing w:val="21"/>
          <w:kern w:val="0"/>
          <w:sz w:val="32"/>
          <w:szCs w:val="32"/>
        </w:rPr>
        <w:sectPr>
          <w:pgSz w:w="11906" w:h="16838"/>
          <w:pgMar w:top="1361" w:right="1644" w:bottom="1361" w:left="1644" w:header="851" w:footer="992" w:gutter="0"/>
          <w:pgNumType w:fmt="numberInDash"/>
          <w:cols w:space="425" w:num="1"/>
          <w:docGrid w:type="lines" w:linePitch="312" w:charSpace="0"/>
        </w:sectPr>
      </w:pPr>
    </w:p>
    <w:p>
      <w:pPr>
        <w:widowControl/>
        <w:jc w:val="left"/>
        <w:rPr>
          <w:rFonts w:ascii="宋体"/>
          <w:b/>
          <w:bCs/>
          <w:sz w:val="24"/>
          <w:szCs w:val="24"/>
        </w:rPr>
      </w:pPr>
      <w:r>
        <w:rPr>
          <w:rFonts w:hint="eastAsia" w:ascii="宋体" w:hAnsi="宋体" w:cs="宋体"/>
          <w:b/>
          <w:bCs/>
          <w:sz w:val="24"/>
          <w:szCs w:val="24"/>
        </w:rPr>
        <w:t>附件6:</w:t>
      </w:r>
    </w:p>
    <w:p>
      <w:pPr>
        <w:pStyle w:val="11"/>
        <w:spacing w:before="120" w:after="120" w:line="480" w:lineRule="auto"/>
        <w:jc w:val="center"/>
        <w:rPr>
          <w:rFonts w:hAnsi="宋体"/>
          <w:b/>
          <w:bCs/>
          <w:spacing w:val="21"/>
          <w:kern w:val="0"/>
          <w:sz w:val="32"/>
          <w:szCs w:val="32"/>
        </w:rPr>
      </w:pPr>
      <w:r>
        <w:rPr>
          <w:rFonts w:hint="eastAsia" w:hAnsi="宋体"/>
          <w:b/>
          <w:bCs/>
          <w:spacing w:val="21"/>
          <w:kern w:val="0"/>
          <w:sz w:val="32"/>
          <w:szCs w:val="32"/>
        </w:rPr>
        <w:t>类似项目情况表</w:t>
      </w:r>
    </w:p>
    <w:p>
      <w:pPr>
        <w:spacing w:line="360" w:lineRule="auto"/>
      </w:pPr>
      <w:r>
        <w:rPr>
          <w:rFonts w:hint="eastAsia" w:hAnsi="宋体"/>
          <w:color w:val="000000"/>
          <w:sz w:val="24"/>
        </w:rPr>
        <w:t xml:space="preserve">项目编号：          </w:t>
      </w:r>
      <w:r>
        <w:rPr>
          <w:rFonts w:hint="eastAsia" w:ascii="宋体" w:hAnsi="宋体"/>
          <w:sz w:val="24"/>
        </w:rPr>
        <w:t xml:space="preserve">                        </w:t>
      </w:r>
    </w:p>
    <w:tbl>
      <w:tblPr>
        <w:tblStyle w:val="19"/>
        <w:tblW w:w="9639" w:type="dxa"/>
        <w:jc w:val="center"/>
        <w:tblLayout w:type="fixed"/>
        <w:tblCellMar>
          <w:top w:w="0" w:type="dxa"/>
          <w:left w:w="108" w:type="dxa"/>
          <w:bottom w:w="0" w:type="dxa"/>
          <w:right w:w="108" w:type="dxa"/>
        </w:tblCellMar>
      </w:tblPr>
      <w:tblGrid>
        <w:gridCol w:w="2610"/>
        <w:gridCol w:w="7029"/>
      </w:tblGrid>
      <w:tr>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项目名称</w:t>
            </w:r>
          </w:p>
        </w:tc>
        <w:tc>
          <w:tcPr>
            <w:tcW w:w="7029" w:type="dxa"/>
            <w:tcBorders>
              <w:top w:val="single" w:color="auto" w:sz="12"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项目所在地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发包人名称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发包人地址</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发包人电话</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合同价格</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合同签订时间</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承担的工作</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1388"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项目描述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494"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项目经理</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是否为创建卫生城市（镇、县城）业绩：</w:t>
            </w:r>
          </w:p>
        </w:tc>
        <w:tc>
          <w:tcPr>
            <w:tcW w:w="7029" w:type="dxa"/>
            <w:tcBorders>
              <w:top w:val="single" w:color="auto" w:sz="6" w:space="0"/>
              <w:left w:val="nil"/>
              <w:bottom w:val="single" w:color="auto" w:sz="12" w:space="0"/>
              <w:right w:val="single" w:color="auto" w:sz="12" w:space="0"/>
            </w:tcBorders>
            <w:vAlign w:val="center"/>
          </w:tcPr>
          <w:p>
            <w:pPr>
              <w:wordWrap w:val="0"/>
              <w:spacing w:line="400" w:lineRule="exact"/>
              <w:jc w:val="center"/>
              <w:rPr>
                <w:rFonts w:ascii="宋体" w:hAnsi="宋体"/>
                <w:color w:val="000000"/>
              </w:rPr>
            </w:pPr>
            <w:r>
              <w:rPr>
                <w:rFonts w:hint="eastAsia" w:ascii="宋体" w:hAnsi="宋体"/>
                <w:color w:val="000000"/>
              </w:rPr>
              <w:t>□国家级、□省级、□地市级、□无</w:t>
            </w:r>
          </w:p>
        </w:tc>
      </w:tr>
    </w:tbl>
    <w:p>
      <w:pPr>
        <w:pStyle w:val="57"/>
        <w:ind w:right="205" w:rightChars="98"/>
        <w:rPr>
          <w:rFonts w:ascii="宋体" w:hAnsi="Courier New"/>
          <w:color w:val="000000"/>
          <w:kern w:val="0"/>
          <w:szCs w:val="21"/>
        </w:rPr>
      </w:pPr>
      <w:r>
        <w:rPr>
          <w:rFonts w:hint="eastAsia" w:ascii="宋体" w:hAnsi="Courier New"/>
          <w:color w:val="000000"/>
          <w:kern w:val="0"/>
          <w:szCs w:val="21"/>
        </w:rPr>
        <w:t>注：1.每张表格只填写一个项目，并标明序号。</w:t>
      </w:r>
    </w:p>
    <w:p>
      <w:pPr>
        <w:ind w:right="205" w:rightChars="98" w:firstLine="420" w:firstLineChars="200"/>
        <w:rPr>
          <w:rFonts w:ascii="宋体" w:hAnsi="Courier New"/>
          <w:color w:val="000000"/>
          <w:kern w:val="0"/>
        </w:rPr>
      </w:pPr>
      <w:r>
        <w:rPr>
          <w:rFonts w:hint="eastAsia" w:ascii="宋体" w:hAnsi="Courier New"/>
          <w:color w:val="000000"/>
          <w:kern w:val="0"/>
        </w:rPr>
        <w:t>2.本表后须附相关业绩合同的复印件及投标人认为需要提供的证明材料。</w:t>
      </w:r>
    </w:p>
    <w:p>
      <w:pPr>
        <w:tabs>
          <w:tab w:val="left" w:pos="4525"/>
        </w:tabs>
        <w:ind w:firstLine="420" w:firstLineChars="200"/>
        <w:jc w:val="left"/>
        <w:rPr>
          <w:rFonts w:ascii="宋体" w:hAnsi="Courier New"/>
          <w:color w:val="000000"/>
          <w:kern w:val="0"/>
        </w:rPr>
      </w:pPr>
      <w:r>
        <w:rPr>
          <w:rFonts w:hint="eastAsia" w:ascii="宋体" w:hAnsi="Courier New"/>
          <w:color w:val="000000"/>
          <w:kern w:val="0"/>
        </w:rPr>
        <w:t>3.如近年来，投标人法人机构发生合法变更或重组或法人名称变更时，应提供相关部门的合法批件或其他相关证明材料来证明其所附业绩的继承性。</w:t>
      </w:r>
    </w:p>
    <w:p>
      <w:pPr>
        <w:tabs>
          <w:tab w:val="left" w:pos="4525"/>
        </w:tabs>
        <w:spacing w:line="460" w:lineRule="exact"/>
        <w:jc w:val="left"/>
        <w:rPr>
          <w:rFonts w:hAnsi="宋体"/>
          <w:sz w:val="24"/>
        </w:rPr>
      </w:pPr>
    </w:p>
    <w:p>
      <w:pPr>
        <w:tabs>
          <w:tab w:val="left" w:pos="4525"/>
        </w:tabs>
        <w:spacing w:line="460" w:lineRule="exact"/>
        <w:jc w:val="left"/>
        <w:rPr>
          <w:rFonts w:hAnsi="宋体"/>
          <w:sz w:val="24"/>
        </w:rPr>
      </w:pPr>
      <w:r>
        <w:rPr>
          <w:rFonts w:hint="eastAsia" w:hAnsi="宋体"/>
          <w:sz w:val="24"/>
        </w:rPr>
        <w:t>投标人全称（单位公章）：</w:t>
      </w:r>
    </w:p>
    <w:p>
      <w:pPr>
        <w:tabs>
          <w:tab w:val="left" w:pos="4525"/>
        </w:tabs>
        <w:spacing w:line="460" w:lineRule="exact"/>
        <w:jc w:val="left"/>
        <w:rPr>
          <w:rFonts w:hAnsi="宋体"/>
          <w:sz w:val="24"/>
        </w:rPr>
      </w:pPr>
      <w:r>
        <w:rPr>
          <w:rFonts w:hint="eastAsia" w:hAnsi="宋体"/>
          <w:sz w:val="24"/>
        </w:rPr>
        <w:t>法定代表人或委托代理人（盖章或签名）：</w:t>
      </w:r>
    </w:p>
    <w:p>
      <w:pPr>
        <w:tabs>
          <w:tab w:val="left" w:pos="4525"/>
        </w:tabs>
        <w:spacing w:line="460" w:lineRule="exact"/>
        <w:jc w:val="left"/>
        <w:rPr>
          <w:rFonts w:hAnsi="宋体"/>
          <w:sz w:val="24"/>
        </w:rPr>
        <w:sectPr>
          <w:pgSz w:w="11907" w:h="16840"/>
          <w:pgMar w:top="1440" w:right="1531" w:bottom="1440" w:left="1928" w:header="851" w:footer="1304" w:gutter="0"/>
          <w:pgNumType w:fmt="numberInDash"/>
          <w:cols w:space="720" w:num="1"/>
          <w:docGrid w:type="linesAndChars" w:linePitch="312" w:charSpace="0"/>
        </w:sectPr>
      </w:pPr>
      <w:r>
        <w:rPr>
          <w:rFonts w:hint="eastAsia" w:hAnsi="宋体"/>
          <w:sz w:val="24"/>
        </w:rPr>
        <w:t>日期：</w:t>
      </w:r>
    </w:p>
    <w:p>
      <w:pPr>
        <w:widowControl/>
        <w:jc w:val="left"/>
        <w:rPr>
          <w:rFonts w:ascii="宋体"/>
          <w:b/>
          <w:bCs/>
          <w:sz w:val="24"/>
          <w:szCs w:val="24"/>
        </w:rPr>
      </w:pPr>
      <w:r>
        <w:rPr>
          <w:rFonts w:hint="eastAsia" w:ascii="宋体" w:hAnsi="宋体" w:cs="宋体"/>
          <w:b/>
          <w:bCs/>
          <w:sz w:val="24"/>
          <w:szCs w:val="24"/>
        </w:rPr>
        <w:t>附件7:</w:t>
      </w:r>
    </w:p>
    <w:p>
      <w:pPr>
        <w:pStyle w:val="5"/>
        <w:spacing w:line="400" w:lineRule="exact"/>
        <w:jc w:val="center"/>
        <w:rPr>
          <w:rFonts w:hint="default" w:ascii="仿宋_GB2312" w:hAnsi="Calibri" w:eastAsia="仿宋_GB2312"/>
          <w:color w:val="auto"/>
          <w:kern w:val="2"/>
          <w:sz w:val="32"/>
          <w:szCs w:val="24"/>
        </w:rPr>
      </w:pPr>
      <w:bookmarkStart w:id="23" w:name="_Toc12511"/>
      <w:bookmarkStart w:id="24" w:name="_Toc20911"/>
      <w:bookmarkStart w:id="25" w:name="_Toc14547"/>
      <w:r>
        <w:rPr>
          <w:rFonts w:ascii="仿宋_GB2312" w:hAnsi="Calibri" w:eastAsia="仿宋_GB2312"/>
          <w:color w:val="auto"/>
          <w:kern w:val="2"/>
          <w:sz w:val="32"/>
          <w:szCs w:val="24"/>
        </w:rPr>
        <w:t>技术、商务偏离表</w:t>
      </w:r>
      <w:bookmarkEnd w:id="23"/>
      <w:bookmarkEnd w:id="24"/>
      <w:bookmarkEnd w:id="25"/>
    </w:p>
    <w:p>
      <w:pPr>
        <w:autoSpaceDE w:val="0"/>
        <w:autoSpaceDN w:val="0"/>
        <w:adjustRightInd w:val="0"/>
        <w:spacing w:line="450" w:lineRule="exact"/>
        <w:ind w:firstLine="120" w:firstLineChars="50"/>
        <w:rPr>
          <w:rFonts w:hAnsi="宋体"/>
          <w:sz w:val="24"/>
        </w:rPr>
      </w:pPr>
      <w:r>
        <w:rPr>
          <w:rFonts w:hint="eastAsia" w:hAnsi="宋体"/>
          <w:sz w:val="24"/>
        </w:rPr>
        <w:t xml:space="preserve">项目编号：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pPr>
              <w:autoSpaceDE w:val="0"/>
              <w:autoSpaceDN w:val="0"/>
              <w:adjustRightInd w:val="0"/>
              <w:jc w:val="center"/>
              <w:rPr>
                <w:rFonts w:hAnsi="宋体"/>
                <w:sz w:val="24"/>
              </w:rPr>
            </w:pPr>
            <w:r>
              <w:rPr>
                <w:rFonts w:hint="eastAsia" w:hAnsi="宋体"/>
                <w:sz w:val="24"/>
              </w:rPr>
              <w:t>序号</w:t>
            </w:r>
          </w:p>
        </w:tc>
        <w:tc>
          <w:tcPr>
            <w:tcW w:w="1189" w:type="dxa"/>
            <w:vAlign w:val="center"/>
          </w:tcPr>
          <w:p>
            <w:pPr>
              <w:autoSpaceDE w:val="0"/>
              <w:autoSpaceDN w:val="0"/>
              <w:adjustRightInd w:val="0"/>
              <w:jc w:val="center"/>
              <w:rPr>
                <w:rFonts w:hAnsi="宋体"/>
                <w:sz w:val="24"/>
              </w:rPr>
            </w:pPr>
            <w:r>
              <w:rPr>
                <w:rFonts w:hint="eastAsia" w:hAnsi="宋体"/>
                <w:sz w:val="24"/>
              </w:rPr>
              <w:t>名称</w:t>
            </w:r>
          </w:p>
        </w:tc>
        <w:tc>
          <w:tcPr>
            <w:tcW w:w="1978" w:type="dxa"/>
            <w:vAlign w:val="center"/>
          </w:tcPr>
          <w:p>
            <w:pPr>
              <w:autoSpaceDE w:val="0"/>
              <w:autoSpaceDN w:val="0"/>
              <w:adjustRightInd w:val="0"/>
              <w:ind w:left="-105" w:leftChars="-50" w:right="-100"/>
              <w:jc w:val="center"/>
              <w:rPr>
                <w:rFonts w:hAnsi="宋体"/>
                <w:spacing w:val="-12"/>
                <w:sz w:val="24"/>
              </w:rPr>
            </w:pPr>
            <w:r>
              <w:rPr>
                <w:rFonts w:hint="eastAsia" w:hAnsi="宋体"/>
                <w:sz w:val="24"/>
              </w:rPr>
              <w:t>招标文件要求</w:t>
            </w:r>
          </w:p>
        </w:tc>
        <w:tc>
          <w:tcPr>
            <w:tcW w:w="2130" w:type="dxa"/>
            <w:vAlign w:val="center"/>
          </w:tcPr>
          <w:p>
            <w:pPr>
              <w:autoSpaceDE w:val="0"/>
              <w:autoSpaceDN w:val="0"/>
              <w:adjustRightInd w:val="0"/>
              <w:jc w:val="center"/>
              <w:rPr>
                <w:rFonts w:hAnsi="宋体"/>
                <w:sz w:val="24"/>
              </w:rPr>
            </w:pPr>
            <w:r>
              <w:rPr>
                <w:rFonts w:hint="eastAsia" w:hAnsi="宋体"/>
                <w:sz w:val="24"/>
              </w:rPr>
              <w:t>投标文件响应</w:t>
            </w:r>
          </w:p>
        </w:tc>
        <w:tc>
          <w:tcPr>
            <w:tcW w:w="1468" w:type="dxa"/>
            <w:vAlign w:val="center"/>
          </w:tcPr>
          <w:p>
            <w:pPr>
              <w:autoSpaceDE w:val="0"/>
              <w:autoSpaceDN w:val="0"/>
              <w:adjustRightInd w:val="0"/>
              <w:jc w:val="center"/>
              <w:rPr>
                <w:rFonts w:hAnsi="宋体"/>
                <w:sz w:val="24"/>
              </w:rPr>
            </w:pPr>
            <w:r>
              <w:rPr>
                <w:rFonts w:hint="eastAsia" w:hAnsi="宋体"/>
                <w:sz w:val="24"/>
              </w:rPr>
              <w:t>偏离情况</w:t>
            </w:r>
          </w:p>
        </w:tc>
        <w:tc>
          <w:tcPr>
            <w:tcW w:w="986" w:type="dxa"/>
            <w:vAlign w:val="center"/>
          </w:tcPr>
          <w:p>
            <w:pPr>
              <w:autoSpaceDE w:val="0"/>
              <w:autoSpaceDN w:val="0"/>
              <w:adjustRightInd w:val="0"/>
              <w:jc w:val="center"/>
              <w:rPr>
                <w:rFonts w:hAnsi="宋体"/>
                <w:sz w:val="24"/>
              </w:rPr>
            </w:pPr>
            <w:r>
              <w:rPr>
                <w:rFonts w:hint="eastAsia" w:hAnsi="宋体"/>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pPr>
              <w:autoSpaceDE w:val="0"/>
              <w:autoSpaceDN w:val="0"/>
              <w:adjustRightInd w:val="0"/>
              <w:jc w:val="center"/>
              <w:rPr>
                <w:rFonts w:hAnsi="宋体"/>
                <w:sz w:val="24"/>
              </w:rPr>
            </w:pPr>
            <w:r>
              <w:rPr>
                <w:rFonts w:hint="eastAsia" w:hAnsi="宋体"/>
                <w:sz w:val="24"/>
              </w:rPr>
              <w:t>技术偏离</w:t>
            </w:r>
          </w:p>
        </w:tc>
        <w:tc>
          <w:tcPr>
            <w:tcW w:w="759" w:type="dxa"/>
            <w:vAlign w:val="center"/>
          </w:tcPr>
          <w:p>
            <w:pPr>
              <w:pStyle w:val="11"/>
              <w:spacing w:line="300" w:lineRule="exact"/>
              <w:jc w:val="center"/>
              <w:rPr>
                <w:rFonts w:hAnsi="宋体"/>
                <w:sz w:val="24"/>
              </w:rPr>
            </w:pPr>
            <w:r>
              <w:rPr>
                <w:rFonts w:hAnsi="宋体"/>
                <w:sz w:val="24"/>
              </w:rPr>
              <w:t>1</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pStyle w:val="11"/>
              <w:spacing w:line="300" w:lineRule="exact"/>
              <w:jc w:val="center"/>
              <w:rPr>
                <w:rFonts w:hAnsi="宋体"/>
                <w:sz w:val="24"/>
              </w:rPr>
            </w:pPr>
            <w:r>
              <w:rPr>
                <w:rFonts w:hAnsi="宋体"/>
                <w:sz w:val="24"/>
              </w:rPr>
              <w:t>2</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pStyle w:val="11"/>
              <w:spacing w:line="300" w:lineRule="exact"/>
              <w:jc w:val="center"/>
              <w:rPr>
                <w:rFonts w:hAnsi="宋体"/>
                <w:sz w:val="24"/>
              </w:rPr>
            </w:pPr>
            <w:r>
              <w:rPr>
                <w:rFonts w:hAnsi="宋体"/>
                <w:sz w:val="24"/>
              </w:rPr>
              <w:t>…</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autoSpaceDE w:val="0"/>
              <w:autoSpaceDN w:val="0"/>
              <w:adjustRightInd w:val="0"/>
              <w:jc w:val="center"/>
              <w:rPr>
                <w:rFonts w:hAnsi="宋体"/>
                <w:sz w:val="24"/>
              </w:rPr>
            </w:pP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pPr>
              <w:autoSpaceDE w:val="0"/>
              <w:autoSpaceDN w:val="0"/>
              <w:adjustRightInd w:val="0"/>
              <w:jc w:val="center"/>
              <w:rPr>
                <w:rFonts w:hAnsi="宋体"/>
                <w:sz w:val="24"/>
              </w:rPr>
            </w:pPr>
            <w:r>
              <w:rPr>
                <w:rFonts w:hint="eastAsia" w:hAnsi="宋体"/>
                <w:sz w:val="24"/>
              </w:rPr>
              <w:t>商务偏离</w:t>
            </w:r>
          </w:p>
        </w:tc>
        <w:tc>
          <w:tcPr>
            <w:tcW w:w="759" w:type="dxa"/>
            <w:vAlign w:val="center"/>
          </w:tcPr>
          <w:p>
            <w:pPr>
              <w:pStyle w:val="11"/>
              <w:spacing w:line="300" w:lineRule="exact"/>
              <w:jc w:val="center"/>
              <w:rPr>
                <w:rFonts w:hAnsi="宋体"/>
                <w:sz w:val="24"/>
              </w:rPr>
            </w:pPr>
            <w:r>
              <w:rPr>
                <w:rFonts w:hAnsi="宋体"/>
                <w:sz w:val="24"/>
              </w:rPr>
              <w:t>1</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pStyle w:val="11"/>
              <w:spacing w:line="300" w:lineRule="exact"/>
              <w:jc w:val="center"/>
              <w:rPr>
                <w:rFonts w:hAnsi="宋体"/>
                <w:sz w:val="24"/>
              </w:rPr>
            </w:pPr>
            <w:r>
              <w:rPr>
                <w:rFonts w:hAnsi="宋体"/>
                <w:sz w:val="24"/>
              </w:rPr>
              <w:t>2</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pStyle w:val="11"/>
              <w:spacing w:line="300" w:lineRule="exact"/>
              <w:jc w:val="center"/>
              <w:rPr>
                <w:rFonts w:hAnsi="宋体"/>
                <w:sz w:val="24"/>
              </w:rPr>
            </w:pPr>
            <w:r>
              <w:rPr>
                <w:rFonts w:hAnsi="宋体"/>
                <w:sz w:val="24"/>
              </w:rPr>
              <w:t>3</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pPr>
              <w:autoSpaceDE w:val="0"/>
              <w:autoSpaceDN w:val="0"/>
              <w:adjustRightInd w:val="0"/>
              <w:jc w:val="center"/>
              <w:rPr>
                <w:rFonts w:hAnsi="宋体"/>
                <w:sz w:val="24"/>
              </w:rPr>
            </w:pPr>
          </w:p>
        </w:tc>
        <w:tc>
          <w:tcPr>
            <w:tcW w:w="759" w:type="dxa"/>
            <w:vAlign w:val="center"/>
          </w:tcPr>
          <w:p>
            <w:pPr>
              <w:autoSpaceDE w:val="0"/>
              <w:autoSpaceDN w:val="0"/>
              <w:adjustRightInd w:val="0"/>
              <w:jc w:val="center"/>
              <w:rPr>
                <w:rFonts w:hAnsi="宋体"/>
                <w:sz w:val="24"/>
              </w:rPr>
            </w:pPr>
            <w:r>
              <w:rPr>
                <w:rFonts w:hint="eastAsia" w:hAnsi="宋体"/>
                <w:sz w:val="24"/>
              </w:rPr>
              <w:t>…</w:t>
            </w:r>
          </w:p>
        </w:tc>
        <w:tc>
          <w:tcPr>
            <w:tcW w:w="1189" w:type="dxa"/>
            <w:vAlign w:val="center"/>
          </w:tcPr>
          <w:p>
            <w:pPr>
              <w:autoSpaceDE w:val="0"/>
              <w:autoSpaceDN w:val="0"/>
              <w:adjustRightInd w:val="0"/>
              <w:jc w:val="center"/>
              <w:rPr>
                <w:rFonts w:hAnsi="宋体"/>
                <w:sz w:val="24"/>
              </w:rPr>
            </w:pPr>
          </w:p>
        </w:tc>
        <w:tc>
          <w:tcPr>
            <w:tcW w:w="1978" w:type="dxa"/>
            <w:vAlign w:val="center"/>
          </w:tcPr>
          <w:p>
            <w:pPr>
              <w:autoSpaceDE w:val="0"/>
              <w:autoSpaceDN w:val="0"/>
              <w:adjustRightInd w:val="0"/>
              <w:jc w:val="center"/>
              <w:rPr>
                <w:rFonts w:hAnsi="宋体"/>
                <w:sz w:val="24"/>
              </w:rPr>
            </w:pPr>
          </w:p>
        </w:tc>
        <w:tc>
          <w:tcPr>
            <w:tcW w:w="2130" w:type="dxa"/>
            <w:vAlign w:val="center"/>
          </w:tcPr>
          <w:p>
            <w:pPr>
              <w:autoSpaceDE w:val="0"/>
              <w:autoSpaceDN w:val="0"/>
              <w:adjustRightInd w:val="0"/>
              <w:jc w:val="center"/>
              <w:rPr>
                <w:rFonts w:hAnsi="宋体"/>
                <w:sz w:val="24"/>
              </w:rPr>
            </w:pPr>
          </w:p>
        </w:tc>
        <w:tc>
          <w:tcPr>
            <w:tcW w:w="1468" w:type="dxa"/>
            <w:vAlign w:val="center"/>
          </w:tcPr>
          <w:p>
            <w:pPr>
              <w:autoSpaceDE w:val="0"/>
              <w:autoSpaceDN w:val="0"/>
              <w:adjustRightInd w:val="0"/>
              <w:jc w:val="center"/>
              <w:rPr>
                <w:rFonts w:hAnsi="宋体"/>
                <w:sz w:val="24"/>
              </w:rPr>
            </w:pPr>
          </w:p>
        </w:tc>
        <w:tc>
          <w:tcPr>
            <w:tcW w:w="986" w:type="dxa"/>
            <w:vAlign w:val="center"/>
          </w:tcPr>
          <w:p>
            <w:pPr>
              <w:autoSpaceDE w:val="0"/>
              <w:autoSpaceDN w:val="0"/>
              <w:adjustRightInd w:val="0"/>
              <w:jc w:val="center"/>
              <w:rPr>
                <w:rFonts w:hAnsi="宋体"/>
                <w:sz w:val="24"/>
              </w:rPr>
            </w:pPr>
          </w:p>
        </w:tc>
      </w:tr>
    </w:tbl>
    <w:p>
      <w:pPr>
        <w:pStyle w:val="44"/>
        <w:tabs>
          <w:tab w:val="left" w:pos="360"/>
        </w:tabs>
        <w:spacing w:line="360" w:lineRule="auto"/>
        <w:ind w:right="84" w:rightChars="40"/>
        <w:rPr>
          <w:rFonts w:ascii="宋体"/>
          <w:b/>
          <w:bCs/>
        </w:rPr>
      </w:pPr>
      <w:r>
        <w:rPr>
          <w:rFonts w:hint="eastAsia" w:ascii="宋体" w:cs="宋体"/>
          <w:b/>
          <w:bCs/>
        </w:rPr>
        <w:t>要求：</w:t>
      </w:r>
    </w:p>
    <w:p>
      <w:pPr>
        <w:pStyle w:val="44"/>
        <w:tabs>
          <w:tab w:val="left" w:pos="360"/>
        </w:tabs>
        <w:spacing w:line="360" w:lineRule="auto"/>
        <w:ind w:right="84" w:rightChars="40" w:firstLine="420" w:firstLineChars="200"/>
        <w:rPr>
          <w:rFonts w:ascii="宋体"/>
        </w:rPr>
      </w:pPr>
      <w:r>
        <w:rPr>
          <w:rFonts w:ascii="宋体" w:cs="宋体"/>
        </w:rPr>
        <w:t>1.</w:t>
      </w:r>
      <w:r>
        <w:rPr>
          <w:rFonts w:hint="eastAsia" w:ascii="宋体" w:cs="宋体"/>
        </w:rPr>
        <w:t>本表参照本招标文件第四章“采购需求”填制，投标人应根据投标服务指标，对照招标文件要求在“偏离情况”栏注明“正偏离”、“负偏离”或“无偏离”。</w:t>
      </w:r>
    </w:p>
    <w:p>
      <w:pPr>
        <w:pStyle w:val="44"/>
        <w:spacing w:line="360" w:lineRule="auto"/>
        <w:ind w:right="84" w:rightChars="40" w:firstLine="420" w:firstLineChars="200"/>
        <w:rPr>
          <w:rFonts w:ascii="宋体" w:cs="宋体"/>
          <w:color w:val="000000" w:themeColor="text1"/>
        </w:rPr>
      </w:pPr>
      <w:r>
        <w:rPr>
          <w:rFonts w:hint="eastAsia" w:ascii="宋体" w:cs="宋体"/>
          <w:color w:val="000000" w:themeColor="text1"/>
        </w:rPr>
        <w:t>2.本项目的付款方式不允许负偏离。</w:t>
      </w:r>
    </w:p>
    <w:p>
      <w:pPr>
        <w:spacing w:line="360" w:lineRule="auto"/>
        <w:ind w:left="420"/>
        <w:rPr>
          <w:rFonts w:hint="eastAsia" w:ascii="宋体" w:hAnsi="宋体" w:cs="宋体"/>
          <w:sz w:val="24"/>
          <w:szCs w:val="24"/>
        </w:rPr>
      </w:pPr>
    </w:p>
    <w:p>
      <w:pPr>
        <w:spacing w:line="360" w:lineRule="auto"/>
        <w:ind w:left="420"/>
        <w:rPr>
          <w:rFonts w:hint="eastAsia" w:ascii="宋体" w:hAnsi="宋体" w:cs="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rPr>
          <w:rFonts w:ascii="宋体"/>
          <w:b/>
          <w:bCs/>
          <w:sz w:val="28"/>
          <w:szCs w:val="28"/>
        </w:rPr>
      </w:pPr>
      <w:r>
        <w:rPr>
          <w:rFonts w:ascii="宋体"/>
          <w:b/>
          <w:bCs/>
          <w:sz w:val="28"/>
          <w:szCs w:val="28"/>
        </w:rPr>
        <w:br w:type="page"/>
      </w:r>
    </w:p>
    <w:p>
      <w:pPr>
        <w:widowControl/>
        <w:jc w:val="left"/>
        <w:rPr>
          <w:rFonts w:ascii="宋体"/>
          <w:spacing w:val="40"/>
          <w:sz w:val="52"/>
          <w:szCs w:val="52"/>
        </w:rPr>
      </w:pPr>
    </w:p>
    <w:p>
      <w:pPr>
        <w:spacing w:line="360" w:lineRule="auto"/>
        <w:ind w:right="-110"/>
        <w:jc w:val="center"/>
        <w:outlineLvl w:val="0"/>
        <w:rPr>
          <w:rFonts w:hint="eastAsia" w:ascii="宋体" w:eastAsia="宋体"/>
          <w:spacing w:val="40"/>
          <w:sz w:val="52"/>
          <w:szCs w:val="52"/>
          <w:lang w:eastAsia="zh-CN"/>
        </w:rPr>
      </w:pPr>
      <w:r>
        <w:rPr>
          <w:rFonts w:hint="eastAsia" w:ascii="宋体" w:hAnsi="宋体" w:cs="宋体"/>
          <w:spacing w:val="40"/>
          <w:sz w:val="44"/>
          <w:szCs w:val="44"/>
          <w:lang w:eastAsia="zh-CN"/>
        </w:rPr>
        <w:t>温岭市新河镇2022年度病媒生物防制专业化服务项目采购</w:t>
      </w:r>
    </w:p>
    <w:p>
      <w:pPr>
        <w:spacing w:beforeLines="100" w:line="360" w:lineRule="auto"/>
        <w:ind w:right="-108"/>
        <w:jc w:val="center"/>
        <w:rPr>
          <w:rFonts w:ascii="宋体" w:hAnsi="宋体" w:cs="宋体"/>
          <w:sz w:val="28"/>
          <w:szCs w:val="28"/>
        </w:rPr>
      </w:pPr>
    </w:p>
    <w:p>
      <w:pPr>
        <w:spacing w:beforeLines="100" w:line="360" w:lineRule="auto"/>
        <w:ind w:right="-108"/>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JJWL22030950</w:t>
      </w:r>
    </w:p>
    <w:p>
      <w:pPr>
        <w:spacing w:after="100" w:afterAutospacing="1" w:line="360" w:lineRule="auto"/>
        <w:ind w:right="-108"/>
        <w:jc w:val="center"/>
        <w:outlineLvl w:val="0"/>
        <w:rPr>
          <w:rFonts w:ascii="宋体" w:hAnsi="宋体" w:cs="宋体"/>
          <w:b/>
          <w:bCs/>
          <w:spacing w:val="40"/>
          <w:sz w:val="84"/>
          <w:szCs w:val="84"/>
        </w:rPr>
      </w:pPr>
      <w:bookmarkStart w:id="26" w:name="_Toc805"/>
    </w:p>
    <w:p>
      <w:pPr>
        <w:spacing w:after="100" w:afterAutospacing="1" w:line="360" w:lineRule="auto"/>
        <w:ind w:right="-108"/>
        <w:jc w:val="center"/>
        <w:outlineLvl w:val="0"/>
        <w:rPr>
          <w:rFonts w:ascii="宋体"/>
          <w:b/>
          <w:bCs/>
          <w:spacing w:val="40"/>
          <w:sz w:val="84"/>
          <w:szCs w:val="84"/>
        </w:rPr>
      </w:pPr>
      <w:r>
        <w:rPr>
          <w:rFonts w:hint="eastAsia" w:ascii="宋体" w:hAnsi="宋体" w:cs="宋体"/>
          <w:b/>
          <w:bCs/>
          <w:spacing w:val="40"/>
          <w:sz w:val="84"/>
          <w:szCs w:val="84"/>
        </w:rPr>
        <w:t>报</w:t>
      </w:r>
      <w:bookmarkEnd w:id="26"/>
    </w:p>
    <w:p>
      <w:pPr>
        <w:spacing w:after="100" w:afterAutospacing="1" w:line="360" w:lineRule="auto"/>
        <w:ind w:right="-108"/>
        <w:jc w:val="center"/>
        <w:outlineLvl w:val="0"/>
        <w:rPr>
          <w:rFonts w:ascii="宋体"/>
          <w:b/>
          <w:bCs/>
          <w:spacing w:val="40"/>
          <w:sz w:val="84"/>
          <w:szCs w:val="84"/>
        </w:rPr>
      </w:pPr>
      <w:bookmarkStart w:id="27" w:name="_Toc22379"/>
      <w:r>
        <w:rPr>
          <w:rFonts w:hint="eastAsia" w:ascii="宋体" w:hAnsi="宋体" w:cs="宋体"/>
          <w:b/>
          <w:bCs/>
          <w:spacing w:val="40"/>
          <w:sz w:val="84"/>
          <w:szCs w:val="84"/>
        </w:rPr>
        <w:t>价</w:t>
      </w:r>
      <w:bookmarkEnd w:id="27"/>
    </w:p>
    <w:p>
      <w:pPr>
        <w:spacing w:after="100" w:afterAutospacing="1" w:line="360" w:lineRule="auto"/>
        <w:ind w:right="-108"/>
        <w:jc w:val="center"/>
        <w:outlineLvl w:val="0"/>
        <w:rPr>
          <w:rFonts w:ascii="宋体"/>
          <w:b/>
          <w:bCs/>
          <w:spacing w:val="40"/>
          <w:sz w:val="84"/>
          <w:szCs w:val="84"/>
        </w:rPr>
      </w:pPr>
      <w:bookmarkStart w:id="28" w:name="_Toc23380"/>
      <w:r>
        <w:rPr>
          <w:rFonts w:hint="eastAsia" w:ascii="宋体" w:hAnsi="宋体" w:cs="宋体"/>
          <w:b/>
          <w:bCs/>
          <w:spacing w:val="40"/>
          <w:sz w:val="84"/>
          <w:szCs w:val="84"/>
        </w:rPr>
        <w:t>文</w:t>
      </w:r>
      <w:bookmarkEnd w:id="28"/>
    </w:p>
    <w:p>
      <w:pPr>
        <w:spacing w:after="100" w:afterAutospacing="1" w:line="360" w:lineRule="auto"/>
        <w:ind w:right="-108"/>
        <w:jc w:val="center"/>
        <w:outlineLvl w:val="0"/>
        <w:rPr>
          <w:rFonts w:ascii="宋体"/>
          <w:sz w:val="36"/>
          <w:szCs w:val="36"/>
        </w:rPr>
      </w:pPr>
      <w:bookmarkStart w:id="29" w:name="_Toc8989"/>
      <w:r>
        <w:rPr>
          <w:rFonts w:hint="eastAsia" w:ascii="宋体" w:hAnsi="宋体" w:cs="宋体"/>
          <w:b/>
          <w:bCs/>
          <w:spacing w:val="40"/>
          <w:sz w:val="84"/>
          <w:szCs w:val="84"/>
        </w:rPr>
        <w:t>件</w:t>
      </w:r>
      <w:bookmarkEnd w:id="29"/>
    </w:p>
    <w:p>
      <w:pPr>
        <w:spacing w:line="360" w:lineRule="auto"/>
        <w:ind w:right="532"/>
        <w:jc w:val="center"/>
        <w:rPr>
          <w:rFonts w:ascii="宋体"/>
          <w:sz w:val="36"/>
          <w:szCs w:val="36"/>
        </w:rPr>
      </w:pPr>
    </w:p>
    <w:p>
      <w:pPr>
        <w:spacing w:line="360" w:lineRule="auto"/>
        <w:ind w:right="532" w:firstLine="720" w:firstLineChars="200"/>
        <w:outlineLvl w:val="0"/>
        <w:rPr>
          <w:rFonts w:ascii="宋体"/>
          <w:sz w:val="36"/>
          <w:szCs w:val="36"/>
        </w:rPr>
      </w:pPr>
      <w:bookmarkStart w:id="30" w:name="_Toc4137"/>
      <w:r>
        <w:rPr>
          <w:rFonts w:hint="eastAsia" w:ascii="宋体" w:hAnsi="宋体" w:cs="宋体"/>
          <w:sz w:val="36"/>
          <w:szCs w:val="36"/>
        </w:rPr>
        <w:t>供应商全称（公章）：</w:t>
      </w:r>
      <w:bookmarkEnd w:id="30"/>
    </w:p>
    <w:p>
      <w:pPr>
        <w:spacing w:line="360" w:lineRule="auto"/>
        <w:ind w:right="-108" w:firstLine="720" w:firstLineChars="200"/>
        <w:outlineLvl w:val="0"/>
        <w:rPr>
          <w:rFonts w:ascii="宋体"/>
          <w:sz w:val="36"/>
          <w:szCs w:val="36"/>
        </w:rPr>
      </w:pPr>
      <w:bookmarkStart w:id="31" w:name="_Toc32511"/>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bookmarkEnd w:id="31"/>
    </w:p>
    <w:p>
      <w:pPr>
        <w:spacing w:line="360" w:lineRule="auto"/>
        <w:ind w:right="-108" w:firstLine="720" w:firstLineChars="200"/>
        <w:outlineLvl w:val="0"/>
        <w:rPr>
          <w:rFonts w:ascii="宋体"/>
          <w:sz w:val="36"/>
          <w:szCs w:val="36"/>
        </w:rPr>
      </w:pPr>
      <w:bookmarkStart w:id="32" w:name="_Toc18172"/>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bookmarkEnd w:id="32"/>
    </w:p>
    <w:p>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w:t>
      </w:r>
    </w:p>
    <w:p>
      <w:pPr>
        <w:spacing w:line="360" w:lineRule="auto"/>
        <w:rPr>
          <w:rFonts w:ascii="宋体" w:cs="宋体"/>
          <w:sz w:val="28"/>
          <w:szCs w:val="28"/>
        </w:rPr>
      </w:pPr>
    </w:p>
    <w:p>
      <w:pPr>
        <w:numPr>
          <w:ilvl w:val="0"/>
          <w:numId w:val="9"/>
        </w:numPr>
        <w:snapToGrid w:val="0"/>
        <w:spacing w:line="360" w:lineRule="auto"/>
        <w:jc w:val="distribute"/>
        <w:rPr>
          <w:rFonts w:ascii="宋体" w:hAnsi="宋体" w:cs="宋体"/>
          <w:sz w:val="28"/>
          <w:szCs w:val="28"/>
        </w:rPr>
      </w:pPr>
      <w:r>
        <w:rPr>
          <w:rFonts w:hint="eastAsia" w:ascii="宋体" w:hAnsi="宋体" w:cs="宋体"/>
          <w:sz w:val="28"/>
          <w:szCs w:val="28"/>
        </w:rPr>
        <w:t>投标函…………………………………………………………页码；</w:t>
      </w:r>
    </w:p>
    <w:p>
      <w:pPr>
        <w:numPr>
          <w:ilvl w:val="0"/>
          <w:numId w:val="9"/>
        </w:numPr>
        <w:snapToGrid w:val="0"/>
        <w:spacing w:line="360" w:lineRule="auto"/>
        <w:jc w:val="distribute"/>
        <w:rPr>
          <w:rFonts w:ascii="宋体" w:hAnsi="宋体" w:cs="宋体"/>
          <w:sz w:val="28"/>
          <w:szCs w:val="28"/>
        </w:rPr>
      </w:pPr>
      <w:r>
        <w:rPr>
          <w:rFonts w:hint="eastAsia" w:ascii="宋体" w:hAnsi="宋体" w:cs="宋体"/>
          <w:sz w:val="28"/>
          <w:szCs w:val="28"/>
        </w:rPr>
        <w:t>开标一览表……………………………………………………页码；</w:t>
      </w:r>
    </w:p>
    <w:p>
      <w:pPr>
        <w:numPr>
          <w:ilvl w:val="0"/>
          <w:numId w:val="9"/>
        </w:numPr>
        <w:snapToGrid w:val="0"/>
        <w:spacing w:line="360" w:lineRule="auto"/>
        <w:jc w:val="distribute"/>
        <w:rPr>
          <w:rFonts w:ascii="宋体" w:hAnsi="宋体" w:cs="宋体"/>
          <w:sz w:val="28"/>
          <w:szCs w:val="28"/>
        </w:rPr>
      </w:pPr>
      <w:r>
        <w:rPr>
          <w:rFonts w:hint="eastAsia" w:ascii="宋体" w:hAnsi="宋体" w:cs="宋体"/>
          <w:sz w:val="28"/>
          <w:szCs w:val="28"/>
        </w:rPr>
        <w:t>投标报价明细表………………………………………………页码；</w:t>
      </w:r>
    </w:p>
    <w:p>
      <w:pPr>
        <w:numPr>
          <w:ilvl w:val="0"/>
          <w:numId w:val="9"/>
        </w:numPr>
        <w:snapToGrid w:val="0"/>
        <w:spacing w:line="360" w:lineRule="auto"/>
        <w:jc w:val="distribute"/>
        <w:rPr>
          <w:rFonts w:ascii="宋体" w:hAnsi="宋体" w:cs="宋体"/>
          <w:sz w:val="28"/>
          <w:szCs w:val="28"/>
        </w:rPr>
      </w:pPr>
      <w:r>
        <w:rPr>
          <w:rFonts w:hint="eastAsia" w:ascii="宋体" w:hAnsi="宋体" w:cs="宋体"/>
          <w:sz w:val="28"/>
          <w:szCs w:val="28"/>
        </w:rPr>
        <w:t>针对报价投标人认为其他需要说明的………………………页码；</w:t>
      </w: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rPr>
          <w:rFonts w:ascii="宋体"/>
          <w:b/>
          <w:bCs/>
          <w:sz w:val="28"/>
          <w:szCs w:val="28"/>
        </w:rPr>
      </w:pPr>
      <w:r>
        <w:rPr>
          <w:rFonts w:ascii="宋体" w:hAnsi="宋体" w:cs="宋体"/>
          <w:b/>
          <w:bCs/>
          <w:sz w:val="28"/>
          <w:szCs w:val="28"/>
        </w:rPr>
        <w:br w:type="page"/>
      </w:r>
      <w:r>
        <w:rPr>
          <w:rFonts w:hint="eastAsia" w:ascii="宋体" w:hAnsi="宋体" w:cs="宋体"/>
          <w:b/>
          <w:bCs/>
          <w:sz w:val="24"/>
          <w:szCs w:val="24"/>
        </w:rPr>
        <w:t>附件1:</w:t>
      </w:r>
    </w:p>
    <w:p>
      <w:pPr>
        <w:widowControl/>
        <w:snapToGrid w:val="0"/>
        <w:spacing w:line="560" w:lineRule="exact"/>
        <w:jc w:val="center"/>
        <w:rPr>
          <w:rFonts w:ascii="宋体" w:hAnsi="宋体" w:cs="宋体"/>
          <w:b/>
          <w:color w:val="000000"/>
          <w:sz w:val="44"/>
          <w:szCs w:val="44"/>
        </w:rPr>
      </w:pPr>
      <w:r>
        <w:rPr>
          <w:rFonts w:hint="eastAsia" w:ascii="宋体" w:hAnsi="宋体" w:cs="宋体"/>
          <w:b/>
          <w:color w:val="000000"/>
          <w:kern w:val="0"/>
          <w:sz w:val="44"/>
          <w:szCs w:val="44"/>
        </w:rPr>
        <w:t>投   标   函</w:t>
      </w:r>
    </w:p>
    <w:p>
      <w:pPr>
        <w:spacing w:line="440" w:lineRule="exact"/>
        <w:rPr>
          <w:rFonts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kern w:val="0"/>
          <w:sz w:val="24"/>
        </w:rPr>
        <w:t xml:space="preserve">致：温岭市新河镇人民政府     </w:t>
      </w:r>
    </w:p>
    <w:p>
      <w:pPr>
        <w:spacing w:line="44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（投标人名称）授权</w:t>
      </w:r>
      <w:r>
        <w:rPr>
          <w:rFonts w:hint="eastAsia" w:ascii="宋体" w:hAnsi="宋体" w:cs="宋体"/>
          <w:color w:val="000000"/>
          <w:kern w:val="0"/>
          <w:sz w:val="24"/>
          <w:u w:val="single"/>
        </w:rPr>
        <w:t xml:space="preserve">               </w:t>
      </w:r>
      <w:r>
        <w:rPr>
          <w:rFonts w:hint="eastAsia" w:ascii="宋体" w:hAnsi="宋体" w:cs="宋体"/>
          <w:color w:val="000000"/>
          <w:kern w:val="0"/>
          <w:sz w:val="24"/>
        </w:rPr>
        <w:t>（全权代表姓名、职务）为全权代表，参加贵单位组织的</w:t>
      </w:r>
      <w:r>
        <w:rPr>
          <w:rFonts w:hint="eastAsia" w:ascii="宋体" w:hAnsi="宋体" w:cs="宋体"/>
          <w:color w:val="000000"/>
          <w:kern w:val="0"/>
          <w:sz w:val="24"/>
          <w:u w:val="single"/>
        </w:rPr>
        <w:t xml:space="preserve">          </w:t>
      </w:r>
      <w:r>
        <w:rPr>
          <w:rFonts w:hint="eastAsia" w:ascii="宋体" w:hAnsi="宋体" w:cs="宋体"/>
          <w:color w:val="000000"/>
          <w:kern w:val="0"/>
          <w:sz w:val="24"/>
        </w:rPr>
        <w:t>（招标项目名称）（编号为        ）招标的有关活动，并进行投标。为此：</w:t>
      </w:r>
    </w:p>
    <w:p>
      <w:pPr>
        <w:spacing w:line="440" w:lineRule="exact"/>
        <w:ind w:firstLine="480" w:firstLineChars="200"/>
        <w:outlineLvl w:val="0"/>
        <w:rPr>
          <w:rFonts w:ascii="宋体" w:hAnsi="宋体" w:cs="宋体"/>
          <w:color w:val="000000"/>
          <w:sz w:val="24"/>
        </w:rPr>
      </w:pPr>
      <w:bookmarkStart w:id="33" w:name="_Toc20024"/>
      <w:r>
        <w:rPr>
          <w:rFonts w:hint="eastAsia" w:ascii="宋体" w:hAnsi="宋体" w:cs="宋体"/>
          <w:color w:val="000000"/>
          <w:kern w:val="0"/>
          <w:sz w:val="24"/>
        </w:rPr>
        <w:t>l</w:t>
      </w:r>
      <w:r>
        <w:rPr>
          <w:rFonts w:hint="eastAsia" w:ascii="宋体" w:hAnsi="宋体" w:cs="宋体"/>
          <w:color w:val="000000"/>
          <w:kern w:val="0"/>
          <w:sz w:val="24"/>
          <w:lang w:eastAsia="zh-CN"/>
        </w:rPr>
        <w:t>.</w:t>
      </w:r>
      <w:r>
        <w:rPr>
          <w:rFonts w:hint="eastAsia" w:ascii="宋体" w:hAnsi="宋体" w:cs="宋体"/>
          <w:color w:val="000000"/>
          <w:kern w:val="0"/>
          <w:sz w:val="24"/>
        </w:rPr>
        <w:t>提供投标人须知规定的全部投标文件。</w:t>
      </w:r>
      <w:bookmarkEnd w:id="33"/>
    </w:p>
    <w:p>
      <w:pPr>
        <w:spacing w:line="440" w:lineRule="exact"/>
        <w:rPr>
          <w:rFonts w:ascii="宋体" w:hAnsi="宋体" w:cs="宋体"/>
          <w:color w:val="000000"/>
          <w:sz w:val="24"/>
        </w:rPr>
      </w:pPr>
      <w:r>
        <w:rPr>
          <w:rFonts w:hint="eastAsia" w:ascii="宋体" w:hAnsi="宋体" w:cs="宋体"/>
          <w:color w:val="000000"/>
          <w:kern w:val="0"/>
          <w:sz w:val="24"/>
        </w:rPr>
        <w:t xml:space="preserve">    2、我方的投标报价详见《开标一览表》。</w:t>
      </w:r>
    </w:p>
    <w:p>
      <w:pPr>
        <w:spacing w:line="440" w:lineRule="exact"/>
        <w:ind w:firstLine="360" w:firstLineChars="150"/>
        <w:rPr>
          <w:rFonts w:ascii="宋体" w:hAnsi="宋体" w:cs="宋体"/>
          <w:color w:val="000000"/>
          <w:sz w:val="24"/>
        </w:rPr>
      </w:pPr>
      <w:r>
        <w:rPr>
          <w:rFonts w:hint="eastAsia" w:ascii="宋体" w:hAnsi="宋体" w:cs="宋体"/>
          <w:color w:val="000000"/>
          <w:kern w:val="0"/>
          <w:sz w:val="24"/>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rPr>
        <w:t>，对招标文件的合理性、合法性不再有异议。</w:t>
      </w:r>
    </w:p>
    <w:p>
      <w:pPr>
        <w:spacing w:line="440" w:lineRule="exact"/>
        <w:rPr>
          <w:rFonts w:ascii="宋体" w:hAnsi="宋体" w:cs="宋体"/>
          <w:color w:val="000000"/>
          <w:sz w:val="24"/>
        </w:rPr>
      </w:pPr>
      <w:r>
        <w:rPr>
          <w:rFonts w:hint="eastAsia" w:ascii="宋体" w:hAnsi="宋体" w:cs="宋体"/>
          <w:color w:val="000000"/>
          <w:kern w:val="0"/>
          <w:sz w:val="24"/>
        </w:rPr>
        <w:t xml:space="preserve">    4、若中标，</w:t>
      </w:r>
      <w:r>
        <w:rPr>
          <w:rFonts w:hint="eastAsia" w:ascii="宋体" w:hAnsi="宋体" w:cs="宋体"/>
          <w:color w:val="000000"/>
          <w:kern w:val="0"/>
          <w:sz w:val="24"/>
          <w:szCs w:val="20"/>
        </w:rPr>
        <w:t>本投标文件至本项目合同履行完毕止均保持有效，</w:t>
      </w:r>
      <w:r>
        <w:rPr>
          <w:rFonts w:hint="eastAsia" w:ascii="宋体" w:hAnsi="宋体" w:cs="宋体"/>
          <w:color w:val="000000"/>
          <w:kern w:val="0"/>
          <w:sz w:val="24"/>
        </w:rPr>
        <w:t>我方将按招标文件规定履行合同责任和义务。</w:t>
      </w:r>
    </w:p>
    <w:p>
      <w:pPr>
        <w:spacing w:line="440" w:lineRule="exact"/>
        <w:rPr>
          <w:rFonts w:ascii="宋体" w:hAnsi="宋体" w:cs="宋体"/>
          <w:color w:val="000000"/>
          <w:sz w:val="24"/>
        </w:rPr>
      </w:pPr>
      <w:r>
        <w:rPr>
          <w:rFonts w:hint="eastAsia" w:ascii="宋体" w:hAnsi="宋体" w:cs="宋体"/>
          <w:color w:val="000000"/>
          <w:kern w:val="0"/>
          <w:sz w:val="24"/>
        </w:rPr>
        <w:t xml:space="preserve">    5、投标文件自开标之日起有效期为90天。</w:t>
      </w:r>
    </w:p>
    <w:p>
      <w:pPr>
        <w:spacing w:line="440" w:lineRule="exact"/>
        <w:rPr>
          <w:rFonts w:ascii="宋体" w:hAnsi="宋体" w:cs="宋体"/>
          <w:color w:val="000000"/>
          <w:sz w:val="24"/>
        </w:rPr>
      </w:pPr>
      <w:r>
        <w:rPr>
          <w:rFonts w:hint="eastAsia" w:ascii="宋体" w:hAnsi="宋体" w:cs="宋体"/>
          <w:color w:val="000000"/>
          <w:kern w:val="0"/>
          <w:sz w:val="24"/>
        </w:rPr>
        <w:t xml:space="preserve">    6、我方同意提供按照贵方可能要求的与本项投标有关的一切数据或资料，并保证其真实性、合法性。</w:t>
      </w:r>
    </w:p>
    <w:p>
      <w:pPr>
        <w:spacing w:line="440" w:lineRule="exact"/>
        <w:rPr>
          <w:rFonts w:ascii="宋体" w:hAnsi="宋体" w:cs="宋体"/>
          <w:color w:val="000000"/>
          <w:sz w:val="24"/>
        </w:rPr>
      </w:pPr>
      <w:r>
        <w:rPr>
          <w:rFonts w:hint="eastAsia" w:ascii="宋体" w:hAnsi="宋体" w:cs="宋体"/>
          <w:color w:val="000000"/>
          <w:kern w:val="0"/>
          <w:sz w:val="24"/>
        </w:rPr>
        <w:t xml:space="preserve">    7、我方与本次投标有关的一切正式来往通讯请寄：</w:t>
      </w:r>
    </w:p>
    <w:p>
      <w:pPr>
        <w:spacing w:line="440" w:lineRule="exact"/>
        <w:rPr>
          <w:rFonts w:ascii="宋体" w:hAnsi="宋体" w:cs="宋体"/>
          <w:color w:val="000000"/>
          <w:sz w:val="24"/>
        </w:rPr>
      </w:pPr>
      <w:r>
        <w:rPr>
          <w:rFonts w:hint="eastAsia" w:ascii="宋体" w:hAnsi="宋体" w:cs="宋体"/>
          <w:color w:val="000000"/>
          <w:kern w:val="0"/>
          <w:sz w:val="24"/>
        </w:rPr>
        <w:t xml:space="preserve">    </w:t>
      </w:r>
    </w:p>
    <w:p>
      <w:pPr>
        <w:spacing w:line="440" w:lineRule="exact"/>
        <w:rPr>
          <w:rFonts w:ascii="宋体" w:hAnsi="宋体" w:cs="宋体"/>
          <w:color w:val="000000"/>
          <w:sz w:val="24"/>
        </w:rPr>
      </w:pPr>
      <w:r>
        <w:rPr>
          <w:rFonts w:hint="eastAsia" w:ascii="宋体" w:hAnsi="宋体" w:cs="宋体"/>
          <w:color w:val="000000"/>
          <w:kern w:val="0"/>
          <w:sz w:val="24"/>
        </w:rPr>
        <w:t xml:space="preserve">      地址：</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邮编：</w:t>
      </w:r>
      <w:r>
        <w:rPr>
          <w:rFonts w:hint="eastAsia" w:ascii="宋体" w:hAnsi="宋体" w:cs="宋体"/>
          <w:color w:val="000000"/>
          <w:kern w:val="0"/>
          <w:sz w:val="24"/>
          <w:u w:val="single"/>
        </w:rPr>
        <w:t xml:space="preserve">                                                  </w:t>
      </w:r>
    </w:p>
    <w:p>
      <w:pPr>
        <w:spacing w:line="440" w:lineRule="exact"/>
        <w:rPr>
          <w:rFonts w:ascii="宋体" w:hAnsi="宋体" w:cs="宋体"/>
          <w:color w:val="000000"/>
          <w:sz w:val="24"/>
          <w:u w:val="single"/>
        </w:rPr>
      </w:pPr>
      <w:r>
        <w:rPr>
          <w:rFonts w:hint="eastAsia" w:ascii="宋体" w:hAnsi="宋体" w:cs="宋体"/>
          <w:color w:val="000000"/>
          <w:kern w:val="0"/>
          <w:sz w:val="24"/>
        </w:rPr>
        <w:t xml:space="preserve">      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传真：</w:t>
      </w:r>
      <w:r>
        <w:rPr>
          <w:rFonts w:hint="eastAsia" w:ascii="宋体" w:hAnsi="宋体" w:cs="宋体"/>
          <w:color w:val="000000"/>
          <w:kern w:val="0"/>
          <w:sz w:val="24"/>
          <w:u w:val="single"/>
        </w:rPr>
        <w:t xml:space="preserve">               </w:t>
      </w:r>
    </w:p>
    <w:p>
      <w:pPr>
        <w:spacing w:line="400" w:lineRule="exact"/>
        <w:rPr>
          <w:rFonts w:ascii="宋体" w:hAnsi="宋体" w:cs="宋体"/>
          <w:color w:val="000000"/>
          <w:sz w:val="24"/>
        </w:rPr>
      </w:pP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投标人名称：</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szCs w:val="20"/>
        </w:rPr>
        <w:t>（盖章或签名）</w:t>
      </w:r>
      <w:r>
        <w:rPr>
          <w:rFonts w:hint="eastAsia" w:ascii="宋体" w:hAnsi="宋体" w:cs="宋体"/>
          <w:color w:val="000000"/>
          <w:kern w:val="0"/>
          <w:sz w:val="24"/>
        </w:rPr>
        <w:t>：</w:t>
      </w:r>
      <w:r>
        <w:rPr>
          <w:rFonts w:hint="eastAsia" w:ascii="宋体" w:hAnsi="宋体" w:cs="宋体"/>
          <w:color w:val="000000"/>
          <w:kern w:val="0"/>
          <w:sz w:val="24"/>
          <w:u w:val="single"/>
        </w:rPr>
        <w:t xml:space="preserve">  </w:t>
      </w:r>
    </w:p>
    <w:p>
      <w:pPr>
        <w:spacing w:line="40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pPr>
        <w:spacing w:line="360" w:lineRule="auto"/>
        <w:ind w:left="-2" w:hanging="2"/>
        <w:rPr>
          <w:rFonts w:ascii="宋体" w:hAnsi="宋体" w:cs="宋体"/>
          <w:b/>
          <w:bCs/>
          <w:sz w:val="24"/>
          <w:szCs w:val="24"/>
        </w:rPr>
      </w:pPr>
      <w:r>
        <w:rPr>
          <w:rFonts w:hint="eastAsia" w:ascii="宋体" w:hAnsi="宋体" w:cs="宋体"/>
          <w:b/>
          <w:color w:val="000000"/>
          <w:sz w:val="28"/>
          <w:szCs w:val="28"/>
        </w:rPr>
        <w:br w:type="page"/>
      </w:r>
      <w:r>
        <w:rPr>
          <w:rFonts w:hint="eastAsia" w:ascii="宋体" w:hAnsi="宋体" w:cs="宋体"/>
          <w:b/>
          <w:bCs/>
          <w:sz w:val="24"/>
          <w:szCs w:val="24"/>
        </w:rPr>
        <w:t>附件2:</w:t>
      </w:r>
    </w:p>
    <w:p>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r>
        <w:rPr>
          <w:rFonts w:ascii="宋体" w:hAnsi="宋体" w:cs="宋体"/>
          <w:b/>
          <w:bCs/>
          <w:spacing w:val="21"/>
          <w:kern w:val="0"/>
          <w:sz w:val="32"/>
          <w:szCs w:val="32"/>
        </w:rPr>
        <w:t xml:space="preserve"> </w:t>
      </w:r>
    </w:p>
    <w:p>
      <w:pPr>
        <w:pStyle w:val="11"/>
        <w:spacing w:line="320" w:lineRule="exact"/>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JJWL22030950</w:t>
      </w:r>
    </w:p>
    <w:p>
      <w:pPr>
        <w:pStyle w:val="51"/>
        <w:spacing w:line="360" w:lineRule="auto"/>
        <w:ind w:right="480"/>
        <w:jc w:val="left"/>
        <w:rPr>
          <w:rFonts w:ascii="宋体" w:hAnsi="宋体" w:cs="宋体"/>
          <w:sz w:val="24"/>
          <w:szCs w:val="24"/>
        </w:rPr>
      </w:pPr>
      <w:r>
        <w:rPr>
          <w:rFonts w:hint="eastAsia" w:hAnsi="宋体" w:cs="宋体"/>
          <w:sz w:val="24"/>
          <w:szCs w:val="24"/>
        </w:rPr>
        <w:t>项目名称：</w:t>
      </w:r>
      <w:r>
        <w:rPr>
          <w:rFonts w:hint="eastAsia" w:hAnsi="宋体" w:cs="宋体"/>
          <w:sz w:val="24"/>
          <w:szCs w:val="24"/>
          <w:lang w:eastAsia="zh-CN"/>
        </w:rPr>
        <w:t>温岭市新河镇2022年度病媒生物防制专业化服务项目采购</w:t>
      </w:r>
      <w:r>
        <w:rPr>
          <w:rFonts w:ascii="宋体" w:hAnsi="宋体" w:cs="宋体"/>
          <w:sz w:val="24"/>
          <w:szCs w:val="24"/>
        </w:rPr>
        <w:t xml:space="preserve">  </w:t>
      </w:r>
    </w:p>
    <w:tbl>
      <w:tblPr>
        <w:tblStyle w:val="19"/>
        <w:tblW w:w="9453" w:type="dxa"/>
        <w:tblInd w:w="-49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4105"/>
        <w:gridCol w:w="1554"/>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546" w:type="dxa"/>
            <w:vAlign w:val="center"/>
          </w:tcPr>
          <w:p>
            <w:pPr>
              <w:jc w:val="center"/>
              <w:rPr>
                <w:rFonts w:hint="eastAsia" w:ascii="新宋体" w:hAnsi="新宋体" w:eastAsia="新宋体"/>
                <w:sz w:val="22"/>
                <w:szCs w:val="15"/>
                <w:lang w:eastAsia="zh-CN"/>
              </w:rPr>
            </w:pPr>
            <w:r>
              <w:rPr>
                <w:rFonts w:hint="eastAsia" w:ascii="新宋体" w:hAnsi="新宋体" w:eastAsia="新宋体"/>
                <w:sz w:val="22"/>
                <w:szCs w:val="15"/>
              </w:rPr>
              <w:t>标</w:t>
            </w:r>
            <w:r>
              <w:rPr>
                <w:rFonts w:hint="eastAsia" w:ascii="新宋体" w:hAnsi="新宋体" w:eastAsia="新宋体"/>
                <w:sz w:val="22"/>
                <w:szCs w:val="15"/>
                <w:lang w:eastAsia="zh-CN"/>
              </w:rPr>
              <w:t>项名称</w:t>
            </w:r>
          </w:p>
        </w:tc>
        <w:tc>
          <w:tcPr>
            <w:tcW w:w="4105" w:type="dxa"/>
            <w:vAlign w:val="center"/>
          </w:tcPr>
          <w:p>
            <w:pPr>
              <w:jc w:val="center"/>
              <w:rPr>
                <w:rFonts w:ascii="新宋体" w:hAnsi="新宋体" w:eastAsia="新宋体"/>
                <w:sz w:val="22"/>
                <w:szCs w:val="15"/>
              </w:rPr>
            </w:pPr>
            <w:r>
              <w:rPr>
                <w:rFonts w:hint="eastAsia" w:ascii="新宋体" w:hAnsi="新宋体" w:eastAsia="新宋体"/>
                <w:sz w:val="22"/>
                <w:szCs w:val="15"/>
              </w:rPr>
              <w:t>报  价（元）</w:t>
            </w:r>
          </w:p>
        </w:tc>
        <w:tc>
          <w:tcPr>
            <w:tcW w:w="1554" w:type="dxa"/>
            <w:vAlign w:val="center"/>
          </w:tcPr>
          <w:p>
            <w:pPr>
              <w:jc w:val="center"/>
              <w:rPr>
                <w:rFonts w:ascii="新宋体" w:hAnsi="新宋体" w:eastAsia="新宋体"/>
                <w:sz w:val="22"/>
                <w:szCs w:val="15"/>
              </w:rPr>
            </w:pPr>
            <w:r>
              <w:rPr>
                <w:rFonts w:hint="eastAsia" w:ascii="新宋体" w:hAnsi="新宋体" w:eastAsia="新宋体"/>
                <w:sz w:val="22"/>
                <w:szCs w:val="15"/>
              </w:rPr>
              <w:t>服务期限</w:t>
            </w:r>
          </w:p>
        </w:tc>
        <w:tc>
          <w:tcPr>
            <w:tcW w:w="1248" w:type="dxa"/>
            <w:vAlign w:val="center"/>
          </w:tcPr>
          <w:p>
            <w:pPr>
              <w:jc w:val="center"/>
              <w:rPr>
                <w:rFonts w:ascii="新宋体" w:hAnsi="新宋体" w:eastAsia="新宋体"/>
                <w:sz w:val="22"/>
                <w:szCs w:val="15"/>
              </w:rPr>
            </w:pPr>
            <w:r>
              <w:rPr>
                <w:rFonts w:hint="eastAsia" w:ascii="新宋体" w:hAnsi="新宋体" w:eastAsia="新宋体"/>
                <w:sz w:val="22"/>
                <w:szCs w:val="15"/>
              </w:rPr>
              <w:t>项目负</w:t>
            </w:r>
          </w:p>
          <w:p>
            <w:pPr>
              <w:jc w:val="center"/>
              <w:rPr>
                <w:rFonts w:ascii="新宋体" w:hAnsi="新宋体" w:eastAsia="新宋体"/>
                <w:sz w:val="22"/>
                <w:szCs w:val="15"/>
              </w:rPr>
            </w:pPr>
            <w:r>
              <w:rPr>
                <w:rFonts w:hint="eastAsia" w:ascii="新宋体" w:hAnsi="新宋体" w:eastAsia="新宋体"/>
                <w:sz w:val="22"/>
                <w:szCs w:val="15"/>
              </w:rPr>
              <w:t>责人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546" w:type="dxa"/>
            <w:vAlign w:val="center"/>
          </w:tcPr>
          <w:p>
            <w:pPr>
              <w:jc w:val="center"/>
              <w:rPr>
                <w:rFonts w:hint="eastAsia" w:ascii="新宋体" w:hAnsi="新宋体" w:eastAsia="新宋体"/>
                <w:sz w:val="22"/>
                <w:szCs w:val="15"/>
                <w:lang w:eastAsia="zh-CN"/>
              </w:rPr>
            </w:pPr>
            <w:r>
              <w:rPr>
                <w:rFonts w:hint="eastAsia" w:ascii="新宋体" w:hAnsi="新宋体" w:eastAsia="新宋体"/>
                <w:sz w:val="22"/>
                <w:szCs w:val="15"/>
                <w:lang w:eastAsia="zh-CN"/>
              </w:rPr>
              <w:t>温岭市新河镇2022年度病媒生物防制专业化服务项目采购</w:t>
            </w:r>
          </w:p>
        </w:tc>
        <w:tc>
          <w:tcPr>
            <w:tcW w:w="4105" w:type="dxa"/>
            <w:vAlign w:val="center"/>
          </w:tcPr>
          <w:p>
            <w:pPr>
              <w:rPr>
                <w:rFonts w:ascii="新宋体" w:hAnsi="新宋体" w:eastAsia="新宋体"/>
                <w:sz w:val="22"/>
                <w:szCs w:val="15"/>
                <w:u w:val="single"/>
              </w:rPr>
            </w:pPr>
            <w:r>
              <w:rPr>
                <w:rFonts w:hint="eastAsia" w:ascii="新宋体" w:hAnsi="新宋体" w:eastAsia="新宋体"/>
                <w:sz w:val="22"/>
                <w:szCs w:val="15"/>
              </w:rPr>
              <w:t>小写：</w:t>
            </w:r>
            <w:r>
              <w:rPr>
                <w:rFonts w:hint="eastAsia" w:ascii="新宋体" w:hAnsi="新宋体" w:eastAsia="新宋体"/>
                <w:sz w:val="22"/>
                <w:szCs w:val="15"/>
                <w:u w:val="single"/>
              </w:rPr>
              <w:t xml:space="preserve">                          </w:t>
            </w:r>
          </w:p>
          <w:p>
            <w:pPr>
              <w:rPr>
                <w:rFonts w:ascii="新宋体" w:hAnsi="新宋体" w:eastAsia="新宋体"/>
                <w:sz w:val="22"/>
                <w:szCs w:val="15"/>
              </w:rPr>
            </w:pPr>
          </w:p>
          <w:p>
            <w:pPr>
              <w:rPr>
                <w:rFonts w:ascii="新宋体" w:hAnsi="新宋体" w:eastAsia="新宋体"/>
                <w:sz w:val="22"/>
                <w:szCs w:val="15"/>
              </w:rPr>
            </w:pPr>
            <w:r>
              <w:rPr>
                <w:rFonts w:hint="eastAsia" w:ascii="新宋体" w:hAnsi="新宋体" w:eastAsia="新宋体"/>
                <w:sz w:val="22"/>
                <w:szCs w:val="15"/>
              </w:rPr>
              <w:t>大写：</w:t>
            </w:r>
            <w:r>
              <w:rPr>
                <w:rFonts w:hint="eastAsia" w:ascii="新宋体" w:hAnsi="新宋体" w:eastAsia="新宋体"/>
                <w:sz w:val="22"/>
                <w:szCs w:val="15"/>
                <w:u w:val="single"/>
              </w:rPr>
              <w:t xml:space="preserve">                          </w:t>
            </w:r>
          </w:p>
        </w:tc>
        <w:tc>
          <w:tcPr>
            <w:tcW w:w="1554" w:type="dxa"/>
            <w:vAlign w:val="center"/>
          </w:tcPr>
          <w:p>
            <w:pPr>
              <w:jc w:val="center"/>
              <w:rPr>
                <w:rFonts w:ascii="新宋体" w:hAnsi="新宋体" w:eastAsia="新宋体"/>
                <w:sz w:val="22"/>
                <w:szCs w:val="15"/>
              </w:rPr>
            </w:pPr>
            <w:r>
              <w:rPr>
                <w:rFonts w:hint="eastAsia" w:ascii="新宋体" w:hAnsi="新宋体" w:eastAsia="新宋体"/>
                <w:sz w:val="22"/>
                <w:szCs w:val="15"/>
              </w:rPr>
              <w:t>合同签订之日起一年</w:t>
            </w:r>
          </w:p>
        </w:tc>
        <w:tc>
          <w:tcPr>
            <w:tcW w:w="1248" w:type="dxa"/>
            <w:vAlign w:val="center"/>
          </w:tcPr>
          <w:p>
            <w:pPr>
              <w:rPr>
                <w:rFonts w:ascii="新宋体" w:hAnsi="新宋体" w:eastAsia="新宋体"/>
                <w:sz w:val="22"/>
                <w:szCs w:val="15"/>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53" w:type="dxa"/>
            <w:gridSpan w:val="4"/>
            <w:vAlign w:val="center"/>
          </w:tcPr>
          <w:p>
            <w:pPr>
              <w:ind w:firstLine="480"/>
              <w:jc w:val="center"/>
              <w:rPr>
                <w:rFonts w:ascii="新宋体" w:hAnsi="新宋体" w:eastAsia="新宋体"/>
                <w:sz w:val="22"/>
                <w:szCs w:val="15"/>
              </w:rPr>
            </w:pPr>
            <w:r>
              <w:rPr>
                <w:rFonts w:hint="eastAsia" w:ascii="新宋体" w:hAnsi="新宋体" w:eastAsia="新宋体"/>
                <w:sz w:val="22"/>
                <w:szCs w:val="15"/>
              </w:rPr>
              <w:t>本表转至投标函</w:t>
            </w:r>
          </w:p>
        </w:tc>
      </w:tr>
    </w:tbl>
    <w:p>
      <w:pPr>
        <w:spacing w:line="360" w:lineRule="auto"/>
        <w:rPr>
          <w:rFonts w:ascii="宋体"/>
          <w:sz w:val="24"/>
          <w:szCs w:val="24"/>
        </w:rPr>
      </w:pPr>
      <w:r>
        <w:rPr>
          <w:rFonts w:hint="eastAsia" w:ascii="宋体" w:hAnsi="宋体" w:cs="宋体"/>
          <w:b/>
          <w:bCs/>
        </w:rPr>
        <w:t>填报要求：</w:t>
      </w:r>
    </w:p>
    <w:p>
      <w:pPr>
        <w:pStyle w:val="8"/>
        <w:spacing w:line="360" w:lineRule="auto"/>
        <w:ind w:firstLineChars="200"/>
        <w:rPr>
          <w:rFonts w:ascii="宋体" w:hAnsi="宋体" w:cs="宋体"/>
          <w:kern w:val="0"/>
        </w:rPr>
      </w:pPr>
      <w:r>
        <w:rPr>
          <w:rFonts w:ascii="宋体" w:hAnsi="宋体" w:cs="宋体"/>
          <w:kern w:val="0"/>
        </w:rPr>
        <w:t>1.</w:t>
      </w:r>
      <w:r>
        <w:rPr>
          <w:rFonts w:hint="eastAsia" w:ascii="宋体" w:hAnsi="宋体" w:cs="宋体"/>
          <w:kern w:val="0"/>
        </w:rPr>
        <w:t>注：此表不得自行增减内容。</w:t>
      </w:r>
    </w:p>
    <w:p>
      <w:pPr>
        <w:spacing w:line="360" w:lineRule="auto"/>
        <w:ind w:firstLine="420" w:firstLineChars="200"/>
        <w:rPr>
          <w:rFonts w:ascii="宋体" w:hAnsi="宋体" w:cs="宋体"/>
          <w:kern w:val="0"/>
        </w:rPr>
      </w:pPr>
      <w:r>
        <w:rPr>
          <w:rFonts w:ascii="宋体" w:hAnsi="宋体" w:cs="宋体"/>
          <w:kern w:val="0"/>
        </w:rPr>
        <w:t>2.</w:t>
      </w:r>
      <w:r>
        <w:rPr>
          <w:rFonts w:hint="eastAsia" w:ascii="宋体" w:hAnsi="宋体" w:cs="宋体"/>
          <w:kern w:val="0"/>
        </w:rPr>
        <w:t>报价一经涂改，应在涂改处加盖单位公章，或者由法定代表人或授权代理人签字或盖章，否则其投标作无效</w:t>
      </w:r>
      <w:r>
        <w:rPr>
          <w:rFonts w:hint="eastAsia" w:ascii="宋体" w:hAnsi="宋体" w:cs="宋体"/>
          <w:kern w:val="0"/>
          <w:lang w:eastAsia="zh-CN"/>
        </w:rPr>
        <w:t>投标</w:t>
      </w:r>
      <w:r>
        <w:rPr>
          <w:rFonts w:hint="eastAsia" w:ascii="宋体" w:hAnsi="宋体" w:cs="宋体"/>
          <w:kern w:val="0"/>
        </w:rPr>
        <w:t>处理。</w:t>
      </w:r>
    </w:p>
    <w:p>
      <w:pPr>
        <w:pStyle w:val="8"/>
        <w:spacing w:line="360" w:lineRule="auto"/>
        <w:ind w:firstLineChars="200"/>
        <w:rPr>
          <w:rFonts w:ascii="宋体" w:hAnsi="宋体" w:cs="宋体"/>
          <w:kern w:val="0"/>
        </w:rPr>
      </w:pPr>
      <w:r>
        <w:rPr>
          <w:rFonts w:hint="eastAsia" w:ascii="宋体" w:hAnsi="宋体" w:cs="宋体"/>
          <w:kern w:val="0"/>
        </w:rPr>
        <w:t>3.</w:t>
      </w:r>
      <w:r>
        <w:rPr>
          <w:rFonts w:hint="eastAsia" w:ascii="宋体" w:hAnsi="宋体" w:cs="宋体"/>
        </w:rPr>
        <w:t>投标报价以人民币为结算货币，由投标人进行报价，采取总价（包括所有费用）合同承包，按总价投标和定标。除非合同中另有规定，投标报价须包括完成本次合同项目中的所有连带内容、关联内容所产生的费用，须包括市政、市容、环保、交通、治安等可能发生的费用，须包括劳务、管理、（劳动、社会、医疗、安全）保险、利润、税金、政策性文件规定及合同包含的所有风险、责任等合同中明示或暗示的所有一般风险、责任和义务等一切应由采购人支付的各项费用。投标人凡未列入的，将被认为均已包含在投标报价中。</w:t>
      </w:r>
    </w:p>
    <w:p>
      <w:pPr>
        <w:spacing w:line="360" w:lineRule="auto"/>
        <w:rPr>
          <w:rFonts w:ascii="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left="420"/>
        <w:rPr>
          <w:rFonts w:ascii="宋体"/>
          <w:sz w:val="24"/>
          <w:szCs w:val="24"/>
        </w:rPr>
      </w:pP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rPr>
          <w:rFonts w:ascii="宋体"/>
          <w:sz w:val="24"/>
          <w:szCs w:val="24"/>
        </w:rPr>
      </w:pP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b/>
          <w:bCs/>
          <w:sz w:val="28"/>
          <w:szCs w:val="28"/>
        </w:rPr>
        <w:sectPr>
          <w:headerReference r:id="rId10" w:type="default"/>
          <w:pgSz w:w="11906" w:h="16838"/>
          <w:pgMar w:top="1361" w:right="1644" w:bottom="1361" w:left="1644" w:header="851" w:footer="992" w:gutter="0"/>
          <w:pgNumType w:fmt="numberInDash"/>
          <w:cols w:space="425" w:num="1"/>
          <w:docGrid w:type="lines" w:linePitch="312" w:charSpace="0"/>
        </w:sectPr>
      </w:pPr>
    </w:p>
    <w:p>
      <w:pPr>
        <w:pStyle w:val="11"/>
        <w:spacing w:line="460" w:lineRule="atLeast"/>
        <w:rPr>
          <w:rFonts w:hAnsi="宋体"/>
          <w:b/>
          <w:color w:val="000000"/>
          <w:sz w:val="24"/>
          <w:szCs w:val="24"/>
        </w:rPr>
      </w:pPr>
      <w:r>
        <w:rPr>
          <w:rFonts w:hAnsi="宋体"/>
          <w:b/>
          <w:color w:val="000000"/>
          <w:sz w:val="24"/>
          <w:szCs w:val="24"/>
        </w:rPr>
        <w:t>附件</w:t>
      </w:r>
      <w:r>
        <w:rPr>
          <w:rFonts w:hint="eastAsia" w:hAnsi="宋体"/>
          <w:b/>
          <w:color w:val="000000"/>
          <w:sz w:val="24"/>
          <w:szCs w:val="24"/>
        </w:rPr>
        <w:t>3</w:t>
      </w:r>
      <w:r>
        <w:rPr>
          <w:rFonts w:hAnsi="宋体"/>
          <w:b/>
          <w:color w:val="000000"/>
          <w:sz w:val="24"/>
          <w:szCs w:val="24"/>
        </w:rPr>
        <w:t>：</w:t>
      </w:r>
    </w:p>
    <w:p>
      <w:pPr>
        <w:pStyle w:val="11"/>
        <w:spacing w:line="460" w:lineRule="atLeast"/>
        <w:jc w:val="center"/>
        <w:rPr>
          <w:rFonts w:hAnsi="宋体"/>
          <w:b/>
          <w:color w:val="000000"/>
          <w:sz w:val="36"/>
          <w:szCs w:val="36"/>
        </w:rPr>
      </w:pPr>
      <w:r>
        <w:rPr>
          <w:rFonts w:hint="eastAsia" w:hAnsi="宋体"/>
          <w:b/>
          <w:color w:val="000000"/>
          <w:sz w:val="36"/>
          <w:szCs w:val="36"/>
          <w:lang w:eastAsia="zh-CN"/>
        </w:rPr>
        <w:t>温岭市新河镇2022年度病媒生物防制专业化服务项目采购</w:t>
      </w:r>
      <w:r>
        <w:rPr>
          <w:rFonts w:hAnsi="宋体"/>
          <w:b/>
          <w:color w:val="000000"/>
          <w:sz w:val="36"/>
          <w:szCs w:val="36"/>
        </w:rPr>
        <w:t>投标报价明细表</w:t>
      </w:r>
    </w:p>
    <w:p>
      <w:pPr>
        <w:pStyle w:val="11"/>
        <w:spacing w:line="460" w:lineRule="atLeast"/>
        <w:jc w:val="right"/>
        <w:rPr>
          <w:rFonts w:hAnsi="宋体"/>
          <w:bCs/>
          <w:color w:val="000000"/>
        </w:rPr>
      </w:pPr>
      <w:r>
        <w:rPr>
          <w:rFonts w:hAnsi="宋体"/>
          <w:bCs/>
          <w:color w:val="000000"/>
        </w:rPr>
        <w:t>单位：元</w:t>
      </w:r>
    </w:p>
    <w:tbl>
      <w:tblPr>
        <w:tblStyle w:val="19"/>
        <w:tblpPr w:leftFromText="180" w:rightFromText="180" w:vertAnchor="page" w:horzAnchor="page" w:tblpX="1771" w:tblpY="3186"/>
        <w:tblW w:w="0" w:type="auto"/>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3"/>
        <w:gridCol w:w="6118"/>
        <w:gridCol w:w="1414"/>
        <w:gridCol w:w="1322"/>
        <w:gridCol w:w="1083"/>
        <w:gridCol w:w="1376"/>
        <w:gridCol w:w="23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2" w:hRule="atLeast"/>
        </w:trPr>
        <w:tc>
          <w:tcPr>
            <w:tcW w:w="563" w:type="dxa"/>
            <w:vAlign w:val="center"/>
          </w:tcPr>
          <w:p>
            <w:pPr>
              <w:jc w:val="center"/>
              <w:rPr>
                <w:rFonts w:hAnsi="宋体"/>
                <w:b/>
                <w:bCs/>
                <w:sz w:val="24"/>
                <w:szCs w:val="15"/>
              </w:rPr>
            </w:pPr>
            <w:r>
              <w:rPr>
                <w:rFonts w:hint="eastAsia" w:hAnsi="宋体"/>
                <w:b/>
                <w:bCs/>
                <w:sz w:val="24"/>
                <w:szCs w:val="15"/>
              </w:rPr>
              <w:t>序号</w:t>
            </w:r>
          </w:p>
        </w:tc>
        <w:tc>
          <w:tcPr>
            <w:tcW w:w="6118" w:type="dxa"/>
            <w:vAlign w:val="center"/>
          </w:tcPr>
          <w:p>
            <w:pPr>
              <w:jc w:val="center"/>
              <w:rPr>
                <w:rFonts w:hAnsi="宋体"/>
                <w:b/>
                <w:bCs/>
                <w:sz w:val="24"/>
                <w:szCs w:val="15"/>
              </w:rPr>
            </w:pPr>
            <w:r>
              <w:rPr>
                <w:rFonts w:hint="eastAsia" w:hAnsi="宋体"/>
                <w:b/>
                <w:bCs/>
                <w:sz w:val="24"/>
                <w:szCs w:val="15"/>
              </w:rPr>
              <w:t>名称</w:t>
            </w:r>
          </w:p>
        </w:tc>
        <w:tc>
          <w:tcPr>
            <w:tcW w:w="1414" w:type="dxa"/>
            <w:vAlign w:val="center"/>
          </w:tcPr>
          <w:p>
            <w:pPr>
              <w:jc w:val="center"/>
              <w:rPr>
                <w:rFonts w:hAnsi="宋体"/>
                <w:b/>
                <w:bCs/>
                <w:sz w:val="24"/>
                <w:szCs w:val="15"/>
              </w:rPr>
            </w:pPr>
            <w:r>
              <w:rPr>
                <w:rFonts w:hint="eastAsia" w:hAnsi="宋体"/>
                <w:b/>
                <w:bCs/>
                <w:sz w:val="24"/>
                <w:szCs w:val="15"/>
              </w:rPr>
              <w:t>单位</w:t>
            </w:r>
          </w:p>
        </w:tc>
        <w:tc>
          <w:tcPr>
            <w:tcW w:w="1322" w:type="dxa"/>
            <w:vAlign w:val="center"/>
          </w:tcPr>
          <w:p>
            <w:pPr>
              <w:jc w:val="center"/>
              <w:rPr>
                <w:rFonts w:hAnsi="宋体"/>
                <w:b/>
                <w:bCs/>
                <w:sz w:val="24"/>
                <w:szCs w:val="15"/>
              </w:rPr>
            </w:pPr>
            <w:r>
              <w:rPr>
                <w:rFonts w:hint="eastAsia" w:hAnsi="宋体"/>
                <w:b/>
                <w:bCs/>
                <w:sz w:val="24"/>
                <w:szCs w:val="15"/>
              </w:rPr>
              <w:t>数量</w:t>
            </w:r>
          </w:p>
        </w:tc>
        <w:tc>
          <w:tcPr>
            <w:tcW w:w="1083" w:type="dxa"/>
            <w:vAlign w:val="center"/>
          </w:tcPr>
          <w:p>
            <w:pPr>
              <w:jc w:val="center"/>
              <w:rPr>
                <w:rFonts w:hint="eastAsia" w:hAnsi="宋体" w:eastAsia="宋体"/>
                <w:b/>
                <w:bCs/>
                <w:sz w:val="24"/>
                <w:szCs w:val="15"/>
                <w:lang w:eastAsia="zh-CN"/>
              </w:rPr>
            </w:pPr>
            <w:r>
              <w:rPr>
                <w:rFonts w:hint="eastAsia" w:hAnsi="宋体"/>
                <w:b/>
                <w:bCs/>
                <w:sz w:val="24"/>
                <w:szCs w:val="15"/>
              </w:rPr>
              <w:t>单价</w:t>
            </w:r>
            <w:r>
              <w:rPr>
                <w:rFonts w:hint="eastAsia" w:hAnsi="宋体"/>
                <w:b/>
                <w:bCs/>
                <w:sz w:val="24"/>
                <w:szCs w:val="15"/>
                <w:lang w:eastAsia="zh-CN"/>
              </w:rPr>
              <w:t>（元）</w:t>
            </w:r>
          </w:p>
        </w:tc>
        <w:tc>
          <w:tcPr>
            <w:tcW w:w="1376" w:type="dxa"/>
            <w:vAlign w:val="center"/>
          </w:tcPr>
          <w:p>
            <w:pPr>
              <w:jc w:val="center"/>
              <w:rPr>
                <w:rFonts w:hint="eastAsia" w:hAnsi="宋体" w:eastAsia="宋体"/>
                <w:b/>
                <w:bCs/>
                <w:sz w:val="24"/>
                <w:szCs w:val="15"/>
                <w:lang w:eastAsia="zh-CN"/>
              </w:rPr>
            </w:pPr>
            <w:r>
              <w:rPr>
                <w:rFonts w:hint="eastAsia" w:hAnsi="宋体"/>
                <w:b/>
                <w:bCs/>
                <w:sz w:val="24"/>
                <w:szCs w:val="15"/>
              </w:rPr>
              <w:t>合计金额</w:t>
            </w:r>
            <w:r>
              <w:rPr>
                <w:rFonts w:hint="eastAsia" w:hAnsi="宋体"/>
                <w:b/>
                <w:bCs/>
                <w:sz w:val="24"/>
                <w:szCs w:val="15"/>
                <w:lang w:eastAsia="zh-CN"/>
              </w:rPr>
              <w:t>（元）</w:t>
            </w:r>
          </w:p>
        </w:tc>
        <w:tc>
          <w:tcPr>
            <w:tcW w:w="2344" w:type="dxa"/>
            <w:vAlign w:val="center"/>
          </w:tcPr>
          <w:p>
            <w:pPr>
              <w:jc w:val="center"/>
              <w:rPr>
                <w:rFonts w:hAnsi="宋体"/>
                <w:b/>
                <w:bCs/>
                <w:sz w:val="24"/>
                <w:szCs w:val="15"/>
              </w:rPr>
            </w:pPr>
            <w:r>
              <w:rPr>
                <w:rFonts w:hint="eastAsia" w:hAnsi="宋体"/>
                <w:b/>
                <w:bCs/>
                <w:sz w:val="24"/>
                <w:szCs w:val="15"/>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7" w:hRule="atLeast"/>
        </w:trPr>
        <w:tc>
          <w:tcPr>
            <w:tcW w:w="563" w:type="dxa"/>
            <w:vAlign w:val="center"/>
          </w:tcPr>
          <w:p>
            <w:pPr>
              <w:jc w:val="center"/>
              <w:rPr>
                <w:rFonts w:hAnsi="宋体"/>
                <w:sz w:val="24"/>
                <w:szCs w:val="15"/>
              </w:rPr>
            </w:pPr>
            <w:r>
              <w:rPr>
                <w:rFonts w:hint="eastAsia" w:hAnsi="宋体"/>
                <w:sz w:val="24"/>
                <w:szCs w:val="15"/>
              </w:rPr>
              <w:t>1</w:t>
            </w:r>
          </w:p>
        </w:tc>
        <w:tc>
          <w:tcPr>
            <w:tcW w:w="6118" w:type="dxa"/>
            <w:vAlign w:val="center"/>
          </w:tcPr>
          <w:p>
            <w:pPr>
              <w:jc w:val="center"/>
              <w:rPr>
                <w:rFonts w:hAnsi="宋体"/>
                <w:sz w:val="24"/>
                <w:szCs w:val="15"/>
              </w:rPr>
            </w:pPr>
            <w:r>
              <w:rPr>
                <w:rFonts w:hint="eastAsia" w:hAnsi="宋体"/>
                <w:sz w:val="24"/>
                <w:szCs w:val="15"/>
              </w:rPr>
              <w:t>公共外环境消杀</w:t>
            </w:r>
          </w:p>
        </w:tc>
        <w:tc>
          <w:tcPr>
            <w:tcW w:w="1414" w:type="dxa"/>
            <w:vAlign w:val="center"/>
          </w:tcPr>
          <w:p>
            <w:pPr>
              <w:jc w:val="center"/>
              <w:rPr>
                <w:rFonts w:hAnsi="宋体"/>
                <w:sz w:val="24"/>
                <w:szCs w:val="15"/>
              </w:rPr>
            </w:pPr>
            <w:r>
              <w:rPr>
                <w:rFonts w:hint="eastAsia" w:hAnsi="宋体"/>
                <w:sz w:val="24"/>
                <w:szCs w:val="15"/>
              </w:rPr>
              <w:t>平方公里</w:t>
            </w:r>
          </w:p>
        </w:tc>
        <w:tc>
          <w:tcPr>
            <w:tcW w:w="1322" w:type="dxa"/>
            <w:vAlign w:val="center"/>
          </w:tcPr>
          <w:p>
            <w:pPr>
              <w:jc w:val="center"/>
              <w:rPr>
                <w:rFonts w:hint="eastAsia" w:hAnsi="宋体" w:eastAsia="宋体"/>
                <w:sz w:val="24"/>
                <w:szCs w:val="15"/>
                <w:lang w:eastAsia="zh-CN"/>
              </w:rPr>
            </w:pPr>
            <w:r>
              <w:rPr>
                <w:rFonts w:hint="eastAsia" w:hAnsi="宋体"/>
                <w:sz w:val="24"/>
                <w:szCs w:val="15"/>
                <w:lang w:eastAsia="zh-CN"/>
              </w:rPr>
              <w:t>8.74</w:t>
            </w:r>
          </w:p>
        </w:tc>
        <w:tc>
          <w:tcPr>
            <w:tcW w:w="1083" w:type="dxa"/>
            <w:vAlign w:val="center"/>
          </w:tcPr>
          <w:p>
            <w:pPr>
              <w:jc w:val="center"/>
              <w:rPr>
                <w:rFonts w:hAnsi="宋体"/>
                <w:sz w:val="24"/>
                <w:szCs w:val="15"/>
              </w:rPr>
            </w:pPr>
          </w:p>
        </w:tc>
        <w:tc>
          <w:tcPr>
            <w:tcW w:w="1376" w:type="dxa"/>
            <w:vAlign w:val="center"/>
          </w:tcPr>
          <w:p>
            <w:pPr>
              <w:jc w:val="center"/>
              <w:rPr>
                <w:rFonts w:hAnsi="宋体"/>
                <w:sz w:val="24"/>
                <w:szCs w:val="15"/>
              </w:rPr>
            </w:pPr>
          </w:p>
        </w:tc>
        <w:tc>
          <w:tcPr>
            <w:tcW w:w="2344" w:type="dxa"/>
            <w:vAlign w:val="center"/>
          </w:tcPr>
          <w:p>
            <w:pPr>
              <w:jc w:val="center"/>
              <w:rPr>
                <w:rFonts w:hAnsi="宋体"/>
                <w:sz w:val="24"/>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7" w:hRule="atLeast"/>
        </w:trPr>
        <w:tc>
          <w:tcPr>
            <w:tcW w:w="563" w:type="dxa"/>
            <w:vAlign w:val="center"/>
          </w:tcPr>
          <w:p>
            <w:pPr>
              <w:jc w:val="center"/>
              <w:rPr>
                <w:rFonts w:hAnsi="宋体"/>
                <w:sz w:val="24"/>
                <w:szCs w:val="15"/>
              </w:rPr>
            </w:pPr>
            <w:r>
              <w:rPr>
                <w:rFonts w:hint="eastAsia" w:hAnsi="宋体"/>
                <w:sz w:val="24"/>
                <w:szCs w:val="15"/>
              </w:rPr>
              <w:t>2</w:t>
            </w:r>
          </w:p>
        </w:tc>
        <w:tc>
          <w:tcPr>
            <w:tcW w:w="6118" w:type="dxa"/>
            <w:tcBorders>
              <w:bottom w:val="single" w:color="auto" w:sz="4" w:space="0"/>
            </w:tcBorders>
            <w:vAlign w:val="center"/>
          </w:tcPr>
          <w:p>
            <w:pPr>
              <w:jc w:val="center"/>
              <w:rPr>
                <w:rFonts w:hAnsi="宋体"/>
                <w:sz w:val="24"/>
                <w:szCs w:val="15"/>
              </w:rPr>
            </w:pPr>
            <w:r>
              <w:rPr>
                <w:rFonts w:hint="eastAsia" w:hAnsi="宋体"/>
                <w:sz w:val="24"/>
                <w:szCs w:val="15"/>
              </w:rPr>
              <w:t>相关经营单位（六小行业、其他沿街店铺）四害消杀</w:t>
            </w:r>
          </w:p>
        </w:tc>
        <w:tc>
          <w:tcPr>
            <w:tcW w:w="1414" w:type="dxa"/>
            <w:vAlign w:val="center"/>
          </w:tcPr>
          <w:p>
            <w:pPr>
              <w:jc w:val="center"/>
              <w:rPr>
                <w:rFonts w:hAnsi="宋体"/>
                <w:sz w:val="24"/>
                <w:szCs w:val="15"/>
              </w:rPr>
            </w:pPr>
            <w:r>
              <w:rPr>
                <w:rFonts w:hint="eastAsia" w:hAnsi="宋体"/>
                <w:sz w:val="24"/>
                <w:szCs w:val="15"/>
              </w:rPr>
              <w:t>家</w:t>
            </w:r>
          </w:p>
        </w:tc>
        <w:tc>
          <w:tcPr>
            <w:tcW w:w="1322" w:type="dxa"/>
            <w:vAlign w:val="center"/>
          </w:tcPr>
          <w:p>
            <w:pPr>
              <w:jc w:val="center"/>
              <w:rPr>
                <w:rFonts w:hAnsi="宋体"/>
                <w:sz w:val="24"/>
                <w:szCs w:val="15"/>
              </w:rPr>
            </w:pPr>
            <w:r>
              <w:rPr>
                <w:rFonts w:hint="eastAsia" w:hAnsi="宋体"/>
                <w:sz w:val="24"/>
                <w:szCs w:val="15"/>
              </w:rPr>
              <w:t>3000</w:t>
            </w:r>
          </w:p>
        </w:tc>
        <w:tc>
          <w:tcPr>
            <w:tcW w:w="1083" w:type="dxa"/>
            <w:vAlign w:val="center"/>
          </w:tcPr>
          <w:p>
            <w:pPr>
              <w:jc w:val="center"/>
              <w:rPr>
                <w:rFonts w:hAnsi="宋体"/>
                <w:sz w:val="24"/>
                <w:szCs w:val="15"/>
              </w:rPr>
            </w:pPr>
          </w:p>
        </w:tc>
        <w:tc>
          <w:tcPr>
            <w:tcW w:w="1376" w:type="dxa"/>
            <w:vAlign w:val="center"/>
          </w:tcPr>
          <w:p>
            <w:pPr>
              <w:jc w:val="center"/>
              <w:rPr>
                <w:rFonts w:hAnsi="宋体"/>
                <w:sz w:val="24"/>
                <w:szCs w:val="15"/>
              </w:rPr>
            </w:pPr>
          </w:p>
        </w:tc>
        <w:tc>
          <w:tcPr>
            <w:tcW w:w="2344" w:type="dxa"/>
            <w:vAlign w:val="center"/>
          </w:tcPr>
          <w:p>
            <w:pPr>
              <w:jc w:val="center"/>
              <w:rPr>
                <w:rFonts w:hAnsi="宋体"/>
                <w:sz w:val="24"/>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7" w:hRule="atLeast"/>
        </w:trPr>
        <w:tc>
          <w:tcPr>
            <w:tcW w:w="563" w:type="dxa"/>
            <w:vAlign w:val="center"/>
          </w:tcPr>
          <w:p>
            <w:pPr>
              <w:jc w:val="center"/>
              <w:rPr>
                <w:rFonts w:hAnsi="宋体"/>
                <w:sz w:val="24"/>
                <w:szCs w:val="15"/>
              </w:rPr>
            </w:pPr>
            <w:r>
              <w:rPr>
                <w:rFonts w:hint="eastAsia" w:hAnsi="宋体"/>
                <w:sz w:val="24"/>
                <w:szCs w:val="15"/>
              </w:rPr>
              <w:t>3</w:t>
            </w:r>
          </w:p>
        </w:tc>
        <w:tc>
          <w:tcPr>
            <w:tcW w:w="6118" w:type="dxa"/>
            <w:tcBorders>
              <w:top w:val="single" w:color="auto" w:sz="4" w:space="0"/>
            </w:tcBorders>
            <w:vAlign w:val="center"/>
          </w:tcPr>
          <w:p>
            <w:pPr>
              <w:jc w:val="center"/>
              <w:rPr>
                <w:rFonts w:hAnsi="宋体"/>
                <w:sz w:val="24"/>
                <w:szCs w:val="15"/>
              </w:rPr>
            </w:pPr>
            <w:r>
              <w:rPr>
                <w:rFonts w:hint="eastAsia" w:hAnsi="宋体"/>
                <w:sz w:val="24"/>
                <w:szCs w:val="15"/>
              </w:rPr>
              <w:t>辖区居民除害药物</w:t>
            </w:r>
          </w:p>
        </w:tc>
        <w:tc>
          <w:tcPr>
            <w:tcW w:w="1414" w:type="dxa"/>
            <w:vAlign w:val="center"/>
          </w:tcPr>
          <w:p>
            <w:pPr>
              <w:jc w:val="center"/>
              <w:rPr>
                <w:rFonts w:hAnsi="宋体"/>
                <w:sz w:val="24"/>
                <w:szCs w:val="15"/>
              </w:rPr>
            </w:pPr>
            <w:r>
              <w:rPr>
                <w:rFonts w:hint="eastAsia" w:hAnsi="宋体"/>
                <w:sz w:val="24"/>
                <w:szCs w:val="15"/>
              </w:rPr>
              <w:t>户</w:t>
            </w:r>
          </w:p>
        </w:tc>
        <w:tc>
          <w:tcPr>
            <w:tcW w:w="1322" w:type="dxa"/>
            <w:vAlign w:val="center"/>
          </w:tcPr>
          <w:p>
            <w:pPr>
              <w:jc w:val="center"/>
              <w:rPr>
                <w:rFonts w:hAnsi="宋体"/>
                <w:sz w:val="24"/>
                <w:szCs w:val="15"/>
              </w:rPr>
            </w:pPr>
            <w:r>
              <w:rPr>
                <w:rFonts w:hint="eastAsia"/>
                <w:sz w:val="24"/>
              </w:rPr>
              <w:t>40952</w:t>
            </w:r>
          </w:p>
        </w:tc>
        <w:tc>
          <w:tcPr>
            <w:tcW w:w="1083" w:type="dxa"/>
            <w:vAlign w:val="center"/>
          </w:tcPr>
          <w:p>
            <w:pPr>
              <w:jc w:val="center"/>
              <w:rPr>
                <w:rFonts w:hAnsi="宋体"/>
                <w:sz w:val="24"/>
                <w:szCs w:val="15"/>
              </w:rPr>
            </w:pPr>
          </w:p>
        </w:tc>
        <w:tc>
          <w:tcPr>
            <w:tcW w:w="1376" w:type="dxa"/>
            <w:vAlign w:val="center"/>
          </w:tcPr>
          <w:p>
            <w:pPr>
              <w:jc w:val="center"/>
              <w:rPr>
                <w:rFonts w:hAnsi="宋体"/>
                <w:sz w:val="24"/>
                <w:szCs w:val="15"/>
              </w:rPr>
            </w:pPr>
          </w:p>
        </w:tc>
        <w:tc>
          <w:tcPr>
            <w:tcW w:w="2344" w:type="dxa"/>
            <w:vAlign w:val="center"/>
          </w:tcPr>
          <w:p>
            <w:pPr>
              <w:jc w:val="center"/>
              <w:rPr>
                <w:rFonts w:hAnsi="宋体"/>
                <w:sz w:val="24"/>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7" w:hRule="atLeast"/>
        </w:trPr>
        <w:tc>
          <w:tcPr>
            <w:tcW w:w="563" w:type="dxa"/>
            <w:vAlign w:val="center"/>
          </w:tcPr>
          <w:p>
            <w:pPr>
              <w:jc w:val="center"/>
              <w:rPr>
                <w:rFonts w:hAnsi="宋体"/>
                <w:sz w:val="24"/>
                <w:szCs w:val="15"/>
              </w:rPr>
            </w:pPr>
            <w:r>
              <w:rPr>
                <w:rFonts w:hint="eastAsia" w:hAnsi="宋体"/>
                <w:sz w:val="24"/>
                <w:szCs w:val="15"/>
              </w:rPr>
              <w:t>4</w:t>
            </w:r>
          </w:p>
        </w:tc>
        <w:tc>
          <w:tcPr>
            <w:tcW w:w="6118" w:type="dxa"/>
            <w:tcBorders>
              <w:bottom w:val="single" w:color="auto" w:sz="4" w:space="0"/>
            </w:tcBorders>
            <w:vAlign w:val="center"/>
          </w:tcPr>
          <w:p>
            <w:pPr>
              <w:jc w:val="center"/>
              <w:rPr>
                <w:rFonts w:hAnsi="宋体"/>
                <w:sz w:val="24"/>
                <w:szCs w:val="15"/>
              </w:rPr>
            </w:pPr>
            <w:r>
              <w:rPr>
                <w:rFonts w:hint="eastAsia" w:hAnsi="宋体"/>
                <w:sz w:val="24"/>
                <w:szCs w:val="15"/>
              </w:rPr>
              <w:t>农贸市场病媒生物防治</w:t>
            </w:r>
          </w:p>
        </w:tc>
        <w:tc>
          <w:tcPr>
            <w:tcW w:w="1414" w:type="dxa"/>
            <w:vAlign w:val="center"/>
          </w:tcPr>
          <w:p>
            <w:pPr>
              <w:jc w:val="center"/>
              <w:rPr>
                <w:rFonts w:hAnsi="宋体"/>
                <w:sz w:val="24"/>
                <w:szCs w:val="15"/>
              </w:rPr>
            </w:pPr>
            <w:r>
              <w:rPr>
                <w:rFonts w:hint="eastAsia" w:hAnsi="宋体"/>
                <w:sz w:val="24"/>
                <w:szCs w:val="15"/>
              </w:rPr>
              <w:t>家</w:t>
            </w:r>
          </w:p>
        </w:tc>
        <w:tc>
          <w:tcPr>
            <w:tcW w:w="1322" w:type="dxa"/>
            <w:vAlign w:val="center"/>
          </w:tcPr>
          <w:p>
            <w:pPr>
              <w:jc w:val="center"/>
              <w:rPr>
                <w:rFonts w:hAnsi="宋体"/>
                <w:sz w:val="24"/>
                <w:szCs w:val="15"/>
              </w:rPr>
            </w:pPr>
            <w:r>
              <w:rPr>
                <w:rFonts w:hint="eastAsia"/>
                <w:sz w:val="24"/>
                <w:szCs w:val="15"/>
              </w:rPr>
              <w:t>9</w:t>
            </w:r>
          </w:p>
        </w:tc>
        <w:tc>
          <w:tcPr>
            <w:tcW w:w="1083" w:type="dxa"/>
            <w:vAlign w:val="center"/>
          </w:tcPr>
          <w:p>
            <w:pPr>
              <w:jc w:val="center"/>
              <w:rPr>
                <w:rFonts w:hAnsi="宋体"/>
                <w:sz w:val="24"/>
                <w:szCs w:val="15"/>
              </w:rPr>
            </w:pPr>
          </w:p>
        </w:tc>
        <w:tc>
          <w:tcPr>
            <w:tcW w:w="1376" w:type="dxa"/>
            <w:tcBorders>
              <w:right w:val="single" w:color="auto" w:sz="4" w:space="0"/>
            </w:tcBorders>
            <w:vAlign w:val="center"/>
          </w:tcPr>
          <w:p>
            <w:pPr>
              <w:jc w:val="center"/>
              <w:rPr>
                <w:rFonts w:hAnsi="宋体"/>
                <w:sz w:val="24"/>
                <w:szCs w:val="15"/>
              </w:rPr>
            </w:pPr>
          </w:p>
        </w:tc>
        <w:tc>
          <w:tcPr>
            <w:tcW w:w="2344" w:type="dxa"/>
            <w:vAlign w:val="center"/>
          </w:tcPr>
          <w:p>
            <w:pPr>
              <w:jc w:val="center"/>
              <w:rPr>
                <w:rFonts w:hAnsi="宋体"/>
                <w:sz w:val="24"/>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3" w:hRule="atLeast"/>
        </w:trPr>
        <w:tc>
          <w:tcPr>
            <w:tcW w:w="563" w:type="dxa"/>
            <w:vAlign w:val="center"/>
          </w:tcPr>
          <w:p>
            <w:pPr>
              <w:jc w:val="center"/>
              <w:rPr>
                <w:rFonts w:hAnsi="宋体"/>
                <w:sz w:val="24"/>
                <w:szCs w:val="15"/>
              </w:rPr>
            </w:pPr>
            <w:r>
              <w:rPr>
                <w:rFonts w:hint="eastAsia" w:hAnsi="宋体"/>
                <w:sz w:val="24"/>
                <w:szCs w:val="15"/>
              </w:rPr>
              <w:t>5</w:t>
            </w:r>
          </w:p>
        </w:tc>
        <w:tc>
          <w:tcPr>
            <w:tcW w:w="6118" w:type="dxa"/>
            <w:vAlign w:val="center"/>
          </w:tcPr>
          <w:p>
            <w:pPr>
              <w:jc w:val="center"/>
              <w:rPr>
                <w:rFonts w:hAnsi="宋体"/>
                <w:sz w:val="24"/>
                <w:szCs w:val="15"/>
              </w:rPr>
            </w:pPr>
            <w:r>
              <w:rPr>
                <w:rFonts w:hint="eastAsia" w:hAnsi="宋体"/>
                <w:sz w:val="24"/>
                <w:szCs w:val="15"/>
              </w:rPr>
              <w:t>灭鼠陶瓷毒饵站</w:t>
            </w:r>
          </w:p>
        </w:tc>
        <w:tc>
          <w:tcPr>
            <w:tcW w:w="1414" w:type="dxa"/>
            <w:tcBorders>
              <w:right w:val="single" w:color="auto" w:sz="4" w:space="0"/>
            </w:tcBorders>
            <w:vAlign w:val="center"/>
          </w:tcPr>
          <w:p>
            <w:pPr>
              <w:jc w:val="center"/>
              <w:rPr>
                <w:rFonts w:hAnsi="宋体"/>
                <w:sz w:val="24"/>
                <w:szCs w:val="15"/>
              </w:rPr>
            </w:pPr>
            <w:r>
              <w:rPr>
                <w:rFonts w:hint="eastAsia" w:hAnsi="宋体"/>
                <w:sz w:val="24"/>
                <w:szCs w:val="15"/>
              </w:rPr>
              <w:t>个</w:t>
            </w:r>
          </w:p>
        </w:tc>
        <w:tc>
          <w:tcPr>
            <w:tcW w:w="1322" w:type="dxa"/>
            <w:tcBorders>
              <w:left w:val="single" w:color="auto" w:sz="4" w:space="0"/>
              <w:right w:val="single" w:color="auto" w:sz="4" w:space="0"/>
            </w:tcBorders>
            <w:vAlign w:val="center"/>
          </w:tcPr>
          <w:p>
            <w:pPr>
              <w:jc w:val="center"/>
              <w:rPr>
                <w:rFonts w:hAnsi="宋体"/>
                <w:sz w:val="24"/>
                <w:szCs w:val="15"/>
              </w:rPr>
            </w:pPr>
            <w:r>
              <w:rPr>
                <w:rFonts w:hint="eastAsia" w:hAnsi="宋体"/>
                <w:sz w:val="24"/>
                <w:szCs w:val="15"/>
              </w:rPr>
              <w:t>1000</w:t>
            </w:r>
          </w:p>
        </w:tc>
        <w:tc>
          <w:tcPr>
            <w:tcW w:w="1083" w:type="dxa"/>
            <w:tcBorders>
              <w:left w:val="single" w:color="auto" w:sz="4" w:space="0"/>
              <w:right w:val="single" w:color="auto" w:sz="4" w:space="0"/>
            </w:tcBorders>
            <w:vAlign w:val="center"/>
          </w:tcPr>
          <w:p>
            <w:pPr>
              <w:jc w:val="center"/>
              <w:rPr>
                <w:rFonts w:hAnsi="宋体"/>
                <w:sz w:val="24"/>
                <w:szCs w:val="15"/>
              </w:rPr>
            </w:pPr>
          </w:p>
        </w:tc>
        <w:tc>
          <w:tcPr>
            <w:tcW w:w="1376" w:type="dxa"/>
            <w:tcBorders>
              <w:left w:val="single" w:color="auto" w:sz="4" w:space="0"/>
              <w:right w:val="single" w:color="auto" w:sz="4" w:space="0"/>
            </w:tcBorders>
            <w:vAlign w:val="center"/>
          </w:tcPr>
          <w:p>
            <w:pPr>
              <w:jc w:val="center"/>
              <w:rPr>
                <w:rFonts w:hAnsi="宋体"/>
                <w:sz w:val="24"/>
                <w:szCs w:val="15"/>
              </w:rPr>
            </w:pPr>
          </w:p>
        </w:tc>
        <w:tc>
          <w:tcPr>
            <w:tcW w:w="2344" w:type="dxa"/>
            <w:vAlign w:val="center"/>
          </w:tcPr>
          <w:p>
            <w:pPr>
              <w:jc w:val="center"/>
              <w:rPr>
                <w:rFonts w:hAnsi="宋体"/>
                <w:sz w:val="22"/>
                <w:szCs w:val="13"/>
              </w:rPr>
            </w:pPr>
            <w:r>
              <w:rPr>
                <w:rFonts w:hint="eastAsia" w:hAnsi="宋体"/>
                <w:sz w:val="21"/>
                <w:szCs w:val="11"/>
              </w:rPr>
              <w:t>此项含原灭鼠陶瓷饵站维护费用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87" w:hRule="atLeast"/>
        </w:trPr>
        <w:tc>
          <w:tcPr>
            <w:tcW w:w="563" w:type="dxa"/>
            <w:vAlign w:val="center"/>
          </w:tcPr>
          <w:p>
            <w:pPr>
              <w:jc w:val="center"/>
              <w:rPr>
                <w:rFonts w:hAnsi="宋体"/>
                <w:sz w:val="24"/>
                <w:szCs w:val="15"/>
              </w:rPr>
            </w:pPr>
            <w:r>
              <w:rPr>
                <w:rFonts w:hint="eastAsia" w:hAnsi="宋体"/>
                <w:sz w:val="24"/>
                <w:szCs w:val="15"/>
              </w:rPr>
              <w:t>6</w:t>
            </w:r>
          </w:p>
        </w:tc>
        <w:tc>
          <w:tcPr>
            <w:tcW w:w="6118" w:type="dxa"/>
            <w:vAlign w:val="center"/>
          </w:tcPr>
          <w:p>
            <w:pPr>
              <w:jc w:val="center"/>
              <w:rPr>
                <w:rFonts w:hAnsi="宋体"/>
                <w:sz w:val="24"/>
                <w:szCs w:val="15"/>
              </w:rPr>
            </w:pPr>
            <w:r>
              <w:rPr>
                <w:rFonts w:hint="eastAsia" w:hAnsi="宋体"/>
                <w:sz w:val="24"/>
                <w:szCs w:val="15"/>
              </w:rPr>
              <w:t>诱蝇笼</w:t>
            </w:r>
            <w:r>
              <w:rPr>
                <w:rFonts w:hint="eastAsia" w:hAnsi="宋体"/>
                <w:sz w:val="24"/>
                <w:szCs w:val="15"/>
                <w:lang w:eastAsia="zh-CN"/>
              </w:rPr>
              <w:t>（</w:t>
            </w:r>
            <w:r>
              <w:rPr>
                <w:rFonts w:hint="eastAsia" w:hAnsi="宋体"/>
                <w:sz w:val="24"/>
                <w:szCs w:val="15"/>
              </w:rPr>
              <w:t>固定式</w:t>
            </w:r>
            <w:r>
              <w:rPr>
                <w:rFonts w:hint="eastAsia" w:hAnsi="宋体"/>
                <w:sz w:val="24"/>
                <w:szCs w:val="15"/>
                <w:lang w:eastAsia="zh-CN"/>
              </w:rPr>
              <w:t>）</w:t>
            </w:r>
          </w:p>
        </w:tc>
        <w:tc>
          <w:tcPr>
            <w:tcW w:w="1414" w:type="dxa"/>
            <w:tcBorders>
              <w:right w:val="single" w:color="auto" w:sz="4" w:space="0"/>
            </w:tcBorders>
            <w:vAlign w:val="center"/>
          </w:tcPr>
          <w:p>
            <w:pPr>
              <w:jc w:val="center"/>
              <w:rPr>
                <w:rFonts w:hAnsi="宋体"/>
                <w:sz w:val="24"/>
                <w:szCs w:val="15"/>
              </w:rPr>
            </w:pPr>
            <w:r>
              <w:rPr>
                <w:rFonts w:hint="eastAsia" w:hAnsi="宋体"/>
                <w:sz w:val="24"/>
                <w:szCs w:val="15"/>
              </w:rPr>
              <w:t>个</w:t>
            </w:r>
          </w:p>
        </w:tc>
        <w:tc>
          <w:tcPr>
            <w:tcW w:w="1322" w:type="dxa"/>
            <w:tcBorders>
              <w:left w:val="single" w:color="auto" w:sz="4" w:space="0"/>
              <w:right w:val="single" w:color="auto" w:sz="4" w:space="0"/>
            </w:tcBorders>
            <w:vAlign w:val="center"/>
          </w:tcPr>
          <w:p>
            <w:pPr>
              <w:jc w:val="center"/>
              <w:rPr>
                <w:rFonts w:hAnsi="宋体"/>
                <w:sz w:val="24"/>
                <w:szCs w:val="15"/>
              </w:rPr>
            </w:pPr>
            <w:r>
              <w:rPr>
                <w:rFonts w:hint="eastAsia" w:hAnsi="宋体"/>
                <w:sz w:val="24"/>
                <w:szCs w:val="15"/>
              </w:rPr>
              <w:t>500</w:t>
            </w:r>
          </w:p>
        </w:tc>
        <w:tc>
          <w:tcPr>
            <w:tcW w:w="1083" w:type="dxa"/>
            <w:tcBorders>
              <w:left w:val="single" w:color="auto" w:sz="4" w:space="0"/>
              <w:right w:val="single" w:color="auto" w:sz="4" w:space="0"/>
            </w:tcBorders>
            <w:vAlign w:val="center"/>
          </w:tcPr>
          <w:p>
            <w:pPr>
              <w:jc w:val="center"/>
              <w:rPr>
                <w:rFonts w:hAnsi="宋体"/>
                <w:color w:val="FF0000"/>
                <w:sz w:val="24"/>
                <w:szCs w:val="15"/>
              </w:rPr>
            </w:pPr>
          </w:p>
        </w:tc>
        <w:tc>
          <w:tcPr>
            <w:tcW w:w="1376" w:type="dxa"/>
            <w:tcBorders>
              <w:left w:val="single" w:color="auto" w:sz="4" w:space="0"/>
              <w:right w:val="single" w:color="auto" w:sz="4" w:space="0"/>
            </w:tcBorders>
            <w:vAlign w:val="center"/>
          </w:tcPr>
          <w:p>
            <w:pPr>
              <w:jc w:val="center"/>
              <w:rPr>
                <w:rFonts w:hAnsi="宋体"/>
                <w:color w:val="FF0000"/>
                <w:sz w:val="24"/>
                <w:szCs w:val="15"/>
              </w:rPr>
            </w:pPr>
          </w:p>
        </w:tc>
        <w:tc>
          <w:tcPr>
            <w:tcW w:w="2344" w:type="dxa"/>
            <w:vAlign w:val="center"/>
          </w:tcPr>
          <w:p>
            <w:pPr>
              <w:jc w:val="center"/>
              <w:rPr>
                <w:rFonts w:hAnsi="宋体"/>
                <w:color w:val="FF0000"/>
                <w:sz w:val="22"/>
                <w:szCs w:val="13"/>
              </w:rPr>
            </w:pPr>
            <w:r>
              <w:rPr>
                <w:rFonts w:hint="eastAsia" w:hAnsi="宋体"/>
                <w:sz w:val="21"/>
                <w:szCs w:val="11"/>
              </w:rPr>
              <w:t>此项含原诱蝇笼维护费用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5" w:hRule="atLeast"/>
        </w:trPr>
        <w:tc>
          <w:tcPr>
            <w:tcW w:w="6681" w:type="dxa"/>
            <w:gridSpan w:val="2"/>
            <w:vAlign w:val="center"/>
          </w:tcPr>
          <w:p>
            <w:pPr>
              <w:jc w:val="center"/>
              <w:rPr>
                <w:rFonts w:hAnsi="宋体"/>
                <w:sz w:val="24"/>
                <w:szCs w:val="15"/>
              </w:rPr>
            </w:pPr>
            <w:r>
              <w:rPr>
                <w:rFonts w:hint="eastAsia" w:hAnsi="宋体"/>
                <w:sz w:val="24"/>
                <w:szCs w:val="15"/>
              </w:rPr>
              <w:t>合   计（元）</w:t>
            </w:r>
          </w:p>
        </w:tc>
        <w:tc>
          <w:tcPr>
            <w:tcW w:w="7539" w:type="dxa"/>
            <w:gridSpan w:val="5"/>
            <w:vAlign w:val="center"/>
          </w:tcPr>
          <w:p>
            <w:pPr>
              <w:jc w:val="left"/>
              <w:rPr>
                <w:rFonts w:hAnsi="宋体"/>
                <w:sz w:val="24"/>
                <w:szCs w:val="15"/>
              </w:rPr>
            </w:pPr>
            <w:r>
              <w:rPr>
                <w:rFonts w:hint="eastAsia" w:hAnsi="宋体"/>
                <w:sz w:val="24"/>
                <w:szCs w:val="15"/>
              </w:rPr>
              <w:t xml:space="preserve">  </w:t>
            </w:r>
            <w:r>
              <w:rPr>
                <w:rFonts w:hint="eastAsia" w:hAnsi="宋体"/>
                <w:sz w:val="24"/>
                <w:szCs w:val="15"/>
                <w:u w:val="single"/>
              </w:rPr>
              <w:t xml:space="preserve">                                   </w:t>
            </w:r>
            <w:r>
              <w:rPr>
                <w:rFonts w:hint="eastAsia" w:hAnsi="宋体"/>
                <w:sz w:val="24"/>
                <w:szCs w:val="15"/>
              </w:rPr>
              <w:t xml:space="preserve"> 元整（</w:t>
            </w:r>
            <w:r>
              <w:rPr>
                <w:rFonts w:ascii="Arial" w:hAnsi="Arial" w:cs="Arial"/>
                <w:sz w:val="24"/>
                <w:szCs w:val="15"/>
              </w:rPr>
              <w:t>¥</w:t>
            </w:r>
            <w:r>
              <w:rPr>
                <w:rFonts w:hint="eastAsia" w:ascii="Arial" w:hAnsi="Arial" w:cs="Arial"/>
                <w:sz w:val="24"/>
                <w:szCs w:val="15"/>
              </w:rPr>
              <w:t>：</w:t>
            </w:r>
            <w:r>
              <w:rPr>
                <w:rFonts w:hint="eastAsia" w:ascii="Arial" w:hAnsi="Arial" w:cs="Arial"/>
                <w:sz w:val="24"/>
                <w:szCs w:val="15"/>
                <w:u w:val="single"/>
              </w:rPr>
              <w:t xml:space="preserve">           元</w:t>
            </w:r>
            <w:r>
              <w:rPr>
                <w:rFonts w:hint="eastAsia" w:hAnsi="宋体"/>
                <w:sz w:val="24"/>
                <w:szCs w:val="15"/>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930" w:hRule="atLeast"/>
        </w:trPr>
        <w:tc>
          <w:tcPr>
            <w:tcW w:w="14220" w:type="dxa"/>
            <w:gridSpan w:val="7"/>
            <w:vAlign w:val="center"/>
          </w:tcPr>
          <w:p>
            <w:pPr>
              <w:pStyle w:val="17"/>
              <w:rPr>
                <w:rFonts w:ascii="宋体" w:hAnsi="宋体" w:cs="宋体"/>
                <w:sz w:val="24"/>
                <w:szCs w:val="24"/>
              </w:rPr>
            </w:pPr>
            <w:r>
              <w:rPr>
                <w:rFonts w:hint="eastAsia" w:ascii="宋体" w:hAnsi="宋体" w:cs="宋体"/>
                <w:sz w:val="24"/>
                <w:szCs w:val="24"/>
              </w:rPr>
              <w:t>本表转至</w:t>
            </w:r>
            <w:r>
              <w:rPr>
                <w:rFonts w:hint="eastAsia" w:ascii="宋体" w:hAnsi="宋体" w:cs="宋体"/>
                <w:sz w:val="24"/>
                <w:szCs w:val="24"/>
                <w:lang w:eastAsia="zh-CN"/>
              </w:rPr>
              <w:t>温岭市新河镇2022年度病媒生物防制专业化服务项目采购</w:t>
            </w:r>
            <w:r>
              <w:rPr>
                <w:rFonts w:hint="eastAsia" w:ascii="宋体" w:hAnsi="宋体" w:cs="宋体"/>
                <w:sz w:val="24"/>
                <w:szCs w:val="24"/>
              </w:rPr>
              <w:t>投标总报价</w:t>
            </w:r>
          </w:p>
          <w:p>
            <w:pPr>
              <w:pStyle w:val="17"/>
            </w:pPr>
            <w:r>
              <w:rPr>
                <w:rFonts w:hint="eastAsia" w:ascii="宋体" w:hAnsi="宋体" w:cs="宋体"/>
                <w:kern w:val="2"/>
                <w:sz w:val="24"/>
                <w:szCs w:val="24"/>
              </w:rPr>
              <w:t>注：人民币大写数字：壹、贰、叁、肆、伍、陆、柒、捌、玖、拾、零、佰、仟、万，请规范书写</w:t>
            </w:r>
          </w:p>
        </w:tc>
      </w:tr>
    </w:tbl>
    <w:p>
      <w:pPr>
        <w:pStyle w:val="11"/>
        <w:spacing w:line="460" w:lineRule="atLeast"/>
        <w:rPr>
          <w:rFonts w:hAnsi="宋体"/>
          <w:b/>
          <w:color w:val="000000"/>
          <w:sz w:val="24"/>
          <w:szCs w:val="24"/>
        </w:rPr>
      </w:pPr>
    </w:p>
    <w:p>
      <w:pPr>
        <w:pStyle w:val="11"/>
        <w:spacing w:line="460" w:lineRule="atLeast"/>
        <w:rPr>
          <w:rFonts w:hAnsi="宋体"/>
          <w:b/>
          <w:color w:val="000000"/>
          <w:sz w:val="24"/>
          <w:szCs w:val="24"/>
        </w:rPr>
      </w:pPr>
    </w:p>
    <w:p>
      <w:pPr>
        <w:spacing w:line="380" w:lineRule="exact"/>
        <w:ind w:firstLine="480"/>
        <w:jc w:val="center"/>
        <w:rPr>
          <w:sz w:val="18"/>
          <w:szCs w:val="18"/>
        </w:rPr>
      </w:pPr>
      <w:r>
        <w:rPr>
          <w:rFonts w:hint="eastAsia"/>
          <w:sz w:val="18"/>
          <w:szCs w:val="18"/>
        </w:rPr>
        <w:t xml:space="preserve">                                                                                                                                  </w:t>
      </w: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rPr>
          <w:sz w:val="18"/>
          <w:szCs w:val="18"/>
        </w:rPr>
      </w:pPr>
    </w:p>
    <w:p>
      <w:pPr>
        <w:spacing w:line="380" w:lineRule="exact"/>
        <w:ind w:firstLine="480"/>
        <w:jc w:val="center"/>
      </w:pPr>
      <w:r>
        <w:rPr>
          <w:rFonts w:hint="eastAsia"/>
          <w:sz w:val="18"/>
          <w:szCs w:val="18"/>
        </w:rPr>
        <w:t xml:space="preserve">                                                                            </w:t>
      </w:r>
      <w:r>
        <w:rPr>
          <w:rFonts w:hint="eastAsia"/>
        </w:rPr>
        <w:t xml:space="preserve">                                                                                  </w:t>
      </w:r>
    </w:p>
    <w:p>
      <w:pPr>
        <w:spacing w:line="380" w:lineRule="exact"/>
        <w:jc w:val="center"/>
      </w:pPr>
      <w:r>
        <w:rPr>
          <w:rFonts w:hint="eastAsia"/>
        </w:rPr>
        <w:t xml:space="preserve">                                                   </w:t>
      </w:r>
      <w:r>
        <w:rPr>
          <w:rFonts w:hint="eastAsia"/>
          <w:lang w:val="en-US" w:eastAsia="zh-CN"/>
        </w:rPr>
        <w:t xml:space="preserve">       </w:t>
      </w:r>
      <w:r>
        <w:rPr>
          <w:rFonts w:hint="eastAsia"/>
        </w:rPr>
        <w:t>投标供应商（盖章）：</w:t>
      </w:r>
    </w:p>
    <w:p>
      <w:pPr>
        <w:spacing w:line="380" w:lineRule="exact"/>
        <w:ind w:firstLine="480"/>
        <w:jc w:val="center"/>
      </w:pPr>
      <w:r>
        <w:rPr>
          <w:rFonts w:hint="eastAsia"/>
        </w:rPr>
        <w:t xml:space="preserve">              法定代表人或委托代理人：（签名或盖章）</w:t>
      </w:r>
    </w:p>
    <w:p>
      <w:pPr>
        <w:spacing w:line="380" w:lineRule="exact"/>
        <w:ind w:firstLine="688" w:firstLineChars="328"/>
        <w:jc w:val="right"/>
        <w:rPr>
          <w:sz w:val="20"/>
        </w:rPr>
      </w:pPr>
      <w:r>
        <w:rPr>
          <w:rFonts w:hint="eastAsia"/>
        </w:rPr>
        <w:t>年  月   日</w:t>
      </w:r>
    </w:p>
    <w:p>
      <w:pPr>
        <w:spacing w:line="380" w:lineRule="exact"/>
        <w:ind w:firstLine="480"/>
        <w:rPr>
          <w:sz w:val="18"/>
          <w:szCs w:val="18"/>
        </w:rPr>
      </w:pPr>
      <w:r>
        <w:rPr>
          <w:rFonts w:hint="eastAsia" w:ascii="新宋体" w:hAnsi="新宋体" w:eastAsia="新宋体"/>
          <w:sz w:val="18"/>
          <w:szCs w:val="18"/>
        </w:rPr>
        <w:t>注：</w:t>
      </w:r>
      <w:r>
        <w:rPr>
          <w:rFonts w:hint="eastAsia"/>
          <w:sz w:val="18"/>
          <w:szCs w:val="18"/>
        </w:rPr>
        <w:t>（1）</w:t>
      </w:r>
      <w:r>
        <w:rPr>
          <w:rFonts w:hint="eastAsia"/>
          <w:sz w:val="18"/>
          <w:szCs w:val="18"/>
          <w:u w:val="single"/>
        </w:rPr>
        <w:t>本表所提供数量依据均为预估值，结算时按实调整。</w:t>
      </w:r>
      <w:r>
        <w:rPr>
          <w:rFonts w:hint="eastAsia"/>
          <w:sz w:val="18"/>
          <w:szCs w:val="18"/>
        </w:rPr>
        <w:t xml:space="preserve"> </w:t>
      </w:r>
    </w:p>
    <w:p>
      <w:pPr>
        <w:spacing w:line="380" w:lineRule="exact"/>
        <w:ind w:firstLine="480"/>
        <w:rPr>
          <w:rFonts w:hAnsi="宋体" w:cs="宋体"/>
          <w:b/>
          <w:color w:val="000000"/>
          <w:sz w:val="24"/>
        </w:rPr>
        <w:sectPr>
          <w:pgSz w:w="16840" w:h="11915" w:orient="landscape"/>
          <w:pgMar w:top="1418" w:right="1134" w:bottom="1418" w:left="1134" w:header="851" w:footer="1304" w:gutter="0"/>
          <w:pgNumType w:fmt="numberInDash"/>
          <w:cols w:space="720" w:num="1"/>
          <w:docGrid w:type="linesAndChars" w:linePitch="312" w:charSpace="0"/>
        </w:sectPr>
      </w:pPr>
      <w:r>
        <w:rPr>
          <w:rFonts w:hint="eastAsia"/>
          <w:sz w:val="18"/>
          <w:szCs w:val="18"/>
        </w:rPr>
        <w:t>（2）本表可根据实际自行扩展。</w:t>
      </w:r>
    </w:p>
    <w:p>
      <w:pPr>
        <w:pStyle w:val="54"/>
        <w:widowControl w:val="0"/>
        <w:snapToGrid w:val="0"/>
        <w:spacing w:line="500" w:lineRule="exact"/>
        <w:rPr>
          <w:rFonts w:hint="default" w:ascii="方正小标宋简体" w:hAnsi="方正小标宋简体" w:eastAsia="方正小标宋简体" w:cs="方正小标宋简体"/>
          <w:color w:val="000000"/>
          <w:sz w:val="20"/>
        </w:rPr>
      </w:pPr>
      <w:r>
        <w:rPr>
          <w:rFonts w:ascii="方正小标宋简体" w:hAnsi="方正小标宋简体" w:eastAsia="方正小标宋简体" w:cs="方正小标宋简体"/>
          <w:color w:val="000000"/>
          <w:sz w:val="20"/>
        </w:rPr>
        <w:t>附件：政府采购活动现场确认声明书</w:t>
      </w:r>
    </w:p>
    <w:p>
      <w:pPr>
        <w:pStyle w:val="54"/>
        <w:widowControl w:val="0"/>
        <w:snapToGrid w:val="0"/>
        <w:spacing w:line="500" w:lineRule="exact"/>
        <w:jc w:val="center"/>
        <w:rPr>
          <w:rFonts w:hint="default"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t>政府采购活动现场确认声明书</w:t>
      </w:r>
    </w:p>
    <w:p>
      <w:pPr>
        <w:pStyle w:val="54"/>
        <w:widowControl w:val="0"/>
        <w:snapToGrid w:val="0"/>
        <w:spacing w:line="500" w:lineRule="exact"/>
        <w:jc w:val="both"/>
        <w:rPr>
          <w:rFonts w:hint="default" w:ascii="仿宋" w:hAnsi="仿宋"/>
          <w:color w:val="000000"/>
          <w:kern w:val="0"/>
          <w:sz w:val="28"/>
        </w:rPr>
      </w:pPr>
    </w:p>
    <w:p>
      <w:pPr>
        <w:pStyle w:val="54"/>
        <w:widowControl w:val="0"/>
        <w:snapToGrid w:val="0"/>
        <w:spacing w:line="400" w:lineRule="exact"/>
        <w:jc w:val="both"/>
        <w:rPr>
          <w:rFonts w:hint="default" w:ascii="仿宋" w:hAnsi="仿宋"/>
          <w:b/>
          <w:color w:val="000000"/>
          <w:sz w:val="28"/>
          <w:szCs w:val="21"/>
        </w:rPr>
      </w:pPr>
      <w:r>
        <w:rPr>
          <w:rFonts w:ascii="仿宋" w:hAnsi="仿宋"/>
          <w:color w:val="000000"/>
          <w:kern w:val="0"/>
          <w:sz w:val="28"/>
        </w:rPr>
        <w:t xml:space="preserve"> </w:t>
      </w:r>
      <w:r>
        <w:rPr>
          <w:rFonts w:ascii="仿宋" w:hAnsi="仿宋"/>
          <w:color w:val="000000"/>
          <w:kern w:val="0"/>
          <w:sz w:val="28"/>
          <w:u w:val="single"/>
        </w:rPr>
        <w:t xml:space="preserve">建经投资咨询有限公司 </w:t>
      </w:r>
      <w:r>
        <w:rPr>
          <w:rFonts w:ascii="仿宋" w:hAnsi="仿宋"/>
          <w:color w:val="000000"/>
          <w:kern w:val="0"/>
          <w:sz w:val="28"/>
          <w:szCs w:val="21"/>
        </w:rPr>
        <w:t>：</w:t>
      </w:r>
    </w:p>
    <w:p>
      <w:pPr>
        <w:pStyle w:val="54"/>
        <w:widowControl w:val="0"/>
        <w:snapToGrid w:val="0"/>
        <w:spacing w:line="400" w:lineRule="exact"/>
        <w:ind w:firstLine="584" w:firstLineChars="200"/>
        <w:jc w:val="both"/>
        <w:rPr>
          <w:rFonts w:hint="default" w:ascii="仿宋" w:hAnsi="仿宋"/>
          <w:color w:val="000000"/>
          <w:spacing w:val="6"/>
          <w:sz w:val="28"/>
          <w:szCs w:val="21"/>
        </w:rPr>
      </w:pPr>
      <w:r>
        <w:rPr>
          <w:rFonts w:ascii="仿宋" w:hAnsi="仿宋"/>
          <w:color w:val="000000"/>
          <w:spacing w:val="6"/>
          <w:sz w:val="28"/>
          <w:szCs w:val="21"/>
        </w:rPr>
        <w:t>本人经由</w:t>
      </w:r>
      <w:r>
        <w:rPr>
          <w:rFonts w:ascii="仿宋" w:hAnsi="仿宋"/>
          <w:color w:val="000000"/>
          <w:spacing w:val="6"/>
          <w:sz w:val="28"/>
          <w:szCs w:val="21"/>
          <w:u w:val="single"/>
        </w:rPr>
        <w:t xml:space="preserve">               （单位）</w:t>
      </w:r>
      <w:r>
        <w:rPr>
          <w:rFonts w:ascii="仿宋" w:hAnsi="仿宋"/>
          <w:color w:val="000000"/>
          <w:spacing w:val="6"/>
          <w:sz w:val="28"/>
          <w:szCs w:val="21"/>
        </w:rPr>
        <w:t>法人代表（负责人）</w:t>
      </w:r>
      <w:r>
        <w:rPr>
          <w:rFonts w:ascii="仿宋" w:hAnsi="仿宋"/>
          <w:color w:val="000000"/>
          <w:spacing w:val="6"/>
          <w:sz w:val="28"/>
          <w:szCs w:val="21"/>
          <w:u w:val="single"/>
        </w:rPr>
        <w:t xml:space="preserve">        （姓名）</w:t>
      </w:r>
      <w:r>
        <w:rPr>
          <w:rFonts w:ascii="仿宋" w:hAnsi="仿宋"/>
          <w:color w:val="000000"/>
          <w:spacing w:val="6"/>
          <w:sz w:val="28"/>
          <w:szCs w:val="21"/>
        </w:rPr>
        <w:t>合法授权参加</w:t>
      </w:r>
      <w:r>
        <w:rPr>
          <w:rFonts w:ascii="仿宋" w:hAnsi="仿宋"/>
          <w:color w:val="000000"/>
          <w:spacing w:val="6"/>
          <w:sz w:val="28"/>
          <w:szCs w:val="21"/>
          <w:u w:val="single"/>
        </w:rPr>
        <w:t xml:space="preserve"> </w:t>
      </w:r>
      <w:r>
        <w:rPr>
          <w:rFonts w:hint="eastAsia" w:ascii="仿宋" w:hAnsi="仿宋"/>
          <w:color w:val="000000"/>
          <w:spacing w:val="6"/>
          <w:sz w:val="28"/>
          <w:szCs w:val="21"/>
          <w:u w:val="single"/>
          <w:lang w:eastAsia="zh-CN"/>
        </w:rPr>
        <w:t>温岭市新河镇2022年度病媒生物防制专业化服务项目采购</w:t>
      </w:r>
      <w:r>
        <w:rPr>
          <w:rFonts w:ascii="仿宋" w:hAnsi="仿宋"/>
          <w:color w:val="000000"/>
          <w:spacing w:val="6"/>
          <w:sz w:val="28"/>
          <w:szCs w:val="21"/>
          <w:u w:val="single"/>
        </w:rPr>
        <w:t xml:space="preserve"> </w:t>
      </w:r>
      <w:r>
        <w:rPr>
          <w:rFonts w:ascii="仿宋" w:hAnsi="仿宋"/>
          <w:color w:val="000000"/>
          <w:spacing w:val="6"/>
          <w:sz w:val="28"/>
          <w:szCs w:val="21"/>
        </w:rPr>
        <w:t>项目（编号：</w:t>
      </w:r>
      <w:r>
        <w:rPr>
          <w:rFonts w:ascii="仿宋" w:hAnsi="仿宋"/>
          <w:color w:val="000000"/>
          <w:spacing w:val="6"/>
          <w:sz w:val="28"/>
          <w:szCs w:val="21"/>
          <w:u w:val="single"/>
        </w:rPr>
        <w:t xml:space="preserve"> </w:t>
      </w:r>
      <w:r>
        <w:rPr>
          <w:rFonts w:hint="eastAsia" w:ascii="仿宋" w:hAnsi="仿宋"/>
          <w:color w:val="000000"/>
          <w:spacing w:val="6"/>
          <w:sz w:val="28"/>
          <w:szCs w:val="21"/>
          <w:u w:val="single"/>
          <w:lang w:eastAsia="zh-CN"/>
        </w:rPr>
        <w:t>JJWL22030950</w:t>
      </w:r>
      <w:r>
        <w:rPr>
          <w:rFonts w:ascii="仿宋" w:hAnsi="仿宋"/>
          <w:color w:val="000000"/>
          <w:spacing w:val="6"/>
          <w:sz w:val="28"/>
          <w:szCs w:val="21"/>
          <w:u w:val="single"/>
        </w:rPr>
        <w:t xml:space="preserve">  </w:t>
      </w:r>
      <w:r>
        <w:rPr>
          <w:rFonts w:ascii="仿宋" w:hAnsi="仿宋"/>
          <w:color w:val="000000"/>
          <w:spacing w:val="6"/>
          <w:sz w:val="28"/>
          <w:szCs w:val="21"/>
        </w:rPr>
        <w:t xml:space="preserve">）政府采购活动，经与本单位法人代表（负责人）联系确认，现就有关公平竞争事项郑重声明如下： </w:t>
      </w:r>
    </w:p>
    <w:p>
      <w:pPr>
        <w:pStyle w:val="55"/>
        <w:widowControl/>
        <w:numPr>
          <w:ilvl w:val="0"/>
          <w:numId w:val="10"/>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 xml:space="preserve">本单位与采购人之间 </w:t>
      </w:r>
      <w:r>
        <w:rPr>
          <w:rFonts w:ascii="宋体" w:hAnsi="宋体" w:cs="宋体"/>
          <w:color w:val="000000"/>
          <w:kern w:val="0"/>
          <w:sz w:val="28"/>
          <w:szCs w:val="21"/>
        </w:rPr>
        <w:t>□</w:t>
      </w:r>
      <w:r>
        <w:rPr>
          <w:rFonts w:ascii="仿宋" w:hAnsi="仿宋"/>
          <w:color w:val="000000"/>
          <w:kern w:val="0"/>
          <w:sz w:val="28"/>
          <w:szCs w:val="21"/>
        </w:rPr>
        <w:t xml:space="preserve">不存在利害关系 </w:t>
      </w:r>
      <w:r>
        <w:rPr>
          <w:rFonts w:ascii="宋体" w:hAnsi="宋体" w:cs="宋体"/>
          <w:color w:val="000000"/>
          <w:kern w:val="0"/>
          <w:sz w:val="28"/>
          <w:szCs w:val="21"/>
        </w:rPr>
        <w:t>□</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pPr>
        <w:pStyle w:val="55"/>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A.投资关系    B.行政隶属关系    C.业务指导关系</w:t>
      </w:r>
    </w:p>
    <w:p>
      <w:pPr>
        <w:pStyle w:val="55"/>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D.其他可能</w:t>
      </w:r>
      <w:r>
        <w:rPr>
          <w:rFonts w:ascii="仿宋" w:hAnsi="仿宋"/>
          <w:color w:val="000000"/>
          <w:sz w:val="28"/>
          <w:szCs w:val="21"/>
        </w:rPr>
        <w:t>影响采购公正的</w:t>
      </w:r>
      <w:r>
        <w:rPr>
          <w:rFonts w:ascii="仿宋" w:hAnsi="仿宋"/>
          <w:color w:val="000000"/>
          <w:kern w:val="0"/>
          <w:sz w:val="28"/>
          <w:szCs w:val="21"/>
        </w:rPr>
        <w:t>利害关系</w:t>
      </w:r>
      <w:r>
        <w:rPr>
          <w:rFonts w:ascii="仿宋" w:hAnsi="仿宋"/>
          <w:color w:val="000000"/>
          <w:kern w:val="0"/>
          <w:sz w:val="28"/>
          <w:szCs w:val="21"/>
          <w:u w:val="single"/>
        </w:rPr>
        <w:t xml:space="preserve">（如有，请如实说明）                 </w:t>
      </w:r>
      <w:r>
        <w:rPr>
          <w:rFonts w:ascii="仿宋" w:hAnsi="仿宋"/>
          <w:color w:val="000000"/>
          <w:kern w:val="0"/>
          <w:sz w:val="28"/>
          <w:szCs w:val="21"/>
        </w:rPr>
        <w:t>。</w:t>
      </w:r>
    </w:p>
    <w:p>
      <w:pPr>
        <w:pStyle w:val="55"/>
        <w:widowControl/>
        <w:snapToGrid w:val="0"/>
        <w:spacing w:line="400" w:lineRule="exact"/>
        <w:rPr>
          <w:rFonts w:hint="default" w:ascii="仿宋" w:hAnsi="仿宋"/>
          <w:color w:val="000000"/>
          <w:kern w:val="0"/>
          <w:sz w:val="28"/>
          <w:szCs w:val="21"/>
        </w:rPr>
      </w:pPr>
      <w:r>
        <w:rPr>
          <w:rFonts w:ascii="仿宋" w:hAnsi="仿宋"/>
          <w:color w:val="000000"/>
          <w:spacing w:val="6"/>
          <w:sz w:val="28"/>
          <w:szCs w:val="21"/>
        </w:rPr>
        <w:t xml:space="preserve">  二、</w:t>
      </w:r>
      <w:r>
        <w:rPr>
          <w:rFonts w:ascii="仿宋" w:hAnsi="仿宋"/>
          <w:color w:val="000000"/>
          <w:kern w:val="0"/>
          <w:sz w:val="28"/>
          <w:szCs w:val="21"/>
        </w:rPr>
        <w:t xml:space="preserve">现已清楚知道参加本项目采购活动的其他所有供应商名称，本单位 </w:t>
      </w:r>
      <w:r>
        <w:rPr>
          <w:rFonts w:ascii="宋体" w:hAnsi="宋体" w:cs="宋体"/>
          <w:color w:val="000000"/>
          <w:kern w:val="0"/>
          <w:sz w:val="28"/>
          <w:szCs w:val="21"/>
        </w:rPr>
        <w:t>□与其他所有供应商之间均</w:t>
      </w:r>
      <w:r>
        <w:rPr>
          <w:rFonts w:ascii="仿宋" w:hAnsi="仿宋"/>
          <w:color w:val="000000"/>
          <w:kern w:val="0"/>
          <w:sz w:val="28"/>
          <w:szCs w:val="21"/>
        </w:rPr>
        <w:t xml:space="preserve">不存在利害关系 </w:t>
      </w:r>
      <w:r>
        <w:rPr>
          <w:rFonts w:ascii="宋体" w:hAnsi="宋体" w:cs="宋体"/>
          <w:color w:val="000000"/>
          <w:kern w:val="0"/>
          <w:sz w:val="28"/>
          <w:szCs w:val="21"/>
        </w:rPr>
        <w:t>□与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pPr>
        <w:pStyle w:val="54"/>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A.法定代表人或负责人或实际控制人是同一人；</w:t>
      </w:r>
    </w:p>
    <w:p>
      <w:pPr>
        <w:pStyle w:val="54"/>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B.法定代表人或负责人或实际控制人是夫妻关系；</w:t>
      </w:r>
    </w:p>
    <w:p>
      <w:pPr>
        <w:pStyle w:val="54"/>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C.法定代表人或负责人或实际控制人是直系血亲关系；</w:t>
      </w:r>
    </w:p>
    <w:p>
      <w:pPr>
        <w:pStyle w:val="54"/>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D.法定代表人或负责人或实际控制人存在三代以内旁系血亲关系；</w:t>
      </w:r>
    </w:p>
    <w:p>
      <w:pPr>
        <w:pStyle w:val="54"/>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E.法定代表人或负责人或实际控制人存在近姻亲关系；</w:t>
      </w:r>
    </w:p>
    <w:p>
      <w:pPr>
        <w:pStyle w:val="54"/>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F.法定代表人或负责人或实际控制人存在股份控制或实际控制关系；</w:t>
      </w:r>
    </w:p>
    <w:p>
      <w:pPr>
        <w:pStyle w:val="54"/>
        <w:widowControl w:val="0"/>
        <w:snapToGrid w:val="0"/>
        <w:spacing w:line="400" w:lineRule="exact"/>
        <w:jc w:val="both"/>
        <w:outlineLvl w:val="0"/>
        <w:rPr>
          <w:rFonts w:hint="default" w:ascii="仿宋" w:hAnsi="仿宋"/>
          <w:color w:val="000000"/>
          <w:kern w:val="0"/>
          <w:sz w:val="28"/>
          <w:szCs w:val="21"/>
        </w:rPr>
      </w:pPr>
      <w:r>
        <w:rPr>
          <w:rFonts w:ascii="仿宋" w:hAnsi="仿宋"/>
          <w:color w:val="000000"/>
          <w:kern w:val="0"/>
          <w:sz w:val="28"/>
          <w:szCs w:val="21"/>
        </w:rPr>
        <w:t xml:space="preserve">  G.存在共同直接或间接投资设立子公司、联营企业和合营企业情况；</w:t>
      </w:r>
    </w:p>
    <w:p>
      <w:pPr>
        <w:pStyle w:val="54"/>
        <w:widowControl w:val="0"/>
        <w:snapToGrid w:val="0"/>
        <w:spacing w:line="400" w:lineRule="exact"/>
        <w:jc w:val="both"/>
        <w:rPr>
          <w:rFonts w:hint="default" w:ascii="仿宋" w:hAnsi="仿宋"/>
          <w:color w:val="000000"/>
          <w:sz w:val="28"/>
          <w:szCs w:val="21"/>
        </w:rPr>
      </w:pPr>
      <w:r>
        <w:rPr>
          <w:rFonts w:ascii="仿宋" w:hAnsi="仿宋"/>
          <w:color w:val="000000"/>
          <w:kern w:val="0"/>
          <w:sz w:val="28"/>
          <w:szCs w:val="21"/>
        </w:rPr>
        <w:t xml:space="preserve">  H.存在分级代理或代销关系、同一生产制造商关系、</w:t>
      </w:r>
      <w:r>
        <w:rPr>
          <w:rFonts w:ascii="仿宋" w:hAnsi="仿宋"/>
          <w:color w:val="000000"/>
          <w:sz w:val="28"/>
          <w:szCs w:val="21"/>
        </w:rPr>
        <w:t>管理关系、重要业务（占主营业务收入50%以上）或重要财务往来关系（如融资）等其他实质性控制关系；</w:t>
      </w:r>
    </w:p>
    <w:p>
      <w:pPr>
        <w:pStyle w:val="54"/>
        <w:widowControl w:val="0"/>
        <w:snapToGrid w:val="0"/>
        <w:spacing w:line="400" w:lineRule="exact"/>
        <w:jc w:val="both"/>
        <w:rPr>
          <w:rFonts w:hint="default" w:ascii="仿宋" w:hAnsi="仿宋"/>
          <w:color w:val="000000"/>
          <w:spacing w:val="6"/>
          <w:sz w:val="28"/>
          <w:szCs w:val="21"/>
        </w:rPr>
      </w:pPr>
      <w:r>
        <w:rPr>
          <w:rFonts w:ascii="仿宋" w:hAnsi="仿宋"/>
          <w:color w:val="000000"/>
          <w:sz w:val="28"/>
          <w:szCs w:val="21"/>
        </w:rPr>
        <w:t xml:space="preserve">  I</w:t>
      </w:r>
      <w:r>
        <w:rPr>
          <w:rFonts w:ascii="仿宋" w:hAnsi="仿宋"/>
          <w:color w:val="000000"/>
          <w:kern w:val="0"/>
          <w:sz w:val="28"/>
          <w:szCs w:val="21"/>
        </w:rPr>
        <w:t>.</w:t>
      </w:r>
      <w:r>
        <w:rPr>
          <w:rFonts w:ascii="仿宋" w:hAnsi="仿宋"/>
          <w:color w:val="000000"/>
          <w:sz w:val="28"/>
          <w:szCs w:val="21"/>
        </w:rPr>
        <w:t>其他利害关系情况</w:t>
      </w:r>
      <w:r>
        <w:rPr>
          <w:rFonts w:ascii="仿宋" w:hAnsi="仿宋"/>
          <w:color w:val="000000"/>
          <w:sz w:val="28"/>
          <w:szCs w:val="21"/>
          <w:u w:val="single"/>
        </w:rPr>
        <w:t xml:space="preserve">                              </w:t>
      </w:r>
      <w:r>
        <w:rPr>
          <w:rFonts w:ascii="仿宋" w:hAnsi="仿宋"/>
          <w:color w:val="000000"/>
          <w:kern w:val="0"/>
          <w:sz w:val="28"/>
          <w:szCs w:val="21"/>
        </w:rPr>
        <w:t>。</w:t>
      </w:r>
    </w:p>
    <w:p>
      <w:pPr>
        <w:pStyle w:val="55"/>
        <w:widowControl/>
        <w:numPr>
          <w:ilvl w:val="0"/>
          <w:numId w:val="11"/>
        </w:numPr>
        <w:snapToGrid w:val="0"/>
        <w:spacing w:line="400" w:lineRule="exact"/>
        <w:ind w:firstLine="529" w:firstLineChars="189"/>
        <w:rPr>
          <w:rFonts w:hint="default" w:ascii="仿宋" w:hAnsi="仿宋"/>
          <w:color w:val="000000"/>
          <w:kern w:val="0"/>
          <w:sz w:val="28"/>
          <w:szCs w:val="21"/>
        </w:rPr>
      </w:pPr>
      <w:r>
        <w:rPr>
          <w:rFonts w:ascii="仿宋" w:hAnsi="仿宋"/>
          <w:color w:val="000000"/>
          <w:sz w:val="28"/>
          <w:szCs w:val="21"/>
        </w:rPr>
        <w:t>现已清楚知道并</w:t>
      </w:r>
      <w:r>
        <w:rPr>
          <w:rFonts w:ascii="仿宋" w:hAnsi="仿宋"/>
          <w:color w:val="000000"/>
          <w:kern w:val="0"/>
          <w:sz w:val="28"/>
          <w:szCs w:val="21"/>
        </w:rPr>
        <w:t>严格遵守政府采购法律法规和现场纪律。</w:t>
      </w:r>
    </w:p>
    <w:p>
      <w:pPr>
        <w:pStyle w:val="55"/>
        <w:widowControl/>
        <w:numPr>
          <w:ilvl w:val="0"/>
          <w:numId w:val="11"/>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我发现</w:t>
      </w:r>
      <w:r>
        <w:rPr>
          <w:rFonts w:ascii="仿宋" w:hAnsi="仿宋"/>
          <w:color w:val="000000"/>
          <w:kern w:val="0"/>
          <w:sz w:val="28"/>
          <w:szCs w:val="21"/>
          <w:u w:val="single"/>
        </w:rPr>
        <w:t xml:space="preserve">                    </w:t>
      </w:r>
      <w:r>
        <w:rPr>
          <w:rFonts w:ascii="仿宋" w:hAnsi="仿宋"/>
          <w:color w:val="000000"/>
          <w:kern w:val="0"/>
          <w:sz w:val="28"/>
          <w:szCs w:val="21"/>
        </w:rPr>
        <w:t>供应商之间存在或可能存在上述第二条第</w:t>
      </w:r>
      <w:r>
        <w:rPr>
          <w:rFonts w:ascii="仿宋" w:hAnsi="仿宋"/>
          <w:color w:val="000000"/>
          <w:kern w:val="0"/>
          <w:sz w:val="28"/>
          <w:szCs w:val="21"/>
          <w:u w:val="single"/>
        </w:rPr>
        <w:t xml:space="preserve">      </w:t>
      </w:r>
      <w:r>
        <w:rPr>
          <w:rFonts w:hint="default" w:ascii="仿宋" w:hAnsi="仿宋"/>
          <w:color w:val="000000"/>
          <w:kern w:val="0"/>
          <w:sz w:val="28"/>
          <w:szCs w:val="21"/>
          <w:u w:val="single"/>
        </w:rPr>
        <w:t xml:space="preserve">  </w:t>
      </w:r>
      <w:r>
        <w:rPr>
          <w:rFonts w:ascii="仿宋" w:hAnsi="仿宋"/>
          <w:color w:val="000000"/>
          <w:kern w:val="0"/>
          <w:sz w:val="28"/>
          <w:szCs w:val="21"/>
        </w:rPr>
        <w:t>项利害关系。</w:t>
      </w:r>
    </w:p>
    <w:p>
      <w:pPr>
        <w:pStyle w:val="54"/>
        <w:widowControl w:val="0"/>
        <w:snapToGrid w:val="0"/>
        <w:ind w:firstLine="560" w:firstLineChars="200"/>
        <w:jc w:val="both"/>
        <w:rPr>
          <w:rFonts w:hint="default" w:ascii="仿宋" w:hAnsi="仿宋"/>
          <w:color w:val="000000"/>
          <w:sz w:val="28"/>
          <w:szCs w:val="21"/>
        </w:rPr>
      </w:pPr>
    </w:p>
    <w:p>
      <w:pPr>
        <w:pStyle w:val="54"/>
        <w:widowControl w:val="0"/>
        <w:snapToGrid w:val="0"/>
        <w:ind w:firstLine="560" w:firstLineChars="200"/>
        <w:jc w:val="both"/>
        <w:rPr>
          <w:rFonts w:hint="default" w:ascii="仿宋" w:hAnsi="仿宋"/>
          <w:color w:val="000000"/>
          <w:sz w:val="28"/>
          <w:szCs w:val="21"/>
        </w:rPr>
      </w:pPr>
      <w:r>
        <w:rPr>
          <w:rFonts w:ascii="仿宋" w:hAnsi="仿宋"/>
          <w:color w:val="000000"/>
          <w:sz w:val="28"/>
          <w:szCs w:val="21"/>
        </w:rPr>
        <w:t xml:space="preserve">                               （供应商代表签名）：</w:t>
      </w:r>
    </w:p>
    <w:p>
      <w:pPr>
        <w:pStyle w:val="54"/>
        <w:widowControl w:val="0"/>
        <w:snapToGrid w:val="0"/>
        <w:ind w:firstLine="560" w:firstLineChars="200"/>
        <w:jc w:val="both"/>
        <w:rPr>
          <w:rFonts w:hint="default" w:ascii="仿宋_GB2312" w:eastAsia="仿宋_GB2312"/>
          <w:b/>
          <w:sz w:val="24"/>
        </w:rPr>
      </w:pPr>
      <w:r>
        <w:rPr>
          <w:rFonts w:ascii="仿宋" w:hAnsi="仿宋"/>
          <w:color w:val="000000"/>
          <w:sz w:val="28"/>
          <w:szCs w:val="21"/>
        </w:rPr>
        <w:t xml:space="preserve">                                 </w:t>
      </w:r>
      <w:r>
        <w:rPr>
          <w:rFonts w:hint="eastAsia" w:ascii="仿宋" w:hAnsi="仿宋"/>
          <w:color w:val="000000"/>
          <w:sz w:val="28"/>
          <w:szCs w:val="21"/>
          <w:lang w:eastAsia="zh-CN"/>
        </w:rPr>
        <w:t>2022</w:t>
      </w:r>
      <w:r>
        <w:rPr>
          <w:rFonts w:ascii="仿宋" w:hAnsi="仿宋"/>
          <w:color w:val="000000"/>
          <w:sz w:val="28"/>
          <w:szCs w:val="21"/>
        </w:rPr>
        <w:t>年  月   日</w:t>
      </w:r>
    </w:p>
    <w:sectPr>
      <w:pgSz w:w="11906" w:h="16838"/>
      <w:pgMar w:top="1361" w:right="1644" w:bottom="136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94ADEC-8F6A-4920-9C38-61F91A4AFD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6B96B11C-FD31-42C7-9F34-BC3DD036D62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486BF60-A8DB-4439-BEE9-91485BF35833}"/>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AE5C3E7-61AE-4694-AF39-F59937036A7C}"/>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5" w:fontKey="{F948A579-C1D0-4F50-ABCC-6114301CD335}"/>
  </w:font>
  <w:font w:name="新宋体">
    <w:panose1 w:val="02010609030101010101"/>
    <w:charset w:val="86"/>
    <w:family w:val="modern"/>
    <w:pitch w:val="default"/>
    <w:sig w:usb0="00000003" w:usb1="288F0000" w:usb2="00000006" w:usb3="00000000" w:csb0="00040001" w:csb1="00000000"/>
    <w:embedRegular r:id="rId6" w:fontKey="{E1C6A81A-BBC8-4504-B566-82308243B5A2}"/>
  </w:font>
  <w:font w:name="方正小标宋简体">
    <w:panose1 w:val="02000000000000000000"/>
    <w:charset w:val="86"/>
    <w:family w:val="script"/>
    <w:pitch w:val="default"/>
    <w:sig w:usb0="00000001" w:usb1="08000000" w:usb2="00000000" w:usb3="00000000" w:csb0="00040000" w:csb1="00000000"/>
    <w:embedRegular r:id="rId7" w:fontKey="{B13CB514-6F16-4986-8D54-EF96CC58F361}"/>
  </w:font>
  <w:font w:name="仿宋">
    <w:panose1 w:val="02010609060101010101"/>
    <w:charset w:val="86"/>
    <w:family w:val="modern"/>
    <w:pitch w:val="default"/>
    <w:sig w:usb0="800002BF" w:usb1="38CF7CFA" w:usb2="00000016" w:usb3="00000000" w:csb0="00040001" w:csb1="00000000"/>
    <w:embedRegular r:id="rId8" w:fontKey="{2558D816-74B5-4D88-85EC-F9DE773C2C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p>
    <w:pPr>
      <w:pStyle w:val="1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7"/>
      <w:lvlText w:val="%1."/>
      <w:lvlJc w:val="left"/>
      <w:pPr>
        <w:tabs>
          <w:tab w:val="left" w:pos="1070"/>
        </w:tabs>
        <w:ind w:left="1070" w:hanging="360"/>
      </w:pPr>
      <w:rPr>
        <w:rFonts w:cs="Times New Roman"/>
      </w:rPr>
    </w:lvl>
  </w:abstractNum>
  <w:abstractNum w:abstractNumId="3">
    <w:nsid w:val="AFAC851A"/>
    <w:multiLevelType w:val="singleLevel"/>
    <w:tmpl w:val="AFAC851A"/>
    <w:lvl w:ilvl="0" w:tentative="0">
      <w:start w:val="1"/>
      <w:numFmt w:val="decimal"/>
      <w:suff w:val="nothing"/>
      <w:lvlText w:val="%1、"/>
      <w:lvlJc w:val="left"/>
    </w:lvl>
  </w:abstractNum>
  <w:abstractNum w:abstractNumId="4">
    <w:nsid w:val="C9C77C0D"/>
    <w:multiLevelType w:val="singleLevel"/>
    <w:tmpl w:val="C9C77C0D"/>
    <w:lvl w:ilvl="0" w:tentative="0">
      <w:start w:val="1"/>
      <w:numFmt w:val="decimal"/>
      <w:suff w:val="nothing"/>
      <w:lvlText w:val="%1、"/>
      <w:lvlJc w:val="left"/>
    </w:lvl>
  </w:abstractNum>
  <w:abstractNum w:abstractNumId="5">
    <w:nsid w:val="E33B11D4"/>
    <w:multiLevelType w:val="singleLevel"/>
    <w:tmpl w:val="E33B11D4"/>
    <w:lvl w:ilvl="0" w:tentative="0">
      <w:start w:val="3"/>
      <w:numFmt w:val="decimal"/>
      <w:suff w:val="nothing"/>
      <w:lvlText w:val="%1、"/>
      <w:lvlJc w:val="left"/>
    </w:lvl>
  </w:abstractNum>
  <w:abstractNum w:abstractNumId="6">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8030E0"/>
    <w:multiLevelType w:val="multilevel"/>
    <w:tmpl w:val="598030E0"/>
    <w:lvl w:ilvl="0" w:tentative="0">
      <w:start w:val="1"/>
      <w:numFmt w:val="decimal"/>
      <w:pStyle w:val="6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2"/>
  </w:num>
  <w:num w:numId="2">
    <w:abstractNumId w:val="9"/>
  </w:num>
  <w:num w:numId="3">
    <w:abstractNumId w:val="10"/>
  </w:num>
  <w:num w:numId="4">
    <w:abstractNumId w:val="0"/>
  </w:num>
  <w:num w:numId="5">
    <w:abstractNumId w:val="5"/>
  </w:num>
  <w:num w:numId="6">
    <w:abstractNumId w:val="6"/>
  </w:num>
  <w:num w:numId="7">
    <w:abstractNumId w:val="1"/>
  </w:num>
  <w:num w:numId="8">
    <w:abstractNumId w:val="4"/>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A3E84"/>
    <w:rsid w:val="001D7044"/>
    <w:rsid w:val="001F762C"/>
    <w:rsid w:val="00201D62"/>
    <w:rsid w:val="00207724"/>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D7178"/>
    <w:rsid w:val="004E66F6"/>
    <w:rsid w:val="00513420"/>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52D04"/>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36BE"/>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053B9"/>
    <w:rsid w:val="00F10AC9"/>
    <w:rsid w:val="00F127FF"/>
    <w:rsid w:val="00F21B06"/>
    <w:rsid w:val="00F41457"/>
    <w:rsid w:val="00F4402B"/>
    <w:rsid w:val="00F4419E"/>
    <w:rsid w:val="00F72C48"/>
    <w:rsid w:val="00F7484A"/>
    <w:rsid w:val="00F74F67"/>
    <w:rsid w:val="00F96DCE"/>
    <w:rsid w:val="00FB6666"/>
    <w:rsid w:val="00FC1944"/>
    <w:rsid w:val="00FD4075"/>
    <w:rsid w:val="00FD457D"/>
    <w:rsid w:val="00FD6DA1"/>
    <w:rsid w:val="00FE4FF9"/>
    <w:rsid w:val="00FF1405"/>
    <w:rsid w:val="010E6E92"/>
    <w:rsid w:val="015B511D"/>
    <w:rsid w:val="01935887"/>
    <w:rsid w:val="01A666DA"/>
    <w:rsid w:val="01E87E29"/>
    <w:rsid w:val="01F43691"/>
    <w:rsid w:val="01F479E0"/>
    <w:rsid w:val="02516B39"/>
    <w:rsid w:val="02833336"/>
    <w:rsid w:val="02BF7C10"/>
    <w:rsid w:val="02EA40CD"/>
    <w:rsid w:val="036C2CC6"/>
    <w:rsid w:val="03814815"/>
    <w:rsid w:val="03E80687"/>
    <w:rsid w:val="041F6313"/>
    <w:rsid w:val="04777E7D"/>
    <w:rsid w:val="04C85F46"/>
    <w:rsid w:val="04CC341D"/>
    <w:rsid w:val="04EC3EA8"/>
    <w:rsid w:val="04F506B5"/>
    <w:rsid w:val="05137CD7"/>
    <w:rsid w:val="05877E33"/>
    <w:rsid w:val="05933560"/>
    <w:rsid w:val="060B26E0"/>
    <w:rsid w:val="063D0FB4"/>
    <w:rsid w:val="064121F6"/>
    <w:rsid w:val="06734DC6"/>
    <w:rsid w:val="06894391"/>
    <w:rsid w:val="069A3F03"/>
    <w:rsid w:val="06F91757"/>
    <w:rsid w:val="07132E29"/>
    <w:rsid w:val="07182E49"/>
    <w:rsid w:val="071C2CF6"/>
    <w:rsid w:val="07A45EBA"/>
    <w:rsid w:val="07AC3D4E"/>
    <w:rsid w:val="07C719B2"/>
    <w:rsid w:val="081341FD"/>
    <w:rsid w:val="08136F44"/>
    <w:rsid w:val="087C4ACE"/>
    <w:rsid w:val="087F1778"/>
    <w:rsid w:val="088D3477"/>
    <w:rsid w:val="0890739F"/>
    <w:rsid w:val="091C1110"/>
    <w:rsid w:val="092D5A83"/>
    <w:rsid w:val="095D57B8"/>
    <w:rsid w:val="096A2124"/>
    <w:rsid w:val="0A3A569A"/>
    <w:rsid w:val="0A4E7ECC"/>
    <w:rsid w:val="0ABC414C"/>
    <w:rsid w:val="0AC0280E"/>
    <w:rsid w:val="0AC56FBF"/>
    <w:rsid w:val="0ADD3852"/>
    <w:rsid w:val="0BA625E9"/>
    <w:rsid w:val="0BB52316"/>
    <w:rsid w:val="0BB610BA"/>
    <w:rsid w:val="0BD303ED"/>
    <w:rsid w:val="0C1E2BA0"/>
    <w:rsid w:val="0C2274BE"/>
    <w:rsid w:val="0C765CB2"/>
    <w:rsid w:val="0CBD0583"/>
    <w:rsid w:val="0CCF6F61"/>
    <w:rsid w:val="0CF73D0D"/>
    <w:rsid w:val="0D552DB7"/>
    <w:rsid w:val="0D694F8F"/>
    <w:rsid w:val="0D8F1F11"/>
    <w:rsid w:val="0DB625E6"/>
    <w:rsid w:val="0DCE2BD5"/>
    <w:rsid w:val="0DCE5D84"/>
    <w:rsid w:val="0E7B1859"/>
    <w:rsid w:val="0E970358"/>
    <w:rsid w:val="0ED14173"/>
    <w:rsid w:val="0F6350F4"/>
    <w:rsid w:val="0F693559"/>
    <w:rsid w:val="0F793590"/>
    <w:rsid w:val="0FA743F3"/>
    <w:rsid w:val="0FB61EB6"/>
    <w:rsid w:val="0FC80CC2"/>
    <w:rsid w:val="0FD221B2"/>
    <w:rsid w:val="0FD625CC"/>
    <w:rsid w:val="10392EAE"/>
    <w:rsid w:val="1049183E"/>
    <w:rsid w:val="10706EC2"/>
    <w:rsid w:val="10A673EB"/>
    <w:rsid w:val="10D12710"/>
    <w:rsid w:val="10D33526"/>
    <w:rsid w:val="10E0764D"/>
    <w:rsid w:val="113C4F19"/>
    <w:rsid w:val="11617F02"/>
    <w:rsid w:val="11D0012E"/>
    <w:rsid w:val="11F27D2E"/>
    <w:rsid w:val="120B1A30"/>
    <w:rsid w:val="1233442A"/>
    <w:rsid w:val="12657D54"/>
    <w:rsid w:val="12807280"/>
    <w:rsid w:val="12AA67A2"/>
    <w:rsid w:val="12C73063"/>
    <w:rsid w:val="12D91133"/>
    <w:rsid w:val="130472E2"/>
    <w:rsid w:val="132534D2"/>
    <w:rsid w:val="132E7A97"/>
    <w:rsid w:val="13394A53"/>
    <w:rsid w:val="1379491B"/>
    <w:rsid w:val="13AB7493"/>
    <w:rsid w:val="13B5316D"/>
    <w:rsid w:val="13CD65B1"/>
    <w:rsid w:val="13E65E56"/>
    <w:rsid w:val="13F3187A"/>
    <w:rsid w:val="1402045D"/>
    <w:rsid w:val="14434401"/>
    <w:rsid w:val="14723255"/>
    <w:rsid w:val="148463E6"/>
    <w:rsid w:val="14D20D9B"/>
    <w:rsid w:val="155E6D9F"/>
    <w:rsid w:val="15833FBA"/>
    <w:rsid w:val="159965F1"/>
    <w:rsid w:val="15A72BED"/>
    <w:rsid w:val="15C154FF"/>
    <w:rsid w:val="15F85D69"/>
    <w:rsid w:val="1604147F"/>
    <w:rsid w:val="1621170E"/>
    <w:rsid w:val="164846AF"/>
    <w:rsid w:val="16E80C57"/>
    <w:rsid w:val="17044C5E"/>
    <w:rsid w:val="17132AEA"/>
    <w:rsid w:val="17B11D87"/>
    <w:rsid w:val="17B6721B"/>
    <w:rsid w:val="17C57F05"/>
    <w:rsid w:val="17F15BF1"/>
    <w:rsid w:val="17F94D74"/>
    <w:rsid w:val="181C3304"/>
    <w:rsid w:val="185A295C"/>
    <w:rsid w:val="18A65827"/>
    <w:rsid w:val="18B21069"/>
    <w:rsid w:val="18B91D2B"/>
    <w:rsid w:val="18BA5221"/>
    <w:rsid w:val="18C40414"/>
    <w:rsid w:val="19317EF7"/>
    <w:rsid w:val="194A053B"/>
    <w:rsid w:val="199A1177"/>
    <w:rsid w:val="19B71C72"/>
    <w:rsid w:val="19BC28CB"/>
    <w:rsid w:val="19F64A65"/>
    <w:rsid w:val="1A3B525B"/>
    <w:rsid w:val="1A594CC7"/>
    <w:rsid w:val="1A60180F"/>
    <w:rsid w:val="1A6A6D44"/>
    <w:rsid w:val="1A817123"/>
    <w:rsid w:val="1AC13D34"/>
    <w:rsid w:val="1AD84F90"/>
    <w:rsid w:val="1AF26796"/>
    <w:rsid w:val="1B2A0141"/>
    <w:rsid w:val="1B54787D"/>
    <w:rsid w:val="1BCA25D5"/>
    <w:rsid w:val="1BCF3436"/>
    <w:rsid w:val="1C093ECB"/>
    <w:rsid w:val="1C300295"/>
    <w:rsid w:val="1C3C2151"/>
    <w:rsid w:val="1C3C69B6"/>
    <w:rsid w:val="1C732BE3"/>
    <w:rsid w:val="1CA056CC"/>
    <w:rsid w:val="1CAF15DF"/>
    <w:rsid w:val="1CE43D62"/>
    <w:rsid w:val="1CE4433A"/>
    <w:rsid w:val="1CFD5CD5"/>
    <w:rsid w:val="1D6F7A29"/>
    <w:rsid w:val="1DBC50ED"/>
    <w:rsid w:val="1EB35E9D"/>
    <w:rsid w:val="1EC52C81"/>
    <w:rsid w:val="1EE84AA8"/>
    <w:rsid w:val="1EF00C06"/>
    <w:rsid w:val="1F09591A"/>
    <w:rsid w:val="1F143134"/>
    <w:rsid w:val="1F3A051E"/>
    <w:rsid w:val="201E0359"/>
    <w:rsid w:val="205209A1"/>
    <w:rsid w:val="206E30A7"/>
    <w:rsid w:val="20743E4C"/>
    <w:rsid w:val="2074556D"/>
    <w:rsid w:val="208B4B0C"/>
    <w:rsid w:val="20925798"/>
    <w:rsid w:val="20C40549"/>
    <w:rsid w:val="20E1183E"/>
    <w:rsid w:val="20EA613D"/>
    <w:rsid w:val="211B6DAF"/>
    <w:rsid w:val="216924EC"/>
    <w:rsid w:val="21822C84"/>
    <w:rsid w:val="21A93932"/>
    <w:rsid w:val="21CF11AD"/>
    <w:rsid w:val="21D564EB"/>
    <w:rsid w:val="21E42883"/>
    <w:rsid w:val="21E71159"/>
    <w:rsid w:val="21EF792F"/>
    <w:rsid w:val="21FD745F"/>
    <w:rsid w:val="228447E5"/>
    <w:rsid w:val="228F00B3"/>
    <w:rsid w:val="22B04FE0"/>
    <w:rsid w:val="2316057F"/>
    <w:rsid w:val="23167665"/>
    <w:rsid w:val="233169B6"/>
    <w:rsid w:val="23395713"/>
    <w:rsid w:val="23424F53"/>
    <w:rsid w:val="236E14E2"/>
    <w:rsid w:val="237D4DE5"/>
    <w:rsid w:val="23B2716A"/>
    <w:rsid w:val="23DF38E3"/>
    <w:rsid w:val="240A5C3D"/>
    <w:rsid w:val="24183D64"/>
    <w:rsid w:val="242379FA"/>
    <w:rsid w:val="244666CC"/>
    <w:rsid w:val="24650F1F"/>
    <w:rsid w:val="24A21C8A"/>
    <w:rsid w:val="24D34772"/>
    <w:rsid w:val="257707D6"/>
    <w:rsid w:val="257D1E1E"/>
    <w:rsid w:val="259E35E2"/>
    <w:rsid w:val="261F0642"/>
    <w:rsid w:val="26234FA4"/>
    <w:rsid w:val="26327F89"/>
    <w:rsid w:val="2633589B"/>
    <w:rsid w:val="26466B71"/>
    <w:rsid w:val="265E478A"/>
    <w:rsid w:val="26741DCF"/>
    <w:rsid w:val="27541975"/>
    <w:rsid w:val="277E1E75"/>
    <w:rsid w:val="278C67D4"/>
    <w:rsid w:val="27F865FE"/>
    <w:rsid w:val="280A64FC"/>
    <w:rsid w:val="281C0B58"/>
    <w:rsid w:val="286F68E1"/>
    <w:rsid w:val="288021B7"/>
    <w:rsid w:val="28EA45C6"/>
    <w:rsid w:val="29284EA2"/>
    <w:rsid w:val="29621B7E"/>
    <w:rsid w:val="298E7457"/>
    <w:rsid w:val="29C06001"/>
    <w:rsid w:val="29D148D0"/>
    <w:rsid w:val="29D669C7"/>
    <w:rsid w:val="2A552B4E"/>
    <w:rsid w:val="2A7D0049"/>
    <w:rsid w:val="2AC803DC"/>
    <w:rsid w:val="2ACB14A0"/>
    <w:rsid w:val="2B087882"/>
    <w:rsid w:val="2B3B455B"/>
    <w:rsid w:val="2B6B43A5"/>
    <w:rsid w:val="2B725BAC"/>
    <w:rsid w:val="2B930FCA"/>
    <w:rsid w:val="2BD02D0E"/>
    <w:rsid w:val="2BF233B1"/>
    <w:rsid w:val="2C181807"/>
    <w:rsid w:val="2C1A0BC8"/>
    <w:rsid w:val="2C1F576B"/>
    <w:rsid w:val="2CC67A84"/>
    <w:rsid w:val="2CD029CD"/>
    <w:rsid w:val="2D4C6852"/>
    <w:rsid w:val="2D967336"/>
    <w:rsid w:val="2DAF6485"/>
    <w:rsid w:val="2DC1674C"/>
    <w:rsid w:val="2E7876D2"/>
    <w:rsid w:val="2EBB4675"/>
    <w:rsid w:val="2EDB23A5"/>
    <w:rsid w:val="2F2C710F"/>
    <w:rsid w:val="2F583F83"/>
    <w:rsid w:val="2F8E4984"/>
    <w:rsid w:val="2F90386C"/>
    <w:rsid w:val="2F945898"/>
    <w:rsid w:val="2FAC068E"/>
    <w:rsid w:val="2FE27D3F"/>
    <w:rsid w:val="2FEF4A12"/>
    <w:rsid w:val="30077FF0"/>
    <w:rsid w:val="30143D85"/>
    <w:rsid w:val="30DA7C66"/>
    <w:rsid w:val="31144B1A"/>
    <w:rsid w:val="31752B09"/>
    <w:rsid w:val="32224886"/>
    <w:rsid w:val="32DF7D19"/>
    <w:rsid w:val="3314645C"/>
    <w:rsid w:val="333741F8"/>
    <w:rsid w:val="334F65EC"/>
    <w:rsid w:val="335B735A"/>
    <w:rsid w:val="336948D7"/>
    <w:rsid w:val="33AE225C"/>
    <w:rsid w:val="33B41F22"/>
    <w:rsid w:val="33D237F6"/>
    <w:rsid w:val="341548E3"/>
    <w:rsid w:val="34277C63"/>
    <w:rsid w:val="34355713"/>
    <w:rsid w:val="346C6723"/>
    <w:rsid w:val="34913EA7"/>
    <w:rsid w:val="34A862EA"/>
    <w:rsid w:val="34AB3C19"/>
    <w:rsid w:val="34D22520"/>
    <w:rsid w:val="34F31A4A"/>
    <w:rsid w:val="34F72533"/>
    <w:rsid w:val="35354043"/>
    <w:rsid w:val="357F37E4"/>
    <w:rsid w:val="36230503"/>
    <w:rsid w:val="363D4092"/>
    <w:rsid w:val="366B493E"/>
    <w:rsid w:val="36A96AF8"/>
    <w:rsid w:val="36B42449"/>
    <w:rsid w:val="36B5516B"/>
    <w:rsid w:val="37345C09"/>
    <w:rsid w:val="37712A39"/>
    <w:rsid w:val="377C4239"/>
    <w:rsid w:val="37A90F81"/>
    <w:rsid w:val="37C217C1"/>
    <w:rsid w:val="380F12BD"/>
    <w:rsid w:val="382F5D5E"/>
    <w:rsid w:val="38740ED7"/>
    <w:rsid w:val="3879450C"/>
    <w:rsid w:val="395B1D63"/>
    <w:rsid w:val="398048E2"/>
    <w:rsid w:val="399E2D35"/>
    <w:rsid w:val="39F644D6"/>
    <w:rsid w:val="3A1B2D60"/>
    <w:rsid w:val="3A247BB8"/>
    <w:rsid w:val="3AE50133"/>
    <w:rsid w:val="3B142CA0"/>
    <w:rsid w:val="3B345EA5"/>
    <w:rsid w:val="3B764B6D"/>
    <w:rsid w:val="3B927B77"/>
    <w:rsid w:val="3BAC56E0"/>
    <w:rsid w:val="3BD06B58"/>
    <w:rsid w:val="3C115B1E"/>
    <w:rsid w:val="3C51571B"/>
    <w:rsid w:val="3C8C6A7E"/>
    <w:rsid w:val="3CB93A51"/>
    <w:rsid w:val="3CD7321E"/>
    <w:rsid w:val="3CE5417C"/>
    <w:rsid w:val="3D0F3DDD"/>
    <w:rsid w:val="3D6A7DEA"/>
    <w:rsid w:val="3D8773A8"/>
    <w:rsid w:val="3D895870"/>
    <w:rsid w:val="3DA26836"/>
    <w:rsid w:val="3DB531EC"/>
    <w:rsid w:val="3DBF7131"/>
    <w:rsid w:val="3DC963B5"/>
    <w:rsid w:val="3DDF7E2A"/>
    <w:rsid w:val="3E3B4817"/>
    <w:rsid w:val="3E630F1F"/>
    <w:rsid w:val="3EE11229"/>
    <w:rsid w:val="3F0D3A65"/>
    <w:rsid w:val="3F740A54"/>
    <w:rsid w:val="3F8B76DF"/>
    <w:rsid w:val="3F8C32C3"/>
    <w:rsid w:val="3F994320"/>
    <w:rsid w:val="3FD37572"/>
    <w:rsid w:val="401F280B"/>
    <w:rsid w:val="402F707E"/>
    <w:rsid w:val="40337FDD"/>
    <w:rsid w:val="40482BE4"/>
    <w:rsid w:val="408C1507"/>
    <w:rsid w:val="40BB7352"/>
    <w:rsid w:val="40E918A0"/>
    <w:rsid w:val="411A2599"/>
    <w:rsid w:val="412F249A"/>
    <w:rsid w:val="41434456"/>
    <w:rsid w:val="415406DE"/>
    <w:rsid w:val="416326F1"/>
    <w:rsid w:val="41650985"/>
    <w:rsid w:val="416D3B13"/>
    <w:rsid w:val="41A2074B"/>
    <w:rsid w:val="41B3702C"/>
    <w:rsid w:val="41DC0B96"/>
    <w:rsid w:val="41F75683"/>
    <w:rsid w:val="424D2FE6"/>
    <w:rsid w:val="42ED1682"/>
    <w:rsid w:val="43036342"/>
    <w:rsid w:val="433A37D3"/>
    <w:rsid w:val="433D6563"/>
    <w:rsid w:val="438B0C65"/>
    <w:rsid w:val="43C03689"/>
    <w:rsid w:val="43F5066D"/>
    <w:rsid w:val="44251601"/>
    <w:rsid w:val="442C0C55"/>
    <w:rsid w:val="442D06C1"/>
    <w:rsid w:val="447845CD"/>
    <w:rsid w:val="447E4B46"/>
    <w:rsid w:val="45150D09"/>
    <w:rsid w:val="4563730C"/>
    <w:rsid w:val="4630324B"/>
    <w:rsid w:val="465029AA"/>
    <w:rsid w:val="465549FC"/>
    <w:rsid w:val="465877D2"/>
    <w:rsid w:val="466E0364"/>
    <w:rsid w:val="46AC37D1"/>
    <w:rsid w:val="46C23BDE"/>
    <w:rsid w:val="4750053E"/>
    <w:rsid w:val="47C2207E"/>
    <w:rsid w:val="48611F55"/>
    <w:rsid w:val="48694FA0"/>
    <w:rsid w:val="488E768B"/>
    <w:rsid w:val="489527B8"/>
    <w:rsid w:val="48B07229"/>
    <w:rsid w:val="48D754C5"/>
    <w:rsid w:val="48FD2DFC"/>
    <w:rsid w:val="490B51D3"/>
    <w:rsid w:val="492F61FD"/>
    <w:rsid w:val="494604C5"/>
    <w:rsid w:val="49504C55"/>
    <w:rsid w:val="49F41D5E"/>
    <w:rsid w:val="4AAD0B1D"/>
    <w:rsid w:val="4AD47215"/>
    <w:rsid w:val="4B042886"/>
    <w:rsid w:val="4B1E31F7"/>
    <w:rsid w:val="4B42117E"/>
    <w:rsid w:val="4BCB3573"/>
    <w:rsid w:val="4BD71791"/>
    <w:rsid w:val="4BD824F1"/>
    <w:rsid w:val="4C164A73"/>
    <w:rsid w:val="4C1B6D47"/>
    <w:rsid w:val="4C2E46AD"/>
    <w:rsid w:val="4C48712E"/>
    <w:rsid w:val="4C5264D1"/>
    <w:rsid w:val="4C7E174F"/>
    <w:rsid w:val="4C8E3693"/>
    <w:rsid w:val="4CC9059A"/>
    <w:rsid w:val="4CE75373"/>
    <w:rsid w:val="4D442B37"/>
    <w:rsid w:val="4D4D1DA6"/>
    <w:rsid w:val="4D7D1827"/>
    <w:rsid w:val="4DF364CA"/>
    <w:rsid w:val="4E0272EF"/>
    <w:rsid w:val="4E0A397F"/>
    <w:rsid w:val="4E6A1EB9"/>
    <w:rsid w:val="4EA06EBA"/>
    <w:rsid w:val="4F147B4F"/>
    <w:rsid w:val="4F3A5050"/>
    <w:rsid w:val="4FB477EE"/>
    <w:rsid w:val="4FC61884"/>
    <w:rsid w:val="50502AF5"/>
    <w:rsid w:val="50600A36"/>
    <w:rsid w:val="50603F1A"/>
    <w:rsid w:val="50674DDA"/>
    <w:rsid w:val="50777E96"/>
    <w:rsid w:val="508D0669"/>
    <w:rsid w:val="509D3E6B"/>
    <w:rsid w:val="50B560F4"/>
    <w:rsid w:val="510C5927"/>
    <w:rsid w:val="51121564"/>
    <w:rsid w:val="51242084"/>
    <w:rsid w:val="51401B4B"/>
    <w:rsid w:val="51544941"/>
    <w:rsid w:val="515D2CC0"/>
    <w:rsid w:val="519F1664"/>
    <w:rsid w:val="51AE3090"/>
    <w:rsid w:val="51FC454B"/>
    <w:rsid w:val="52346DDE"/>
    <w:rsid w:val="52FD5ECE"/>
    <w:rsid w:val="53144561"/>
    <w:rsid w:val="5328276B"/>
    <w:rsid w:val="535938E1"/>
    <w:rsid w:val="53614200"/>
    <w:rsid w:val="53B250D2"/>
    <w:rsid w:val="53C749AB"/>
    <w:rsid w:val="53D35879"/>
    <w:rsid w:val="53D83862"/>
    <w:rsid w:val="545029BD"/>
    <w:rsid w:val="547873B0"/>
    <w:rsid w:val="54C91D92"/>
    <w:rsid w:val="55345F85"/>
    <w:rsid w:val="553B6702"/>
    <w:rsid w:val="55625CCE"/>
    <w:rsid w:val="5589335D"/>
    <w:rsid w:val="558E185C"/>
    <w:rsid w:val="55E02CAC"/>
    <w:rsid w:val="56060383"/>
    <w:rsid w:val="564E5871"/>
    <w:rsid w:val="566D4B95"/>
    <w:rsid w:val="567840DF"/>
    <w:rsid w:val="56E11103"/>
    <w:rsid w:val="571838EA"/>
    <w:rsid w:val="572656D4"/>
    <w:rsid w:val="57790340"/>
    <w:rsid w:val="57A93488"/>
    <w:rsid w:val="585036F8"/>
    <w:rsid w:val="58530C10"/>
    <w:rsid w:val="585F30DA"/>
    <w:rsid w:val="589A3642"/>
    <w:rsid w:val="591D5064"/>
    <w:rsid w:val="594775EE"/>
    <w:rsid w:val="594B0990"/>
    <w:rsid w:val="596A2016"/>
    <w:rsid w:val="599B1824"/>
    <w:rsid w:val="59AD06A4"/>
    <w:rsid w:val="59B12F6A"/>
    <w:rsid w:val="59FA2DC3"/>
    <w:rsid w:val="5A4D586D"/>
    <w:rsid w:val="5A6249B0"/>
    <w:rsid w:val="5A8E0B47"/>
    <w:rsid w:val="5AEA51D9"/>
    <w:rsid w:val="5B465023"/>
    <w:rsid w:val="5BD90D9C"/>
    <w:rsid w:val="5BF50434"/>
    <w:rsid w:val="5C0C2014"/>
    <w:rsid w:val="5C1C5E65"/>
    <w:rsid w:val="5D685A25"/>
    <w:rsid w:val="5D9E285C"/>
    <w:rsid w:val="5DEF695A"/>
    <w:rsid w:val="5E427A23"/>
    <w:rsid w:val="5E5C401B"/>
    <w:rsid w:val="5E867F9B"/>
    <w:rsid w:val="5EC32CA2"/>
    <w:rsid w:val="5EDD631A"/>
    <w:rsid w:val="5EE84C68"/>
    <w:rsid w:val="5F045A13"/>
    <w:rsid w:val="5F5222CE"/>
    <w:rsid w:val="5F6967A7"/>
    <w:rsid w:val="5F747931"/>
    <w:rsid w:val="5F786E10"/>
    <w:rsid w:val="5F7A6417"/>
    <w:rsid w:val="5F833600"/>
    <w:rsid w:val="5F844696"/>
    <w:rsid w:val="5F855D05"/>
    <w:rsid w:val="5F8719F3"/>
    <w:rsid w:val="5FAF0B69"/>
    <w:rsid w:val="5FCA6B48"/>
    <w:rsid w:val="608131C5"/>
    <w:rsid w:val="60981427"/>
    <w:rsid w:val="60981622"/>
    <w:rsid w:val="609E0524"/>
    <w:rsid w:val="60CE2539"/>
    <w:rsid w:val="60EF739A"/>
    <w:rsid w:val="61117495"/>
    <w:rsid w:val="61240730"/>
    <w:rsid w:val="61664356"/>
    <w:rsid w:val="61856652"/>
    <w:rsid w:val="61A34B10"/>
    <w:rsid w:val="61C827FF"/>
    <w:rsid w:val="61CD7D4C"/>
    <w:rsid w:val="621D5BA4"/>
    <w:rsid w:val="62F61EA1"/>
    <w:rsid w:val="62FD2CF7"/>
    <w:rsid w:val="63001EFA"/>
    <w:rsid w:val="63172DE3"/>
    <w:rsid w:val="635B6748"/>
    <w:rsid w:val="638667CB"/>
    <w:rsid w:val="63947A95"/>
    <w:rsid w:val="63A92605"/>
    <w:rsid w:val="63B361C6"/>
    <w:rsid w:val="63DA53C2"/>
    <w:rsid w:val="63DE6B5E"/>
    <w:rsid w:val="63EF3489"/>
    <w:rsid w:val="63EF5181"/>
    <w:rsid w:val="64155AA4"/>
    <w:rsid w:val="644E53B4"/>
    <w:rsid w:val="64635E15"/>
    <w:rsid w:val="64B723A5"/>
    <w:rsid w:val="64C347F8"/>
    <w:rsid w:val="654C35A5"/>
    <w:rsid w:val="65867E1B"/>
    <w:rsid w:val="65CA49CF"/>
    <w:rsid w:val="662136A0"/>
    <w:rsid w:val="663C1F8C"/>
    <w:rsid w:val="664362C5"/>
    <w:rsid w:val="664C4D63"/>
    <w:rsid w:val="667875E7"/>
    <w:rsid w:val="66B2626A"/>
    <w:rsid w:val="66BC09F3"/>
    <w:rsid w:val="66C200E6"/>
    <w:rsid w:val="67667A49"/>
    <w:rsid w:val="67B167D1"/>
    <w:rsid w:val="67F57FFB"/>
    <w:rsid w:val="684B5059"/>
    <w:rsid w:val="685F1C50"/>
    <w:rsid w:val="6872791A"/>
    <w:rsid w:val="68E15A3A"/>
    <w:rsid w:val="68E30C90"/>
    <w:rsid w:val="6925672C"/>
    <w:rsid w:val="69377ACD"/>
    <w:rsid w:val="694078ED"/>
    <w:rsid w:val="69867BE1"/>
    <w:rsid w:val="699022E9"/>
    <w:rsid w:val="69AC00C0"/>
    <w:rsid w:val="6A714498"/>
    <w:rsid w:val="6A845374"/>
    <w:rsid w:val="6AA307CE"/>
    <w:rsid w:val="6AF82AC5"/>
    <w:rsid w:val="6B0829A9"/>
    <w:rsid w:val="6B1932A2"/>
    <w:rsid w:val="6B221A4C"/>
    <w:rsid w:val="6B6C5A1F"/>
    <w:rsid w:val="6B992734"/>
    <w:rsid w:val="6BCC7641"/>
    <w:rsid w:val="6C033C17"/>
    <w:rsid w:val="6C464D18"/>
    <w:rsid w:val="6C551346"/>
    <w:rsid w:val="6C61573E"/>
    <w:rsid w:val="6C63373C"/>
    <w:rsid w:val="6CC87DEC"/>
    <w:rsid w:val="6D8945B4"/>
    <w:rsid w:val="6D96421C"/>
    <w:rsid w:val="6DD82CE3"/>
    <w:rsid w:val="6DDC25E4"/>
    <w:rsid w:val="6E091F31"/>
    <w:rsid w:val="6E1B4027"/>
    <w:rsid w:val="6E1D4A1D"/>
    <w:rsid w:val="6E3947EE"/>
    <w:rsid w:val="6E3C0C09"/>
    <w:rsid w:val="6E6A7342"/>
    <w:rsid w:val="6E9E1AA4"/>
    <w:rsid w:val="6EB57E07"/>
    <w:rsid w:val="6EC46087"/>
    <w:rsid w:val="6F5262FA"/>
    <w:rsid w:val="6F94678D"/>
    <w:rsid w:val="6FD042F1"/>
    <w:rsid w:val="70061711"/>
    <w:rsid w:val="704959EA"/>
    <w:rsid w:val="706047ED"/>
    <w:rsid w:val="706131B8"/>
    <w:rsid w:val="707273F9"/>
    <w:rsid w:val="707E4029"/>
    <w:rsid w:val="70A34089"/>
    <w:rsid w:val="70B85D72"/>
    <w:rsid w:val="70CC010F"/>
    <w:rsid w:val="71624A26"/>
    <w:rsid w:val="718B0D28"/>
    <w:rsid w:val="71D710FF"/>
    <w:rsid w:val="72305320"/>
    <w:rsid w:val="7241501C"/>
    <w:rsid w:val="72B05E0E"/>
    <w:rsid w:val="72B51FC9"/>
    <w:rsid w:val="72BD5067"/>
    <w:rsid w:val="72C44E87"/>
    <w:rsid w:val="72CC0F8D"/>
    <w:rsid w:val="737D2513"/>
    <w:rsid w:val="73D357FA"/>
    <w:rsid w:val="742304A1"/>
    <w:rsid w:val="7424115D"/>
    <w:rsid w:val="7427687B"/>
    <w:rsid w:val="743C23C7"/>
    <w:rsid w:val="745919C6"/>
    <w:rsid w:val="746E513B"/>
    <w:rsid w:val="74702A9A"/>
    <w:rsid w:val="74B11020"/>
    <w:rsid w:val="74BB7697"/>
    <w:rsid w:val="74BE32A8"/>
    <w:rsid w:val="74E5258C"/>
    <w:rsid w:val="753860D5"/>
    <w:rsid w:val="75B02174"/>
    <w:rsid w:val="760E5965"/>
    <w:rsid w:val="761C2BBB"/>
    <w:rsid w:val="76256893"/>
    <w:rsid w:val="762D36F0"/>
    <w:rsid w:val="76C51CC8"/>
    <w:rsid w:val="76D039DA"/>
    <w:rsid w:val="76EB094B"/>
    <w:rsid w:val="77102312"/>
    <w:rsid w:val="772720EE"/>
    <w:rsid w:val="776125DC"/>
    <w:rsid w:val="776A1DE8"/>
    <w:rsid w:val="77ED0B73"/>
    <w:rsid w:val="78036CE6"/>
    <w:rsid w:val="782F2929"/>
    <w:rsid w:val="785D00CA"/>
    <w:rsid w:val="786A3D6D"/>
    <w:rsid w:val="7896233F"/>
    <w:rsid w:val="78A94AB8"/>
    <w:rsid w:val="78BF5F06"/>
    <w:rsid w:val="78FD7FA4"/>
    <w:rsid w:val="7929591C"/>
    <w:rsid w:val="7A0B10A3"/>
    <w:rsid w:val="7A6223B7"/>
    <w:rsid w:val="7AAB204D"/>
    <w:rsid w:val="7AB362AE"/>
    <w:rsid w:val="7AFD6E85"/>
    <w:rsid w:val="7AFF4A3E"/>
    <w:rsid w:val="7B440F99"/>
    <w:rsid w:val="7B9B7780"/>
    <w:rsid w:val="7B9E0699"/>
    <w:rsid w:val="7BAC3D28"/>
    <w:rsid w:val="7BC0240B"/>
    <w:rsid w:val="7CDC5E93"/>
    <w:rsid w:val="7CE06727"/>
    <w:rsid w:val="7D1765E7"/>
    <w:rsid w:val="7D4E719B"/>
    <w:rsid w:val="7D4F2810"/>
    <w:rsid w:val="7D51082E"/>
    <w:rsid w:val="7D637428"/>
    <w:rsid w:val="7D872E89"/>
    <w:rsid w:val="7D88520A"/>
    <w:rsid w:val="7D8D3472"/>
    <w:rsid w:val="7DC27AEA"/>
    <w:rsid w:val="7DDD6CEA"/>
    <w:rsid w:val="7DEC0D1F"/>
    <w:rsid w:val="7E3A03F9"/>
    <w:rsid w:val="7E554D0F"/>
    <w:rsid w:val="7E636E14"/>
    <w:rsid w:val="7E7F2812"/>
    <w:rsid w:val="7E94378D"/>
    <w:rsid w:val="7ED51702"/>
    <w:rsid w:val="7F185809"/>
    <w:rsid w:val="7FAE4688"/>
    <w:rsid w:val="7FC51C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keepLines/>
      <w:spacing w:line="576" w:lineRule="auto"/>
      <w:outlineLvl w:val="0"/>
    </w:pPr>
    <w:rPr>
      <w:rFonts w:hint="eastAsia" w:ascii="宋体" w:hAnsi="宋体"/>
      <w:b/>
      <w:color w:val="000000"/>
      <w:kern w:val="0"/>
      <w:sz w:val="36"/>
      <w:szCs w:val="20"/>
    </w:rPr>
  </w:style>
  <w:style w:type="paragraph" w:styleId="6">
    <w:name w:val="heading 3"/>
    <w:basedOn w:val="1"/>
    <w:next w:val="1"/>
    <w:link w:val="27"/>
    <w:qFormat/>
    <w:uiPriority w:val="9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99"/>
    <w:pPr>
      <w:spacing w:line="360" w:lineRule="exact"/>
    </w:pPr>
    <w:rPr>
      <w:sz w:val="24"/>
      <w:szCs w:val="24"/>
    </w:rPr>
  </w:style>
  <w:style w:type="paragraph" w:styleId="3">
    <w:name w:val="Body Text First Indent"/>
    <w:basedOn w:val="2"/>
    <w:next w:val="4"/>
    <w:qFormat/>
    <w:locked/>
    <w:uiPriority w:val="0"/>
    <w:pPr>
      <w:autoSpaceDE w:val="0"/>
      <w:autoSpaceDN w:val="0"/>
      <w:adjustRightInd w:val="0"/>
      <w:spacing w:line="360" w:lineRule="auto"/>
      <w:ind w:firstLine="420" w:firstLineChars="100"/>
    </w:pPr>
  </w:style>
  <w:style w:type="paragraph" w:styleId="4">
    <w:name w:val="toc 6"/>
    <w:basedOn w:val="1"/>
    <w:next w:val="1"/>
    <w:qFormat/>
    <w:uiPriority w:val="0"/>
    <w:pPr>
      <w:ind w:left="2100" w:leftChars="1000"/>
    </w:pPr>
  </w:style>
  <w:style w:type="paragraph" w:styleId="7">
    <w:name w:val="List Number"/>
    <w:basedOn w:val="1"/>
    <w:qFormat/>
    <w:uiPriority w:val="99"/>
    <w:pPr>
      <w:numPr>
        <w:ilvl w:val="0"/>
        <w:numId w:val="1"/>
      </w:numPr>
    </w:pPr>
  </w:style>
  <w:style w:type="paragraph" w:styleId="8">
    <w:name w:val="Normal Indent"/>
    <w:basedOn w:val="1"/>
    <w:qFormat/>
    <w:uiPriority w:val="99"/>
    <w:pPr>
      <w:ind w:firstLine="420"/>
    </w:pPr>
  </w:style>
  <w:style w:type="paragraph" w:styleId="9">
    <w:name w:val="annotation text"/>
    <w:basedOn w:val="1"/>
    <w:link w:val="28"/>
    <w:semiHidden/>
    <w:qFormat/>
    <w:uiPriority w:val="99"/>
    <w:pPr>
      <w:jc w:val="left"/>
    </w:pPr>
  </w:style>
  <w:style w:type="paragraph" w:styleId="10">
    <w:name w:val="Body Text Indent"/>
    <w:basedOn w:val="1"/>
    <w:next w:val="1"/>
    <w:link w:val="31"/>
    <w:qFormat/>
    <w:uiPriority w:val="99"/>
    <w:pPr>
      <w:spacing w:after="120"/>
      <w:ind w:left="420" w:leftChars="200"/>
    </w:pPr>
  </w:style>
  <w:style w:type="paragraph" w:styleId="11">
    <w:name w:val="Plain Text"/>
    <w:basedOn w:val="1"/>
    <w:next w:val="1"/>
    <w:link w:val="32"/>
    <w:qFormat/>
    <w:uiPriority w:val="99"/>
    <w:rPr>
      <w:rFonts w:ascii="宋体" w:hAnsi="Courier New" w:cs="宋体"/>
    </w:rPr>
  </w:style>
  <w:style w:type="paragraph" w:styleId="12">
    <w:name w:val="Date"/>
    <w:basedOn w:val="1"/>
    <w:next w:val="1"/>
    <w:link w:val="33"/>
    <w:qFormat/>
    <w:uiPriority w:val="99"/>
    <w:pPr>
      <w:ind w:left="2500" w:leftChars="2500"/>
    </w:pPr>
    <w:rPr>
      <w:rFonts w:ascii="Calibri" w:hAnsi="Calibri" w:eastAsia="楷体_GB2312" w:cs="Calibri"/>
      <w:sz w:val="32"/>
      <w:szCs w:val="32"/>
    </w:rPr>
  </w:style>
  <w:style w:type="paragraph" w:styleId="13">
    <w:name w:val="Balloon Text"/>
    <w:basedOn w:val="1"/>
    <w:link w:val="34"/>
    <w:semiHidden/>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63"/>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annotation subject"/>
    <w:basedOn w:val="9"/>
    <w:next w:val="9"/>
    <w:link w:val="29"/>
    <w:semiHidden/>
    <w:qFormat/>
    <w:uiPriority w:val="99"/>
    <w:rPr>
      <w:b/>
      <w:bCs/>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locked/>
    <w:uiPriority w:val="0"/>
  </w:style>
  <w:style w:type="character" w:styleId="23">
    <w:name w:val="Hyperlink"/>
    <w:basedOn w:val="21"/>
    <w:semiHidden/>
    <w:unhideWhenUsed/>
    <w:qFormat/>
    <w:locked/>
    <w:uiPriority w:val="99"/>
    <w:rPr>
      <w:color w:val="0000FF"/>
      <w:u w:val="single"/>
    </w:rPr>
  </w:style>
  <w:style w:type="character" w:styleId="24">
    <w:name w:val="annotation reference"/>
    <w:basedOn w:val="21"/>
    <w:semiHidden/>
    <w:qFormat/>
    <w:uiPriority w:val="99"/>
    <w:rPr>
      <w:rFonts w:cs="Times New Roman"/>
      <w:sz w:val="21"/>
      <w:szCs w:val="21"/>
    </w:rPr>
  </w:style>
  <w:style w:type="paragraph" w:customStyle="1" w:styleId="25">
    <w:name w:val="Char"/>
    <w:basedOn w:val="1"/>
    <w:qFormat/>
    <w:uiPriority w:val="0"/>
    <w:rPr>
      <w:rFonts w:ascii="仿宋_GB2312" w:eastAsia="仿宋_GB2312" w:cs="仿宋_GB2312"/>
      <w:b/>
      <w:bCs/>
      <w:sz w:val="32"/>
      <w:szCs w:val="32"/>
    </w:rPr>
  </w:style>
  <w:style w:type="paragraph" w:customStyle="1" w:styleId="26">
    <w:name w:val="[Normal]"/>
    <w:qFormat/>
    <w:uiPriority w:val="0"/>
    <w:rPr>
      <w:rFonts w:ascii="宋体" w:hAnsi="宋体" w:eastAsia="宋体" w:cs="Times New Roman"/>
      <w:sz w:val="24"/>
      <w:szCs w:val="22"/>
      <w:lang w:val="zh-CN" w:eastAsia="zh-CN" w:bidi="ar-SA"/>
    </w:rPr>
  </w:style>
  <w:style w:type="character" w:customStyle="1" w:styleId="27">
    <w:name w:val="标题 3 Char"/>
    <w:basedOn w:val="21"/>
    <w:link w:val="6"/>
    <w:semiHidden/>
    <w:qFormat/>
    <w:locked/>
    <w:uiPriority w:val="99"/>
    <w:rPr>
      <w:rFonts w:cs="Times New Roman"/>
      <w:sz w:val="32"/>
      <w:szCs w:val="32"/>
    </w:rPr>
  </w:style>
  <w:style w:type="character" w:customStyle="1" w:styleId="28">
    <w:name w:val="批注文字 Char"/>
    <w:basedOn w:val="21"/>
    <w:link w:val="9"/>
    <w:qFormat/>
    <w:locked/>
    <w:uiPriority w:val="99"/>
    <w:rPr>
      <w:rFonts w:ascii="Times New Roman" w:hAnsi="Times New Roman" w:eastAsia="宋体" w:cs="Times New Roman"/>
      <w:kern w:val="2"/>
      <w:sz w:val="24"/>
      <w:szCs w:val="24"/>
    </w:rPr>
  </w:style>
  <w:style w:type="character" w:customStyle="1" w:styleId="29">
    <w:name w:val="批注主题 Char"/>
    <w:basedOn w:val="28"/>
    <w:link w:val="18"/>
    <w:qFormat/>
    <w:locked/>
    <w:uiPriority w:val="99"/>
  </w:style>
  <w:style w:type="character" w:customStyle="1" w:styleId="30">
    <w:name w:val="正文文本 Char"/>
    <w:basedOn w:val="21"/>
    <w:link w:val="2"/>
    <w:semiHidden/>
    <w:qFormat/>
    <w:locked/>
    <w:uiPriority w:val="99"/>
    <w:rPr>
      <w:rFonts w:cs="Times New Roman"/>
      <w:sz w:val="21"/>
      <w:szCs w:val="21"/>
    </w:rPr>
  </w:style>
  <w:style w:type="character" w:customStyle="1" w:styleId="31">
    <w:name w:val="正文文本缩进 Char"/>
    <w:basedOn w:val="21"/>
    <w:link w:val="10"/>
    <w:qFormat/>
    <w:locked/>
    <w:uiPriority w:val="99"/>
    <w:rPr>
      <w:rFonts w:cs="Times New Roman"/>
      <w:kern w:val="2"/>
      <w:sz w:val="24"/>
      <w:szCs w:val="24"/>
    </w:rPr>
  </w:style>
  <w:style w:type="character" w:customStyle="1" w:styleId="32">
    <w:name w:val="纯文本 Char"/>
    <w:basedOn w:val="21"/>
    <w:link w:val="11"/>
    <w:semiHidden/>
    <w:qFormat/>
    <w:locked/>
    <w:uiPriority w:val="99"/>
    <w:rPr>
      <w:rFonts w:ascii="宋体" w:hAnsi="Courier New" w:cs="Courier New"/>
      <w:sz w:val="21"/>
      <w:szCs w:val="21"/>
    </w:rPr>
  </w:style>
  <w:style w:type="character" w:customStyle="1" w:styleId="33">
    <w:name w:val="日期 Char"/>
    <w:basedOn w:val="21"/>
    <w:link w:val="12"/>
    <w:semiHidden/>
    <w:qFormat/>
    <w:locked/>
    <w:uiPriority w:val="99"/>
    <w:rPr>
      <w:rFonts w:cs="Times New Roman"/>
      <w:sz w:val="21"/>
      <w:szCs w:val="21"/>
    </w:rPr>
  </w:style>
  <w:style w:type="character" w:customStyle="1" w:styleId="34">
    <w:name w:val="批注框文本 Char"/>
    <w:basedOn w:val="21"/>
    <w:link w:val="13"/>
    <w:qFormat/>
    <w:locked/>
    <w:uiPriority w:val="99"/>
    <w:rPr>
      <w:rFonts w:ascii="Times New Roman" w:hAnsi="Times New Roman" w:eastAsia="宋体" w:cs="Times New Roman"/>
      <w:kern w:val="2"/>
      <w:sz w:val="18"/>
      <w:szCs w:val="18"/>
    </w:rPr>
  </w:style>
  <w:style w:type="character" w:customStyle="1" w:styleId="35">
    <w:name w:val="页脚 Char"/>
    <w:basedOn w:val="21"/>
    <w:link w:val="14"/>
    <w:semiHidden/>
    <w:qFormat/>
    <w:locked/>
    <w:uiPriority w:val="99"/>
    <w:rPr>
      <w:rFonts w:cs="Times New Roman"/>
      <w:sz w:val="18"/>
      <w:szCs w:val="18"/>
    </w:rPr>
  </w:style>
  <w:style w:type="character" w:customStyle="1" w:styleId="36">
    <w:name w:val="页眉 Char"/>
    <w:basedOn w:val="21"/>
    <w:link w:val="15"/>
    <w:semiHidden/>
    <w:qFormat/>
    <w:locked/>
    <w:uiPriority w:val="99"/>
    <w:rPr>
      <w:rFonts w:cs="Times New Roman"/>
      <w:sz w:val="18"/>
      <w:szCs w:val="18"/>
    </w:rPr>
  </w:style>
  <w:style w:type="paragraph" w:customStyle="1" w:styleId="37">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38">
    <w:name w:val="List Paragraph"/>
    <w:basedOn w:val="1"/>
    <w:qFormat/>
    <w:uiPriority w:val="99"/>
    <w:pPr>
      <w:ind w:firstLine="420" w:firstLineChars="200"/>
    </w:pPr>
    <w:rPr>
      <w:rFonts w:ascii="Calibri" w:hAnsi="Calibri" w:cs="Calibri"/>
    </w:rPr>
  </w:style>
  <w:style w:type="paragraph" w:customStyle="1" w:styleId="39">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列出段落1"/>
    <w:basedOn w:val="1"/>
    <w:qFormat/>
    <w:uiPriority w:val="99"/>
    <w:pPr>
      <w:ind w:firstLine="420" w:firstLineChars="200"/>
    </w:pPr>
    <w:rPr>
      <w:rFonts w:ascii="Calibri" w:hAnsi="Calibri" w:cs="Calibri"/>
      <w:kern w:val="0"/>
    </w:rPr>
  </w:style>
  <w:style w:type="paragraph" w:customStyle="1" w:styleId="41">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正文_14"/>
    <w:qFormat/>
    <w:uiPriority w:val="99"/>
    <w:rPr>
      <w:rFonts w:ascii="Times New Roman" w:hAnsi="Times New Roman" w:eastAsia="宋体" w:cs="Times New Roman"/>
      <w:sz w:val="21"/>
      <w:szCs w:val="21"/>
      <w:lang w:val="en-US" w:eastAsia="zh-CN" w:bidi="ar-SA"/>
    </w:rPr>
  </w:style>
  <w:style w:type="paragraph" w:customStyle="1" w:styleId="4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纯文本_3"/>
    <w:basedOn w:val="47"/>
    <w:qFormat/>
    <w:uiPriority w:val="99"/>
    <w:pPr>
      <w:widowControl/>
      <w:jc w:val="left"/>
    </w:pPr>
    <w:rPr>
      <w:rFonts w:ascii="宋体" w:hAnsi="Courier New" w:cs="宋体"/>
    </w:rPr>
  </w:style>
  <w:style w:type="paragraph" w:customStyle="1" w:styleId="49">
    <w:name w:val="纯文本_0_1"/>
    <w:basedOn w:val="1"/>
    <w:qFormat/>
    <w:uiPriority w:val="99"/>
    <w:pPr>
      <w:widowControl/>
      <w:jc w:val="left"/>
    </w:pPr>
    <w:rPr>
      <w:rFonts w:ascii="宋体" w:hAnsi="Courier New" w:cs="宋体"/>
    </w:rPr>
  </w:style>
  <w:style w:type="paragraph" w:customStyle="1" w:styleId="5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纯文本1"/>
    <w:basedOn w:val="55"/>
    <w:qFormat/>
    <w:uiPriority w:val="0"/>
    <w:pPr>
      <w:widowControl/>
      <w:jc w:val="left"/>
    </w:pPr>
    <w:rPr>
      <w:rFonts w:ascii="宋体" w:hAnsi="Courier New"/>
    </w:rPr>
  </w:style>
  <w:style w:type="paragraph" w:customStyle="1" w:styleId="5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表格标题"/>
    <w:basedOn w:val="1"/>
    <w:qFormat/>
    <w:uiPriority w:val="0"/>
    <w:pPr>
      <w:jc w:val="center"/>
    </w:pPr>
    <w:rPr>
      <w:b/>
    </w:rPr>
  </w:style>
  <w:style w:type="paragraph" w:customStyle="1" w:styleId="5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附件文字"/>
    <w:basedOn w:val="11"/>
    <w:qFormat/>
    <w:uiPriority w:val="0"/>
    <w:pPr>
      <w:adjustRightInd w:val="0"/>
      <w:snapToGrid w:val="0"/>
      <w:ind w:firstLine="150" w:firstLineChars="150"/>
    </w:pPr>
    <w:rPr>
      <w:rFonts w:ascii="Arial" w:hAnsi="Times New Roman"/>
      <w:snapToGrid w:val="0"/>
      <w:color w:val="000000"/>
      <w:sz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eastAsia="Times New Roman"/>
      <w:kern w:val="0"/>
      <w:szCs w:val="22"/>
    </w:rPr>
  </w:style>
  <w:style w:type="paragraph" w:customStyle="1" w:styleId="61">
    <w:name w:val="hea"/>
    <w:basedOn w:val="1"/>
    <w:next w:val="1"/>
    <w:qFormat/>
    <w:uiPriority w:val="0"/>
    <w:pPr>
      <w:keepNext/>
      <w:keepLines/>
      <w:numPr>
        <w:ilvl w:val="0"/>
        <w:numId w:val="2"/>
      </w:numPr>
      <w:spacing w:before="340" w:after="330" w:line="576" w:lineRule="auto"/>
      <w:outlineLvl w:val="0"/>
    </w:pPr>
    <w:rPr>
      <w:rFonts w:hint="eastAsia" w:ascii="宋体"/>
      <w:b/>
      <w:kern w:val="44"/>
      <w:sz w:val="44"/>
      <w:szCs w:val="44"/>
    </w:rPr>
  </w:style>
  <w:style w:type="paragraph" w:customStyle="1" w:styleId="62">
    <w:name w:val="表格文字"/>
    <w:basedOn w:val="10"/>
    <w:next w:val="2"/>
    <w:qFormat/>
    <w:uiPriority w:val="99"/>
    <w:pPr>
      <w:spacing w:line="420" w:lineRule="atLeast"/>
      <w:textAlignment w:val="baseline"/>
    </w:pPr>
    <w:rPr>
      <w:rFonts w:ascii="Calibri" w:hAnsi="Calibri"/>
    </w:rPr>
  </w:style>
  <w:style w:type="character" w:customStyle="1" w:styleId="63">
    <w:name w:val="标题 Char"/>
    <w:basedOn w:val="21"/>
    <w:link w:val="17"/>
    <w:qFormat/>
    <w:uiPriority w:val="10"/>
    <w:rPr>
      <w:rFonts w:ascii="Cambria" w:hAnsi="Cambria"/>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29859</Words>
  <Characters>31728</Characters>
  <Lines>257</Lines>
  <Paragraphs>72</Paragraphs>
  <TotalTime>33</TotalTime>
  <ScaleCrop>false</ScaleCrop>
  <LinksUpToDate>false</LinksUpToDate>
  <CharactersWithSpaces>33835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贰捌°</cp:lastModifiedBy>
  <cp:lastPrinted>2021-04-25T01:36:00Z</cp:lastPrinted>
  <dcterms:modified xsi:type="dcterms:W3CDTF">2022-04-08T04:02:29Z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FFB5E11462994D64865FDB280AADC6D5</vt:lpwstr>
  </property>
</Properties>
</file>