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kern w:val="0"/>
          <w:sz w:val="28"/>
        </w:rPr>
        <w:t>TZTL-2022-CS05</w:t>
      </w:r>
      <w:r>
        <w:rPr>
          <w:rFonts w:hint="eastAsia" w:ascii="宋体"/>
          <w:kern w:val="0"/>
          <w:sz w:val="28"/>
          <w:lang w:val="en-US" w:eastAsia="zh-CN"/>
        </w:rPr>
        <w:t>4</w:t>
      </w: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left"/>
        <w:rPr>
          <w:rFonts w:hint="eastAsia" w:ascii="宋体"/>
          <w:kern w:val="0"/>
          <w:sz w:val="28"/>
        </w:rPr>
      </w:pPr>
    </w:p>
    <w:p>
      <w:pPr>
        <w:autoSpaceDE w:val="0"/>
        <w:autoSpaceDN w:val="0"/>
        <w:adjustRightInd w:val="0"/>
        <w:spacing w:line="360" w:lineRule="auto"/>
        <w:jc w:val="center"/>
        <w:rPr>
          <w:rFonts w:hint="eastAsia" w:ascii="宋体"/>
          <w:kern w:val="0"/>
          <w:sz w:val="28"/>
        </w:rPr>
      </w:pPr>
      <w:r>
        <w:rPr>
          <w:rFonts w:hint="eastAsia" w:ascii="宋体"/>
          <w:kern w:val="0"/>
          <w:sz w:val="28"/>
        </w:rPr>
        <w:t>采购项目：数字化营销与运营管理平台项目</w:t>
      </w:r>
    </w:p>
    <w:p>
      <w:pPr>
        <w:autoSpaceDE w:val="0"/>
        <w:autoSpaceDN w:val="0"/>
        <w:adjustRightInd w:val="0"/>
        <w:spacing w:line="360" w:lineRule="auto"/>
        <w:jc w:val="center"/>
        <w:rPr>
          <w:rFonts w:ascii="宋体"/>
          <w:kern w:val="0"/>
          <w:sz w:val="28"/>
        </w:rPr>
      </w:pPr>
      <w:r>
        <w:rPr>
          <w:rFonts w:hint="eastAsia" w:ascii="宋体"/>
          <w:kern w:val="0"/>
          <w:sz w:val="28"/>
        </w:rPr>
        <w:t>采 购 人：台州科技职业学院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台州天利招标有限公司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2022年06月</w:t>
      </w:r>
    </w:p>
    <w:p>
      <w:pPr>
        <w:spacing w:line="360" w:lineRule="auto"/>
      </w:pPr>
    </w:p>
    <w:p>
      <w:pPr>
        <w:pStyle w:val="26"/>
      </w:pPr>
    </w:p>
    <w:p>
      <w:pPr>
        <w:spacing w:line="360" w:lineRule="auto"/>
      </w:pPr>
    </w:p>
    <w:p>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sdtPr>
      <w:sdtEndPr>
        <w:rPr>
          <w:rFonts w:hint="eastAsia" w:ascii="Times New Roman" w:hAnsi="Times New Roman" w:cs="Times New Roman"/>
          <w:sz w:val="21"/>
          <w:szCs w:val="28"/>
        </w:rPr>
      </w:sdtEndPr>
      <w:sdtContent>
        <w:p>
          <w:pPr>
            <w:jc w:val="center"/>
            <w:rPr>
              <w:rFonts w:ascii="宋体" w:hAnsi="宋体" w:cs="宋体"/>
              <w:sz w:val="32"/>
              <w:szCs w:val="32"/>
            </w:rPr>
          </w:pPr>
        </w:p>
        <w:p>
          <w:pPr>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目  录</w:t>
          </w:r>
        </w:p>
        <w:p>
          <w:pPr>
            <w:pStyle w:val="47"/>
            <w:tabs>
              <w:tab w:val="right" w:leader="dot" w:pos="9070"/>
            </w:tabs>
            <w:spacing w:line="360" w:lineRule="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"_Toc32401" </w:instrText>
          </w:r>
          <w:r>
            <w:fldChar w:fldCharType="separate"/>
          </w:r>
          <w:r>
            <w:rPr>
              <w:rFonts w:hint="eastAsia" w:ascii="宋体" w:hAnsi="宋体" w:cs="宋体"/>
              <w:sz w:val="32"/>
              <w:szCs w:val="32"/>
            </w:rPr>
            <w:t>第一章 磋商邀请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_Toc32401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"_Toc6994"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t>6</w:t>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"_Toc29935"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_Toc29935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"_Toc19531" </w:instrText>
          </w:r>
          <w:r>
            <w:fldChar w:fldCharType="separate"/>
          </w:r>
          <w:r>
            <w:rPr>
              <w:rFonts w:hint="eastAsia" w:ascii="宋体" w:hAnsi="宋体" w:cs="宋体"/>
              <w:sz w:val="32"/>
              <w:szCs w:val="32"/>
            </w:rPr>
            <w:t>第四章 磋商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_Toc19531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"_Toc21781" </w:instrText>
          </w:r>
          <w:r>
            <w:fldChar w:fldCharType="separate"/>
          </w:r>
          <w:r>
            <w:rPr>
              <w:rFonts w:hint="eastAsia" w:ascii="宋体" w:hAnsi="宋体" w:cs="宋体"/>
              <w:sz w:val="32"/>
              <w:szCs w:val="32"/>
            </w:rPr>
            <w:t>第五章 拟签订的合同文本</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8</w:t>
          </w:r>
        </w:p>
        <w:p>
          <w:pPr>
            <w:pStyle w:val="47"/>
            <w:tabs>
              <w:tab w:val="right" w:leader="dot" w:pos="9070"/>
            </w:tabs>
            <w:spacing w:line="360" w:lineRule="auto"/>
            <w:rPr>
              <w:rFonts w:ascii="宋体" w:hAnsi="宋体" w:cs="宋体"/>
              <w:sz w:val="32"/>
              <w:szCs w:val="32"/>
            </w:rPr>
          </w:pPr>
          <w:r>
            <w:fldChar w:fldCharType="begin"/>
          </w:r>
          <w:r>
            <w:instrText xml:space="preserve"> HYPERLINK \l "_Toc22166" </w:instrText>
          </w:r>
          <w:r>
            <w:fldChar w:fldCharType="separate"/>
          </w:r>
          <w:r>
            <w:rPr>
              <w:rFonts w:hint="eastAsia" w:ascii="宋体" w:hAnsi="宋体" w:cs="宋体"/>
              <w:sz w:val="32"/>
              <w:szCs w:val="32"/>
            </w:rPr>
            <w:t>第六章 响应文件格式</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t>3</w:t>
          </w:r>
        </w:p>
        <w:p>
          <w:pPr>
            <w:spacing w:line="360" w:lineRule="auto"/>
            <w:rPr>
              <w:sz w:val="28"/>
              <w:szCs w:val="28"/>
            </w:rPr>
          </w:pPr>
          <w:r>
            <w:rPr>
              <w:rFonts w:hint="eastAsia" w:ascii="宋体" w:hAnsi="宋体" w:cs="宋体"/>
              <w:sz w:val="32"/>
              <w:szCs w:val="32"/>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pPr>
        <w:pStyle w:val="3"/>
        <w:ind w:firstLine="480" w:firstLineChars="200"/>
        <w:rPr>
          <w:rFonts w:asciiTheme="minorEastAsia" w:hAnsiTheme="minorEastAsia" w:eastAsiaTheme="minorEastAsia" w:cstheme="minorEastAsia"/>
          <w:b w:val="0"/>
          <w:bCs/>
          <w:sz w:val="24"/>
          <w:szCs w:val="24"/>
        </w:rPr>
      </w:pPr>
      <w:bookmarkStart w:id="1" w:name="_Toc35393790"/>
      <w:bookmarkStart w:id="2" w:name="_Toc28359002"/>
      <w:bookmarkStart w:id="3" w:name="_Toc28359079"/>
      <w:bookmarkStart w:id="4" w:name="_Toc35393621"/>
      <w:bookmarkStart w:id="5" w:name="_Hlk24379207"/>
      <w:r>
        <w:rPr>
          <w:rFonts w:hint="eastAsia" w:cs="宋体"/>
          <w:b w:val="0"/>
          <w:bCs/>
          <w:sz w:val="24"/>
        </w:rPr>
        <w:t>台州天利招标有限公司</w:t>
      </w:r>
      <w:r>
        <w:rPr>
          <w:rFonts w:hint="eastAsia" w:cs="Arial"/>
          <w:b w:val="0"/>
          <w:bCs/>
          <w:sz w:val="24"/>
        </w:rPr>
        <w:t>受采购人台州科技职业学院委托，根据台州市政府采购（分散委托）预算执行确认书（</w:t>
      </w:r>
      <w:r>
        <w:rPr>
          <w:rFonts w:hint="eastAsia" w:cs="宋体"/>
          <w:b w:val="0"/>
          <w:bCs/>
          <w:sz w:val="24"/>
        </w:rPr>
        <w:t>台财采确【2022】</w:t>
      </w:r>
      <w:r>
        <w:rPr>
          <w:rFonts w:hint="eastAsia" w:cs="宋体"/>
          <w:b w:val="0"/>
          <w:bCs/>
          <w:sz w:val="24"/>
          <w:lang w:val="en-US" w:eastAsia="zh-CN"/>
        </w:rPr>
        <w:t>3844</w:t>
      </w:r>
      <w:r>
        <w:rPr>
          <w:rFonts w:hint="eastAsia" w:cs="宋体"/>
          <w:b w:val="0"/>
          <w:bCs/>
          <w:sz w:val="24"/>
        </w:rPr>
        <w:t>号）</w:t>
      </w:r>
      <w:r>
        <w:rPr>
          <w:rFonts w:hint="eastAsia" w:cs="Arial"/>
          <w:b w:val="0"/>
          <w:bCs/>
          <w:sz w:val="24"/>
        </w:rPr>
        <w:t>确认现就数字化营销与运营管理平台项目</w:t>
      </w:r>
      <w:r>
        <w:rPr>
          <w:rFonts w:hint="eastAsia" w:cs="宋体"/>
          <w:b w:val="0"/>
          <w:bCs/>
          <w:sz w:val="24"/>
        </w:rPr>
        <w:t>进行竞争性磋商，欢迎符合资格条件的国内供应商参加磋商。</w:t>
      </w:r>
    </w:p>
    <w:p>
      <w:pPr>
        <w:pStyle w:val="3"/>
        <w:ind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项目编号：TZTL-2022-CS05</w:t>
      </w:r>
      <w:r>
        <w:rPr>
          <w:rFonts w:hint="eastAsia" w:asciiTheme="minorEastAsia" w:hAnsiTheme="minorEastAsia" w:eastAsiaTheme="minorEastAsia" w:cstheme="minorEastAsia"/>
          <w:sz w:val="24"/>
          <w:lang w:val="en-US" w:eastAsia="zh-CN"/>
        </w:rPr>
        <w:t>4</w:t>
      </w:r>
    </w:p>
    <w:bookmarkEnd w:id="5"/>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项目名称：台州科技职业学院数字化营销与运营管理平台项目</w:t>
      </w:r>
    </w:p>
    <w:tbl>
      <w:tblPr>
        <w:tblStyle w:val="24"/>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075"/>
        <w:gridCol w:w="757"/>
        <w:gridCol w:w="750"/>
        <w:gridCol w:w="154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744"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标项号</w:t>
            </w:r>
          </w:p>
        </w:tc>
        <w:tc>
          <w:tcPr>
            <w:tcW w:w="3075"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标项名称</w:t>
            </w:r>
          </w:p>
        </w:tc>
        <w:tc>
          <w:tcPr>
            <w:tcW w:w="757"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750"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1549"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c>
          <w:tcPr>
            <w:tcW w:w="1796"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交货期</w:t>
            </w: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44"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307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台州科技职业学院数字化营销与运营管理平台项目</w:t>
            </w:r>
          </w:p>
        </w:tc>
        <w:tc>
          <w:tcPr>
            <w:tcW w:w="75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750"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套</w:t>
            </w:r>
          </w:p>
        </w:tc>
        <w:tc>
          <w:tcPr>
            <w:tcW w:w="1549"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49.80</w:t>
            </w:r>
          </w:p>
        </w:tc>
        <w:tc>
          <w:tcPr>
            <w:tcW w:w="179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14:textFill>
                  <w14:solidFill>
                    <w14:schemeClr w14:val="tx1"/>
                  </w14:solidFill>
                </w14:textFill>
              </w:rPr>
              <w:t>0天内</w:t>
            </w:r>
          </w:p>
        </w:tc>
      </w:tr>
    </w:tbl>
    <w:p>
      <w:pPr>
        <w:pStyle w:val="3"/>
        <w:ind w:right="0" w:firstLine="482" w:firstLineChars="200"/>
        <w:rPr>
          <w:rFonts w:cs="宋体"/>
          <w:bCs/>
          <w:sz w:val="24"/>
          <w:szCs w:val="24"/>
        </w:rPr>
      </w:pPr>
      <w:bookmarkStart w:id="6" w:name="_Toc35393791"/>
      <w:bookmarkStart w:id="7" w:name="_Toc28359080"/>
      <w:bookmarkStart w:id="8" w:name="_Toc35393622"/>
      <w:bookmarkStart w:id="9" w:name="_Toc28359003"/>
      <w:r>
        <w:rPr>
          <w:rFonts w:hint="eastAsia" w:cs="宋体"/>
          <w:bCs/>
          <w:sz w:val="24"/>
          <w:szCs w:val="24"/>
        </w:rPr>
        <w:t>二、供应商的资格要求：</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color w:val="000000" w:themeColor="text1"/>
          <w:sz w:val="24"/>
          <w14:textFill>
            <w14:solidFill>
              <w14:schemeClr w14:val="tx1"/>
            </w14:solidFill>
          </w14:textFill>
        </w:rPr>
      </w:pPr>
      <w:bookmarkStart w:id="10" w:name="_Toc28359004"/>
      <w:bookmarkStart w:id="11" w:name="_Toc35393792"/>
      <w:bookmarkStart w:id="12" w:name="_Toc35393623"/>
      <w:bookmarkStart w:id="13" w:name="_Toc28359081"/>
      <w:r>
        <w:rPr>
          <w:rFonts w:hint="eastAsia" w:ascii="宋体" w:hAnsi="宋体" w:cs="宋体"/>
          <w:sz w:val="24"/>
        </w:rPr>
        <w:t>（二）本项目的特定资格要求：</w:t>
      </w:r>
      <w:r>
        <w:rPr>
          <w:rFonts w:hint="eastAsia" w:hAnsi="宋体" w:cs="宋体"/>
          <w:color w:val="000000" w:themeColor="text1"/>
          <w:sz w:val="24"/>
          <w14:textFill>
            <w14:solidFill>
              <w14:schemeClr w14:val="tx1"/>
            </w14:solidFill>
          </w14:textFill>
        </w:rPr>
        <w:t>无</w:t>
      </w:r>
    </w:p>
    <w:p>
      <w:pPr>
        <w:spacing w:line="360" w:lineRule="auto"/>
        <w:ind w:firstLine="480" w:firstLineChars="200"/>
        <w:rPr>
          <w:rFonts w:ascii="宋体" w:hAnsi="宋体" w:cs="宋体"/>
          <w:sz w:val="24"/>
        </w:rPr>
      </w:pPr>
      <w:r>
        <w:rPr>
          <w:rFonts w:hint="eastAsia" w:ascii="宋体" w:hAnsi="宋体" w:cs="宋体"/>
          <w:sz w:val="24"/>
        </w:rPr>
        <w:t>（三）本项目</w:t>
      </w:r>
      <w:r>
        <w:rPr>
          <w:rFonts w:hint="eastAsia" w:ascii="宋体" w:hAnsi="宋体" w:cs="宋体"/>
          <w:b/>
          <w:bCs/>
          <w:sz w:val="24"/>
        </w:rPr>
        <w:t>(</w:t>
      </w:r>
      <w:r>
        <w:rPr>
          <w:rFonts w:hint="eastAsia" w:ascii="宋体" w:hAnsi="宋体" w:cs="宋体"/>
          <w:b/>
          <w:bCs/>
          <w:sz w:val="24"/>
        </w:rPr>
        <w:sym w:font="Wingdings 2" w:char="0052"/>
      </w:r>
      <w:r>
        <w:rPr>
          <w:rFonts w:hint="eastAsia" w:ascii="宋体" w:hAnsi="宋体" w:cs="宋体"/>
          <w:b/>
          <w:bCs/>
          <w:sz w:val="24"/>
        </w:rPr>
        <w:t xml:space="preserve"> 不接受/□ 接受)</w:t>
      </w:r>
      <w:r>
        <w:rPr>
          <w:rFonts w:hint="eastAsia" w:ascii="宋体" w:hAnsi="宋体" w:cs="宋体"/>
          <w:sz w:val="24"/>
        </w:rPr>
        <w:t>联合体投标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（四）本项目</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sym w:font="Wingdings 2" w:char="0052"/>
      </w:r>
      <w:r>
        <w:rPr>
          <w:rFonts w:hint="eastAsia" w:ascii="宋体" w:hAnsi="宋体" w:cs="宋体"/>
          <w:b/>
          <w:bCs/>
          <w:color w:val="000000" w:themeColor="text1"/>
          <w:sz w:val="24"/>
          <w14:textFill>
            <w14:solidFill>
              <w14:schemeClr w14:val="tx1"/>
            </w14:solidFill>
          </w14:textFill>
        </w:rPr>
        <w:t xml:space="preserve"> 是/</w:t>
      </w:r>
      <w:r>
        <w:rPr>
          <w:rFonts w:hint="eastAsia" w:ascii="宋体" w:hAnsi="宋体" w:cs="宋体"/>
          <w:b/>
          <w:bCs/>
          <w:color w:val="000000" w:themeColor="text1"/>
          <w:sz w:val="24"/>
          <w14:textFill>
            <w14:solidFill>
              <w14:schemeClr w14:val="tx1"/>
            </w14:solidFill>
          </w14:textFill>
        </w:rPr>
        <w:sym w:font="Wingdings 2" w:char="00A3"/>
      </w:r>
      <w:r>
        <w:rPr>
          <w:rFonts w:hint="eastAsia" w:ascii="宋体" w:hAnsi="宋体" w:cs="宋体"/>
          <w:b/>
          <w:bCs/>
          <w:color w:val="000000" w:themeColor="text1"/>
          <w:sz w:val="24"/>
          <w14:textFill>
            <w14:solidFill>
              <w14:schemeClr w14:val="tx1"/>
            </w14:solidFill>
          </w14:textFill>
        </w:rPr>
        <w:t xml:space="preserve"> 否)</w:t>
      </w:r>
      <w:r>
        <w:rPr>
          <w:rFonts w:hint="eastAsia" w:ascii="宋体" w:hAnsi="宋体" w:cs="宋体"/>
          <w:color w:val="000000" w:themeColor="text1"/>
          <w:sz w:val="24"/>
          <w14:textFill>
            <w14:solidFill>
              <w14:schemeClr w14:val="tx1"/>
            </w14:solidFill>
          </w14:textFill>
        </w:rPr>
        <w:t>针对为中小企业</w:t>
      </w:r>
    </w:p>
    <w:p>
      <w:pPr>
        <w:spacing w:line="360" w:lineRule="auto"/>
        <w:ind w:firstLine="480" w:firstLineChars="200"/>
        <w:rPr>
          <w:rFonts w:ascii="宋体" w:hAnsi="宋体" w:cs="宋体"/>
          <w:sz w:val="24"/>
        </w:rPr>
      </w:pPr>
      <w:r>
        <w:rPr>
          <w:rFonts w:hint="eastAsia" w:ascii="宋体" w:hAnsi="宋体" w:cs="宋体"/>
          <w:sz w:val="24"/>
        </w:rPr>
        <w:t>（五）信用记录：未被列入“信用中国”失信被执行人或重大税收违法案件当事人名单；未处于“中国政府采购网”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磋商。</w:t>
      </w:r>
    </w:p>
    <w:p>
      <w:pPr>
        <w:pStyle w:val="3"/>
        <w:ind w:right="0" w:firstLine="482" w:firstLineChars="200"/>
        <w:rPr>
          <w:rFonts w:cs="宋体"/>
          <w:bCs/>
          <w:sz w:val="24"/>
          <w:szCs w:val="24"/>
        </w:rPr>
      </w:pPr>
      <w:r>
        <w:rPr>
          <w:rFonts w:hint="eastAsia" w:cs="宋体"/>
          <w:bCs/>
          <w:sz w:val="24"/>
          <w:szCs w:val="24"/>
        </w:rPr>
        <w:t>三、获取磋商文件</w:t>
      </w:r>
      <w:bookmarkEnd w:id="10"/>
      <w:bookmarkEnd w:id="11"/>
      <w:bookmarkEnd w:id="12"/>
      <w:bookmarkEnd w:id="13"/>
    </w:p>
    <w:p>
      <w:pPr>
        <w:spacing w:line="360" w:lineRule="auto"/>
        <w:ind w:firstLine="480" w:firstLineChars="200"/>
        <w:rPr>
          <w:rFonts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rPr>
        <w:t>2022年</w:t>
      </w:r>
      <w:r>
        <w:rPr>
          <w:rFonts w:hint="eastAsia" w:ascii="宋体" w:hAnsi="宋体" w:cs="宋体"/>
          <w:color w:val="auto"/>
          <w:sz w:val="24"/>
          <w:u w:val="single"/>
          <w:lang w:val="en-US" w:eastAsia="zh-CN"/>
        </w:rPr>
        <w:t>06</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至2022</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p>
    <w:p>
      <w:pPr>
        <w:pStyle w:val="26"/>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（二）方式：浙江政府采购网</w:t>
      </w:r>
      <w:r>
        <w:rPr>
          <w:rFonts w:hint="eastAsia" w:ascii="宋体" w:hAnsi="宋体" w:eastAsia="宋体" w:cs="宋体"/>
          <w:color w:val="auto"/>
          <w:kern w:val="2"/>
          <w:sz w:val="24"/>
          <w:szCs w:val="24"/>
        </w:rPr>
        <w:t>（https://zfcg.czt.zj.gov.cn）</w:t>
      </w:r>
      <w:r>
        <w:rPr>
          <w:rFonts w:hint="eastAsia" w:ascii="宋体" w:hAnsi="宋体" w:eastAsia="宋体" w:cs="宋体"/>
          <w:color w:val="auto"/>
          <w:sz w:val="24"/>
          <w:szCs w:val="24"/>
        </w:rPr>
        <w:t>免费下载</w:t>
      </w:r>
    </w:p>
    <w:p>
      <w:pPr>
        <w:pStyle w:val="3"/>
        <w:ind w:right="0" w:firstLine="482" w:firstLineChars="200"/>
        <w:rPr>
          <w:rFonts w:cs="宋体"/>
          <w:bCs/>
          <w:color w:val="auto"/>
          <w:sz w:val="24"/>
          <w:szCs w:val="24"/>
        </w:rPr>
      </w:pPr>
      <w:bookmarkStart w:id="14" w:name="_Toc35393624"/>
      <w:bookmarkStart w:id="15" w:name="_Toc28359005"/>
      <w:bookmarkStart w:id="16" w:name="_Toc35393793"/>
      <w:bookmarkStart w:id="17" w:name="_Toc28359082"/>
      <w:r>
        <w:rPr>
          <w:rFonts w:hint="eastAsia" w:cs="宋体"/>
          <w:bCs/>
          <w:color w:val="auto"/>
          <w:sz w:val="24"/>
          <w:szCs w:val="24"/>
        </w:rPr>
        <w:t>四、提交</w:t>
      </w:r>
      <w:bookmarkEnd w:id="14"/>
      <w:bookmarkEnd w:id="15"/>
      <w:bookmarkEnd w:id="16"/>
      <w:bookmarkEnd w:id="17"/>
      <w:r>
        <w:rPr>
          <w:rFonts w:hint="eastAsia" w:cs="宋体"/>
          <w:bCs/>
          <w:color w:val="auto"/>
          <w:sz w:val="24"/>
          <w:szCs w:val="24"/>
        </w:rPr>
        <w:t>响应文件</w:t>
      </w:r>
    </w:p>
    <w:p>
      <w:pPr>
        <w:spacing w:line="360" w:lineRule="auto"/>
        <w:ind w:firstLine="480" w:firstLineChars="200"/>
        <w:rPr>
          <w:rFonts w:ascii="宋体" w:hAnsi="宋体" w:cs="宋体"/>
          <w:iCs/>
          <w:color w:val="FF0000"/>
          <w:sz w:val="24"/>
          <w:u w:val="single"/>
        </w:rPr>
      </w:pPr>
      <w:bookmarkStart w:id="18" w:name="_Toc35393625"/>
      <w:bookmarkStart w:id="19" w:name="_Toc28359084"/>
      <w:bookmarkStart w:id="20" w:name="_Toc35393794"/>
      <w:bookmarkStart w:id="21" w:name="_Toc28359007"/>
      <w:r>
        <w:rPr>
          <w:rFonts w:hint="eastAsia" w:ascii="宋体" w:hAnsi="宋体" w:cs="宋体"/>
          <w:color w:val="auto"/>
          <w:sz w:val="24"/>
        </w:rPr>
        <w:t>（一）截止时间（磋商开始时间）：</w:t>
      </w:r>
      <w:r>
        <w:rPr>
          <w:rFonts w:hint="eastAsia" w:ascii="宋体" w:hAnsi="宋体" w:cs="宋体"/>
          <w:bCs/>
          <w:color w:val="auto"/>
          <w:sz w:val="24"/>
          <w:u w:val="single"/>
        </w:rPr>
        <w:t>2022年</w:t>
      </w:r>
      <w:r>
        <w:rPr>
          <w:rFonts w:hint="eastAsia" w:ascii="宋体" w:hAnsi="宋体" w:cs="宋体"/>
          <w:bCs/>
          <w:color w:val="auto"/>
          <w:sz w:val="24"/>
          <w:u w:val="single"/>
          <w:lang w:val="en-US" w:eastAsia="zh-CN"/>
        </w:rPr>
        <w:t>07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08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w:t>
      </w:r>
      <w:r>
        <w:rPr>
          <w:rFonts w:hint="eastAsia" w:ascii="宋体" w:hAnsi="宋体" w:cs="宋体"/>
          <w:bCs/>
          <w:color w:val="auto"/>
          <w:sz w:val="24"/>
          <w:u w:val="single"/>
          <w:lang w:val="en-US" w:eastAsia="zh-CN"/>
        </w:rPr>
        <w:t>30</w:t>
      </w:r>
      <w:r>
        <w:rPr>
          <w:rFonts w:hint="eastAsia" w:ascii="宋体" w:hAnsi="宋体" w:cs="宋体"/>
          <w:bCs/>
          <w:color w:val="auto"/>
          <w:sz w:val="24"/>
          <w:u w:val="single"/>
        </w:rPr>
        <w:t>点整</w:t>
      </w:r>
      <w:r>
        <w:rPr>
          <w:rFonts w:hint="eastAsia" w:ascii="宋体" w:hAnsi="宋体" w:cs="宋体"/>
          <w:bCs/>
          <w:color w:val="auto"/>
          <w:sz w:val="24"/>
        </w:rPr>
        <w:t>（北京时间）</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pPr>
        <w:pStyle w:val="16"/>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6"/>
        <w:spacing w:after="0" w:line="360" w:lineRule="auto"/>
        <w:ind w:left="0" w:leftChars="0" w:firstLine="480" w:firstLineChars="200"/>
        <w:rPr>
          <w:rFonts w:ascii="宋体" w:hAnsi="宋体" w:cs="宋体"/>
          <w:kern w:val="0"/>
          <w:sz w:val="24"/>
        </w:rPr>
      </w:pPr>
      <w:r>
        <w:rPr>
          <w:rFonts w:hint="eastAsia" w:ascii="宋体" w:hAnsi="宋体" w:cs="宋体"/>
          <w:kern w:val="0"/>
          <w:sz w:val="24"/>
        </w:rPr>
        <w:t>（一）公告网址：浙江政府采购网（</w:t>
      </w:r>
      <w:r>
        <w:rPr>
          <w:rFonts w:hint="eastAsia" w:ascii="宋体" w:hAnsi="宋体" w:cs="宋体"/>
          <w:sz w:val="24"/>
        </w:rPr>
        <w:t>https://zfcg.czt.zj.gov.cn</w:t>
      </w:r>
      <w:r>
        <w:rPr>
          <w:rFonts w:hint="eastAsia" w:ascii="宋体" w:hAnsi="宋体" w:cs="宋体"/>
          <w:kern w:val="0"/>
          <w:sz w:val="24"/>
        </w:rPr>
        <w:t>）</w:t>
      </w:r>
    </w:p>
    <w:p>
      <w:pPr>
        <w:pStyle w:val="16"/>
        <w:spacing w:after="0"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（二）公告期限：本公告期限自发布之日起五个工作日</w:t>
      </w:r>
    </w:p>
    <w:p>
      <w:pPr>
        <w:pStyle w:val="3"/>
        <w:ind w:right="0" w:firstLine="482" w:firstLineChars="200"/>
        <w:rPr>
          <w:rFonts w:asciiTheme="minorEastAsia" w:hAnsiTheme="minorEastAsia" w:eastAsiaTheme="minorEastAsia" w:cstheme="minorEastAsia"/>
          <w:bCs/>
          <w:sz w:val="24"/>
          <w:szCs w:val="24"/>
        </w:rPr>
      </w:pPr>
      <w:bookmarkStart w:id="22" w:name="_Toc35393626"/>
      <w:bookmarkStart w:id="23" w:name="_Toc35393795"/>
      <w:r>
        <w:rPr>
          <w:rFonts w:hint="eastAsia" w:asciiTheme="minorEastAsia" w:hAnsiTheme="minorEastAsia" w:eastAsiaTheme="minorEastAsia" w:cstheme="minorEastAsia"/>
          <w:bCs/>
          <w:sz w:val="24"/>
          <w:szCs w:val="24"/>
        </w:rPr>
        <w:t>六、</w:t>
      </w:r>
      <w:bookmarkEnd w:id="22"/>
      <w:bookmarkEnd w:id="23"/>
      <w:r>
        <w:rPr>
          <w:rFonts w:hint="eastAsia" w:asciiTheme="minorEastAsia" w:hAnsiTheme="minorEastAsia" w:eastAsiaTheme="minorEastAsia" w:cstheme="minorEastAsia"/>
          <w:bCs/>
          <w:sz w:val="24"/>
          <w:szCs w:val="24"/>
        </w:rPr>
        <w:t>注册报名</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参与政府采购项目的供应商，需登录浙江省政府采购网（https://zfcg.czt.zj.gov.cn/）进行注册后报名。</w:t>
      </w:r>
    </w:p>
    <w:p>
      <w:pPr>
        <w:pStyle w:val="20"/>
        <w:widowControl w:val="0"/>
        <w:spacing w:before="0" w:beforeAutospacing="0" w:after="0" w:afterAutospacing="0" w:line="360" w:lineRule="auto"/>
        <w:ind w:firstLine="482" w:firstLineChars="200"/>
        <w:jc w:val="both"/>
        <w:rPr>
          <w:rFonts w:hint="default" w:asciiTheme="minorEastAsia" w:hAnsiTheme="minorEastAsia" w:eastAsiaTheme="minorEastAsia" w:cstheme="minorEastAsia"/>
          <w:b/>
          <w:bCs/>
          <w:color w:val="000000" w:themeColor="text1"/>
          <w:kern w:val="2"/>
          <w14:textFill>
            <w14:solidFill>
              <w14:schemeClr w14:val="tx1"/>
            </w14:solidFill>
          </w14:textFill>
        </w:rPr>
      </w:pPr>
      <w:bookmarkStart w:id="24" w:name="_Toc35393796"/>
      <w:bookmarkStart w:id="25" w:name="_Toc35393627"/>
      <w:bookmarkStart w:id="26" w:name="_Toc28359008"/>
      <w:bookmarkStart w:id="27" w:name="_Toc28359085"/>
      <w:r>
        <w:rPr>
          <w:rFonts w:asciiTheme="minorEastAsia" w:hAnsiTheme="minorEastAsia" w:eastAsiaTheme="minorEastAsia" w:cstheme="minorEastAsia"/>
          <w:b/>
          <w:bCs/>
          <w:color w:val="000000" w:themeColor="text1"/>
          <w:kern w:val="2"/>
          <w14:textFill>
            <w14:solidFill>
              <w14:schemeClr w14:val="tx1"/>
            </w14:solidFill>
          </w14:textFill>
        </w:rPr>
        <w:t>七、其他补充事宜</w:t>
      </w:r>
    </w:p>
    <w:p>
      <w:pPr>
        <w:pStyle w:val="20"/>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color w:val="000000" w:themeColor="text1"/>
          <w:kern w:val="2"/>
          <w14:textFill>
            <w14:solidFill>
              <w14:schemeClr w14:val="tx1"/>
            </w14:solidFill>
          </w14:textFill>
        </w:rPr>
      </w:pPr>
      <w:r>
        <w:rPr>
          <w:rFonts w:asciiTheme="minorEastAsia" w:hAnsiTheme="minorEastAsia" w:eastAsiaTheme="minorEastAsia" w:cstheme="minorEastAsia"/>
          <w:color w:val="000000" w:themeColor="text1"/>
          <w:kern w:val="2"/>
          <w14:textFill>
            <w14:solidFill>
              <w14:schemeClr w14:val="tx1"/>
            </w14:solidFill>
          </w14:textFill>
        </w:rPr>
        <w:t>（一）《浙江省财政厅关于进一步发挥政府采购政策功能全力推动经济稳进提质的通知》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0"/>
        <w:widowControl w:val="0"/>
        <w:spacing w:before="0" w:beforeAutospacing="0" w:after="0" w:afterAutospacing="0" w:line="360" w:lineRule="auto"/>
        <w:ind w:firstLine="480" w:firstLineChars="200"/>
        <w:jc w:val="both"/>
        <w:rPr>
          <w:rFonts w:hint="default" w:asciiTheme="minorEastAsia" w:hAnsiTheme="minorEastAsia" w:eastAsiaTheme="minorEastAsia" w:cstheme="minorEastAsia"/>
          <w:bCs/>
          <w:color w:val="000000" w:themeColor="text1"/>
          <w14:textFill>
            <w14:solidFill>
              <w14:schemeClr w14:val="tx1"/>
            </w14:solidFill>
          </w14:textFill>
        </w:rPr>
      </w:pPr>
      <w:r>
        <w:rPr>
          <w:rFonts w:asciiTheme="minorEastAsia" w:hAnsiTheme="minorEastAsia" w:eastAsiaTheme="minorEastAsia" w:cstheme="minorEastAsia"/>
          <w:color w:val="000000" w:themeColor="text1"/>
          <w:kern w:val="2"/>
          <w14:textFill>
            <w14:solidFill>
              <w14:schemeClr w14:val="tx1"/>
            </w14:solidFill>
          </w14:textFill>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ind w:right="0"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八、联系</w:t>
      </w:r>
      <w:bookmarkEnd w:id="24"/>
      <w:bookmarkEnd w:id="25"/>
      <w:bookmarkEnd w:id="26"/>
      <w:bookmarkEnd w:id="27"/>
      <w:r>
        <w:rPr>
          <w:rFonts w:hint="eastAsia" w:asciiTheme="minorEastAsia" w:hAnsiTheme="minorEastAsia" w:eastAsiaTheme="minorEastAsia" w:cstheme="minorEastAsia"/>
          <w:bCs/>
          <w:sz w:val="24"/>
          <w:szCs w:val="24"/>
        </w:rPr>
        <w:t>方式</w:t>
      </w:r>
    </w:p>
    <w:p>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（一）采购人（受理磋商文件相关质疑及答复） </w:t>
      </w:r>
    </w:p>
    <w:p>
      <w:pPr>
        <w:snapToGrid w:val="0"/>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台州科技职业学院</w:t>
      </w:r>
    </w:p>
    <w:p>
      <w:pPr>
        <w:snapToGrid w:val="0"/>
        <w:spacing w:line="360" w:lineRule="auto"/>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浙江省台州市黄岩区嘉木路288号</w:t>
      </w:r>
    </w:p>
    <w:p>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陈老师</w:t>
      </w:r>
      <w:r>
        <w:rPr>
          <w:rFonts w:hint="eastAsia" w:ascii="宋体" w:hAnsi="宋体" w:cs="宋体"/>
          <w:sz w:val="24"/>
        </w:rPr>
        <w:t>　</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0576-89188133</w:t>
      </w:r>
    </w:p>
    <w:p>
      <w:pPr>
        <w:snapToGrid w:val="0"/>
        <w:spacing w:line="360" w:lineRule="auto"/>
        <w:ind w:firstLine="480" w:firstLineChars="200"/>
        <w:rPr>
          <w:rFonts w:ascii="宋体" w:hAnsi="宋体" w:cs="宋体"/>
          <w:sz w:val="24"/>
          <w:u w:val="single"/>
        </w:rPr>
      </w:pPr>
      <w:r>
        <w:rPr>
          <w:rFonts w:hint="eastAsia" w:ascii="宋体" w:hAnsi="宋体" w:cs="宋体"/>
          <w:sz w:val="24"/>
        </w:rPr>
        <w:t>质疑答复联系人：</w:t>
      </w:r>
      <w:r>
        <w:rPr>
          <w:rFonts w:hint="eastAsia" w:ascii="宋体" w:hAnsi="宋体" w:cs="宋体"/>
          <w:sz w:val="24"/>
          <w:u w:val="single"/>
        </w:rPr>
        <w:t>陈老师</w:t>
      </w:r>
    </w:p>
    <w:p>
      <w:pPr>
        <w:snapToGrid w:val="0"/>
        <w:spacing w:line="360" w:lineRule="auto"/>
        <w:ind w:firstLine="480" w:firstLineChars="200"/>
        <w:rPr>
          <w:rFonts w:ascii="宋体" w:hAnsi="宋体" w:cs="宋体"/>
          <w:sz w:val="24"/>
        </w:rPr>
      </w:pPr>
      <w:r>
        <w:rPr>
          <w:rFonts w:hint="eastAsia" w:ascii="宋体" w:hAnsi="宋体" w:cs="宋体"/>
          <w:sz w:val="24"/>
        </w:rPr>
        <w:t>质疑答复联系电话：</w:t>
      </w:r>
      <w:bookmarkStart w:id="28" w:name="_Toc28359009"/>
      <w:bookmarkStart w:id="29" w:name="_Toc28359086"/>
      <w:r>
        <w:rPr>
          <w:rFonts w:hint="eastAsia" w:ascii="宋体" w:hAnsi="宋体" w:cs="宋体"/>
          <w:sz w:val="24"/>
          <w:u w:val="single"/>
        </w:rPr>
        <w:t>0576-89188133</w:t>
      </w:r>
    </w:p>
    <w:bookmarkEnd w:id="28"/>
    <w:bookmarkEnd w:id="29"/>
    <w:p>
      <w:pPr>
        <w:snapToGrid w:val="0"/>
        <w:spacing w:line="360" w:lineRule="auto"/>
        <w:ind w:firstLine="480" w:firstLineChars="200"/>
        <w:rPr>
          <w:rFonts w:ascii="宋体" w:hAnsi="宋体" w:cs="宋体"/>
          <w:sz w:val="24"/>
        </w:rPr>
      </w:pPr>
      <w:bookmarkStart w:id="30" w:name="_Toc28359087"/>
      <w:bookmarkStart w:id="31" w:name="_Toc28359010"/>
      <w:r>
        <w:rPr>
          <w:rFonts w:hint="eastAsia" w:ascii="宋体" w:hAnsi="宋体" w:cs="宋体"/>
          <w:sz w:val="24"/>
        </w:rPr>
        <w:t>（二）</w:t>
      </w:r>
      <w:r>
        <w:rPr>
          <w:rFonts w:hint="eastAsia" w:ascii="宋体" w:hAnsi="宋体" w:cs="宋体"/>
          <w:b/>
          <w:bCs/>
          <w:sz w:val="24"/>
        </w:rPr>
        <w:t>采购组织机构</w:t>
      </w:r>
    </w:p>
    <w:p>
      <w:pPr>
        <w:snapToGrid w:val="0"/>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台州天利招标有限公司</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cs="宋体"/>
          <w:color w:val="000000"/>
          <w:sz w:val="24"/>
          <w:u w:val="single"/>
          <w:lang w:bidi="ar"/>
        </w:rPr>
        <w:t>浙江省台州市椒江区海门街道建设路105-16号</w:t>
      </w:r>
    </w:p>
    <w:p>
      <w:pPr>
        <w:pStyle w:val="20"/>
        <w:widowControl w:val="0"/>
        <w:adjustRightInd w:val="0"/>
        <w:snapToGrid w:val="0"/>
        <w:spacing w:before="0" w:beforeAutospacing="0" w:after="0" w:afterAutospacing="0" w:line="360" w:lineRule="auto"/>
        <w:ind w:firstLine="480" w:firstLineChars="200"/>
        <w:jc w:val="both"/>
        <w:rPr>
          <w:rFonts w:hint="default" w:cs="宋体"/>
        </w:rPr>
      </w:pPr>
      <w:r>
        <w:rPr>
          <w:rFonts w:cs="宋体"/>
          <w:kern w:val="2"/>
        </w:rPr>
        <w:t>项目联系人：</w:t>
      </w:r>
      <w:r>
        <w:rPr>
          <w:rFonts w:cs="宋体"/>
          <w:u w:val="single"/>
        </w:rPr>
        <w:t>陈</w:t>
      </w:r>
      <w:r>
        <w:rPr>
          <w:rFonts w:cs="宋体"/>
          <w:color w:val="000000"/>
          <w:u w:val="single"/>
          <w:lang w:bidi="ar"/>
        </w:rPr>
        <w:t>女士</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0576-88322665</w:t>
      </w:r>
    </w:p>
    <w:p>
      <w:pPr>
        <w:snapToGrid w:val="0"/>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洪先生（受理注册、磋商结果相关质疑及答复）</w:t>
      </w:r>
    </w:p>
    <w:p>
      <w:pPr>
        <w:snapToGrid w:val="0"/>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0576-88898180</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（三）同级政府采购监管机构</w:t>
      </w:r>
    </w:p>
    <w:p>
      <w:pPr>
        <w:snapToGrid w:val="0"/>
        <w:spacing w:line="360" w:lineRule="auto"/>
        <w:ind w:firstLine="480" w:firstLineChars="200"/>
        <w:rPr>
          <w:rFonts w:ascii="宋体" w:hAnsi="宋体" w:cs="宋体"/>
          <w:sz w:val="24"/>
          <w:u w:val="single"/>
          <w:lang w:bidi="en-US"/>
        </w:rPr>
      </w:pPr>
      <w:r>
        <w:rPr>
          <w:rFonts w:hint="eastAsia" w:asciiTheme="minorEastAsia" w:hAnsiTheme="minorEastAsia" w:eastAsiaTheme="minorEastAsia" w:cstheme="minorEastAsia"/>
          <w:sz w:val="24"/>
        </w:rPr>
        <w:t>名 称：</w:t>
      </w:r>
      <w:r>
        <w:rPr>
          <w:rFonts w:hint="eastAsia" w:ascii="宋体" w:hAnsi="宋体" w:cs="宋体"/>
          <w:sz w:val="24"/>
          <w:u w:val="single"/>
          <w:lang w:bidi="en-US"/>
        </w:rPr>
        <w:t>台州市财政局政府采购监管处</w:t>
      </w:r>
    </w:p>
    <w:p>
      <w:pPr>
        <w:snapToGrid w:val="0"/>
        <w:spacing w:line="360" w:lineRule="auto"/>
        <w:ind w:firstLine="480" w:firstLineChars="200"/>
        <w:rPr>
          <w:rFonts w:asciiTheme="minorEastAsia" w:hAnsiTheme="minorEastAsia" w:cstheme="minorEastAsia"/>
          <w:sz w:val="24"/>
          <w:u w:val="single"/>
        </w:rPr>
      </w:pPr>
      <w:r>
        <w:rPr>
          <w:rFonts w:hint="eastAsia" w:asciiTheme="minorEastAsia" w:hAnsiTheme="minorEastAsia" w:eastAsiaTheme="minorEastAsia" w:cstheme="minorEastAsia"/>
          <w:sz w:val="24"/>
        </w:rPr>
        <w:t>地 址：</w:t>
      </w:r>
      <w:r>
        <w:rPr>
          <w:rFonts w:hint="eastAsia" w:ascii="宋体" w:hAnsi="宋体" w:cs="宋体"/>
          <w:sz w:val="24"/>
          <w:u w:val="single"/>
          <w:lang w:bidi="en-US"/>
        </w:rPr>
        <w:t>台州市纬一路66号</w:t>
      </w:r>
    </w:p>
    <w:p>
      <w:pPr>
        <w:snapToGrid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宋体" w:hAnsi="宋体" w:cs="宋体"/>
          <w:sz w:val="24"/>
          <w:u w:val="single"/>
          <w:lang w:bidi="en-US"/>
        </w:rPr>
        <w:t>陈老师/李老师</w:t>
      </w:r>
    </w:p>
    <w:p>
      <w:pPr>
        <w:snapToGrid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ascii="宋体" w:hAnsi="宋体" w:cs="宋体"/>
          <w:sz w:val="24"/>
          <w:u w:val="single"/>
          <w:lang w:bidi="en-US"/>
        </w:rPr>
        <w:t>0576-88206705/0576-88206731</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（四）政采云平台</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4008817190</w:t>
      </w:r>
    </w:p>
    <w:p>
      <w:pPr>
        <w:pStyle w:val="26"/>
        <w:spacing w:line="360" w:lineRule="auto"/>
        <w:jc w:val="both"/>
        <w:rPr>
          <w:sz w:val="24"/>
          <w:szCs w:val="24"/>
        </w:rPr>
      </w:pPr>
    </w:p>
    <w:p>
      <w:pPr>
        <w:pStyle w:val="26"/>
        <w:spacing w:line="360" w:lineRule="auto"/>
        <w:jc w:val="both"/>
        <w:rPr>
          <w:sz w:val="24"/>
          <w:szCs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760" w:firstLineChars="24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hd w:val="clear" w:color="auto" w:fill="FFFFFF"/>
        </w:rPr>
        <w:t>台州天利招标有限公司</w:t>
      </w:r>
      <w:r>
        <w:rPr>
          <w:rFonts w:hint="eastAsia" w:asciiTheme="minorEastAsia" w:hAnsiTheme="minorEastAsia" w:eastAsiaTheme="minorEastAsia" w:cstheme="minorEastAsia"/>
          <w:kern w:val="0"/>
          <w:sz w:val="24"/>
        </w:rPr>
        <w:t xml:space="preserve"> </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2022年06月</w:t>
      </w:r>
    </w:p>
    <w:p>
      <w:pPr>
        <w:rPr>
          <w:rFonts w:eastAsiaTheme="minorEastAsia"/>
        </w:rPr>
      </w:pPr>
    </w:p>
    <w:p>
      <w:pPr>
        <w:pStyle w:val="7"/>
        <w:rPr>
          <w:rFonts w:eastAsiaTheme="minorEastAsia"/>
        </w:rPr>
      </w:pPr>
    </w:p>
    <w:p>
      <w:pPr>
        <w:pStyle w:val="8"/>
        <w:rPr>
          <w:rFonts w:eastAsiaTheme="minorEastAsia"/>
        </w:rPr>
      </w:pPr>
    </w:p>
    <w:p>
      <w:pPr>
        <w:pStyle w:val="9"/>
        <w:ind w:left="5250"/>
        <w:rPr>
          <w:rFonts w:eastAsiaTheme="minorEastAsia"/>
        </w:rPr>
      </w:pPr>
    </w:p>
    <w:p>
      <w:pPr>
        <w:rPr>
          <w:rFonts w:eastAsiaTheme="minorEastAsia"/>
        </w:rPr>
      </w:pPr>
    </w:p>
    <w:p>
      <w:pPr>
        <w:pStyle w:val="7"/>
        <w:rPr>
          <w:rFonts w:eastAsiaTheme="minorEastAsia"/>
        </w:rPr>
      </w:pPr>
    </w:p>
    <w:p>
      <w:pPr>
        <w:pStyle w:val="8"/>
        <w:rPr>
          <w:rFonts w:eastAsiaTheme="minorEastAsia"/>
        </w:rPr>
      </w:pPr>
    </w:p>
    <w:p>
      <w:pPr>
        <w:pStyle w:val="9"/>
        <w:ind w:left="5250"/>
        <w:rPr>
          <w:rFonts w:eastAsiaTheme="minorEastAsia"/>
        </w:rPr>
      </w:pPr>
    </w:p>
    <w:p>
      <w:pPr>
        <w:rPr>
          <w:rFonts w:eastAsiaTheme="minorEastAsia"/>
        </w:rPr>
      </w:pPr>
    </w:p>
    <w:p>
      <w:pPr>
        <w:pStyle w:val="7"/>
        <w:rPr>
          <w:rFonts w:eastAsiaTheme="minorEastAsia"/>
        </w:rPr>
      </w:pPr>
    </w:p>
    <w:p>
      <w:pPr>
        <w:pStyle w:val="8"/>
        <w:rPr>
          <w:rFonts w:eastAsiaTheme="minorEastAsia"/>
        </w:rPr>
      </w:pPr>
    </w:p>
    <w:p>
      <w:pPr>
        <w:pStyle w:val="9"/>
        <w:ind w:left="5250"/>
        <w:rPr>
          <w:rFonts w:eastAsiaTheme="minorEastAsia"/>
        </w:rPr>
      </w:pPr>
    </w:p>
    <w:p>
      <w:pPr>
        <w:rPr>
          <w:rFonts w:eastAsiaTheme="minorEastAsia"/>
        </w:rPr>
      </w:pPr>
    </w:p>
    <w:p>
      <w:pPr>
        <w:pStyle w:val="7"/>
        <w:rPr>
          <w:rFonts w:eastAsiaTheme="minorEastAsia"/>
        </w:rPr>
      </w:pPr>
    </w:p>
    <w:p>
      <w:pPr>
        <w:pStyle w:val="8"/>
        <w:rPr>
          <w:rFonts w:eastAsiaTheme="minorEastAsia"/>
        </w:rPr>
      </w:pPr>
    </w:p>
    <w:p>
      <w:pPr>
        <w:pStyle w:val="9"/>
        <w:ind w:left="5250"/>
        <w:rPr>
          <w:rFonts w:eastAsiaTheme="minorEastAsia"/>
        </w:rPr>
      </w:pPr>
    </w:p>
    <w:p>
      <w:pPr>
        <w:rPr>
          <w:rFonts w:eastAsiaTheme="minorEastAsia"/>
        </w:rPr>
      </w:pPr>
    </w:p>
    <w:p>
      <w:pPr>
        <w:pStyle w:val="7"/>
        <w:rPr>
          <w:rFonts w:eastAsiaTheme="minorEastAsia"/>
        </w:rPr>
      </w:pPr>
    </w:p>
    <w:p>
      <w:pPr>
        <w:pStyle w:val="8"/>
        <w:rPr>
          <w:rFonts w:eastAsiaTheme="minorEastAsia"/>
        </w:rPr>
      </w:pPr>
    </w:p>
    <w:p>
      <w:pPr>
        <w:pStyle w:val="9"/>
        <w:ind w:left="5250"/>
        <w:rPr>
          <w:rFonts w:eastAsiaTheme="minorEastAsia"/>
        </w:rPr>
      </w:pPr>
    </w:p>
    <w:p>
      <w:pPr>
        <w:rPr>
          <w:rFonts w:eastAsiaTheme="minorEastAsia"/>
        </w:rPr>
      </w:pPr>
    </w:p>
    <w:p>
      <w:pPr>
        <w:pStyle w:val="7"/>
        <w:rPr>
          <w:rFonts w:eastAsiaTheme="minorEastAsia"/>
        </w:rPr>
      </w:pPr>
    </w:p>
    <w:p>
      <w:pPr>
        <w:pStyle w:val="8"/>
        <w:rPr>
          <w:rFonts w:eastAsiaTheme="minorEastAsia"/>
        </w:rPr>
      </w:pPr>
    </w:p>
    <w:p>
      <w:pPr>
        <w:pStyle w:val="9"/>
        <w:ind w:left="5250"/>
        <w:rPr>
          <w:rFonts w:eastAsiaTheme="minorEastAsia"/>
        </w:rPr>
      </w:pPr>
    </w:p>
    <w:p>
      <w:pPr>
        <w:rPr>
          <w:rFonts w:eastAsiaTheme="minorEastAsia"/>
        </w:rPr>
      </w:pPr>
    </w:p>
    <w:p>
      <w:pPr>
        <w:pStyle w:val="7"/>
        <w:rPr>
          <w:rFonts w:eastAsiaTheme="minorEastAsia"/>
        </w:rPr>
      </w:pPr>
    </w:p>
    <w:p>
      <w:pPr>
        <w:pStyle w:val="8"/>
        <w:rPr>
          <w:rFonts w:eastAsiaTheme="minorEastAsia"/>
        </w:rPr>
      </w:pPr>
    </w:p>
    <w:p>
      <w:pPr>
        <w:pStyle w:val="9"/>
      </w:pPr>
    </w:p>
    <w:p>
      <w:pPr>
        <w:pStyle w:val="8"/>
      </w:pPr>
    </w:p>
    <w:bookmarkEnd w:id="30"/>
    <w:bookmarkEnd w:id="31"/>
    <w:p>
      <w:pPr>
        <w:numPr>
          <w:ilvl w:val="0"/>
          <w:numId w:val="4"/>
        </w:numPr>
        <w:spacing w:line="360" w:lineRule="auto"/>
        <w:jc w:val="center"/>
        <w:outlineLvl w:val="0"/>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t>供应商须知</w:t>
      </w:r>
      <w:bookmarkEnd w:id="32"/>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4"/>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310"/>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序号</w:t>
            </w:r>
          </w:p>
        </w:tc>
        <w:tc>
          <w:tcPr>
            <w:tcW w:w="2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事项</w:t>
            </w:r>
          </w:p>
        </w:tc>
        <w:tc>
          <w:tcPr>
            <w:tcW w:w="6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是否允许联合体</w:t>
            </w:r>
          </w:p>
        </w:tc>
        <w:tc>
          <w:tcPr>
            <w:tcW w:w="63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color w:val="111F2C"/>
                <w:sz w:val="24"/>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是否允许分包</w:t>
            </w:r>
          </w:p>
        </w:tc>
        <w:tc>
          <w:tcPr>
            <w:tcW w:w="63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color w:val="111F2C"/>
                <w:sz w:val="24"/>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是否包含政府强制采购节能产品</w:t>
            </w:r>
          </w:p>
        </w:tc>
        <w:tc>
          <w:tcPr>
            <w:tcW w:w="6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color w:val="111F2C"/>
                <w:sz w:val="24"/>
                <w:shd w:val="clear" w:color="auto" w:fill="FFFFFF"/>
              </w:rPr>
              <w:t>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答疑会或</w:t>
            </w:r>
            <w:r>
              <w:rPr>
                <w:rFonts w:hint="eastAsia" w:ascii="宋体" w:hAnsi="宋体" w:cs="宋体"/>
                <w:sz w:val="24"/>
              </w:rPr>
              <w:t>现场踏勘</w:t>
            </w:r>
          </w:p>
        </w:tc>
        <w:tc>
          <w:tcPr>
            <w:tcW w:w="6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lang w:bidi="en-US"/>
              </w:rPr>
              <w:t>供应商可自行前往现场踏勘。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响应文件的制作和递交</w:t>
            </w:r>
          </w:p>
        </w:tc>
        <w:tc>
          <w:tcPr>
            <w:tcW w:w="6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请供应商仔细阅读“政府采购项目电子交易操作指南”。</w:t>
            </w:r>
          </w:p>
          <w:p>
            <w:pPr>
              <w:ind w:firstLine="480" w:firstLineChars="200"/>
              <w:rPr>
                <w:rFonts w:ascii="宋体" w:hAnsi="宋体" w:cs="宋体"/>
                <w:sz w:val="24"/>
              </w:rPr>
            </w:pPr>
            <w:r>
              <w:rPr>
                <w:rFonts w:hint="eastAsia" w:ascii="宋体" w:hAnsi="宋体" w:cs="宋体"/>
                <w:sz w:val="24"/>
              </w:rPr>
              <w:t>1.响应文件的制作：供应商按照本项目磋商文件和政采云平台的要求,通过政采云电子交易客户端编制、加密并递交响应文件（下载网址：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ind w:firstLine="480" w:firstLineChars="200"/>
              <w:rPr>
                <w:rFonts w:ascii="宋体" w:hAnsi="宋体" w:cs="宋体"/>
                <w:sz w:val="24"/>
              </w:rPr>
            </w:pPr>
            <w:r>
              <w:rPr>
                <w:rFonts w:hint="eastAsia" w:ascii="宋体" w:hAnsi="宋体" w:cs="宋体"/>
                <w:sz w:val="24"/>
              </w:rPr>
              <w:t>2.递交响应文件：供应商应当在响应截止时间前（磋商当天北京时间</w:t>
            </w:r>
            <w:r>
              <w:rPr>
                <w:rFonts w:hint="eastAsia" w:ascii="宋体" w:hAnsi="宋体" w:cs="宋体"/>
                <w:sz w:val="24"/>
                <w:lang w:val="en-US" w:eastAsia="zh-CN"/>
              </w:rPr>
              <w:t>14</w:t>
            </w:r>
            <w:r>
              <w:rPr>
                <w:rFonts w:hint="eastAsia" w:ascii="宋体" w:hAnsi="宋体" w:cs="宋体"/>
                <w:sz w:val="24"/>
              </w:rPr>
              <w:t>:30）完成响应文件的递交，逾期递交的响应文件恕不接受。补充或者修改响应文件的，应当先行撤回原文件，补充、修改后重新递交。响应截止时间前未完成递交的，视为撤回响应文件。</w:t>
            </w:r>
          </w:p>
          <w:p>
            <w:pPr>
              <w:ind w:firstLine="480" w:firstLineChars="200"/>
              <w:rPr>
                <w:rFonts w:ascii="宋体" w:hAnsi="宋体" w:cs="宋体"/>
                <w:kern w:val="0"/>
                <w:sz w:val="24"/>
              </w:rPr>
            </w:pPr>
            <w:r>
              <w:rPr>
                <w:rFonts w:hint="eastAsia" w:ascii="宋体" w:hAnsi="宋体" w:cs="宋体"/>
                <w:sz w:val="24"/>
              </w:rPr>
              <w:t>3.响应文件解密：供应商应在开标当天北京时</w:t>
            </w:r>
            <w:r>
              <w:rPr>
                <w:rFonts w:hint="eastAsia" w:ascii="宋体" w:hAnsi="宋体" w:cs="宋体"/>
                <w:color w:val="auto"/>
                <w:sz w:val="24"/>
                <w:lang w:val="en-US" w:eastAsia="zh-CN"/>
              </w:rPr>
              <w:t>14</w:t>
            </w:r>
            <w:r>
              <w:rPr>
                <w:rFonts w:hint="eastAsia" w:ascii="宋体" w:hAnsi="宋体" w:cs="宋体"/>
                <w:color w:val="auto"/>
                <w:sz w:val="24"/>
              </w:rPr>
              <w:t>:30至</w:t>
            </w:r>
            <w:r>
              <w:rPr>
                <w:rFonts w:hint="eastAsia" w:ascii="宋体" w:hAnsi="宋体" w:cs="宋体"/>
                <w:color w:val="auto"/>
                <w:sz w:val="24"/>
                <w:lang w:val="en-US" w:eastAsia="zh-CN"/>
              </w:rPr>
              <w:t>15</w:t>
            </w:r>
            <w:r>
              <w:rPr>
                <w:rFonts w:hint="eastAsia" w:ascii="宋体" w:hAnsi="宋体" w:cs="宋体"/>
                <w:color w:val="auto"/>
                <w:sz w:val="24"/>
              </w:rPr>
              <w:t>:00</w:t>
            </w:r>
            <w:r>
              <w:rPr>
                <w:rFonts w:hint="eastAsia" w:ascii="宋体" w:hAnsi="宋体" w:cs="宋体"/>
                <w:sz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2310" w:type="dxa"/>
            <w:tcBorders>
              <w:top w:val="single" w:color="auto" w:sz="4" w:space="0"/>
              <w:left w:val="single" w:color="auto" w:sz="4" w:space="0"/>
              <w:bottom w:val="single" w:color="auto" w:sz="4" w:space="0"/>
              <w:right w:val="single" w:color="auto" w:sz="4" w:space="0"/>
            </w:tcBorders>
            <w:vAlign w:val="center"/>
          </w:tcPr>
          <w:p>
            <w:pPr>
              <w:pStyle w:val="16"/>
              <w:spacing w:after="0"/>
              <w:ind w:left="0" w:leftChars="0" w:firstLine="0"/>
              <w:rPr>
                <w:rFonts w:ascii="宋体" w:hAnsi="宋体" w:cs="宋体"/>
                <w:kern w:val="0"/>
                <w:sz w:val="24"/>
              </w:rPr>
            </w:pPr>
            <w:r>
              <w:rPr>
                <w:rFonts w:hint="eastAsia" w:ascii="宋体" w:hAnsi="宋体" w:cs="宋体"/>
                <w:kern w:val="0"/>
                <w:sz w:val="24"/>
              </w:rPr>
              <w:t>存档文件要求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16"/>
              <w:spacing w:after="0"/>
              <w:ind w:left="0" w:leftChars="0" w:firstLine="0"/>
              <w:rPr>
                <w:rFonts w:ascii="宋体" w:hAnsi="宋体" w:cs="宋体"/>
                <w:kern w:val="0"/>
                <w:sz w:val="24"/>
              </w:rPr>
            </w:pPr>
            <w:r>
              <w:rPr>
                <w:rFonts w:hint="eastAsia" w:ascii="宋体" w:hAnsi="宋体" w:cs="宋体"/>
                <w:sz w:val="24"/>
              </w:rPr>
              <w:t>成交供应商纸质备份文件的归档：成交后需提供纸质响应文件给招标代理机构作为备案存档，纸质响应文件系电子响应文件纸质版，两者内容应一致；数量为：商务与技术文件一正二副；报价文件一正二副。邮寄到浙江省台州市椒江区海门街道建设路105-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2310"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cs="宋体"/>
                <w:kern w:val="0"/>
                <w:sz w:val="24"/>
                <w:szCs w:val="24"/>
              </w:rPr>
            </w:pPr>
            <w:r>
              <w:rPr>
                <w:rFonts w:hint="eastAsia" w:ascii="宋体" w:hAnsi="宋体" w:cs="宋体"/>
                <w:sz w:val="24"/>
                <w:szCs w:val="24"/>
              </w:rPr>
              <w:t>不见面开标</w:t>
            </w:r>
          </w:p>
        </w:tc>
        <w:tc>
          <w:tcPr>
            <w:tcW w:w="6369" w:type="dxa"/>
            <w:tcBorders>
              <w:top w:val="single" w:color="auto" w:sz="4" w:space="0"/>
              <w:left w:val="single" w:color="auto" w:sz="4" w:space="0"/>
              <w:bottom w:val="single" w:color="auto" w:sz="4" w:space="0"/>
              <w:right w:val="single" w:color="auto" w:sz="4" w:space="0"/>
            </w:tcBorders>
            <w:vAlign w:val="center"/>
          </w:tcPr>
          <w:p>
            <w:pPr>
              <w:pStyle w:val="20"/>
              <w:spacing w:before="0" w:beforeAutospacing="0" w:after="0" w:afterAutospacing="0"/>
              <w:jc w:val="both"/>
              <w:rPr>
                <w:rFonts w:hint="default" w:cs="宋体"/>
              </w:rPr>
            </w:pPr>
            <w:r>
              <w:rPr>
                <w:rFonts w:cs="宋体"/>
              </w:rPr>
              <w:t>采购组织机构按照磋商文件规定的时间通过“政采云平台”组织开标，所有供应商均应当准时在线参加。如未参加，</w:t>
            </w:r>
            <w:r>
              <w:rPr>
                <w:rFonts w:cs="宋体"/>
                <w:bCs/>
              </w:rPr>
              <w:t>造成无法递交响应文件、递交失败等后果由供应商自行承担。</w:t>
            </w: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样品递交要求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10"/>
              <w:ind w:firstLine="480" w:firstLineChars="200"/>
              <w:jc w:val="both"/>
              <w:rPr>
                <w:rFonts w:ascii="宋体" w:hAnsi="宋体" w:cs="宋体"/>
                <w:kern w:val="0"/>
                <w:sz w:val="24"/>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远程在线演示要求</w:t>
            </w:r>
          </w:p>
        </w:tc>
        <w:tc>
          <w:tcPr>
            <w:tcW w:w="6369" w:type="dxa"/>
            <w:tcBorders>
              <w:top w:val="single" w:color="auto" w:sz="4" w:space="0"/>
              <w:left w:val="single" w:color="auto" w:sz="4" w:space="0"/>
              <w:bottom w:val="single" w:color="auto" w:sz="4" w:space="0"/>
              <w:right w:val="single" w:color="auto" w:sz="4" w:space="0"/>
            </w:tcBorders>
            <w:vAlign w:val="center"/>
          </w:tcPr>
          <w:p>
            <w:pPr>
              <w:pStyle w:val="10"/>
              <w:ind w:firstLine="480" w:firstLineChars="200"/>
              <w:jc w:val="both"/>
              <w:rPr>
                <w:rFonts w:ascii="宋体" w:hAnsi="宋体" w:cs="宋体"/>
                <w:kern w:val="0"/>
                <w:sz w:val="24"/>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磋商注意事项</w:t>
            </w:r>
          </w:p>
        </w:tc>
        <w:tc>
          <w:tcPr>
            <w:tcW w:w="6369"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ind w:firstLine="480" w:firstLineChars="200"/>
              <w:rPr>
                <w:rFonts w:hAnsi="宋体" w:cs="宋体"/>
                <w:bCs/>
                <w:sz w:val="24"/>
              </w:rPr>
            </w:pPr>
            <w:r>
              <w:rPr>
                <w:rFonts w:hint="eastAsia" w:hAnsi="宋体" w:cs="宋体"/>
                <w:bCs/>
                <w:sz w:val="24"/>
              </w:rPr>
              <w:t>1.本项目实行电子采购，采用电子响应文件。若供应商参与本项目，自行承担磋商活动一切费用。</w:t>
            </w:r>
          </w:p>
          <w:p>
            <w:pPr>
              <w:pStyle w:val="8"/>
              <w:adjustRightInd w:val="0"/>
              <w:snapToGrid w:val="0"/>
              <w:ind w:firstLine="480" w:firstLineChars="200"/>
              <w:rPr>
                <w:rFonts w:hAnsi="宋体" w:cs="宋体"/>
                <w:sz w:val="24"/>
              </w:rPr>
            </w:pPr>
            <w:r>
              <w:rPr>
                <w:rFonts w:hint="eastAsia" w:hAnsi="宋体" w:cs="宋体"/>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信用信息查询渠道</w:t>
            </w:r>
          </w:p>
        </w:tc>
        <w:tc>
          <w:tcPr>
            <w:tcW w:w="636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pPr>
              <w:snapToGrid w:val="0"/>
              <w:rPr>
                <w:rFonts w:ascii="宋体" w:hAnsi="宋体" w:cs="宋体"/>
                <w:sz w:val="24"/>
              </w:rPr>
            </w:pPr>
            <w:r>
              <w:rPr>
                <w:rFonts w:hint="eastAsia" w:ascii="宋体" w:hAnsi="宋体" w:cs="宋体"/>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中小企业预留份额情况</w:t>
            </w:r>
          </w:p>
        </w:tc>
        <w:tc>
          <w:tcPr>
            <w:tcW w:w="636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111F2C"/>
                <w:sz w:val="24"/>
                <w:shd w:val="clear" w:color="auto" w:fill="FFFFFF"/>
              </w:rPr>
            </w:pPr>
            <w:r>
              <w:rPr>
                <w:rFonts w:hint="eastAsia" w:ascii="宋体" w:hAnsi="宋体" w:cs="宋体"/>
                <w:color w:val="000000" w:themeColor="text1"/>
                <w:sz w:val="24"/>
                <w14:textFill>
                  <w14:solidFill>
                    <w14:schemeClr w14:val="tx1"/>
                  </w14:solidFill>
                </w14:textFill>
              </w:rPr>
              <w:t>根据《政府采购促进中小企业发展管理办法》财库〔2020〕46号文件的规定，本项目□ 否/☑ 是属于专门面向中小企业采购的项目。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中小企业优惠措施</w:t>
            </w:r>
          </w:p>
        </w:tc>
        <w:tc>
          <w:tcPr>
            <w:tcW w:w="6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1.项目属性（</w:t>
            </w:r>
            <w:r>
              <w:rPr>
                <w:rFonts w:hint="eastAsia" w:ascii="宋体" w:hAnsi="宋体" w:cs="微软雅黑"/>
                <w:sz w:val="24"/>
                <w:lang w:eastAsia="zh-CN"/>
              </w:rPr>
              <w:t>货物</w:t>
            </w:r>
            <w:r>
              <w:rPr>
                <w:rFonts w:hint="eastAsia" w:ascii="宋体" w:hAnsi="宋体" w:cs="微软雅黑"/>
                <w:sz w:val="24"/>
              </w:rPr>
              <w:t>类</w:t>
            </w:r>
            <w:r>
              <w:rPr>
                <w:rFonts w:hint="eastAsia" w:ascii="宋体" w:hAnsi="宋体" w:cs="宋体"/>
                <w:color w:val="000000" w:themeColor="text1"/>
                <w:sz w:val="24"/>
                <w14:textFill>
                  <w14:solidFill>
                    <w14:schemeClr w14:val="tx1"/>
                  </w14:solidFill>
                </w14:textFill>
              </w:rPr>
              <w:t>）</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2.中小企业划分标准所属行业（具体根据《中小企业划型标准规定》执行）</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采购标的：</w:t>
            </w:r>
            <w:r>
              <w:rPr>
                <w:rFonts w:hint="eastAsia" w:ascii="宋体" w:hAnsi="宋体" w:cs="宋体"/>
                <w:color w:val="000000" w:themeColor="text1"/>
                <w:sz w:val="24"/>
                <w:u w:val="single"/>
                <w14:textFill>
                  <w14:solidFill>
                    <w14:schemeClr w14:val="tx1"/>
                  </w14:solidFill>
                </w14:textFill>
              </w:rPr>
              <w:t>数字化营销与运营管理平台</w:t>
            </w:r>
            <w:r>
              <w:rPr>
                <w:rFonts w:hint="eastAsia" w:ascii="宋体" w:hAnsi="宋体" w:cs="宋体"/>
                <w:color w:val="000000" w:themeColor="text1"/>
                <w:sz w:val="24"/>
                <w14:textFill>
                  <w14:solidFill>
                    <w14:schemeClr w14:val="tx1"/>
                  </w14:solidFill>
                </w14:textFill>
              </w:rPr>
              <w:t>，所属行业：</w:t>
            </w:r>
            <w:r>
              <w:rPr>
                <w:rFonts w:hint="eastAsia" w:ascii="宋体" w:hAnsi="宋体" w:cs="微软雅黑"/>
                <w:b/>
                <w:bCs/>
                <w:sz w:val="24"/>
                <w:u w:val="single"/>
              </w:rPr>
              <w:t>软件和信息技术服务业</w:t>
            </w:r>
            <w:r>
              <w:rPr>
                <w:rFonts w:hint="eastAsia" w:ascii="宋体" w:hAnsi="宋体" w:cs="宋体"/>
                <w:color w:val="000000" w:themeColor="text1"/>
                <w:sz w:val="24"/>
                <w:u w:val="single"/>
                <w14:textFill>
                  <w14:solidFill>
                    <w14:schemeClr w14:val="tx1"/>
                  </w14:solidFill>
                </w14:textFill>
              </w:rPr>
              <w:t>。</w:t>
            </w:r>
          </w:p>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划分标准如下：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3.属于享受政府采购支持政策的残疾人福利性单位，应满足财库</w:t>
            </w:r>
            <w:r>
              <w:rPr>
                <w:rFonts w:hint="eastAsia"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2017〕141号文件第一条的规定，并在投标文件中提供残疾人福利性单位声明函（见附件）。</w:t>
            </w:r>
          </w:p>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4.根据财库</w:t>
            </w:r>
            <w:r>
              <w:rPr>
                <w:rFonts w:hint="eastAsia"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2014〕68号的相关规定，在政府采购活动中，监狱企业视同小型、微型企业，在投标文件中提供由省级以上监狱管理局、戒毒管理局（含新疆生产建设兵团）出具的属于监狱企业的证明文件（格式自拟）。”</w:t>
            </w:r>
          </w:p>
          <w:p>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(注：未提供以上材料或未填写必要内容的，均不享受政府采购支持政策）。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rPr>
            </w:pPr>
            <w:r>
              <w:rPr>
                <w:rFonts w:hint="eastAsia" w:ascii="宋体" w:hAnsi="宋体" w:cs="宋体"/>
                <w:sz w:val="24"/>
              </w:rPr>
              <w:t>采购代理机构代理费用的收取标准和方式</w:t>
            </w:r>
          </w:p>
        </w:tc>
        <w:tc>
          <w:tcPr>
            <w:tcW w:w="6369"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1、根据国家发改委发改价格</w:t>
            </w:r>
            <w:r>
              <w:rPr>
                <w:rFonts w:hint="eastAsia"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2015〕299号通知，本次采购项目招标代理服务费为人民币</w:t>
            </w:r>
            <w:r>
              <w:rPr>
                <w:rFonts w:hint="eastAsia" w:ascii="宋体" w:hAnsi="宋体" w:cs="宋体"/>
                <w:color w:val="000000" w:themeColor="text1"/>
                <w:sz w:val="24"/>
                <w:u w:val="single"/>
                <w:lang w:eastAsia="zh-CN"/>
                <w14:textFill>
                  <w14:solidFill>
                    <w14:schemeClr w14:val="tx1"/>
                  </w14:solidFill>
                </w14:textFill>
              </w:rPr>
              <w:t>伍仟玖佰元整</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5900</w:t>
            </w:r>
            <w:r>
              <w:rPr>
                <w:rFonts w:hint="eastAsia" w:ascii="宋体" w:hAnsi="宋体" w:cs="宋体"/>
                <w:color w:val="000000" w:themeColor="text1"/>
                <w:sz w:val="24"/>
                <w:u w:val="single"/>
                <w14:textFill>
                  <w14:solidFill>
                    <w14:schemeClr w14:val="tx1"/>
                  </w14:solidFill>
                </w14:textFill>
              </w:rPr>
              <w:t>.00元）</w:t>
            </w:r>
            <w:r>
              <w:rPr>
                <w:rFonts w:hint="eastAsia" w:ascii="宋体" w:hAnsi="宋体" w:cs="宋体"/>
                <w:color w:val="000000" w:themeColor="text1"/>
                <w:sz w:val="24"/>
                <w14:textFill>
                  <w14:solidFill>
                    <w14:schemeClr w14:val="tx1"/>
                  </w14:solidFill>
                </w14:textFill>
              </w:rPr>
              <w:t>收取，由中标人在领取中标通知书之前支付给采购代理机构。</w:t>
            </w:r>
          </w:p>
          <w:p>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服务费缴纳账户信息：</w:t>
            </w:r>
          </w:p>
          <w:p>
            <w:pPr>
              <w:snapToGrid w:val="0"/>
              <w:spacing w:line="360" w:lineRule="auto"/>
              <w:ind w:firstLine="480" w:firstLineChars="200"/>
              <w:rPr>
                <w:rFonts w:ascii="宋体" w:hAnsi="宋体" w:cs="Arial"/>
                <w:sz w:val="24"/>
              </w:rPr>
            </w:pPr>
            <w:r>
              <w:rPr>
                <w:rFonts w:hint="eastAsia" w:ascii="宋体" w:hAnsi="宋体" w:cs="Arial"/>
                <w:sz w:val="24"/>
              </w:rPr>
              <w:t>开户行：台州银行椒江支行    账号：511405085000015</w:t>
            </w:r>
          </w:p>
          <w:p>
            <w:pPr>
              <w:snapToGrid w:val="0"/>
              <w:spacing w:line="360" w:lineRule="auto"/>
              <w:ind w:firstLine="480" w:firstLineChars="200"/>
              <w:rPr>
                <w:rFonts w:hAnsi="宋体"/>
              </w:rPr>
            </w:pPr>
            <w:r>
              <w:rPr>
                <w:rFonts w:hint="eastAsia" w:ascii="宋体" w:hAnsi="宋体" w:cs="Arial"/>
                <w:sz w:val="24"/>
              </w:rPr>
              <w:t>开户名：台州天利招标有限公司</w:t>
            </w:r>
          </w:p>
          <w:p>
            <w:pPr>
              <w:pStyle w:val="12"/>
              <w:tabs>
                <w:tab w:val="left" w:pos="720"/>
                <w:tab w:val="left" w:pos="1260"/>
                <w:tab w:val="left" w:pos="2160"/>
                <w:tab w:val="left" w:pos="2880"/>
                <w:tab w:val="left" w:pos="3600"/>
                <w:tab w:val="left" w:pos="4320"/>
                <w:tab w:val="left" w:pos="5040"/>
                <w:tab w:val="left" w:pos="5760"/>
              </w:tabs>
              <w:ind w:left="0" w:leftChars="0"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2、服务费可以用现金、支票、汇票或银行转账支付。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14</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lang w:val="zh-CN"/>
              </w:rPr>
              <w:t>实质性条款</w:t>
            </w:r>
          </w:p>
        </w:tc>
        <w:tc>
          <w:tcPr>
            <w:tcW w:w="63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主要性能参数</w:t>
            </w:r>
          </w:p>
        </w:tc>
        <w:tc>
          <w:tcPr>
            <w:tcW w:w="63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书面形式</w:t>
            </w:r>
          </w:p>
        </w:tc>
        <w:tc>
          <w:tcPr>
            <w:tcW w:w="63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16</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解释权</w:t>
            </w:r>
          </w:p>
        </w:tc>
        <w:tc>
          <w:tcPr>
            <w:tcW w:w="63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本招标文件解释权属于采购人和采购组织机构</w:t>
            </w:r>
          </w:p>
        </w:tc>
      </w:tr>
    </w:tbl>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9"/>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磋商文件</w:t>
      </w:r>
      <w:r>
        <w:rPr>
          <w:rFonts w:asciiTheme="minorEastAsia" w:hAnsiTheme="minorEastAsia" w:eastAsiaTheme="minorEastAsia"/>
          <w:sz w:val="24"/>
        </w:rPr>
        <w:t>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磋商文件</w:t>
      </w:r>
      <w:r>
        <w:rPr>
          <w:rFonts w:asciiTheme="minorEastAsia" w:hAnsiTheme="minorEastAsia" w:eastAsiaTheme="minorEastAsia"/>
          <w:sz w:val="24"/>
        </w:rPr>
        <w:t>的所有内容（包括变更、补充、澄清以及修改等，均为</w:t>
      </w:r>
      <w:r>
        <w:rPr>
          <w:rFonts w:hint="eastAsia" w:asciiTheme="minorEastAsia" w:hAnsiTheme="minorEastAsia" w:eastAsiaTheme="minorEastAsia"/>
          <w:sz w:val="24"/>
        </w:rPr>
        <w:t>磋商文件</w:t>
      </w:r>
      <w:r>
        <w:rPr>
          <w:rFonts w:asciiTheme="minorEastAsia" w:hAnsiTheme="minorEastAsia" w:eastAsiaTheme="minorEastAsia"/>
          <w:sz w:val="24"/>
        </w:rPr>
        <w:t>的组成部分），按照</w:t>
      </w:r>
      <w:r>
        <w:rPr>
          <w:rFonts w:hint="eastAsia" w:asciiTheme="minorEastAsia" w:hAnsiTheme="minorEastAsia" w:eastAsiaTheme="minorEastAsia"/>
          <w:sz w:val="24"/>
        </w:rPr>
        <w:t>磋商文件</w:t>
      </w:r>
      <w:r>
        <w:rPr>
          <w:rFonts w:asciiTheme="minorEastAsia" w:hAnsiTheme="minorEastAsia" w:eastAsiaTheme="minorEastAsia"/>
          <w:sz w:val="24"/>
        </w:rPr>
        <w:t>要求以及格式编制</w:t>
      </w:r>
      <w:r>
        <w:rPr>
          <w:rFonts w:hint="eastAsia" w:asciiTheme="minorEastAsia" w:hAnsiTheme="minorEastAsia" w:eastAsiaTheme="minorEastAsia"/>
          <w:sz w:val="24"/>
        </w:rPr>
        <w:t>响应文件</w:t>
      </w:r>
      <w:r>
        <w:rPr>
          <w:rFonts w:asciiTheme="minorEastAsia" w:hAnsiTheme="minorEastAsia" w:eastAsiaTheme="minorEastAsia"/>
          <w:sz w:val="24"/>
        </w:rPr>
        <w:t>，并保证其真实性，</w:t>
      </w:r>
      <w:r>
        <w:rPr>
          <w:rFonts w:ascii="宋体" w:hAnsi="宋体" w:cs="宋体"/>
          <w:sz w:val="24"/>
        </w:rPr>
        <w:t>否则由此引起的一切后果应由投标供应商承担。</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pPr>
        <w:pStyle w:val="11"/>
        <w:spacing w:line="360" w:lineRule="auto"/>
        <w:ind w:firstLine="480" w:firstLineChars="200"/>
      </w:pPr>
      <w:r>
        <w:t>本</w:t>
      </w:r>
      <w:r>
        <w:rPr>
          <w:rFonts w:hint="eastAsia"/>
        </w:rPr>
        <w:t>磋商文件</w:t>
      </w:r>
      <w:r>
        <w:t>仅适用于本次</w:t>
      </w:r>
      <w:r>
        <w:rPr>
          <w:rFonts w:hint="eastAsia"/>
        </w:rPr>
        <w:t>采购</w:t>
      </w:r>
      <w:r>
        <w:t>公告中所涉及的项目和内容。</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ascii="宋体" w:hAnsi="宋体"/>
          <w:strike/>
          <w:sz w:val="24"/>
          <w:lang w:val="zh-CN"/>
        </w:rPr>
      </w:pPr>
      <w:r>
        <w:rPr>
          <w:rFonts w:hint="eastAsia" w:asciiTheme="minorEastAsia" w:hAnsiTheme="minorEastAsia" w:eastAsiaTheme="minorEastAsia"/>
          <w:sz w:val="24"/>
        </w:rPr>
        <w:t>3.供应商：是指向采购人提供货物、工程或者服务的法人、其他组织或者自然人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磋商文件作出</w:t>
      </w:r>
      <w:r>
        <w:rPr>
          <w:rFonts w:hint="eastAsia" w:ascii="宋体" w:hAnsi="宋体"/>
          <w:sz w:val="24"/>
          <w:lang w:val="zh-CN"/>
        </w:rPr>
        <w:t>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pStyle w:val="16"/>
        <w:spacing w:after="0" w:line="360" w:lineRule="auto"/>
        <w:ind w:left="0" w:leftChars="0"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5.联合体：本项目不接受联合体磋商。</w:t>
      </w:r>
    </w:p>
    <w:p>
      <w:pPr>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（四）</w:t>
      </w:r>
      <w:r>
        <w:rPr>
          <w:b/>
          <w:bCs/>
          <w:color w:val="000000" w:themeColor="text1"/>
          <w:sz w:val="24"/>
          <w14:textFill>
            <w14:solidFill>
              <w14:schemeClr w14:val="tx1"/>
            </w14:solidFill>
          </w14:textFill>
        </w:rPr>
        <w:t>语言文字以及度量衡单位</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pStyle w:val="27"/>
        <w:tabs>
          <w:tab w:val="left" w:pos="437"/>
        </w:tabs>
        <w:spacing w:line="360" w:lineRule="auto"/>
        <w:ind w:firstLine="482"/>
        <w:rPr>
          <w:b/>
          <w:bCs/>
          <w:sz w:val="24"/>
          <w:szCs w:val="24"/>
        </w:rPr>
      </w:pPr>
      <w:r>
        <w:rPr>
          <w:rFonts w:hint="eastAsia"/>
          <w:b/>
          <w:bCs/>
          <w:sz w:val="24"/>
          <w:szCs w:val="24"/>
        </w:rPr>
        <w:t>（五）</w:t>
      </w:r>
      <w:r>
        <w:rPr>
          <w:b/>
          <w:bCs/>
          <w:sz w:val="24"/>
          <w:szCs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磋商文件</w:t>
      </w:r>
      <w:r>
        <w:rPr>
          <w:sz w:val="24"/>
        </w:rPr>
        <w:t>的修改或不作为</w:t>
      </w:r>
      <w:r>
        <w:rPr>
          <w:rFonts w:hint="eastAsia"/>
          <w:sz w:val="24"/>
        </w:rPr>
        <w:t>供应商</w:t>
      </w:r>
      <w:r>
        <w:rPr>
          <w:sz w:val="24"/>
        </w:rPr>
        <w:t>编制</w:t>
      </w:r>
      <w:r>
        <w:rPr>
          <w:rFonts w:hint="eastAsia"/>
          <w:sz w:val="24"/>
        </w:rPr>
        <w:t>响应文件</w:t>
      </w:r>
      <w:r>
        <w:rPr>
          <w:sz w:val="24"/>
        </w:rPr>
        <w:t>的依据。</w:t>
      </w:r>
    </w:p>
    <w:p>
      <w:pPr>
        <w:pStyle w:val="8"/>
        <w:snapToGrid w:val="0"/>
        <w:spacing w:line="360" w:lineRule="auto"/>
        <w:ind w:firstLine="482" w:firstLineChars="200"/>
        <w:rPr>
          <w:rFonts w:hAnsi="宋体"/>
          <w:b/>
          <w:sz w:val="24"/>
        </w:rPr>
      </w:pPr>
      <w:r>
        <w:rPr>
          <w:rFonts w:hint="eastAsia" w:hAnsi="宋体"/>
          <w:b/>
          <w:sz w:val="24"/>
        </w:rPr>
        <w:t>（六）特别说明</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所投产品除磋商文件中明确规定要求“提供官网截图或相应检测报告的证明材料”以外，所有技术参数描述均以响应文件为准。供应商对所投产品技术参数的真实性承担法律责任。项目招标结束后、质疑期限内，如有质疑供应商认为中标供应商所投产品、响应文件技术参数与采购需求存在重大偏离、错误、甚至造假的情况，</w:t>
      </w:r>
      <w:r>
        <w:rPr>
          <w:rFonts w:ascii="宋体" w:hAnsi="宋体" w:cs="宋体"/>
          <w:sz w:val="24"/>
          <w:szCs w:val="24"/>
        </w:rPr>
        <w:t>如采购文件中未明确规定要求“提供官网截图或相应检测报告的证明材料”的，应提供其他具</w:t>
      </w:r>
      <w:r>
        <w:rPr>
          <w:rFonts w:hint="eastAsia" w:asciiTheme="minorEastAsia" w:hAnsiTheme="minorEastAsia" w:eastAsiaTheme="minorEastAsia" w:cstheme="minorBidi"/>
          <w:sz w:val="24"/>
        </w:rPr>
        <w:t>体有效的证明材料。</w:t>
      </w:r>
    </w:p>
    <w:p>
      <w:pPr>
        <w:pStyle w:val="27"/>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3.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pStyle w:val="27"/>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4.磋商所使用的资格、信誉、荣誉、业绩、企业认证等证明材料必须为供应商自身所拥有，供应商母公司（总机构）或者同一母公司下属的其他子公司（同一总机构下属的其他分支机构）的人员、业绩、荣誉、知识产权、项目案例等不作为供应商的资信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5.本磋商文件中关于电子磋商、响应内容、流程如与政采云系统中最新的内容、操作不一致的，以政采云系统中的要求为准。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二、磋商文件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（一）磋商文件由磋商文件总目录所列内容组成。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（二）供应商在规定的时间内未对磋商文件提出疑问、质疑或要求澄清的，将视其为无异议。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（三）对磋商文件中描述有歧义或前后不一致的地方，磋商小组有权进行评判，但对同一条款的评判应适用于每个供应商。</w:t>
      </w:r>
    </w:p>
    <w:p>
      <w:pPr>
        <w:pStyle w:val="27"/>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cstheme="minorBidi"/>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w:t>
      </w:r>
    </w:p>
    <w:p>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（一）响应文件的编制</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供应商接到磋商文件后，按照采购组织机构的要求提供：磋商响应文件</w:t>
      </w:r>
      <w:r>
        <w:rPr>
          <w:rFonts w:hint="eastAsia" w:asciiTheme="minorEastAsia" w:hAnsiTheme="minorEastAsia" w:eastAsiaTheme="minorEastAsia"/>
          <w:kern w:val="0"/>
          <w:sz w:val="24"/>
          <w:lang w:val="zh-CN"/>
        </w:rPr>
        <w:t>。【特别提示：如在磋商响应时有要求提供资料原件的，将原件扫描放入投标文件。】</w:t>
      </w:r>
      <w:r>
        <w:rPr>
          <w:rFonts w:hint="eastAsia" w:asciiTheme="minorEastAsia" w:hAnsiTheme="minorEastAsia" w:eastAsiaTheme="minorEastAsia"/>
          <w:bCs/>
          <w:kern w:val="0"/>
          <w:sz w:val="24"/>
        </w:rPr>
        <w:t>本磋商文件中若有多标项的，若参与多标项投标的，则按每个标项分别独立编制磋商响应文件。</w:t>
      </w:r>
    </w:p>
    <w:p>
      <w:pPr>
        <w:snapToGrid w:val="0"/>
        <w:spacing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1、资格证明内容</w:t>
      </w:r>
      <w:r>
        <w:rPr>
          <w:rFonts w:hint="eastAsia" w:ascii="宋体" w:hAnsi="宋体"/>
          <w:b/>
          <w:color w:val="000000"/>
          <w:sz w:val="24"/>
        </w:rPr>
        <w:t>的组成：</w:t>
      </w:r>
    </w:p>
    <w:p>
      <w:pPr>
        <w:pStyle w:val="19"/>
        <w:ind w:left="0" w:leftChars="0" w:firstLine="470"/>
        <w:rPr>
          <w:rStyle w:val="23"/>
          <w:b w:val="0"/>
          <w:color w:val="000000"/>
          <w:u w:val="none"/>
        </w:rPr>
      </w:pPr>
      <w:r>
        <w:rPr>
          <w:rStyle w:val="23"/>
          <w:rFonts w:hint="eastAsia"/>
          <w:b w:val="0"/>
          <w:color w:val="000000"/>
          <w:u w:val="none"/>
        </w:rPr>
        <w:t>（1）磋商声明书</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hint="eastAsia" w:ascii="宋体" w:hAnsi="宋体" w:cs="宋体"/>
          <w:sz w:val="24"/>
        </w:rPr>
      </w:pPr>
      <w:r>
        <w:rPr>
          <w:rFonts w:hint="eastAsia" w:ascii="宋体" w:hAnsi="宋体" w:cs="宋体"/>
          <w:sz w:val="24"/>
        </w:rPr>
        <w:t>（4）近一年内经审计的财务状况报告（或提供开户行出具的银行资信证明或担保机构的担保函扫描件)；提供投标截止日前6个月内任意1个月依法缴纳税收和社会保障资金的相关材料内依法缴纳税收（如依法免税的，应提供相应文件证明其依法免税）</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（5）具备履行合同所必需的设备和专业技术能力的证明材料(根据项目性质提供)。</w:t>
      </w:r>
    </w:p>
    <w:p>
      <w:pPr>
        <w:widowControl/>
        <w:spacing w:line="360" w:lineRule="auto"/>
        <w:ind w:right="60" w:firstLine="480" w:firstLineChars="200"/>
        <w:jc w:val="left"/>
        <w:outlineLvl w:val="0"/>
        <w:rPr>
          <w:rFonts w:hint="eastAsia" w:ascii="宋体" w:hAnsi="宋体" w:cs="宋体"/>
          <w:sz w:val="24"/>
        </w:rPr>
      </w:pPr>
      <w:r>
        <w:rPr>
          <w:rFonts w:hint="eastAsia" w:ascii="宋体" w:hAnsi="宋体" w:cs="宋体"/>
          <w:sz w:val="24"/>
        </w:rPr>
        <w:t>（6）提供采购公告中符合供应商特定条件的有效资质证书复印件（磋商供应商特定条件中有要求的必须提供），以及需要说明的其他资料。</w:t>
      </w:r>
    </w:p>
    <w:p>
      <w:pPr>
        <w:spacing w:line="360" w:lineRule="auto"/>
        <w:ind w:firstLine="480" w:firstLineChars="200"/>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Theme="minorEastAsia" w:hAnsiTheme="minorEastAsia" w:eastAsiaTheme="minorEastAsia"/>
          <w:kern w:val="0"/>
          <w:sz w:val="24"/>
        </w:rPr>
        <w:t>中小企业等声明函、</w:t>
      </w:r>
      <w:r>
        <w:rPr>
          <w:rFonts w:hint="eastAsia" w:asciiTheme="minorEastAsia" w:hAnsiTheme="minorEastAsia" w:eastAsiaTheme="minorEastAsia"/>
          <w:kern w:val="0"/>
          <w:sz w:val="24"/>
          <w:lang w:val="en-GB"/>
        </w:rPr>
        <w:t>残疾人福利性单位声明函</w:t>
      </w:r>
      <w:r>
        <w:rPr>
          <w:rFonts w:hint="eastAsia" w:asciiTheme="minorEastAsia" w:hAnsiTheme="minorEastAsia" w:eastAsiaTheme="minorEastAsia"/>
          <w:kern w:val="0"/>
          <w:sz w:val="24"/>
          <w:lang w:val="en-GB" w:eastAsia="zh-CN"/>
        </w:rPr>
        <w:t>。</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2、商务与技术内容的组成：</w:t>
      </w:r>
    </w:p>
    <w:p>
      <w:pPr>
        <w:pStyle w:val="7"/>
        <w:widowControl/>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（1）技术方案描述部分</w:t>
      </w:r>
    </w:p>
    <w:p>
      <w:pPr>
        <w:pStyle w:val="7"/>
        <w:widowControl/>
        <w:numPr>
          <w:ilvl w:val="0"/>
          <w:numId w:val="5"/>
        </w:numPr>
        <w:adjustRightInd w:val="0"/>
        <w:snapToGrid w:val="0"/>
        <w:spacing w:line="360" w:lineRule="auto"/>
        <w:ind w:firstLine="64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供应商基本情况介绍（人员与技术力量、企业规模、经营业绩等）。</w:t>
      </w:r>
    </w:p>
    <w:p>
      <w:pPr>
        <w:pStyle w:val="8"/>
        <w:spacing w:line="360" w:lineRule="auto"/>
        <w:rPr>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A.供应商基本情况表</w:t>
      </w:r>
    </w:p>
    <w:p>
      <w:pPr>
        <w:pStyle w:val="7"/>
        <w:widowControl/>
        <w:numPr>
          <w:ilvl w:val="0"/>
          <w:numId w:val="5"/>
        </w:numPr>
        <w:adjustRightInd w:val="0"/>
        <w:snapToGrid w:val="0"/>
        <w:spacing w:line="360" w:lineRule="auto"/>
        <w:ind w:firstLine="64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需求的理解与分析(供应商对项目现状及需求的理解情况，对项目现状和需求描述的全面性、准确性、针对性，项目功能设计完备、对系统各组成部分等功能进行准确的分析，对项目重点、难点的把握，解决方案及合理</w:t>
      </w:r>
      <w:bookmarkStart w:id="110" w:name="_GoBack"/>
      <w:bookmarkEnd w:id="110"/>
      <w:r>
        <w:rPr>
          <w:rFonts w:hint="eastAsia" w:ascii="宋体" w:hAnsi="宋体" w:cs="宋体"/>
          <w:color w:val="000000" w:themeColor="text1"/>
          <w:sz w:val="24"/>
          <w:szCs w:val="24"/>
          <w14:textFill>
            <w14:solidFill>
              <w14:schemeClr w14:val="tx1"/>
            </w14:solidFill>
          </w14:textFill>
        </w:rPr>
        <w:t>化建议)。</w:t>
      </w:r>
    </w:p>
    <w:p>
      <w:pPr>
        <w:pStyle w:val="7"/>
        <w:widowControl/>
        <w:numPr>
          <w:ilvl w:val="0"/>
          <w:numId w:val="5"/>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项目组织实施方案（包括项目工期、确保项目供货的措施或方案、项目实施进度安排、项目实施人员及项目负责人的资质、类似经验及社保证明、质量控制手段，质量目标，达到质量目标的措施等）。</w:t>
      </w:r>
    </w:p>
    <w:p>
      <w:pPr>
        <w:pStyle w:val="8"/>
        <w:spacing w:line="360" w:lineRule="auto"/>
        <w:ind w:firstLine="480" w:firstLineChars="200"/>
        <w:rPr>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A.项目实施人员一览表；</w:t>
      </w:r>
    </w:p>
    <w:p>
      <w:pPr>
        <w:pStyle w:val="8"/>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B. 项目负责人、技术负责人资格情况表 。      </w:t>
      </w:r>
    </w:p>
    <w:p>
      <w:pPr>
        <w:pStyle w:val="7"/>
        <w:widowControl/>
        <w:numPr>
          <w:ilvl w:val="0"/>
          <w:numId w:val="5"/>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安装、调试及验收方案</w:t>
      </w:r>
      <w:r>
        <w:rPr>
          <w:rFonts w:hint="eastAsia" w:ascii="宋体" w:hAnsi="宋体"/>
          <w:color w:val="000000" w:themeColor="text1"/>
          <w:kern w:val="0"/>
          <w:sz w:val="24"/>
          <w:szCs w:val="24"/>
          <w14:textFill>
            <w14:solidFill>
              <w14:schemeClr w14:val="tx1"/>
            </w14:solidFill>
          </w14:textFill>
        </w:rPr>
        <w:t>（包括项目验收标准和验收方法等）</w:t>
      </w:r>
      <w:r>
        <w:rPr>
          <w:rFonts w:hint="eastAsia" w:ascii="宋体" w:hAnsi="宋体"/>
          <w:color w:val="000000" w:themeColor="text1"/>
          <w:sz w:val="24"/>
          <w:szCs w:val="24"/>
          <w14:textFill>
            <w14:solidFill>
              <w14:schemeClr w14:val="tx1"/>
            </w14:solidFill>
          </w14:textFill>
        </w:rPr>
        <w:t>和措施。</w:t>
      </w:r>
    </w:p>
    <w:p>
      <w:pPr>
        <w:pStyle w:val="7"/>
        <w:widowControl/>
        <w:adjustRightInd w:val="0"/>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（2）磋商响应产品描述部分：</w:t>
      </w:r>
      <w:r>
        <w:rPr>
          <w:rFonts w:hint="eastAsia" w:ascii="宋体" w:hAnsi="宋体" w:cs="宋体"/>
          <w:bCs/>
          <w:color w:val="000000" w:themeColor="text1"/>
          <w:sz w:val="24"/>
          <w:szCs w:val="24"/>
          <w14:textFill>
            <w14:solidFill>
              <w14:schemeClr w14:val="tx1"/>
            </w14:solidFill>
          </w14:textFill>
        </w:rPr>
        <w:t>主要设备材料品牌表（此表必须在商务技术文件中提供）</w:t>
      </w:r>
    </w:p>
    <w:p>
      <w:pPr>
        <w:pStyle w:val="19"/>
        <w:numPr>
          <w:ilvl w:val="0"/>
          <w:numId w:val="6"/>
        </w:numPr>
        <w:ind w:leftChars="0" w:firstLine="640" w:firstLineChars="0"/>
        <w:rPr>
          <w:rFonts w:cs="宋体"/>
          <w:b w:val="0"/>
          <w:color w:val="000000" w:themeColor="text1"/>
          <w14:textFill>
            <w14:solidFill>
              <w14:schemeClr w14:val="tx1"/>
            </w14:solidFill>
          </w14:textFill>
        </w:rPr>
      </w:pPr>
      <w:r>
        <w:rPr>
          <w:rFonts w:hint="eastAsia" w:cs="宋体"/>
          <w:b w:val="0"/>
          <w:color w:val="000000" w:themeColor="text1"/>
          <w14:textFill>
            <w14:solidFill>
              <w14:schemeClr w14:val="tx1"/>
            </w14:solidFill>
          </w14:textFill>
        </w:rPr>
        <w:t>磋商产品描述及相关资料（产品品牌及型号、技术参数指标、性能特点、图片资料以及所遵循的技术规范、产品质保期、出厂标准、产品质量相关检测报告等内容）。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A.供货清单</w:t>
      </w:r>
    </w:p>
    <w:p>
      <w:pPr>
        <w:pStyle w:val="7"/>
        <w:widowControl/>
        <w:numPr>
          <w:ilvl w:val="0"/>
          <w:numId w:val="6"/>
        </w:numPr>
        <w:adjustRightInd w:val="0"/>
        <w:snapToGrid w:val="0"/>
        <w:spacing w:line="360" w:lineRule="auto"/>
        <w:ind w:firstLine="640"/>
        <w:rPr>
          <w:rFonts w:ascii="宋体" w:hAnsi="宋体" w:cs="宋体"/>
          <w:color w:val="000000"/>
          <w:sz w:val="24"/>
          <w:szCs w:val="24"/>
        </w:rPr>
      </w:pPr>
      <w:r>
        <w:rPr>
          <w:rFonts w:hint="eastAsia"/>
          <w:sz w:val="24"/>
        </w:rPr>
        <w:t>技术需求响应表。</w:t>
      </w:r>
    </w:p>
    <w:p>
      <w:pPr>
        <w:numPr>
          <w:ilvl w:val="0"/>
          <w:numId w:val="6"/>
        </w:numPr>
        <w:spacing w:line="360" w:lineRule="auto"/>
        <w:ind w:firstLine="640"/>
        <w:rPr>
          <w:rFonts w:ascii="宋体" w:hAnsi="宋体" w:cs="宋体"/>
          <w:color w:val="000000"/>
          <w:sz w:val="24"/>
        </w:rPr>
      </w:pPr>
      <w:r>
        <w:rPr>
          <w:rFonts w:hint="eastAsia" w:ascii="宋体" w:hAnsi="宋体" w:cs="宋体"/>
          <w:color w:val="000000"/>
          <w:sz w:val="24"/>
        </w:rPr>
        <w:t>磋商响应产品中有节能产品的，应列明磋商响应产品中有列入最新一期财政部、发展改革委公布的“节能产品政府采购清单”明细（提供所响应产品在清单中所处的页码、截图，并以明显标识标注）；磋商响应产品中有环保产品的，应列明磋商响应产品中有列入最新一期财政部、环境保护部公布的“环境标志产品政府采购清单”明细（提供所响应产品在清单中所处的页码、截图，并以明显标识标注）。</w:t>
      </w:r>
    </w:p>
    <w:p>
      <w:pPr>
        <w:spacing w:line="360" w:lineRule="auto"/>
        <w:ind w:left="218" w:leftChars="104" w:firstLine="619" w:firstLineChars="258"/>
        <w:rPr>
          <w:rFonts w:ascii="宋体" w:hAnsi="宋体" w:cs="宋体"/>
          <w:color w:val="000000"/>
          <w:sz w:val="24"/>
        </w:rPr>
      </w:pPr>
      <w:r>
        <w:rPr>
          <w:rFonts w:hint="eastAsia" w:ascii="宋体" w:hAnsi="宋体" w:cs="宋体"/>
          <w:color w:val="000000"/>
          <w:sz w:val="24"/>
        </w:rPr>
        <w:t>【特别提示：节能和环境标志产品最新一期政府采购清单，可在“中国政府采购网”中查看】</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（3）商务响应及其他部分</w:t>
      </w:r>
    </w:p>
    <w:p>
      <w:pPr>
        <w:numPr>
          <w:ilvl w:val="0"/>
          <w:numId w:val="7"/>
        </w:numPr>
        <w:autoSpaceDE w:val="0"/>
        <w:autoSpaceDN w:val="0"/>
        <w:adjustRightInd w:val="0"/>
        <w:spacing w:line="360" w:lineRule="auto"/>
        <w:ind w:firstLine="640"/>
        <w:rPr>
          <w:rFonts w:ascii="宋体" w:hAnsi="宋体" w:cs="宋体"/>
          <w:color w:val="000000"/>
          <w:sz w:val="24"/>
        </w:rPr>
      </w:pPr>
      <w:r>
        <w:rPr>
          <w:rFonts w:hint="eastAsia"/>
          <w:sz w:val="24"/>
        </w:rPr>
        <w:t>证书一览表：</w:t>
      </w:r>
      <w:r>
        <w:rPr>
          <w:rFonts w:hint="eastAsia" w:ascii="宋体" w:hAnsi="宋体"/>
          <w:color w:val="000000"/>
          <w:kern w:val="0"/>
          <w:sz w:val="24"/>
        </w:rPr>
        <w:t>供应商</w:t>
      </w:r>
      <w:r>
        <w:rPr>
          <w:rFonts w:ascii="宋体" w:hAnsi="宋体"/>
          <w:color w:val="000000"/>
          <w:kern w:val="0"/>
          <w:sz w:val="24"/>
        </w:rPr>
        <w:t>通过的</w:t>
      </w:r>
      <w:r>
        <w:rPr>
          <w:rFonts w:hint="eastAsia" w:ascii="宋体" w:hAnsi="宋体"/>
          <w:color w:val="000000"/>
          <w:kern w:val="0"/>
          <w:sz w:val="24"/>
        </w:rPr>
        <w:t>质量管理和</w:t>
      </w:r>
      <w:r>
        <w:rPr>
          <w:rFonts w:ascii="宋体" w:hAnsi="宋体"/>
          <w:color w:val="000000"/>
          <w:kern w:val="0"/>
          <w:sz w:val="24"/>
        </w:rPr>
        <w:t>质量</w:t>
      </w:r>
      <w:r>
        <w:rPr>
          <w:rFonts w:hint="eastAsia" w:ascii="宋体" w:hAnsi="宋体"/>
          <w:color w:val="000000"/>
          <w:kern w:val="0"/>
          <w:sz w:val="24"/>
        </w:rPr>
        <w:t>保证</w:t>
      </w:r>
      <w:r>
        <w:rPr>
          <w:rFonts w:ascii="宋体" w:hAnsi="宋体"/>
          <w:color w:val="000000"/>
          <w:kern w:val="0"/>
          <w:sz w:val="24"/>
        </w:rPr>
        <w:t>体系、环保体系、</w:t>
      </w:r>
      <w:r>
        <w:rPr>
          <w:rFonts w:hint="eastAsia" w:ascii="宋体" w:hAnsi="宋体"/>
          <w:color w:val="000000"/>
          <w:sz w:val="24"/>
        </w:rPr>
        <w:t>自主创新相关证书、软件著作权证等等与本项目相关</w:t>
      </w:r>
      <w:r>
        <w:rPr>
          <w:rFonts w:ascii="宋体" w:hAnsi="宋体"/>
          <w:color w:val="000000"/>
          <w:kern w:val="0"/>
          <w:sz w:val="24"/>
        </w:rPr>
        <w:t>的认证证书</w:t>
      </w:r>
      <w:r>
        <w:rPr>
          <w:rFonts w:hint="eastAsia" w:ascii="宋体" w:hAnsi="宋体"/>
          <w:color w:val="000000"/>
          <w:kern w:val="0"/>
          <w:sz w:val="24"/>
        </w:rPr>
        <w:t>或文件；</w:t>
      </w:r>
    </w:p>
    <w:p>
      <w:pPr>
        <w:pStyle w:val="7"/>
        <w:widowControl/>
        <w:numPr>
          <w:ilvl w:val="0"/>
          <w:numId w:val="7"/>
        </w:numPr>
        <w:adjustRightInd w:val="0"/>
        <w:snapToGrid w:val="0"/>
        <w:spacing w:line="360" w:lineRule="auto"/>
        <w:ind w:firstLine="640"/>
        <w:rPr>
          <w:rFonts w:ascii="宋体" w:hAnsi="宋体" w:cs="宋体"/>
          <w:color w:val="000000"/>
          <w:sz w:val="24"/>
          <w:szCs w:val="24"/>
        </w:rPr>
      </w:pPr>
      <w:r>
        <w:rPr>
          <w:rFonts w:hint="eastAsia" w:ascii="宋体" w:hAnsi="宋体"/>
          <w:color w:val="000000"/>
          <w:kern w:val="0"/>
          <w:sz w:val="24"/>
          <w:szCs w:val="24"/>
        </w:rPr>
        <w:t>近三年来类似项目的成功案例（供应商类似项目实施情况一览表、合同复印件及其相应的发票、用户验收报告等；</w:t>
      </w:r>
    </w:p>
    <w:p>
      <w:pPr>
        <w:pStyle w:val="7"/>
        <w:widowControl/>
        <w:numPr>
          <w:ilvl w:val="0"/>
          <w:numId w:val="7"/>
        </w:numPr>
        <w:adjustRightInd w:val="0"/>
        <w:snapToGrid w:val="0"/>
        <w:spacing w:line="360" w:lineRule="auto"/>
        <w:ind w:firstLine="640"/>
        <w:rPr>
          <w:rFonts w:ascii="宋体" w:hAnsi="宋体" w:cs="宋体"/>
          <w:color w:val="000000"/>
          <w:sz w:val="24"/>
          <w:szCs w:val="24"/>
        </w:rPr>
      </w:pPr>
      <w:r>
        <w:rPr>
          <w:rFonts w:hint="eastAsia" w:ascii="宋体" w:hAnsi="宋体" w:cs="宋体"/>
          <w:color w:val="000000"/>
          <w:sz w:val="24"/>
          <w:szCs w:val="24"/>
        </w:rPr>
        <w:t>售后服务描述及承诺：</w:t>
      </w:r>
    </w:p>
    <w:p>
      <w:pPr>
        <w:pStyle w:val="7"/>
        <w:widowControl/>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A.距采购人最近的服务网点详细介绍（包括地理位置、资质资格、技术力量、工作业绩、服务内容及联系电话等）。</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B.针对本项目的售后服务措施及承诺（售后技术服务方案、人员配备、故障响应时间、技术培训方案等）。</w:t>
      </w:r>
    </w:p>
    <w:p>
      <w:pPr>
        <w:numPr>
          <w:ilvl w:val="0"/>
          <w:numId w:val="7"/>
        </w:numPr>
        <w:snapToGrid w:val="0"/>
        <w:spacing w:line="360" w:lineRule="auto"/>
        <w:ind w:firstLine="640"/>
        <w:rPr>
          <w:rFonts w:ascii="宋体" w:hAnsi="宋体" w:cs="宋体"/>
          <w:color w:val="000000"/>
          <w:sz w:val="24"/>
        </w:rPr>
      </w:pPr>
      <w:r>
        <w:rPr>
          <w:rFonts w:hint="eastAsia" w:ascii="宋体" w:hAnsi="宋体" w:cs="宋体"/>
          <w:color w:val="000000"/>
          <w:sz w:val="24"/>
        </w:rPr>
        <w:t>供应商认为需要提供的其他资料（包括可能影响供应商商务与技术内容评分的各类证明材料）。</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3、报价内容的组成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报价承诺</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kern w:val="0"/>
          <w:sz w:val="24"/>
        </w:rPr>
        <w:t>针对报价投标人认为其他需要说明的</w:t>
      </w:r>
    </w:p>
    <w:p>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（二）报价</w:t>
      </w:r>
    </w:p>
    <w:p>
      <w:pPr>
        <w:pStyle w:val="50"/>
        <w:spacing w:line="360" w:lineRule="auto"/>
        <w:ind w:firstLine="480"/>
      </w:pPr>
      <w:r>
        <w:rPr>
          <w:rFonts w:hint="eastAsia" w:ascii="宋体" w:hAnsi="宋体" w:cs="宋体"/>
          <w:sz w:val="24"/>
        </w:rPr>
        <w:t>1.▲</w:t>
      </w:r>
      <w:r>
        <w:rPr>
          <w:rFonts w:hint="eastAsia" w:ascii="宋体" w:hAnsi="宋体" w:cs="宋体"/>
          <w:b/>
          <w:sz w:val="24"/>
          <w:u w:val="thick"/>
        </w:rPr>
        <w:t>本次磋商报价为含税人民币价</w:t>
      </w:r>
      <w:r>
        <w:rPr>
          <w:rFonts w:hint="eastAsia" w:ascii="宋体" w:hAnsi="宋体" w:cs="宋体"/>
          <w:sz w:val="24"/>
          <w:u w:val="thick"/>
        </w:rPr>
        <w:t>。</w:t>
      </w:r>
    </w:p>
    <w:p>
      <w:pPr>
        <w:pStyle w:val="7"/>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2.供应商应按照采购需求内容、责任范围以及合同条款进行报价。并按“首次报价一览表”和“报价明细表”规定的格式报出总价和分项价格。总价中不得包含磋商文件要求以外的内容，否则，在评审时不予核减。</w:t>
      </w:r>
    </w:p>
    <w:p>
      <w:pPr>
        <w:pStyle w:val="7"/>
        <w:spacing w:line="360" w:lineRule="auto"/>
        <w:ind w:firstLine="480" w:firstLineChars="200"/>
        <w:rPr>
          <w:rFonts w:ascii="宋体" w:hAnsi="宋体" w:cs="宋体"/>
          <w:sz w:val="24"/>
          <w:szCs w:val="24"/>
        </w:rPr>
      </w:pPr>
      <w:r>
        <w:rPr>
          <w:rFonts w:hint="eastAsia" w:asciiTheme="minorEastAsia" w:hAnsiTheme="minorEastAsia" w:eastAsiaTheme="minorEastAsia"/>
          <w:bCs/>
          <w:kern w:val="0"/>
          <w:sz w:val="24"/>
        </w:rPr>
        <w:t>3.磋商总报价是包括货款、所需辅材费用、备品备件、专用工具、包装、运输、装卸、保险、税金、货到就位以及安装、调试、培训、维护、保修、合同包含的所有风险责任等各项费用及不可预见费等所需的全部费用。</w:t>
      </w:r>
    </w:p>
    <w:p>
      <w:pPr>
        <w:pStyle w:val="50"/>
        <w:spacing w:line="360" w:lineRule="auto"/>
        <w:ind w:firstLine="480"/>
      </w:pPr>
      <w:r>
        <w:rPr>
          <w:rFonts w:hint="eastAsia" w:ascii="宋体" w:hAnsi="宋体" w:cs="宋体"/>
          <w:sz w:val="24"/>
        </w:rPr>
        <w:t>4▲</w:t>
      </w:r>
      <w:r>
        <w:rPr>
          <w:rFonts w:hint="eastAsia" w:ascii="宋体" w:hAnsi="宋体" w:cs="宋体"/>
          <w:b/>
          <w:sz w:val="24"/>
          <w:u w:val="thick"/>
        </w:rPr>
        <w:t>所投标项最后一轮报价只允许有一个报价，不接受有选择报价的响应文件。</w:t>
      </w:r>
    </w:p>
    <w:p>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（三）响应文件的有效期</w:t>
      </w:r>
    </w:p>
    <w:p>
      <w:pPr>
        <w:pStyle w:val="7"/>
        <w:spacing w:line="360" w:lineRule="auto"/>
        <w:ind w:firstLine="480" w:firstLineChars="200"/>
        <w:rPr>
          <w:rFonts w:ascii="宋体" w:hAnsi="宋体"/>
          <w:sz w:val="24"/>
          <w:lang w:val="en-GB"/>
        </w:rPr>
      </w:pPr>
      <w:r>
        <w:rPr>
          <w:rFonts w:hint="eastAsia" w:ascii="宋体" w:hAnsi="宋体"/>
          <w:sz w:val="24"/>
        </w:rPr>
        <w:t>1.响应文件有效期为磋商</w:t>
      </w:r>
      <w:r>
        <w:rPr>
          <w:rFonts w:hint="eastAsia" w:ascii="宋体" w:hAnsi="宋体"/>
          <w:sz w:val="24"/>
          <w:lang w:val="en-GB"/>
        </w:rPr>
        <w:t>截止日起90天。</w:t>
      </w:r>
    </w:p>
    <w:p>
      <w:pPr>
        <w:pStyle w:val="7"/>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w:t>
      </w:r>
      <w:r>
        <w:rPr>
          <w:rFonts w:hint="eastAsia" w:ascii="宋体" w:hAnsi="宋体"/>
          <w:sz w:val="24"/>
        </w:rPr>
        <w:t>供应商</w:t>
      </w:r>
      <w:r>
        <w:rPr>
          <w:rFonts w:hint="eastAsia" w:ascii="宋体" w:hAnsi="宋体"/>
          <w:sz w:val="24"/>
          <w:lang w:val="en-GB"/>
        </w:rPr>
        <w:t>协商延长</w:t>
      </w:r>
      <w:r>
        <w:rPr>
          <w:rFonts w:hint="eastAsia" w:ascii="宋体" w:hAnsi="宋体"/>
          <w:sz w:val="24"/>
        </w:rPr>
        <w:t>响应文件</w:t>
      </w:r>
      <w:r>
        <w:rPr>
          <w:rFonts w:hint="eastAsia" w:ascii="宋体" w:hAnsi="宋体"/>
          <w:sz w:val="24"/>
          <w:lang w:val="en-GB"/>
        </w:rPr>
        <w:t>的有效期，这种要求和答复均以书面形式进行。</w:t>
      </w:r>
    </w:p>
    <w:p>
      <w:pPr>
        <w:snapToGrid w:val="0"/>
        <w:spacing w:line="360" w:lineRule="auto"/>
        <w:ind w:firstLine="480" w:firstLineChars="200"/>
        <w:rPr>
          <w:rFonts w:asciiTheme="minorEastAsia" w:hAnsiTheme="minorEastAsia" w:eastAsiaTheme="minorEastAsia"/>
          <w:sz w:val="24"/>
        </w:rPr>
      </w:pPr>
      <w:bookmarkStart w:id="33" w:name="_Toc8754"/>
      <w:r>
        <w:rPr>
          <w:rFonts w:hint="eastAsia" w:ascii="宋体" w:hAnsi="宋体"/>
          <w:sz w:val="24"/>
        </w:rPr>
        <w:t>3.成交供应商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自开标之日起至合同履行完毕均应保持有效。</w:t>
      </w:r>
      <w:bookmarkEnd w:id="33"/>
    </w:p>
    <w:p>
      <w:pPr>
        <w:snapToGrid w:val="0"/>
        <w:spacing w:line="360" w:lineRule="auto"/>
        <w:ind w:firstLine="482" w:firstLineChars="200"/>
        <w:rPr>
          <w:rFonts w:asciiTheme="minorEastAsia" w:hAnsiTheme="minorEastAsia" w:eastAsiaTheme="minorEastAsia"/>
          <w:b/>
          <w:kern w:val="0"/>
          <w:sz w:val="24"/>
        </w:rPr>
      </w:pPr>
      <w:bookmarkStart w:id="34" w:name="_Toc14235"/>
      <w:r>
        <w:rPr>
          <w:rFonts w:hint="eastAsia" w:asciiTheme="minorEastAsia" w:hAnsiTheme="minorEastAsia" w:eastAsiaTheme="minorEastAsia"/>
          <w:b/>
          <w:kern w:val="0"/>
          <w:sz w:val="24"/>
        </w:rPr>
        <w:t>（四）响应文件的签署</w:t>
      </w:r>
      <w:bookmarkEnd w:id="34"/>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2.响应文件中所有的插字、涂改和增删，必须由法定代表人或经其正式授权的代表在旁边签字或盖章才有效。</w:t>
      </w:r>
    </w:p>
    <w:p>
      <w:pPr>
        <w:pStyle w:val="5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3.磋商响应文件应当对采购文件规定的内容进行对应明确说明，对采购文件规定的实质性内容应当作出响应。</w:t>
      </w:r>
    </w:p>
    <w:p>
      <w:pPr>
        <w:pStyle w:val="5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4.采购人如对采购文件有澄清或修改，供应商应按澄清或修改内容对电子磋商响应文件进行补充或者修改，补充和修改时如已传输提交了磋商响应文件的，应当先行撤回原文件，补充、修改后重新传输提交。</w:t>
      </w:r>
    </w:p>
    <w:p>
      <w:pPr>
        <w:pStyle w:val="8"/>
        <w:ind w:firstLine="480" w:firstLineChars="200"/>
        <w:rPr>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5.由于字迹模糊或表达不清引起的后果由供应商负责。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kern w:val="0"/>
          <w:sz w:val="24"/>
        </w:rPr>
        <w:t>响应文件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1.供应商应在“供应商须知前附表”规定响应文件提交的截止时间前提交响应文件。</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2.供应商提交的磋商响应文件均不予退还。</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3.逾期传输的或逾期送达的或者未送达指定地点的磋商响应文件，采购人将不予受理。</w:t>
      </w:r>
    </w:p>
    <w:p>
      <w:pPr>
        <w:tabs>
          <w:tab w:val="left" w:pos="1418"/>
        </w:tabs>
        <w:autoSpaceDE w:val="0"/>
        <w:autoSpaceDN w:val="0"/>
        <w:adjustRightInd w:val="0"/>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4.采购人如因故推迟磋商响应文件提交截止时间，应以书面形式通知所有供应商。在这种情况下，采购人和供应商的权利和义务将受到新的磋商响应文件提交截止时间的约束。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kern w:val="0"/>
          <w:sz w:val="24"/>
        </w:rPr>
        <w:t>四、</w:t>
      </w:r>
      <w:r>
        <w:rPr>
          <w:rFonts w:hint="eastAsia" w:asciiTheme="minorEastAsia" w:hAnsiTheme="minorEastAsia" w:eastAsiaTheme="minorEastAsia"/>
          <w:b/>
          <w:sz w:val="24"/>
        </w:rPr>
        <w:t>磋商</w:t>
      </w:r>
      <w:r>
        <w:rPr>
          <w:rFonts w:asciiTheme="minorEastAsia" w:hAnsiTheme="minorEastAsia" w:eastAsiaTheme="minorEastAsia"/>
          <w:b/>
          <w:sz w:val="24"/>
        </w:rPr>
        <w:t>程序</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（一）磋商开始时间到后，主持人准时组织磋商；</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（二）宣布磋商纪律；</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（三）宣布采购组织机构工作人员；</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（四）供应商登录政采云平台，用“项目采购-开标评标”功能对响应文件进行在线解密。在线解密</w:t>
      </w:r>
      <w:r>
        <w:rPr>
          <w:rFonts w:hint="eastAsia" w:ascii="宋体" w:hAnsi="宋体" w:cs="宋体"/>
          <w:bCs/>
          <w:kern w:val="0"/>
          <w:sz w:val="24"/>
          <w:szCs w:val="24"/>
        </w:rPr>
        <w:t>响应文件</w:t>
      </w:r>
      <w:r>
        <w:rPr>
          <w:rFonts w:hint="eastAsia" w:ascii="宋体" w:hAnsi="宋体" w:cs="宋体"/>
          <w:sz w:val="24"/>
          <w:szCs w:val="24"/>
        </w:rPr>
        <w:t>时间为磋商时间起半个小时内；</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（五）采购组织机构工作人员当众宣布磋商响应供应商名称和磋商文件规定的需要宣布的其他内容；</w:t>
      </w:r>
    </w:p>
    <w:p>
      <w:pPr>
        <w:pStyle w:val="8"/>
        <w:snapToGrid w:val="0"/>
        <w:spacing w:line="360" w:lineRule="auto"/>
        <w:ind w:firstLine="480" w:firstLineChars="200"/>
        <w:rPr>
          <w:rFonts w:hAnsi="宋体" w:cs="宋体"/>
          <w:bCs/>
          <w:sz w:val="24"/>
        </w:rPr>
      </w:pPr>
      <w:r>
        <w:rPr>
          <w:rFonts w:hint="eastAsia" w:hAnsi="宋体" w:cs="宋体"/>
          <w:bCs/>
          <w:sz w:val="24"/>
        </w:rPr>
        <w:t>（六）磋商(详见第四章)；</w:t>
      </w:r>
    </w:p>
    <w:p>
      <w:pPr>
        <w:pStyle w:val="8"/>
        <w:snapToGrid w:val="0"/>
        <w:spacing w:line="360" w:lineRule="auto"/>
        <w:ind w:firstLine="480" w:firstLineChars="200"/>
        <w:rPr>
          <w:rFonts w:hAnsi="宋体" w:cs="宋体"/>
          <w:sz w:val="24"/>
        </w:rPr>
      </w:pPr>
      <w:r>
        <w:rPr>
          <w:rFonts w:hint="eastAsia" w:hAnsi="宋体" w:cs="宋体"/>
          <w:bCs/>
          <w:sz w:val="24"/>
        </w:rPr>
        <w:t>（七）磋商结果公告。</w:t>
      </w:r>
    </w:p>
    <w:p>
      <w:pPr>
        <w:pStyle w:val="7"/>
        <w:spacing w:line="360" w:lineRule="auto"/>
        <w:ind w:firstLine="482" w:firstLineChars="200"/>
        <w:rPr>
          <w:b/>
          <w:bCs/>
          <w:sz w:val="24"/>
          <w:szCs w:val="24"/>
        </w:rPr>
      </w:pPr>
      <w:r>
        <w:rPr>
          <w:rFonts w:hint="eastAsia"/>
          <w:b/>
          <w:bCs/>
          <w:sz w:val="24"/>
          <w:szCs w:val="24"/>
        </w:rPr>
        <w:t>五、磋商异议</w:t>
      </w:r>
    </w:p>
    <w:p>
      <w:pPr>
        <w:pStyle w:val="7"/>
        <w:spacing w:line="360" w:lineRule="auto"/>
        <w:ind w:firstLine="480" w:firstLineChars="200"/>
        <w:rPr>
          <w:sz w:val="24"/>
          <w:szCs w:val="24"/>
        </w:rPr>
      </w:pPr>
      <w:r>
        <w:rPr>
          <w:rFonts w:hint="eastAsia"/>
          <w:sz w:val="24"/>
          <w:szCs w:val="24"/>
        </w:rPr>
        <w:t>供应商代表对磋商过程和磋商记录有疑义，以及认为采购人、采购</w:t>
      </w:r>
      <w:r>
        <w:rPr>
          <w:rFonts w:hint="eastAsia" w:asciiTheme="minorEastAsia" w:hAnsiTheme="minorEastAsia" w:eastAsiaTheme="minorEastAsia" w:cstheme="minorBidi"/>
          <w:sz w:val="24"/>
          <w:szCs w:val="24"/>
        </w:rPr>
        <w:t>组织</w:t>
      </w:r>
      <w:r>
        <w:rPr>
          <w:rFonts w:hint="eastAsia"/>
          <w:sz w:val="24"/>
          <w:szCs w:val="24"/>
        </w:rPr>
        <w:t>机构相关工作人员有需要回避的情形的，应当场提出询问或者回避申请，磋商会议结束后不再接受相关询问、质疑或者回避申请。</w:t>
      </w:r>
    </w:p>
    <w:p>
      <w:pPr>
        <w:pStyle w:val="20"/>
        <w:spacing w:before="0" w:beforeAutospacing="0" w:after="0" w:afterAutospacing="0" w:line="360" w:lineRule="auto"/>
        <w:ind w:firstLine="482" w:firstLineChars="200"/>
        <w:jc w:val="both"/>
        <w:rPr>
          <w:rFonts w:hint="default" w:asciiTheme="minorEastAsia" w:hAnsiTheme="minorEastAsia"/>
          <w:b/>
        </w:rPr>
      </w:pPr>
      <w:r>
        <w:rPr>
          <w:rFonts w:asciiTheme="minorEastAsia" w:hAnsiTheme="minorEastAsia" w:eastAsiaTheme="minorEastAsia"/>
          <w:b/>
        </w:rPr>
        <w:t>六、</w:t>
      </w:r>
      <w:r>
        <w:rPr>
          <w:b/>
        </w:rPr>
        <w:t>磋商结果确定</w:t>
      </w:r>
    </w:p>
    <w:p>
      <w:pPr>
        <w:pStyle w:val="20"/>
        <w:spacing w:before="0" w:beforeAutospacing="0" w:after="0" w:afterAutospacing="0" w:line="440" w:lineRule="exact"/>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确定成交供应商。</w:t>
      </w:r>
      <w:r>
        <w:rPr>
          <w:rFonts w:asciiTheme="minorEastAsia" w:hAnsiTheme="minorEastAsia" w:eastAsiaTheme="minorEastAsia"/>
        </w:rPr>
        <w:t>磋商小组根据采购单位的</w:t>
      </w:r>
      <w:r>
        <w:t>《授权意见确认书》</w:t>
      </w:r>
      <w:r>
        <w:rPr>
          <w:rFonts w:asciiTheme="minorEastAsia" w:hAnsiTheme="minorEastAsia" w:eastAsiaTheme="minorEastAsia"/>
        </w:rPr>
        <w:t>，推荐成交候选人或确定成交供应商。其中推荐成交候选人的，采购组织机构在评审结束后2个工作日内将评审报告送采购人，采购人自收到评审报告之日起5个工作日内，从评审报告提出的成交候选供应商中，确定排序第一的成交候选人为成交供应商，如排序并列，按技术水平得分高者为成交供应商，如技术水平得分也相同，按履约能力得分高者为成交供应商。采购人逾期未确定成交供应商且不提出异议的，视为确定评审报告提出的排序第一的供应商为成交供应商。在评审报告推荐的成交候选人中确定成交供应商。</w:t>
      </w:r>
    </w:p>
    <w:p>
      <w:pPr>
        <w:spacing w:line="440" w:lineRule="exact"/>
        <w:ind w:firstLine="480"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sz w:val="24"/>
        </w:rPr>
        <w:t>（二）</w:t>
      </w:r>
      <w:r>
        <w:rPr>
          <w:rFonts w:hint="eastAsia" w:ascii="宋体" w:hAnsi="宋体"/>
          <w:kern w:val="0"/>
          <w:sz w:val="24"/>
        </w:rPr>
        <w:t>发布成交结果公告。采购组织机构自成交供应商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成交结果，成交</w:t>
      </w:r>
      <w:r>
        <w:rPr>
          <w:sz w:val="24"/>
        </w:rPr>
        <w:t>结果公告期为 1 个工作日</w:t>
      </w:r>
      <w:r>
        <w:rPr>
          <w:rFonts w:hint="eastAsia" w:ascii="宋体" w:hAnsi="宋体"/>
          <w:kern w:val="0"/>
          <w:sz w:val="24"/>
        </w:rPr>
        <w:t>。</w:t>
      </w:r>
      <w:r>
        <w:rPr>
          <w:rFonts w:hint="eastAsia" w:ascii="宋体" w:hAnsi="宋体"/>
          <w:color w:val="000000" w:themeColor="text1"/>
          <w:kern w:val="0"/>
          <w:sz w:val="24"/>
          <w14:textFill>
            <w14:solidFill>
              <w14:schemeClr w14:val="tx1"/>
            </w14:solidFill>
          </w14:textFill>
        </w:rPr>
        <w:t>采购人、采购代理机构及磋商小组对未成交的供应商不作落标原因解释。</w:t>
      </w:r>
    </w:p>
    <w:p>
      <w:pPr>
        <w:pStyle w:val="10"/>
        <w:spacing w:line="440" w:lineRule="exact"/>
        <w:ind w:firstLine="480" w:firstLineChars="200"/>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（三）发放成交通知书。采购组织机构在发布成交结果公告的同时，</w:t>
      </w:r>
      <w:r>
        <w:rPr>
          <w:rFonts w:hint="eastAsia"/>
          <w:color w:val="000000" w:themeColor="text1"/>
          <w:sz w:val="24"/>
          <w14:textFill>
            <w14:solidFill>
              <w14:schemeClr w14:val="tx1"/>
            </w14:solidFill>
          </w14:textFill>
        </w:rPr>
        <w:t>通过政采云平台向成交供应商发放成交通知书</w:t>
      </w:r>
      <w:r>
        <w:rPr>
          <w:rFonts w:hint="eastAsia" w:ascii="宋体" w:hAnsi="宋体"/>
          <w:color w:val="000000" w:themeColor="text1"/>
          <w:kern w:val="0"/>
          <w:sz w:val="24"/>
          <w14:textFill>
            <w14:solidFill>
              <w14:schemeClr w14:val="tx1"/>
            </w14:solidFill>
          </w14:textFill>
        </w:rPr>
        <w:t>。</w:t>
      </w:r>
    </w:p>
    <w:p>
      <w:pPr>
        <w:spacing w:line="440" w:lineRule="exact"/>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44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20"/>
        <w:spacing w:before="0" w:beforeAutospacing="0" w:after="0" w:afterAutospacing="0" w:line="440" w:lineRule="exact"/>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1.采购人应当自成交通知书发出之日起3日内，按照磋商文件和成交供应商响应文件内容要求，与成交供应商签订书面合同。</w:t>
      </w:r>
    </w:p>
    <w:p>
      <w:pPr>
        <w:pStyle w:val="20"/>
        <w:spacing w:before="0" w:beforeAutospacing="0" w:after="0" w:afterAutospacing="0" w:line="440" w:lineRule="exact"/>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2.采购文件及补充文件、磋商修改文件、成交供应商的磋商响应文件及磋商响应修改文件、磋商过程中有关承诺文件和成交通知书均作为合同附件。</w:t>
      </w:r>
    </w:p>
    <w:p>
      <w:pPr>
        <w:pStyle w:val="20"/>
        <w:spacing w:before="0" w:beforeAutospacing="0" w:after="0" w:afterAutospacing="0" w:line="440" w:lineRule="exact"/>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20"/>
        <w:spacing w:before="0" w:beforeAutospacing="0" w:after="0" w:afterAutospacing="0" w:line="440" w:lineRule="exact"/>
        <w:ind w:firstLine="480" w:firstLineChars="200"/>
        <w:jc w:val="both"/>
        <w:rPr>
          <w:rFonts w:hint="default"/>
        </w:rPr>
      </w:pPr>
      <w:r>
        <w:t>4..成交供应商无故拖延、拒签合同的,将取消成交资格。</w:t>
      </w:r>
    </w:p>
    <w:p>
      <w:pPr>
        <w:pStyle w:val="20"/>
        <w:spacing w:before="0" w:beforeAutospacing="0" w:after="0" w:afterAutospacing="0" w:line="440" w:lineRule="exact"/>
        <w:ind w:firstLine="480" w:firstLineChars="200"/>
        <w:jc w:val="both"/>
        <w:rPr>
          <w:rFonts w:hint="default"/>
        </w:rPr>
      </w:pPr>
      <w:r>
        <w:t>5.成交供应商接到成交通知书后，在规定时间内借故否认已经承诺的条件而拒签合同者，以违约处理，并赔偿采购人由此造成的直接经济损失。采购人将向同级政府采购监管部门进行汇报。</w:t>
      </w:r>
    </w:p>
    <w:p>
      <w:pPr>
        <w:pStyle w:val="20"/>
        <w:spacing w:before="0" w:beforeAutospacing="0" w:after="0" w:afterAutospacing="0" w:line="440" w:lineRule="exact"/>
        <w:ind w:firstLine="480" w:firstLineChars="200"/>
        <w:jc w:val="both"/>
        <w:rPr>
          <w:rFonts w:hint="default"/>
        </w:rPr>
      </w:pPr>
      <w:r>
        <w:t>6.成交供应商拒绝与采购人签订合同的，采购人可以按照评审报告推荐的成交候选人名单排序，确定下一候选人为成交供应商，也可以重新开展政府采购活动。同时，拒绝与采购人签订合同的供应商不得参加对该项目重新开展的采购活动，由同级财政部门依法作出处理。</w:t>
      </w:r>
    </w:p>
    <w:p>
      <w:pPr>
        <w:pStyle w:val="20"/>
        <w:spacing w:before="0" w:beforeAutospacing="0" w:after="0" w:afterAutospacing="0" w:line="440" w:lineRule="exact"/>
        <w:ind w:firstLine="480" w:firstLineChars="200"/>
        <w:jc w:val="both"/>
        <w:rPr>
          <w:rFonts w:hint="default"/>
        </w:rPr>
      </w:pPr>
      <w:r>
        <w:t>7.询问或者质疑事项可能影响成交结果的，采购人应当暂停签订合同，已经签订合同的，应当中止履行合同。</w:t>
      </w:r>
    </w:p>
    <w:p>
      <w:pPr>
        <w:pStyle w:val="20"/>
        <w:spacing w:before="0" w:beforeAutospacing="0" w:after="0" w:afterAutospacing="0" w:line="440" w:lineRule="exact"/>
        <w:ind w:firstLine="482" w:firstLineChars="200"/>
        <w:jc w:val="both"/>
        <w:rPr>
          <w:rFonts w:hint="default" w:cs="仿宋_GB2312"/>
          <w:b/>
        </w:rPr>
      </w:pPr>
      <w:r>
        <w:rPr>
          <w:b/>
        </w:rPr>
        <w:t>（二）合同公告及备案</w:t>
      </w:r>
    </w:p>
    <w:p>
      <w:pPr>
        <w:pStyle w:val="12"/>
        <w:spacing w:after="0" w:line="440" w:lineRule="exact"/>
        <w:ind w:left="0" w:leftChars="0" w:firstLine="480" w:firstLineChars="200"/>
        <w:rPr>
          <w:rFonts w:ascii="宋体" w:hAnsi="宋体"/>
          <w:sz w:val="24"/>
        </w:rPr>
      </w:pPr>
      <w:r>
        <w:rPr>
          <w:rFonts w:hint="eastAsia" w:ascii="宋体" w:hAnsi="宋体"/>
          <w:sz w:val="24"/>
        </w:rPr>
        <w:t>1.采购人应当自政府采购合同签订之日起</w:t>
      </w:r>
      <w:r>
        <w:rPr>
          <w:rFonts w:hint="eastAsia" w:ascii="宋体" w:hAnsi="宋体"/>
          <w:sz w:val="24"/>
          <w:u w:val="single"/>
        </w:rPr>
        <w:t>2</w:t>
      </w:r>
      <w:r>
        <w:rPr>
          <w:rFonts w:hint="eastAsia" w:ascii="宋体" w:hAnsi="宋体"/>
          <w:sz w:val="24"/>
        </w:rPr>
        <w:t>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。采购人、采购代理机构及磋商小组对未成交的供应商不作落标原因解释。</w:t>
      </w:r>
    </w:p>
    <w:p>
      <w:pPr>
        <w:pStyle w:val="10"/>
        <w:spacing w:line="440" w:lineRule="exact"/>
        <w:ind w:firstLine="480" w:firstLineChars="200"/>
        <w:jc w:val="both"/>
        <w:rPr>
          <w:rFonts w:ascii="宋体" w:hAnsi="宋体"/>
          <w:sz w:val="24"/>
        </w:rPr>
      </w:pPr>
      <w:r>
        <w:rPr>
          <w:rFonts w:hint="eastAsia" w:ascii="宋体" w:hAnsi="宋体"/>
          <w:sz w:val="24"/>
        </w:rPr>
        <w:t>2.采购人应当自政府采购合同签订之日起</w:t>
      </w:r>
      <w:r>
        <w:rPr>
          <w:rFonts w:hint="eastAsia" w:ascii="宋体" w:hAnsi="宋体"/>
          <w:sz w:val="24"/>
          <w:u w:val="single"/>
        </w:rPr>
        <w:t>7</w:t>
      </w:r>
      <w:r>
        <w:rPr>
          <w:rFonts w:hint="eastAsia" w:ascii="宋体" w:hAnsi="宋体"/>
          <w:sz w:val="24"/>
        </w:rPr>
        <w:t>个工作日内，</w:t>
      </w:r>
      <w:r>
        <w:rPr>
          <w:rFonts w:hint="eastAsia"/>
          <w:sz w:val="24"/>
        </w:rPr>
        <w:t>将政府采购合同通过政采云平台提交至</w:t>
      </w:r>
      <w:r>
        <w:rPr>
          <w:rFonts w:hint="eastAsia" w:ascii="宋体" w:hAnsi="宋体"/>
          <w:sz w:val="24"/>
        </w:rPr>
        <w:t>同级人民政府财政部门备案存档。</w:t>
      </w:r>
    </w:p>
    <w:p>
      <w:pPr>
        <w:pStyle w:val="10"/>
        <w:spacing w:line="440" w:lineRule="exact"/>
        <w:ind w:firstLine="482" w:firstLineChars="200"/>
        <w:jc w:val="both"/>
        <w:rPr>
          <w:rFonts w:ascii="宋体" w:hAnsi="宋体"/>
          <w:b/>
          <w:bCs/>
          <w:sz w:val="24"/>
        </w:rPr>
      </w:pPr>
      <w:r>
        <w:rPr>
          <w:rFonts w:hint="eastAsia" w:ascii="宋体" w:hAnsi="宋体"/>
          <w:b/>
          <w:bCs/>
          <w:sz w:val="24"/>
        </w:rPr>
        <w:t>八、询问、质疑与投诉</w:t>
      </w:r>
    </w:p>
    <w:p>
      <w:pPr>
        <w:pStyle w:val="10"/>
        <w:spacing w:line="440" w:lineRule="exact"/>
        <w:ind w:firstLine="482" w:firstLineChars="200"/>
        <w:jc w:val="both"/>
        <w:rPr>
          <w:rFonts w:ascii="宋体" w:hAnsi="宋体"/>
          <w:b/>
          <w:bCs/>
          <w:sz w:val="24"/>
        </w:rPr>
      </w:pPr>
      <w:r>
        <w:rPr>
          <w:rFonts w:hint="eastAsia" w:ascii="宋体" w:hAnsi="宋体"/>
          <w:b/>
          <w:bCs/>
          <w:sz w:val="24"/>
        </w:rPr>
        <w:t>（一）询问</w:t>
      </w:r>
    </w:p>
    <w:p>
      <w:pPr>
        <w:pStyle w:val="10"/>
        <w:spacing w:line="440" w:lineRule="exact"/>
        <w:ind w:firstLine="480" w:firstLineChars="200"/>
        <w:jc w:val="both"/>
        <w:rPr>
          <w:rFonts w:ascii="宋体" w:hAnsi="宋体"/>
          <w:sz w:val="24"/>
        </w:rPr>
      </w:pPr>
      <w:r>
        <w:rPr>
          <w:rFonts w:hint="eastAsia" w:ascii="宋体" w:hAnsi="宋体"/>
          <w:sz w:val="24"/>
        </w:rPr>
        <w:t>磋商供应商对政府采购活动事项（磋商文件、采购过程和成交结果）有疑问的，可以向采购人或采购</w:t>
      </w:r>
      <w:r>
        <w:rPr>
          <w:rFonts w:hint="eastAsia" w:asciiTheme="minorEastAsia" w:hAnsiTheme="minorEastAsia" w:eastAsiaTheme="minorEastAsia" w:cstheme="minorBidi"/>
          <w:sz w:val="24"/>
        </w:rPr>
        <w:t>组织</w:t>
      </w:r>
      <w:r>
        <w:rPr>
          <w:rFonts w:hint="eastAsia" w:ascii="宋体" w:hAnsi="宋体"/>
          <w:sz w:val="24"/>
        </w:rPr>
        <w:t>机构提出询问，采购人或采购</w:t>
      </w:r>
      <w:r>
        <w:rPr>
          <w:rFonts w:hint="eastAsia" w:asciiTheme="minorEastAsia" w:hAnsiTheme="minorEastAsia" w:eastAsiaTheme="minorEastAsia" w:cstheme="minorBidi"/>
          <w:sz w:val="24"/>
        </w:rPr>
        <w:t>组织</w:t>
      </w:r>
      <w:r>
        <w:rPr>
          <w:rFonts w:hint="eastAsia" w:ascii="宋体" w:hAnsi="宋体"/>
          <w:sz w:val="24"/>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sz w:val="24"/>
        </w:rPr>
        <w:t>组织</w:t>
      </w:r>
      <w:r>
        <w:rPr>
          <w:rFonts w:hint="eastAsia" w:ascii="宋体" w:hAnsi="宋体"/>
          <w:sz w:val="24"/>
        </w:rPr>
        <w:t>机构的名称、地址和联系方式”。</w:t>
      </w:r>
    </w:p>
    <w:p>
      <w:pPr>
        <w:pStyle w:val="10"/>
        <w:spacing w:line="440" w:lineRule="exact"/>
        <w:ind w:firstLine="482" w:firstLineChars="200"/>
        <w:jc w:val="both"/>
        <w:rPr>
          <w:rFonts w:ascii="宋体" w:hAnsi="宋体"/>
          <w:b/>
          <w:bCs/>
          <w:sz w:val="24"/>
        </w:rPr>
      </w:pPr>
      <w:r>
        <w:rPr>
          <w:rFonts w:hint="eastAsia" w:ascii="宋体" w:hAnsi="宋体"/>
          <w:b/>
          <w:bCs/>
          <w:sz w:val="24"/>
        </w:rPr>
        <w:t>（二）质疑</w:t>
      </w:r>
    </w:p>
    <w:p>
      <w:pPr>
        <w:pStyle w:val="10"/>
        <w:spacing w:line="440" w:lineRule="exact"/>
        <w:ind w:firstLine="480" w:firstLineChars="200"/>
        <w:jc w:val="both"/>
        <w:rPr>
          <w:rFonts w:ascii="宋体" w:hAnsi="宋体"/>
          <w:sz w:val="24"/>
        </w:rPr>
      </w:pPr>
      <w:r>
        <w:rPr>
          <w:rFonts w:hint="eastAsia" w:ascii="宋体" w:hAnsi="宋体"/>
          <w:sz w:val="24"/>
        </w:rPr>
        <w:t>1.报名本项目的供应商认为磋商文件、采购过程和成交结果使自己的权益受到损害的，以书面形式或政采云平台的质疑系统一次性向采购人或采购</w:t>
      </w:r>
      <w:r>
        <w:rPr>
          <w:rFonts w:hint="eastAsia" w:asciiTheme="minorEastAsia" w:hAnsiTheme="minorEastAsia" w:eastAsiaTheme="minorEastAsia" w:cstheme="minorBidi"/>
          <w:sz w:val="24"/>
        </w:rPr>
        <w:t>组织</w:t>
      </w:r>
      <w:r>
        <w:rPr>
          <w:rFonts w:hint="eastAsia" w:ascii="宋体" w:hAnsi="宋体"/>
          <w:sz w:val="24"/>
        </w:rPr>
        <w:t>机构书面提出质疑：</w:t>
      </w:r>
    </w:p>
    <w:p>
      <w:pPr>
        <w:pStyle w:val="10"/>
        <w:spacing w:line="440" w:lineRule="exact"/>
        <w:ind w:firstLine="480" w:firstLineChars="200"/>
        <w:jc w:val="both"/>
        <w:rPr>
          <w:rFonts w:ascii="宋体" w:hAnsi="宋体"/>
          <w:color w:val="000000" w:themeColor="text1"/>
          <w:sz w:val="24"/>
          <w14:textFill>
            <w14:solidFill>
              <w14:schemeClr w14:val="tx1"/>
            </w14:solidFill>
          </w14:textFill>
        </w:rPr>
      </w:pPr>
      <w:r>
        <w:rPr>
          <w:rFonts w:hint="eastAsia" w:ascii="宋体" w:hAnsi="宋体"/>
          <w:sz w:val="24"/>
        </w:rPr>
        <w:t>（1）供应商认为磋商文件的内容损害其权益的，应当自获取之日起（获取截止日之后收到磋商文件的，以获取截止日为准）7个工作日内提出质疑</w:t>
      </w:r>
      <w:r>
        <w:rPr>
          <w:rFonts w:hint="eastAsia" w:ascii="宋体" w:hAnsi="宋体"/>
          <w:color w:val="000000" w:themeColor="text1"/>
          <w:sz w:val="24"/>
          <w14:textFill>
            <w14:solidFill>
              <w14:schemeClr w14:val="tx1"/>
            </w14:solidFill>
          </w14:textFill>
        </w:rPr>
        <w:t>；逾期提出不予受理。</w:t>
      </w:r>
    </w:p>
    <w:p>
      <w:pPr>
        <w:pStyle w:val="10"/>
        <w:spacing w:line="440" w:lineRule="exact"/>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（2）供应商对采购过程提出质疑的，应当在各采购程序环节结束之日起7个工作日内提出质疑；逾期提出不予受理。</w:t>
      </w:r>
    </w:p>
    <w:p>
      <w:pPr>
        <w:pStyle w:val="10"/>
        <w:spacing w:line="440" w:lineRule="exact"/>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（3）供应商对成交结果提出质疑的，应当在成交结果公告期限届满之日起7个工作日内提出质疑；逾期提出不予受理。</w:t>
      </w:r>
    </w:p>
    <w:p>
      <w:pPr>
        <w:pStyle w:val="10"/>
        <w:spacing w:line="440" w:lineRule="exact"/>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（4）</w:t>
      </w:r>
      <w:r>
        <w:rPr>
          <w:rFonts w:hint="eastAsia" w:ascii="宋体" w:hAnsi="宋体"/>
          <w:sz w:val="24"/>
        </w:rPr>
        <w:t>质疑书中涉及的相关材料中有外文资料的，应当将与质疑相关的外文资料完整、客观、真实地翻译为中文，并注明翻译人员姓名、工作单位、联系方式等信息。</w:t>
      </w:r>
    </w:p>
    <w:p>
      <w:pPr>
        <w:pStyle w:val="10"/>
        <w:spacing w:line="440" w:lineRule="exact"/>
        <w:ind w:firstLine="480" w:firstLineChars="200"/>
        <w:jc w:val="both"/>
        <w:rPr>
          <w:rFonts w:ascii="宋体" w:hAnsi="宋体"/>
          <w:sz w:val="24"/>
        </w:rPr>
      </w:pPr>
      <w:r>
        <w:rPr>
          <w:rFonts w:hint="eastAsia" w:ascii="宋体" w:hAnsi="宋体"/>
          <w:sz w:val="24"/>
        </w:rPr>
        <w:t>（5）供应商为自然人的，应当由本人签字；供应商为法人或者其他组织的，应当由法定代表人、主要负责人，或者其授权代表签字或者盖章，并加盖公章。否则不予受理。</w:t>
      </w:r>
    </w:p>
    <w:p>
      <w:pPr>
        <w:pStyle w:val="10"/>
        <w:spacing w:line="440" w:lineRule="exact"/>
        <w:ind w:firstLine="480" w:firstLineChars="200"/>
        <w:jc w:val="both"/>
        <w:rPr>
          <w:rFonts w:ascii="宋体" w:hAnsi="宋体"/>
          <w:sz w:val="24"/>
        </w:rPr>
      </w:pPr>
      <w:r>
        <w:rPr>
          <w:rFonts w:hint="eastAsia" w:ascii="宋体" w:hAnsi="宋体"/>
          <w:sz w:val="24"/>
        </w:rPr>
        <w:t>2.采购人或采购</w:t>
      </w:r>
      <w:r>
        <w:rPr>
          <w:rFonts w:hint="eastAsia" w:asciiTheme="minorEastAsia" w:hAnsiTheme="minorEastAsia" w:eastAsiaTheme="minorEastAsia" w:cstheme="minorBidi"/>
          <w:sz w:val="24"/>
        </w:rPr>
        <w:t>组织</w:t>
      </w:r>
      <w:r>
        <w:rPr>
          <w:rFonts w:hint="eastAsia" w:ascii="宋体" w:hAnsi="宋体"/>
          <w:sz w:val="24"/>
        </w:rPr>
        <w:t>机构在收到磋商供应商的书面质疑后7个工作日内作出答复，并以书面形式通知质疑磋商供应商和其他有关磋商供应商，但答复内容不涉及商业秘密。</w:t>
      </w:r>
    </w:p>
    <w:p>
      <w:pPr>
        <w:pStyle w:val="10"/>
        <w:spacing w:line="440" w:lineRule="exact"/>
        <w:ind w:firstLine="480" w:firstLineChars="200"/>
        <w:jc w:val="both"/>
        <w:rPr>
          <w:rFonts w:ascii="宋体" w:hAnsi="宋体"/>
          <w:sz w:val="24"/>
        </w:rPr>
      </w:pPr>
      <w:r>
        <w:rPr>
          <w:rFonts w:hint="eastAsia" w:ascii="宋体" w:hAnsi="宋体"/>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440" w:lineRule="exact"/>
        <w:ind w:firstLine="482" w:firstLineChars="200"/>
        <w:jc w:val="both"/>
        <w:rPr>
          <w:rFonts w:ascii="宋体" w:hAnsi="宋体"/>
          <w:b/>
          <w:bCs/>
          <w:sz w:val="24"/>
        </w:rPr>
      </w:pPr>
      <w:r>
        <w:rPr>
          <w:rFonts w:hint="eastAsia" w:ascii="宋体" w:hAnsi="宋体"/>
          <w:b/>
          <w:bCs/>
          <w:sz w:val="24"/>
        </w:rPr>
        <w:t>（三）投诉</w:t>
      </w:r>
    </w:p>
    <w:p>
      <w:pPr>
        <w:pStyle w:val="10"/>
        <w:spacing w:line="440" w:lineRule="exact"/>
        <w:ind w:firstLine="480" w:firstLineChars="200"/>
        <w:jc w:val="both"/>
        <w:rPr>
          <w:rFonts w:ascii="宋体" w:hAnsi="宋体"/>
          <w:sz w:val="24"/>
        </w:rPr>
      </w:pPr>
      <w:r>
        <w:rPr>
          <w:rFonts w:hint="eastAsia" w:ascii="宋体" w:hAnsi="宋体"/>
          <w:sz w:val="24"/>
        </w:rPr>
        <w:t>磋商供应商对采购人或采购</w:t>
      </w:r>
      <w:r>
        <w:rPr>
          <w:rFonts w:hint="eastAsia" w:asciiTheme="minorEastAsia" w:hAnsiTheme="minorEastAsia" w:eastAsiaTheme="minorEastAsia" w:cstheme="minorBidi"/>
          <w:sz w:val="24"/>
        </w:rPr>
        <w:t>组织</w:t>
      </w:r>
      <w:r>
        <w:rPr>
          <w:rFonts w:hint="eastAsia" w:ascii="宋体" w:hAnsi="宋体"/>
          <w:sz w:val="24"/>
        </w:rPr>
        <w:t>机构的质疑答复不满意或在规定时间内未得到答复的，可以在答复期满后15个工作日内，向同级政府采购监督管理机构投诉。</w:t>
      </w:r>
    </w:p>
    <w:p>
      <w:pPr>
        <w:pStyle w:val="10"/>
        <w:spacing w:line="440" w:lineRule="exact"/>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t>项目需求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本次磋商共</w:t>
      </w:r>
      <w:r>
        <w:rPr>
          <w:rFonts w:hint="eastAsia" w:asciiTheme="minorEastAsia" w:hAnsiTheme="minorEastAsia" w:eastAsiaTheme="minorEastAsia"/>
          <w:sz w:val="24"/>
          <w:u w:val="single"/>
        </w:rPr>
        <w:t xml:space="preserve"> 一 </w:t>
      </w:r>
      <w:r>
        <w:rPr>
          <w:rFonts w:hint="eastAsia" w:asciiTheme="minorEastAsia" w:hAnsiTheme="minorEastAsia" w:eastAsiaTheme="minorEastAsia"/>
          <w:sz w:val="24"/>
        </w:rPr>
        <w:t>个标项，具体内容如下表：</w:t>
      </w:r>
    </w:p>
    <w:tbl>
      <w:tblPr>
        <w:tblStyle w:val="2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75"/>
        <w:gridCol w:w="1940"/>
        <w:gridCol w:w="795"/>
        <w:gridCol w:w="810"/>
        <w:gridCol w:w="111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68"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标段号</w:t>
            </w:r>
          </w:p>
        </w:tc>
        <w:tc>
          <w:tcPr>
            <w:tcW w:w="2175"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项目名称</w:t>
            </w:r>
          </w:p>
        </w:tc>
        <w:tc>
          <w:tcPr>
            <w:tcW w:w="1940"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cs="宋体"/>
                <w:b/>
                <w:kern w:val="0"/>
                <w:sz w:val="24"/>
              </w:rPr>
              <w:t>简要技术要求</w:t>
            </w:r>
          </w:p>
        </w:tc>
        <w:tc>
          <w:tcPr>
            <w:tcW w:w="795"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数量</w:t>
            </w:r>
          </w:p>
        </w:tc>
        <w:tc>
          <w:tcPr>
            <w:tcW w:w="810"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单位</w:t>
            </w:r>
          </w:p>
        </w:tc>
        <w:tc>
          <w:tcPr>
            <w:tcW w:w="1110" w:type="dxa"/>
            <w:vAlign w:val="center"/>
          </w:tcPr>
          <w:p>
            <w:pPr>
              <w:tabs>
                <w:tab w:val="left" w:pos="8280"/>
              </w:tabs>
              <w:autoSpaceDE w:val="0"/>
              <w:autoSpaceDN w:val="0"/>
              <w:adjustRightInd w:val="0"/>
              <w:ind w:right="25"/>
              <w:jc w:val="center"/>
              <w:rPr>
                <w:rFonts w:hint="eastAsia" w:ascii="宋体" w:hAnsi="宋体"/>
                <w:b/>
                <w:color w:val="auto"/>
                <w:sz w:val="24"/>
              </w:rPr>
            </w:pPr>
            <w:r>
              <w:rPr>
                <w:rFonts w:hint="eastAsia" w:ascii="宋体" w:hAnsi="宋体"/>
                <w:b/>
                <w:color w:val="auto"/>
                <w:sz w:val="24"/>
              </w:rPr>
              <w:t>预算</w:t>
            </w:r>
          </w:p>
          <w:p>
            <w:pPr>
              <w:tabs>
                <w:tab w:val="left" w:pos="8280"/>
              </w:tabs>
              <w:autoSpaceDE w:val="0"/>
              <w:autoSpaceDN w:val="0"/>
              <w:adjustRightInd w:val="0"/>
              <w:ind w:right="25"/>
              <w:jc w:val="center"/>
              <w:rPr>
                <w:rFonts w:ascii="宋体" w:hAnsi="宋体"/>
                <w:b/>
                <w:sz w:val="24"/>
              </w:rPr>
            </w:pPr>
            <w:r>
              <w:rPr>
                <w:rFonts w:hint="eastAsia" w:ascii="宋体" w:hAnsi="宋体"/>
                <w:b/>
                <w:color w:val="auto"/>
                <w:sz w:val="24"/>
              </w:rPr>
              <w:t>（万元）</w:t>
            </w:r>
          </w:p>
        </w:tc>
        <w:tc>
          <w:tcPr>
            <w:tcW w:w="1587" w:type="dxa"/>
            <w:vAlign w:val="center"/>
          </w:tcPr>
          <w:p>
            <w:pPr>
              <w:tabs>
                <w:tab w:val="left" w:pos="8280"/>
              </w:tabs>
              <w:autoSpaceDE w:val="0"/>
              <w:autoSpaceDN w:val="0"/>
              <w:adjustRightInd w:val="0"/>
              <w:ind w:right="25"/>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768" w:type="dxa"/>
            <w:vAlign w:val="center"/>
          </w:tcPr>
          <w:p>
            <w:pPr>
              <w:tabs>
                <w:tab w:val="left" w:pos="8280"/>
              </w:tabs>
              <w:autoSpaceDE w:val="0"/>
              <w:autoSpaceDN w:val="0"/>
              <w:adjustRightInd w:val="0"/>
              <w:ind w:right="25"/>
              <w:jc w:val="center"/>
              <w:rPr>
                <w:rFonts w:hint="eastAsia" w:ascii="宋体" w:hAnsi="宋体"/>
                <w:sz w:val="24"/>
              </w:rPr>
            </w:pPr>
            <w:r>
              <w:rPr>
                <w:rFonts w:hint="eastAsia" w:ascii="宋体" w:hAnsi="宋体"/>
                <w:sz w:val="24"/>
              </w:rPr>
              <w:t>一</w:t>
            </w:r>
          </w:p>
        </w:tc>
        <w:tc>
          <w:tcPr>
            <w:tcW w:w="2175" w:type="dxa"/>
            <w:vAlign w:val="center"/>
          </w:tcPr>
          <w:p>
            <w:pPr>
              <w:tabs>
                <w:tab w:val="left" w:pos="8280"/>
              </w:tabs>
              <w:autoSpaceDE w:val="0"/>
              <w:autoSpaceDN w:val="0"/>
              <w:adjustRightInd w:val="0"/>
              <w:ind w:right="25"/>
              <w:jc w:val="center"/>
              <w:rPr>
                <w:rFonts w:hint="eastAsia" w:ascii="宋体" w:hAnsi="宋体"/>
                <w:sz w:val="24"/>
              </w:rPr>
            </w:pPr>
            <w:r>
              <w:rPr>
                <w:rFonts w:hint="eastAsia" w:ascii="宋体" w:hAnsi="宋体"/>
                <w:sz w:val="24"/>
              </w:rPr>
              <w:t>台州科技职业学院数字化营销与运营管理平台项目</w:t>
            </w:r>
          </w:p>
        </w:tc>
        <w:tc>
          <w:tcPr>
            <w:tcW w:w="1940"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详见本章之技术需求</w:t>
            </w:r>
          </w:p>
        </w:tc>
        <w:tc>
          <w:tcPr>
            <w:tcW w:w="795" w:type="dxa"/>
            <w:vAlign w:val="center"/>
          </w:tcPr>
          <w:p>
            <w:pPr>
              <w:tabs>
                <w:tab w:val="left" w:pos="8280"/>
              </w:tabs>
              <w:autoSpaceDE w:val="0"/>
              <w:autoSpaceDN w:val="0"/>
              <w:adjustRightInd w:val="0"/>
              <w:ind w:right="25"/>
              <w:jc w:val="center"/>
              <w:rPr>
                <w:rFonts w:hint="eastAsia" w:ascii="宋体" w:hAnsi="宋体"/>
                <w:sz w:val="24"/>
              </w:rPr>
            </w:pPr>
            <w:r>
              <w:rPr>
                <w:rFonts w:hint="eastAsia" w:ascii="宋体" w:hAnsi="宋体"/>
                <w:sz w:val="24"/>
              </w:rPr>
              <w:t>1</w:t>
            </w:r>
          </w:p>
        </w:tc>
        <w:tc>
          <w:tcPr>
            <w:tcW w:w="810" w:type="dxa"/>
            <w:vAlign w:val="center"/>
          </w:tcPr>
          <w:p>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sz w:val="24"/>
                <w:lang w:eastAsia="zh-CN"/>
              </w:rPr>
              <w:t>套</w:t>
            </w:r>
          </w:p>
        </w:tc>
        <w:tc>
          <w:tcPr>
            <w:tcW w:w="1110" w:type="dxa"/>
            <w:vAlign w:val="center"/>
          </w:tcPr>
          <w:p>
            <w:pPr>
              <w:tabs>
                <w:tab w:val="left" w:pos="8280"/>
              </w:tabs>
              <w:autoSpaceDE w:val="0"/>
              <w:autoSpaceDN w:val="0"/>
              <w:adjustRightInd w:val="0"/>
              <w:ind w:right="25"/>
              <w:jc w:val="center"/>
              <w:rPr>
                <w:rFonts w:hint="eastAsia" w:ascii="宋体" w:hAnsi="宋体" w:eastAsia="宋体"/>
                <w:sz w:val="24"/>
                <w:highlight w:val="none"/>
                <w:lang w:val="en-US" w:eastAsia="zh-CN"/>
              </w:rPr>
            </w:pPr>
            <w:r>
              <w:rPr>
                <w:rFonts w:hint="eastAsia" w:ascii="宋体" w:hAnsi="宋体" w:eastAsia="宋体"/>
                <w:sz w:val="24"/>
                <w:highlight w:val="none"/>
                <w:lang w:val="en-US" w:eastAsia="zh-CN"/>
              </w:rPr>
              <w:t>49.80</w:t>
            </w:r>
          </w:p>
        </w:tc>
        <w:tc>
          <w:tcPr>
            <w:tcW w:w="1587" w:type="dxa"/>
            <w:vAlign w:val="center"/>
          </w:tcPr>
          <w:p>
            <w:pPr>
              <w:tabs>
                <w:tab w:val="left" w:pos="8280"/>
              </w:tabs>
              <w:autoSpaceDE w:val="0"/>
              <w:autoSpaceDN w:val="0"/>
              <w:adjustRightInd w:val="0"/>
              <w:ind w:right="25"/>
              <w:jc w:val="center"/>
              <w:rPr>
                <w:rFonts w:hint="eastAsia" w:ascii="宋体" w:hAnsi="宋体"/>
                <w:sz w:val="24"/>
                <w:highlight w:val="none"/>
              </w:rPr>
            </w:pPr>
            <w:r>
              <w:rPr>
                <w:rFonts w:hint="eastAsia" w:ascii="宋体" w:hAnsi="宋体"/>
                <w:sz w:val="24"/>
                <w:highlight w:val="none"/>
              </w:rPr>
              <w:t>签订合同后</w:t>
            </w:r>
            <w:r>
              <w:rPr>
                <w:rFonts w:hint="eastAsia" w:ascii="宋体" w:hAnsi="宋体"/>
                <w:sz w:val="24"/>
                <w:highlight w:val="none"/>
                <w:lang w:val="en-US" w:eastAsia="zh-CN"/>
              </w:rPr>
              <w:t>30天</w:t>
            </w:r>
            <w:r>
              <w:rPr>
                <w:rFonts w:hint="eastAsia" w:ascii="宋体" w:hAnsi="宋体"/>
                <w:sz w:val="24"/>
                <w:highlight w:val="none"/>
              </w:rPr>
              <w:t>内</w:t>
            </w:r>
          </w:p>
        </w:tc>
      </w:tr>
    </w:tbl>
    <w:p>
      <w:pPr>
        <w:numPr>
          <w:ilvl w:val="0"/>
          <w:numId w:val="8"/>
        </w:num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技术需求</w:t>
      </w:r>
    </w:p>
    <w:tbl>
      <w:tblPr>
        <w:tblStyle w:val="24"/>
        <w:tblW w:w="10121" w:type="dxa"/>
        <w:jc w:val="center"/>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86"/>
        <w:gridCol w:w="6776"/>
        <w:gridCol w:w="7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1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108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名  称</w:t>
            </w:r>
          </w:p>
        </w:tc>
        <w:tc>
          <w:tcPr>
            <w:tcW w:w="677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技术参数</w:t>
            </w:r>
          </w:p>
        </w:tc>
        <w:tc>
          <w:tcPr>
            <w:tcW w:w="78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76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08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数字化运营管理平台</w:t>
            </w:r>
          </w:p>
        </w:tc>
        <w:tc>
          <w:tcPr>
            <w:tcW w:w="6776" w:type="dxa"/>
            <w:vAlign w:val="center"/>
          </w:tcPr>
          <w:p>
            <w:pPr>
              <w:jc w:val="left"/>
              <w:rPr>
                <w:rFonts w:hint="eastAsia" w:ascii="宋体" w:hAnsi="宋体" w:eastAsia="宋体" w:cs="宋体"/>
                <w:sz w:val="24"/>
                <w:szCs w:val="24"/>
              </w:rPr>
            </w:pPr>
            <w:r>
              <w:rPr>
                <w:rFonts w:hint="eastAsia" w:ascii="宋体" w:hAnsi="宋体" w:eastAsia="宋体" w:cs="宋体"/>
                <w:b/>
                <w:bCs/>
                <w:sz w:val="24"/>
                <w:szCs w:val="24"/>
              </w:rPr>
              <w:t>一、用户数据平台：</w:t>
            </w:r>
            <w:r>
              <w:rPr>
                <w:rFonts w:hint="eastAsia" w:ascii="宋体" w:hAnsi="宋体" w:eastAsia="宋体" w:cs="宋体"/>
                <w:sz w:val="24"/>
                <w:szCs w:val="24"/>
              </w:rPr>
              <w:t>销售线索管理，实现连接用户数据收集、线索基本信息管理、线索标签画像管理。</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1.支持个人线索、企业线索、员工线索的管理；</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sz w:val="24"/>
                <w:szCs w:val="24"/>
              </w:rPr>
              <w:t>2.支持用户成长足迹（购买、浏览、分享等行为）查看；</w:t>
            </w:r>
          </w:p>
          <w:p>
            <w:pPr>
              <w:jc w:val="left"/>
              <w:rPr>
                <w:rFonts w:hint="eastAsia" w:ascii="宋体" w:hAnsi="宋体" w:eastAsia="宋体" w:cs="宋体"/>
                <w:sz w:val="24"/>
                <w:szCs w:val="24"/>
              </w:rPr>
            </w:pPr>
            <w:r>
              <w:rPr>
                <w:rFonts w:hint="eastAsia" w:ascii="宋体" w:hAnsi="宋体" w:eastAsia="宋体" w:cs="宋体"/>
                <w:sz w:val="24"/>
                <w:szCs w:val="24"/>
              </w:rPr>
              <w:t>3.支持用户数据手工导入；</w:t>
            </w:r>
          </w:p>
          <w:p>
            <w:pPr>
              <w:jc w:val="left"/>
              <w:rPr>
                <w:rFonts w:hint="eastAsia" w:ascii="宋体" w:hAnsi="宋体" w:eastAsia="宋体" w:cs="宋体"/>
                <w:sz w:val="24"/>
                <w:szCs w:val="24"/>
              </w:rPr>
            </w:pPr>
            <w:r>
              <w:rPr>
                <w:rFonts w:hint="eastAsia" w:ascii="宋体" w:hAnsi="宋体" w:eastAsia="宋体" w:cs="宋体"/>
                <w:sz w:val="24"/>
                <w:szCs w:val="24"/>
              </w:rPr>
              <w:t>4.支持通过标签、姓名、联系方式模糊关键字搜索；</w:t>
            </w:r>
          </w:p>
          <w:p>
            <w:pPr>
              <w:jc w:val="left"/>
              <w:rPr>
                <w:rFonts w:hint="eastAsia" w:ascii="宋体" w:hAnsi="宋体" w:eastAsia="宋体" w:cs="宋体"/>
                <w:sz w:val="24"/>
                <w:szCs w:val="24"/>
              </w:rPr>
            </w:pPr>
            <w:r>
              <w:rPr>
                <w:rFonts w:hint="eastAsia" w:ascii="宋体" w:hAnsi="宋体" w:eastAsia="宋体" w:cs="宋体"/>
                <w:sz w:val="24"/>
                <w:szCs w:val="24"/>
              </w:rPr>
              <w:t>5.支持所有销售线索全国分布统计展示；</w:t>
            </w:r>
          </w:p>
          <w:p>
            <w:pPr>
              <w:jc w:val="left"/>
              <w:rPr>
                <w:rFonts w:hint="eastAsia" w:ascii="宋体" w:hAnsi="宋体" w:eastAsia="宋体" w:cs="宋体"/>
                <w:sz w:val="24"/>
                <w:szCs w:val="24"/>
              </w:rPr>
            </w:pPr>
            <w:r>
              <w:rPr>
                <w:rFonts w:hint="eastAsia" w:ascii="宋体" w:hAnsi="宋体" w:eastAsia="宋体" w:cs="宋体"/>
                <w:sz w:val="24"/>
                <w:szCs w:val="24"/>
              </w:rPr>
              <w:t>6.支持不同渠道线索合并。</w:t>
            </w:r>
          </w:p>
          <w:p>
            <w:pPr>
              <w:jc w:val="left"/>
              <w:rPr>
                <w:rFonts w:hint="eastAsia" w:ascii="宋体" w:hAnsi="宋体" w:eastAsia="宋体" w:cs="宋体"/>
                <w:sz w:val="24"/>
                <w:szCs w:val="24"/>
              </w:rPr>
            </w:pPr>
            <w:r>
              <w:rPr>
                <w:rFonts w:hint="eastAsia" w:ascii="宋体" w:hAnsi="宋体" w:eastAsia="宋体" w:cs="宋体"/>
                <w:b/>
                <w:bCs/>
                <w:sz w:val="24"/>
                <w:szCs w:val="24"/>
              </w:rPr>
              <w:t>二、用户画像分析管理：</w:t>
            </w:r>
            <w:r>
              <w:rPr>
                <w:rFonts w:hint="eastAsia" w:ascii="宋体" w:hAnsi="宋体" w:eastAsia="宋体" w:cs="宋体"/>
                <w:sz w:val="24"/>
                <w:szCs w:val="24"/>
              </w:rPr>
              <w:t>实现标签创建，并通过标签组合建立评价因子、组建用户分群，进行细分市场分析及评价。</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1.用户画像管理：可实现对事实标签、模型标签、网页浏览标签、行政区域标签、地理位置标签管理。</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sz w:val="24"/>
                <w:szCs w:val="24"/>
              </w:rPr>
              <w:t>2.用户分组管理：根据标签的不同组合，进行用户分组管理。</w:t>
            </w:r>
          </w:p>
          <w:p>
            <w:pPr>
              <w:jc w:val="left"/>
              <w:rPr>
                <w:rFonts w:hint="eastAsia" w:ascii="宋体" w:hAnsi="宋体" w:eastAsia="宋体" w:cs="宋体"/>
                <w:sz w:val="24"/>
                <w:szCs w:val="24"/>
              </w:rPr>
            </w:pPr>
            <w:r>
              <w:rPr>
                <w:rFonts w:hint="eastAsia" w:ascii="宋体" w:hAnsi="宋体" w:eastAsia="宋体" w:cs="宋体"/>
                <w:sz w:val="24"/>
                <w:szCs w:val="24"/>
              </w:rPr>
              <w:t>1)支持不同的用户分组情况统计</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2)支持用户分组线索评价分析。</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3.评价体系管理：通过量化的模型和标准将用户区分不同价值维度，从而实行差异化激励和运营策略。</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sz w:val="24"/>
                <w:szCs w:val="24"/>
              </w:rPr>
              <w:t>1)支持对影响用户价值的评分要素的创建和管理；</w:t>
            </w:r>
          </w:p>
          <w:p>
            <w:pPr>
              <w:jc w:val="left"/>
              <w:rPr>
                <w:rFonts w:hint="eastAsia" w:ascii="宋体" w:hAnsi="宋体" w:eastAsia="宋体" w:cs="宋体"/>
                <w:sz w:val="24"/>
                <w:szCs w:val="24"/>
              </w:rPr>
            </w:pPr>
            <w:r>
              <w:rPr>
                <w:rFonts w:hint="eastAsia" w:ascii="宋体" w:hAnsi="宋体" w:eastAsia="宋体" w:cs="宋体"/>
                <w:sz w:val="24"/>
                <w:szCs w:val="24"/>
              </w:rPr>
              <w:t>2)支持对评价体系各评分要素的分值管理；</w:t>
            </w:r>
          </w:p>
          <w:p>
            <w:pPr>
              <w:jc w:val="left"/>
              <w:rPr>
                <w:rFonts w:hint="eastAsia" w:ascii="宋体" w:hAnsi="宋体" w:eastAsia="宋体" w:cs="宋体"/>
                <w:sz w:val="24"/>
                <w:szCs w:val="24"/>
              </w:rPr>
            </w:pPr>
            <w:r>
              <w:rPr>
                <w:rFonts w:hint="eastAsia" w:ascii="宋体" w:hAnsi="宋体" w:eastAsia="宋体" w:cs="宋体"/>
                <w:sz w:val="24"/>
                <w:szCs w:val="24"/>
              </w:rPr>
              <w:t>3)用户价值评分支持按分数或百分比值调控管理；</w:t>
            </w:r>
          </w:p>
          <w:p>
            <w:pPr>
              <w:jc w:val="left"/>
              <w:rPr>
                <w:rFonts w:hint="eastAsia" w:ascii="宋体" w:hAnsi="宋体" w:eastAsia="宋体" w:cs="宋体"/>
                <w:sz w:val="24"/>
                <w:szCs w:val="24"/>
              </w:rPr>
            </w:pPr>
            <w:r>
              <w:rPr>
                <w:rFonts w:hint="eastAsia" w:ascii="宋体" w:hAnsi="宋体" w:eastAsia="宋体" w:cs="宋体"/>
                <w:sz w:val="24"/>
                <w:szCs w:val="24"/>
              </w:rPr>
              <w:t>4)支持按类型、标签、地域的维度进行管理。</w:t>
            </w:r>
          </w:p>
          <w:p>
            <w:pPr>
              <w:jc w:val="left"/>
              <w:rPr>
                <w:rFonts w:hint="eastAsia" w:ascii="宋体" w:hAnsi="宋体" w:eastAsia="宋体" w:cs="宋体"/>
                <w:sz w:val="24"/>
                <w:szCs w:val="24"/>
              </w:rPr>
            </w:pPr>
            <w:r>
              <w:rPr>
                <w:rFonts w:hint="eastAsia" w:ascii="宋体" w:hAnsi="宋体" w:eastAsia="宋体" w:cs="宋体"/>
                <w:sz w:val="24"/>
                <w:szCs w:val="24"/>
              </w:rPr>
              <w:t>4.用户行为触点管理：实现营销自动化的过程中对客户的接触行为而引发的触发规则的管理；通过对标签可实现对行为规则的设置和管理。</w:t>
            </w:r>
          </w:p>
          <w:p>
            <w:pPr>
              <w:jc w:val="left"/>
              <w:rPr>
                <w:rFonts w:hint="eastAsia" w:ascii="宋体" w:hAnsi="宋体" w:eastAsia="宋体" w:cs="宋体"/>
                <w:sz w:val="24"/>
                <w:szCs w:val="24"/>
              </w:rPr>
            </w:pPr>
            <w:r>
              <w:rPr>
                <w:rFonts w:hint="eastAsia" w:ascii="宋体" w:hAnsi="宋体" w:eastAsia="宋体" w:cs="宋体"/>
                <w:b/>
                <w:bCs/>
                <w:sz w:val="24"/>
                <w:szCs w:val="24"/>
              </w:rPr>
              <w:t>三、营销自动化：</w:t>
            </w:r>
            <w:r>
              <w:rPr>
                <w:rFonts w:hint="eastAsia" w:ascii="宋体" w:hAnsi="宋体" w:eastAsia="宋体" w:cs="宋体"/>
                <w:sz w:val="24"/>
                <w:szCs w:val="24"/>
              </w:rPr>
              <w:t>实现基于用户数据画像分析，用于执行、管理和自动完成营销任务和流程的功能。</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1.支持开展营销活动，在合适的时间、面向合适的人群，通过合适的方式推送合适的内容</w:t>
            </w:r>
            <w:r>
              <w:rPr>
                <w:rFonts w:hint="eastAsia" w:ascii="宋体" w:hAnsi="宋体" w:eastAsia="宋体" w:cs="宋体"/>
                <w:sz w:val="24"/>
                <w:szCs w:val="24"/>
                <w:lang w:eastAsia="zh-CN"/>
              </w:rPr>
              <w:t>（提供软件功能截图证明）</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rPr>
              <w:t>2.支持多分支营销规则设置；</w:t>
            </w:r>
          </w:p>
          <w:p>
            <w:pPr>
              <w:jc w:val="left"/>
              <w:rPr>
                <w:rFonts w:hint="eastAsia" w:ascii="宋体" w:hAnsi="宋体" w:eastAsia="宋体" w:cs="宋体"/>
                <w:sz w:val="24"/>
                <w:szCs w:val="24"/>
              </w:rPr>
            </w:pPr>
            <w:r>
              <w:rPr>
                <w:rFonts w:hint="eastAsia" w:ascii="宋体" w:hAnsi="宋体" w:eastAsia="宋体" w:cs="宋体"/>
                <w:sz w:val="24"/>
                <w:szCs w:val="24"/>
              </w:rPr>
              <w:t>3.支持营销自动化规则的复制；</w:t>
            </w:r>
          </w:p>
          <w:p>
            <w:pPr>
              <w:jc w:val="left"/>
              <w:rPr>
                <w:rFonts w:hint="eastAsia" w:ascii="宋体" w:hAnsi="宋体" w:eastAsia="宋体" w:cs="宋体"/>
                <w:sz w:val="24"/>
                <w:szCs w:val="24"/>
              </w:rPr>
            </w:pPr>
            <w:r>
              <w:rPr>
                <w:rFonts w:hint="eastAsia" w:ascii="宋体" w:hAnsi="宋体" w:eastAsia="宋体" w:cs="宋体"/>
                <w:sz w:val="24"/>
                <w:szCs w:val="24"/>
              </w:rPr>
              <w:t>4.支持根据规则设置通过自动化方式开展营销；</w:t>
            </w:r>
          </w:p>
          <w:p>
            <w:pPr>
              <w:jc w:val="left"/>
              <w:rPr>
                <w:rFonts w:hint="eastAsia" w:ascii="宋体" w:hAnsi="宋体" w:eastAsia="宋体" w:cs="宋体"/>
                <w:sz w:val="24"/>
                <w:szCs w:val="24"/>
              </w:rPr>
            </w:pPr>
            <w:r>
              <w:rPr>
                <w:rFonts w:hint="eastAsia" w:ascii="宋体" w:hAnsi="宋体" w:eastAsia="宋体" w:cs="宋体"/>
                <w:sz w:val="24"/>
                <w:szCs w:val="24"/>
              </w:rPr>
              <w:t>5.支持营销活动过程的监控和管理；</w:t>
            </w:r>
          </w:p>
          <w:p>
            <w:pPr>
              <w:jc w:val="left"/>
              <w:rPr>
                <w:rFonts w:hint="eastAsia" w:ascii="宋体" w:hAnsi="宋体" w:eastAsia="宋体" w:cs="宋体"/>
                <w:sz w:val="24"/>
                <w:szCs w:val="24"/>
              </w:rPr>
            </w:pPr>
            <w:r>
              <w:rPr>
                <w:rFonts w:hint="eastAsia" w:ascii="宋体" w:hAnsi="宋体" w:eastAsia="宋体" w:cs="宋体"/>
                <w:sz w:val="24"/>
                <w:szCs w:val="24"/>
              </w:rPr>
              <w:t>6.支持对新增销售线索、分享对比的分析结果展示及活动效果评估。</w:t>
            </w:r>
          </w:p>
          <w:p>
            <w:pPr>
              <w:jc w:val="left"/>
              <w:rPr>
                <w:rFonts w:hint="eastAsia" w:ascii="宋体" w:hAnsi="宋体" w:eastAsia="宋体" w:cs="宋体"/>
                <w:sz w:val="24"/>
                <w:szCs w:val="24"/>
              </w:rPr>
            </w:pPr>
            <w:r>
              <w:rPr>
                <w:rFonts w:hint="eastAsia" w:ascii="宋体" w:hAnsi="宋体" w:eastAsia="宋体" w:cs="宋体"/>
                <w:b/>
                <w:bCs/>
                <w:sz w:val="24"/>
                <w:szCs w:val="24"/>
              </w:rPr>
              <w:t>四、精准营销：</w:t>
            </w:r>
            <w:r>
              <w:rPr>
                <w:rFonts w:hint="eastAsia" w:ascii="宋体" w:hAnsi="宋体" w:eastAsia="宋体" w:cs="宋体"/>
                <w:sz w:val="24"/>
                <w:szCs w:val="24"/>
              </w:rPr>
              <w:t>实现针对精准定位的特定人群发送合适的营销内容，实现精准营销。</w:t>
            </w:r>
          </w:p>
          <w:p>
            <w:pPr>
              <w:jc w:val="left"/>
              <w:rPr>
                <w:rFonts w:hint="eastAsia" w:ascii="宋体" w:hAnsi="宋体" w:eastAsia="宋体" w:cs="宋体"/>
                <w:sz w:val="24"/>
                <w:szCs w:val="24"/>
              </w:rPr>
            </w:pPr>
            <w:r>
              <w:rPr>
                <w:rFonts w:hint="eastAsia" w:ascii="宋体" w:hAnsi="宋体" w:eastAsia="宋体" w:cs="宋体"/>
                <w:sz w:val="24"/>
                <w:szCs w:val="24"/>
              </w:rPr>
              <w:t>1.支持开展营销活动，通过在指定的时间内、将内容产品精准推送到目标群体；</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2.支持多分支精准营销规则设置；</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sz w:val="24"/>
                <w:szCs w:val="24"/>
              </w:rPr>
              <w:t>3.支持精准营销规则的复制；</w:t>
            </w:r>
          </w:p>
          <w:p>
            <w:pPr>
              <w:jc w:val="left"/>
              <w:rPr>
                <w:rFonts w:hint="eastAsia" w:ascii="宋体" w:hAnsi="宋体" w:eastAsia="宋体" w:cs="宋体"/>
                <w:sz w:val="24"/>
                <w:szCs w:val="24"/>
              </w:rPr>
            </w:pPr>
            <w:r>
              <w:rPr>
                <w:rFonts w:hint="eastAsia" w:ascii="宋体" w:hAnsi="宋体" w:eastAsia="宋体" w:cs="宋体"/>
                <w:sz w:val="24"/>
                <w:szCs w:val="24"/>
              </w:rPr>
              <w:t>4.支持根据定时任务设置自动化方式开展营销；</w:t>
            </w:r>
          </w:p>
          <w:p>
            <w:pPr>
              <w:jc w:val="left"/>
              <w:rPr>
                <w:rFonts w:hint="eastAsia" w:ascii="宋体" w:hAnsi="宋体" w:eastAsia="宋体" w:cs="宋体"/>
                <w:sz w:val="24"/>
                <w:szCs w:val="24"/>
              </w:rPr>
            </w:pPr>
            <w:r>
              <w:rPr>
                <w:rFonts w:hint="eastAsia" w:ascii="宋体" w:hAnsi="宋体" w:eastAsia="宋体" w:cs="宋体"/>
                <w:sz w:val="24"/>
                <w:szCs w:val="24"/>
              </w:rPr>
              <w:t>5.支持营销活动过程的监控和管理；</w:t>
            </w:r>
          </w:p>
          <w:p>
            <w:pPr>
              <w:jc w:val="left"/>
              <w:rPr>
                <w:rFonts w:hint="eastAsia" w:ascii="宋体" w:hAnsi="宋体" w:eastAsia="宋体" w:cs="宋体"/>
                <w:sz w:val="24"/>
                <w:szCs w:val="24"/>
              </w:rPr>
            </w:pPr>
            <w:r>
              <w:rPr>
                <w:rFonts w:hint="eastAsia" w:ascii="宋体" w:hAnsi="宋体" w:eastAsia="宋体" w:cs="宋体"/>
                <w:sz w:val="24"/>
                <w:szCs w:val="24"/>
              </w:rPr>
              <w:t>6.支持对新增销售线索、分享对比的分析结果展示及活动效果评估。</w:t>
            </w:r>
          </w:p>
          <w:p>
            <w:pPr>
              <w:jc w:val="left"/>
              <w:rPr>
                <w:rFonts w:hint="eastAsia" w:ascii="宋体" w:hAnsi="宋体" w:eastAsia="宋体" w:cs="宋体"/>
                <w:sz w:val="24"/>
                <w:szCs w:val="24"/>
              </w:rPr>
            </w:pPr>
            <w:r>
              <w:rPr>
                <w:rFonts w:hint="eastAsia" w:ascii="宋体" w:hAnsi="宋体" w:eastAsia="宋体" w:cs="宋体"/>
                <w:b/>
                <w:bCs/>
                <w:sz w:val="24"/>
                <w:szCs w:val="24"/>
              </w:rPr>
              <w:t>五、内容营销互动管理：</w:t>
            </w:r>
            <w:r>
              <w:rPr>
                <w:rFonts w:hint="eastAsia" w:ascii="宋体" w:hAnsi="宋体" w:eastAsia="宋体" w:cs="宋体"/>
                <w:sz w:val="24"/>
                <w:szCs w:val="24"/>
              </w:rPr>
              <w:t>提供针对营销推广所涉及的落地页、问卷调研、推送模板的创作、创建及管理，根据推广渠道独立设置分享渠道。</w:t>
            </w:r>
          </w:p>
          <w:p>
            <w:pPr>
              <w:jc w:val="left"/>
              <w:rPr>
                <w:rFonts w:hint="eastAsia" w:ascii="宋体" w:hAnsi="宋体" w:eastAsia="宋体" w:cs="宋体"/>
                <w:sz w:val="24"/>
                <w:szCs w:val="24"/>
              </w:rPr>
            </w:pPr>
            <w:r>
              <w:rPr>
                <w:rFonts w:hint="eastAsia" w:ascii="宋体" w:hAnsi="宋体" w:eastAsia="宋体" w:cs="宋体"/>
                <w:sz w:val="24"/>
                <w:szCs w:val="24"/>
              </w:rPr>
              <w:t>1.支持手机、邮件界面分享落地页的图文创作及编辑；</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2.支持关联外部网页地址链接制作落地页；</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sz w:val="24"/>
                <w:szCs w:val="24"/>
              </w:rPr>
              <w:t>3.支持多个不同投放渠道的关联设置；</w:t>
            </w:r>
          </w:p>
          <w:p>
            <w:pPr>
              <w:jc w:val="left"/>
              <w:rPr>
                <w:rFonts w:hint="eastAsia" w:ascii="宋体" w:hAnsi="宋体" w:eastAsia="宋体" w:cs="宋体"/>
                <w:sz w:val="24"/>
                <w:szCs w:val="24"/>
              </w:rPr>
            </w:pPr>
            <w:r>
              <w:rPr>
                <w:rFonts w:hint="eastAsia" w:ascii="宋体" w:hAnsi="宋体" w:eastAsia="宋体" w:cs="宋体"/>
                <w:sz w:val="24"/>
                <w:szCs w:val="24"/>
              </w:rPr>
              <w:t>4.支持落地页及投放渠道访问统计分析；</w:t>
            </w:r>
          </w:p>
          <w:p>
            <w:pPr>
              <w:jc w:val="left"/>
              <w:rPr>
                <w:rFonts w:hint="eastAsia" w:ascii="宋体" w:hAnsi="宋体" w:eastAsia="宋体" w:cs="宋体"/>
                <w:sz w:val="24"/>
                <w:szCs w:val="24"/>
              </w:rPr>
            </w:pPr>
            <w:r>
              <w:rPr>
                <w:rFonts w:hint="eastAsia" w:ascii="宋体" w:hAnsi="宋体" w:eastAsia="宋体" w:cs="宋体"/>
                <w:sz w:val="24"/>
                <w:szCs w:val="24"/>
              </w:rPr>
              <w:t>5.支持开展问卷调研，自定义问卷标题及调研问答；</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6.支持包括微信模板消息、微信图文消息、微信文本消息、微信图片消息、短信、电子邮件的推送模板内容编辑及管理。</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b/>
                <w:bCs/>
                <w:sz w:val="24"/>
                <w:szCs w:val="24"/>
              </w:rPr>
              <w:t>六、商品管理：</w:t>
            </w:r>
            <w:r>
              <w:rPr>
                <w:rFonts w:hint="eastAsia" w:ascii="宋体" w:hAnsi="宋体" w:eastAsia="宋体" w:cs="宋体"/>
                <w:sz w:val="24"/>
                <w:szCs w:val="24"/>
              </w:rPr>
              <w:t>提供与落地页营销关联的产品详情页设置及商品定价购买功能。</w:t>
            </w:r>
          </w:p>
          <w:p>
            <w:pPr>
              <w:jc w:val="left"/>
              <w:rPr>
                <w:rFonts w:hint="eastAsia" w:ascii="宋体" w:hAnsi="宋体" w:eastAsia="宋体" w:cs="宋体"/>
                <w:sz w:val="24"/>
                <w:szCs w:val="24"/>
              </w:rPr>
            </w:pPr>
            <w:r>
              <w:rPr>
                <w:rFonts w:hint="eastAsia" w:ascii="宋体" w:hAnsi="宋体" w:eastAsia="宋体" w:cs="宋体"/>
                <w:sz w:val="24"/>
                <w:szCs w:val="24"/>
              </w:rPr>
              <w:t>1.电子卡券管理：提供线上虚拟电子卡券，商品可实现线上预订、线下兑换场景。</w:t>
            </w:r>
          </w:p>
          <w:p>
            <w:pPr>
              <w:jc w:val="left"/>
              <w:rPr>
                <w:rFonts w:hint="eastAsia" w:ascii="宋体" w:hAnsi="宋体" w:eastAsia="宋体" w:cs="宋体"/>
                <w:sz w:val="24"/>
                <w:szCs w:val="24"/>
              </w:rPr>
            </w:pPr>
            <w:r>
              <w:rPr>
                <w:rFonts w:hint="eastAsia" w:ascii="宋体" w:hAnsi="宋体" w:eastAsia="宋体" w:cs="宋体"/>
                <w:sz w:val="24"/>
                <w:szCs w:val="24"/>
              </w:rPr>
              <w:t>1)支持消费券、代金券、折扣券三种卡券类型；</w:t>
            </w:r>
          </w:p>
          <w:p>
            <w:pPr>
              <w:jc w:val="left"/>
              <w:rPr>
                <w:rFonts w:hint="eastAsia" w:ascii="宋体" w:hAnsi="宋体" w:eastAsia="宋体" w:cs="宋体"/>
                <w:sz w:val="24"/>
                <w:szCs w:val="24"/>
              </w:rPr>
            </w:pPr>
            <w:r>
              <w:rPr>
                <w:rFonts w:hint="eastAsia" w:ascii="宋体" w:hAnsi="宋体" w:eastAsia="宋体" w:cs="宋体"/>
                <w:sz w:val="24"/>
                <w:szCs w:val="24"/>
              </w:rPr>
              <w:t>2)支持电子卡券使用限制、是否允许转赠他人设置；</w:t>
            </w:r>
          </w:p>
          <w:p>
            <w:pPr>
              <w:jc w:val="left"/>
              <w:rPr>
                <w:rFonts w:hint="eastAsia" w:ascii="宋体" w:hAnsi="宋体" w:eastAsia="宋体" w:cs="宋体"/>
                <w:sz w:val="24"/>
                <w:szCs w:val="24"/>
              </w:rPr>
            </w:pPr>
            <w:r>
              <w:rPr>
                <w:rFonts w:hint="eastAsia" w:ascii="宋体" w:hAnsi="宋体" w:eastAsia="宋体" w:cs="宋体"/>
                <w:sz w:val="24"/>
                <w:szCs w:val="24"/>
              </w:rPr>
              <w:t>3)支持电子卡券核销设备绑定设置；</w:t>
            </w:r>
          </w:p>
          <w:p>
            <w:pPr>
              <w:jc w:val="left"/>
              <w:rPr>
                <w:rFonts w:hint="eastAsia" w:ascii="宋体" w:hAnsi="宋体" w:eastAsia="宋体" w:cs="宋体"/>
                <w:sz w:val="24"/>
                <w:szCs w:val="24"/>
              </w:rPr>
            </w:pPr>
            <w:r>
              <w:rPr>
                <w:rFonts w:hint="eastAsia" w:ascii="宋体" w:hAnsi="宋体" w:eastAsia="宋体" w:cs="宋体"/>
                <w:sz w:val="24"/>
                <w:szCs w:val="24"/>
              </w:rPr>
              <w:t>4)支持线上预订核销与线下扫码核销场景；</w:t>
            </w:r>
          </w:p>
          <w:p>
            <w:pPr>
              <w:jc w:val="left"/>
              <w:rPr>
                <w:rFonts w:hint="eastAsia" w:ascii="宋体" w:hAnsi="宋体" w:eastAsia="宋体" w:cs="宋体"/>
                <w:sz w:val="24"/>
                <w:szCs w:val="24"/>
              </w:rPr>
            </w:pPr>
            <w:r>
              <w:rPr>
                <w:rFonts w:hint="eastAsia" w:ascii="宋体" w:hAnsi="宋体" w:eastAsia="宋体" w:cs="宋体"/>
                <w:sz w:val="24"/>
                <w:szCs w:val="24"/>
              </w:rPr>
              <w:t>5)支持针对个人卡券手工调整管理；</w:t>
            </w:r>
          </w:p>
          <w:p>
            <w:pPr>
              <w:jc w:val="left"/>
              <w:rPr>
                <w:rFonts w:hint="eastAsia" w:ascii="宋体" w:hAnsi="宋体" w:eastAsia="宋体" w:cs="宋体"/>
                <w:sz w:val="24"/>
                <w:szCs w:val="24"/>
              </w:rPr>
            </w:pPr>
            <w:r>
              <w:rPr>
                <w:rFonts w:hint="eastAsia" w:ascii="宋体" w:hAnsi="宋体" w:eastAsia="宋体" w:cs="宋体"/>
                <w:sz w:val="24"/>
                <w:szCs w:val="24"/>
              </w:rPr>
              <w:t>6)支持对出售的电子卡券管理。</w:t>
            </w:r>
          </w:p>
          <w:p>
            <w:pPr>
              <w:jc w:val="left"/>
              <w:rPr>
                <w:rFonts w:hint="eastAsia" w:ascii="宋体" w:hAnsi="宋体" w:eastAsia="宋体" w:cs="宋体"/>
                <w:sz w:val="24"/>
                <w:szCs w:val="24"/>
              </w:rPr>
            </w:pPr>
            <w:r>
              <w:rPr>
                <w:rFonts w:hint="eastAsia" w:ascii="宋体" w:hAnsi="宋体" w:eastAsia="宋体" w:cs="宋体"/>
                <w:sz w:val="24"/>
                <w:szCs w:val="24"/>
              </w:rPr>
              <w:t>2.商品管理：提供在线商品销售及商品管理服务。包括商品的添加、定价、删除、查询、订单管理操作。</w:t>
            </w:r>
          </w:p>
          <w:p>
            <w:pPr>
              <w:jc w:val="left"/>
              <w:rPr>
                <w:rFonts w:hint="eastAsia" w:ascii="宋体" w:hAnsi="宋体" w:eastAsia="宋体" w:cs="宋体"/>
                <w:sz w:val="24"/>
                <w:szCs w:val="24"/>
              </w:rPr>
            </w:pPr>
            <w:r>
              <w:rPr>
                <w:rFonts w:hint="eastAsia" w:ascii="宋体" w:hAnsi="宋体" w:eastAsia="宋体" w:cs="宋体"/>
                <w:sz w:val="24"/>
                <w:szCs w:val="24"/>
              </w:rPr>
              <w:t>1)支持商品、商品型号管理；</w:t>
            </w:r>
          </w:p>
          <w:p>
            <w:pPr>
              <w:jc w:val="left"/>
              <w:rPr>
                <w:rFonts w:hint="eastAsia" w:ascii="宋体" w:hAnsi="宋体" w:eastAsia="宋体" w:cs="宋体"/>
                <w:sz w:val="24"/>
                <w:szCs w:val="24"/>
              </w:rPr>
            </w:pPr>
            <w:r>
              <w:rPr>
                <w:rFonts w:hint="eastAsia" w:ascii="宋体" w:hAnsi="宋体" w:eastAsia="宋体" w:cs="宋体"/>
                <w:sz w:val="24"/>
                <w:szCs w:val="24"/>
              </w:rPr>
              <w:t>2)支持自定义商品宣传内容撰写及图片上传；</w:t>
            </w:r>
          </w:p>
          <w:p>
            <w:pPr>
              <w:jc w:val="left"/>
              <w:rPr>
                <w:rFonts w:hint="eastAsia" w:ascii="宋体" w:hAnsi="宋体" w:eastAsia="宋体" w:cs="宋体"/>
                <w:sz w:val="24"/>
                <w:szCs w:val="24"/>
              </w:rPr>
            </w:pPr>
            <w:r>
              <w:rPr>
                <w:rFonts w:hint="eastAsia" w:ascii="宋体" w:hAnsi="宋体" w:eastAsia="宋体" w:cs="宋体"/>
                <w:sz w:val="24"/>
                <w:szCs w:val="24"/>
              </w:rPr>
              <w:t>3)支持商品库存、周期库存管理；</w:t>
            </w:r>
          </w:p>
          <w:p>
            <w:pPr>
              <w:jc w:val="left"/>
              <w:rPr>
                <w:rFonts w:hint="eastAsia" w:ascii="宋体" w:hAnsi="宋体" w:eastAsia="宋体" w:cs="宋体"/>
                <w:sz w:val="24"/>
                <w:szCs w:val="24"/>
              </w:rPr>
            </w:pPr>
            <w:r>
              <w:rPr>
                <w:rFonts w:hint="eastAsia" w:ascii="宋体" w:hAnsi="宋体" w:eastAsia="宋体" w:cs="宋体"/>
                <w:sz w:val="24"/>
                <w:szCs w:val="24"/>
              </w:rPr>
              <w:t>4)支持线上直接购买绑定卡券及线下邮寄方式。</w:t>
            </w:r>
          </w:p>
          <w:p>
            <w:pPr>
              <w:jc w:val="left"/>
              <w:rPr>
                <w:rFonts w:hint="eastAsia" w:ascii="宋体" w:hAnsi="宋体" w:eastAsia="宋体" w:cs="宋体"/>
                <w:sz w:val="24"/>
                <w:szCs w:val="24"/>
              </w:rPr>
            </w:pPr>
            <w:r>
              <w:rPr>
                <w:rFonts w:hint="eastAsia" w:ascii="宋体" w:hAnsi="宋体" w:eastAsia="宋体" w:cs="宋体"/>
                <w:sz w:val="24"/>
                <w:szCs w:val="24"/>
              </w:rPr>
              <w:t>3.商品订单管理</w:t>
            </w:r>
          </w:p>
          <w:p>
            <w:pPr>
              <w:jc w:val="left"/>
              <w:rPr>
                <w:rFonts w:hint="eastAsia" w:ascii="宋体" w:hAnsi="宋体" w:eastAsia="宋体" w:cs="宋体"/>
                <w:sz w:val="24"/>
                <w:szCs w:val="24"/>
              </w:rPr>
            </w:pPr>
            <w:r>
              <w:rPr>
                <w:rFonts w:hint="eastAsia" w:ascii="宋体" w:hAnsi="宋体" w:eastAsia="宋体" w:cs="宋体"/>
                <w:sz w:val="24"/>
                <w:szCs w:val="24"/>
              </w:rPr>
              <w:t>1)支持商品订单发货、备注管理；</w:t>
            </w:r>
          </w:p>
          <w:p>
            <w:pPr>
              <w:jc w:val="left"/>
              <w:rPr>
                <w:rFonts w:hint="eastAsia" w:ascii="宋体" w:hAnsi="宋体" w:eastAsia="宋体" w:cs="宋体"/>
                <w:sz w:val="24"/>
                <w:szCs w:val="24"/>
              </w:rPr>
            </w:pPr>
            <w:r>
              <w:rPr>
                <w:rFonts w:hint="eastAsia" w:ascii="宋体" w:hAnsi="宋体" w:eastAsia="宋体" w:cs="宋体"/>
                <w:sz w:val="24"/>
                <w:szCs w:val="24"/>
              </w:rPr>
              <w:t>2)支持商品销售交易流水查询。</w:t>
            </w:r>
          </w:p>
          <w:p>
            <w:pPr>
              <w:jc w:val="left"/>
              <w:rPr>
                <w:rFonts w:hint="eastAsia" w:ascii="宋体" w:hAnsi="宋体" w:eastAsia="宋体" w:cs="宋体"/>
                <w:sz w:val="24"/>
                <w:szCs w:val="24"/>
              </w:rPr>
            </w:pPr>
            <w:r>
              <w:rPr>
                <w:rFonts w:hint="eastAsia" w:ascii="宋体" w:hAnsi="宋体" w:eastAsia="宋体" w:cs="宋体"/>
                <w:b/>
                <w:bCs/>
                <w:sz w:val="24"/>
                <w:szCs w:val="24"/>
              </w:rPr>
              <w:t>七、微信公众号管理：</w:t>
            </w:r>
            <w:r>
              <w:rPr>
                <w:rFonts w:hint="eastAsia" w:ascii="宋体" w:hAnsi="宋体" w:eastAsia="宋体" w:cs="宋体"/>
                <w:sz w:val="24"/>
                <w:szCs w:val="24"/>
              </w:rPr>
              <w:t>对接微信开放平台认可的第三方平台，提供基于微信公众号的微信信息发布和客户互动功能。</w:t>
            </w:r>
          </w:p>
          <w:p>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支持关注微信自动消息回复；</w:t>
            </w:r>
          </w:p>
          <w:p>
            <w:pPr>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支持3X5微信菜单栏目管理，可创建、编辑、发布微信菜单；</w:t>
            </w:r>
          </w:p>
          <w:p>
            <w:pPr>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支持微信消息回复内容管理；</w:t>
            </w:r>
          </w:p>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支持带参数二维码设置与管理；</w:t>
            </w:r>
            <w:r>
              <w:rPr>
                <w:rFonts w:hint="eastAsia" w:ascii="宋体" w:hAnsi="宋体" w:eastAsia="宋体" w:cs="宋体"/>
                <w:sz w:val="24"/>
                <w:szCs w:val="24"/>
                <w:lang w:eastAsia="zh-CN"/>
              </w:rPr>
              <w:t>（提供软件功能截图证明）</w:t>
            </w:r>
          </w:p>
          <w:p>
            <w:pPr>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支持微信模板消息的管理；</w:t>
            </w:r>
          </w:p>
          <w:p>
            <w:pPr>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支持微信用户数量统计、二维码扫码统计、菜单点击数量分析。</w:t>
            </w:r>
          </w:p>
          <w:p>
            <w:pPr>
              <w:jc w:val="left"/>
              <w:rPr>
                <w:rFonts w:hint="eastAsia" w:ascii="宋体" w:hAnsi="宋体" w:eastAsia="宋体" w:cs="宋体"/>
                <w:sz w:val="24"/>
                <w:szCs w:val="24"/>
              </w:rPr>
            </w:pPr>
            <w:r>
              <w:rPr>
                <w:rFonts w:hint="eastAsia" w:ascii="宋体" w:hAnsi="宋体" w:eastAsia="宋体" w:cs="宋体"/>
                <w:b/>
                <w:bCs/>
                <w:sz w:val="24"/>
                <w:szCs w:val="24"/>
              </w:rPr>
              <w:t>八、微信公众号虚拟仿真教学平台：</w:t>
            </w:r>
            <w:r>
              <w:rPr>
                <w:rFonts w:hint="eastAsia" w:ascii="宋体" w:hAnsi="宋体" w:eastAsia="宋体" w:cs="宋体"/>
                <w:sz w:val="24"/>
                <w:szCs w:val="24"/>
              </w:rPr>
              <w:t>在平台上根据教学分组虚拟多个微信公众号，实现多组学生同时进行独立的仿真实验操作，系统为每组学生模拟实现独立的微信公众号和独立的微信网页系统，为学生的学习实操提供一个完全仿真的微信社交环境和完全闭环的数字营销环境。1.支持学生信息导入，学生分组管理，支持教师权限控制；</w:t>
            </w:r>
          </w:p>
          <w:p>
            <w:pPr>
              <w:jc w:val="left"/>
              <w:rPr>
                <w:rFonts w:hint="eastAsia" w:ascii="宋体" w:hAnsi="宋体" w:eastAsia="宋体" w:cs="宋体"/>
                <w:sz w:val="24"/>
                <w:szCs w:val="24"/>
              </w:rPr>
            </w:pPr>
            <w:r>
              <w:rPr>
                <w:rFonts w:hint="eastAsia" w:ascii="宋体" w:hAnsi="宋体" w:eastAsia="宋体" w:cs="宋体"/>
                <w:sz w:val="24"/>
                <w:szCs w:val="24"/>
              </w:rPr>
              <w:t>2.支持同一分组学生扫码进行系统登录，不同分组扫码进入不同项目后台；</w:t>
            </w:r>
          </w:p>
          <w:p>
            <w:pPr>
              <w:jc w:val="left"/>
              <w:rPr>
                <w:rFonts w:hint="eastAsia" w:ascii="宋体" w:hAnsi="宋体" w:eastAsia="宋体" w:cs="宋体"/>
                <w:sz w:val="24"/>
                <w:szCs w:val="24"/>
              </w:rPr>
            </w:pPr>
            <w:r>
              <w:rPr>
                <w:rFonts w:hint="eastAsia" w:ascii="宋体" w:hAnsi="宋体" w:eastAsia="宋体" w:cs="宋体"/>
                <w:sz w:val="24"/>
                <w:szCs w:val="24"/>
              </w:rPr>
              <w:t>3.无需申请微信公众号，支持不同分组学生独立设置微信规则，在微信公众号上同时进行独立仿真实验。</w:t>
            </w:r>
          </w:p>
          <w:p>
            <w:pPr>
              <w:jc w:val="left"/>
              <w:rPr>
                <w:rFonts w:hint="eastAsia" w:ascii="宋体" w:hAnsi="宋体" w:eastAsia="宋体" w:cs="宋体"/>
                <w:sz w:val="24"/>
                <w:szCs w:val="24"/>
              </w:rPr>
            </w:pPr>
            <w:r>
              <w:rPr>
                <w:rFonts w:hint="eastAsia" w:ascii="宋体" w:hAnsi="宋体" w:eastAsia="宋体" w:cs="宋体"/>
                <w:b/>
                <w:bCs/>
                <w:sz w:val="24"/>
                <w:szCs w:val="24"/>
              </w:rPr>
              <w:t>九、教学资源</w:t>
            </w:r>
          </w:p>
          <w:p>
            <w:pPr>
              <w:jc w:val="left"/>
              <w:rPr>
                <w:rFonts w:hint="eastAsia" w:ascii="宋体" w:hAnsi="宋体" w:eastAsia="宋体" w:cs="宋体"/>
                <w:sz w:val="24"/>
                <w:szCs w:val="24"/>
              </w:rPr>
            </w:pPr>
            <w:r>
              <w:rPr>
                <w:rFonts w:hint="eastAsia" w:ascii="宋体" w:hAnsi="宋体" w:eastAsia="宋体" w:cs="宋体"/>
                <w:sz w:val="24"/>
                <w:szCs w:val="24"/>
              </w:rPr>
              <w:t>1.提供实验任务设计文档以及实验任务参考视频：</w:t>
            </w:r>
          </w:p>
          <w:p>
            <w:pPr>
              <w:jc w:val="left"/>
              <w:rPr>
                <w:rFonts w:hint="eastAsia" w:ascii="宋体" w:hAnsi="宋体" w:eastAsia="宋体" w:cs="宋体"/>
                <w:sz w:val="24"/>
                <w:szCs w:val="24"/>
              </w:rPr>
            </w:pPr>
            <w:r>
              <w:rPr>
                <w:rFonts w:hint="eastAsia" w:ascii="宋体" w:hAnsi="宋体" w:eastAsia="宋体" w:cs="宋体"/>
                <w:sz w:val="24"/>
                <w:szCs w:val="24"/>
              </w:rPr>
              <w:t>1)基于触点的标签认知与设置</w:t>
            </w:r>
          </w:p>
          <w:p>
            <w:pPr>
              <w:jc w:val="left"/>
              <w:rPr>
                <w:rFonts w:hint="eastAsia" w:ascii="宋体" w:hAnsi="宋体" w:eastAsia="宋体" w:cs="宋体"/>
                <w:sz w:val="24"/>
                <w:szCs w:val="24"/>
              </w:rPr>
            </w:pPr>
            <w:r>
              <w:rPr>
                <w:rFonts w:hint="eastAsia" w:ascii="宋体" w:hAnsi="宋体" w:eastAsia="宋体" w:cs="宋体"/>
                <w:sz w:val="24"/>
                <w:szCs w:val="24"/>
              </w:rPr>
              <w:t>2)基于用户行为互动的营销自动化设置</w:t>
            </w:r>
          </w:p>
          <w:p>
            <w:pPr>
              <w:jc w:val="left"/>
              <w:rPr>
                <w:rFonts w:hint="eastAsia" w:ascii="宋体" w:hAnsi="宋体" w:eastAsia="宋体" w:cs="宋体"/>
                <w:sz w:val="24"/>
                <w:szCs w:val="24"/>
              </w:rPr>
            </w:pPr>
            <w:r>
              <w:rPr>
                <w:rFonts w:hint="eastAsia" w:ascii="宋体" w:hAnsi="宋体" w:eastAsia="宋体" w:cs="宋体"/>
                <w:sz w:val="24"/>
                <w:szCs w:val="24"/>
              </w:rPr>
              <w:t>3)微信公众号菜单栏与互动设置</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营销活动效果数据可视化</w:t>
            </w:r>
          </w:p>
        </w:tc>
        <w:tc>
          <w:tcPr>
            <w:tcW w:w="7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p>
            <w:pPr>
              <w:jc w:val="center"/>
              <w:rPr>
                <w:rFonts w:hint="eastAsia" w:ascii="宋体" w:hAnsi="宋体" w:eastAsia="宋体" w:cs="宋体"/>
                <w:sz w:val="24"/>
                <w:szCs w:val="24"/>
              </w:rPr>
            </w:pPr>
          </w:p>
        </w:tc>
        <w:tc>
          <w:tcPr>
            <w:tcW w:w="76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p>
            <w:pPr>
              <w:jc w:val="center"/>
              <w:rPr>
                <w:rFonts w:hint="eastAsia" w:ascii="宋体" w:hAnsi="宋体" w:eastAsia="宋体" w:cs="宋体"/>
                <w:sz w:val="24"/>
                <w:szCs w:val="24"/>
              </w:rPr>
            </w:pPr>
          </w:p>
        </w:tc>
      </w:tr>
    </w:tbl>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w:t>
      </w:r>
      <w:r>
        <w:rPr>
          <w:rFonts w:hint="eastAsia" w:asciiTheme="minorEastAsia" w:hAnsiTheme="minorEastAsia" w:eastAsiaTheme="minorEastAsia"/>
          <w:b/>
          <w:sz w:val="24"/>
        </w:rPr>
        <w:t>商务需求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宋体" w:hAnsi="宋体"/>
          <w:color w:val="000000"/>
          <w:sz w:val="24"/>
        </w:rPr>
      </w:pPr>
      <w:r>
        <w:rPr>
          <w:rFonts w:hint="eastAsia" w:ascii="宋体" w:hAnsi="宋体"/>
          <w:color w:val="000000"/>
          <w:sz w:val="24"/>
        </w:rPr>
        <w:t>1、质保</w:t>
      </w:r>
      <w:r>
        <w:rPr>
          <w:rFonts w:hint="eastAsia" w:ascii="宋体" w:hAnsi="宋体" w:cs="宋体"/>
          <w:sz w:val="24"/>
        </w:rPr>
        <w:t>期：终验合格之日起项目整体提供</w:t>
      </w:r>
      <w:r>
        <w:rPr>
          <w:rFonts w:hint="eastAsia" w:ascii="宋体" w:hAnsi="宋体" w:cs="宋体"/>
          <w:sz w:val="24"/>
          <w:lang w:eastAsia="zh-CN"/>
        </w:rPr>
        <w:t>一</w:t>
      </w:r>
      <w:r>
        <w:rPr>
          <w:rFonts w:hint="eastAsia" w:ascii="宋体" w:hAnsi="宋体" w:cs="宋体"/>
          <w:sz w:val="24"/>
        </w:rPr>
        <w:t>年免费质保。在质保期内，系统运行过程中出现的故障由中标人进行及时修复。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eastAsia="zh-CN"/>
        </w:rPr>
        <w:t>售后服务：产品</w:t>
      </w:r>
      <w:r>
        <w:rPr>
          <w:rFonts w:hint="eastAsia" w:ascii="宋体"/>
          <w:sz w:val="24"/>
          <w:szCs w:val="24"/>
          <w:lang w:val="en-US" w:eastAsia="zh-CN"/>
        </w:rPr>
        <w:t>质保期间需及时响应故障处理，</w:t>
      </w:r>
      <w:r>
        <w:rPr>
          <w:rFonts w:hint="eastAsia" w:ascii="宋体" w:hAnsi="宋体" w:cs="宋体"/>
          <w:sz w:val="24"/>
        </w:rPr>
        <w:t>要求有稳定的服务队伍，须提供1年7×24，2个小时内响应。在应答时应详细阐述技术支持的内容、范围、响应时间和解决问题时间，说明在技术维护队伍和机构情况，服务模式</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宋体" w:hAnsi="宋体"/>
          <w:color w:val="000000"/>
          <w:sz w:val="24"/>
        </w:rPr>
      </w:pPr>
      <w:r>
        <w:rPr>
          <w:rFonts w:hint="eastAsia" w:ascii="宋体" w:hAnsi="宋体"/>
          <w:color w:val="000000"/>
          <w:sz w:val="24"/>
        </w:rPr>
        <w:t>4、</w:t>
      </w:r>
      <w:r>
        <w:rPr>
          <w:rFonts w:hint="eastAsia" w:ascii="宋体" w:hAnsi="宋体" w:cs="宋体"/>
          <w:sz w:val="24"/>
        </w:rPr>
        <w:t>投标人提供的货物、服务质量，必须符合招标文件及其投标文件规定的要求，如有不符，造成的损失由投标人承担；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、培训：</w:t>
      </w:r>
      <w:r>
        <w:rPr>
          <w:rFonts w:hint="eastAsia" w:ascii="宋体" w:hAnsi="宋体" w:cs="宋体"/>
          <w:sz w:val="24"/>
        </w:rPr>
        <w:t>供应商负责组织最终用户的系统管理员、使用人员进行集中培训。此项系统培训应使各使用人员尽快掌握系统的操作方法和规范流程，保障合理使用、维护和正常运转。减少系统故障率，提高运行效率，保障系统的可靠运行。培训课程应包含尽可能多的设备及系统知识、学员能够达到独立使用和基本维护的能力</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、交货时间及地点：签订合同后</w:t>
      </w:r>
      <w:r>
        <w:rPr>
          <w:rFonts w:hint="eastAsia" w:ascii="宋体" w:hAnsi="宋体"/>
          <w:color w:val="000000"/>
          <w:sz w:val="24"/>
          <w:highlight w:val="none"/>
          <w:lang w:val="en-US" w:eastAsia="zh-CN"/>
        </w:rPr>
        <w:t>30天</w:t>
      </w:r>
      <w:r>
        <w:rPr>
          <w:rFonts w:hint="eastAsia" w:ascii="宋体" w:hAnsi="宋体"/>
          <w:color w:val="000000"/>
          <w:sz w:val="24"/>
          <w:highlight w:val="none"/>
        </w:rPr>
        <w:t>内</w:t>
      </w:r>
      <w:r>
        <w:rPr>
          <w:rFonts w:hint="eastAsia" w:ascii="宋体" w:hAnsi="宋体"/>
          <w:color w:val="000000"/>
          <w:sz w:val="24"/>
        </w:rPr>
        <w:t>供货到采购人指定地点, 中标人负责安装，并调试完毕；</w:t>
      </w:r>
    </w:p>
    <w:p>
      <w:pPr>
        <w:pStyle w:val="8"/>
        <w:snapToGrid w:val="0"/>
        <w:spacing w:before="120" w:after="120" w:line="360" w:lineRule="auto"/>
        <w:ind w:firstLine="480" w:firstLineChars="200"/>
        <w:rPr>
          <w:sz w:val="24"/>
        </w:rPr>
      </w:pPr>
      <w:r>
        <w:rPr>
          <w:rFonts w:hint="eastAsia" w:ascii="宋体" w:hAnsi="宋体"/>
          <w:color w:val="000000"/>
          <w:sz w:val="24"/>
          <w:lang w:val="en-US" w:eastAsia="zh-CN"/>
        </w:rPr>
        <w:t>7</w:t>
      </w:r>
      <w:r>
        <w:rPr>
          <w:rFonts w:hint="eastAsia" w:ascii="宋体" w:hAnsi="宋体"/>
          <w:color w:val="000000"/>
          <w:sz w:val="24"/>
        </w:rPr>
        <w:t>、付款方式：</w:t>
      </w:r>
      <w:r>
        <w:rPr>
          <w:rFonts w:hint="eastAsia" w:ascii="宋体" w:hAnsi="宋体"/>
          <w:color w:val="000000"/>
          <w:sz w:val="24"/>
          <w:lang w:eastAsia="zh-CN"/>
        </w:rPr>
        <w:t>采购单位在</w:t>
      </w:r>
      <w:r>
        <w:rPr>
          <w:rFonts w:hint="eastAsia" w:ascii="宋体" w:hAnsi="宋体"/>
          <w:color w:val="000000"/>
          <w:sz w:val="24"/>
          <w:lang w:val="zh-CN"/>
        </w:rPr>
        <w:t>合同签订后</w:t>
      </w:r>
      <w:r>
        <w:rPr>
          <w:rFonts w:hint="eastAsia" w:ascii="宋体" w:hAnsi="宋体"/>
          <w:color w:val="000000"/>
          <w:sz w:val="24"/>
          <w:lang w:val="en-US" w:eastAsia="zh-CN"/>
        </w:rPr>
        <w:t>7个工作日</w:t>
      </w:r>
      <w:r>
        <w:rPr>
          <w:rFonts w:hint="eastAsia" w:ascii="宋体" w:hAnsi="宋体"/>
          <w:color w:val="000000"/>
          <w:sz w:val="24"/>
          <w:lang w:val="zh-CN"/>
        </w:rPr>
        <w:t>内支付合同金额的</w:t>
      </w:r>
      <w:r>
        <w:rPr>
          <w:rFonts w:hint="eastAsia" w:ascii="宋体" w:hAnsi="宋体"/>
          <w:color w:val="000000"/>
          <w:sz w:val="24"/>
          <w:lang w:val="en-US" w:eastAsia="zh-CN"/>
        </w:rPr>
        <w:t>4</w:t>
      </w:r>
      <w:r>
        <w:rPr>
          <w:rFonts w:hint="eastAsia" w:ascii="宋体" w:hAnsi="宋体"/>
          <w:color w:val="000000"/>
          <w:sz w:val="24"/>
          <w:lang w:val="zh-CN"/>
        </w:rPr>
        <w:t>0%；安装调试完毕，项目验收合格并收到发票后</w:t>
      </w:r>
      <w:r>
        <w:rPr>
          <w:rFonts w:hint="eastAsia" w:ascii="宋体" w:hAnsi="宋体"/>
          <w:color w:val="000000"/>
          <w:sz w:val="24"/>
          <w:lang w:val="en-US" w:eastAsia="zh-CN"/>
        </w:rPr>
        <w:t>7个工作日</w:t>
      </w:r>
      <w:r>
        <w:rPr>
          <w:rFonts w:hint="eastAsia" w:ascii="宋体" w:hAnsi="宋体"/>
          <w:color w:val="000000"/>
          <w:sz w:val="24"/>
          <w:lang w:val="zh-CN"/>
        </w:rPr>
        <w:t>内支付合同金额的</w:t>
      </w:r>
      <w:r>
        <w:rPr>
          <w:rFonts w:hint="eastAsia" w:ascii="宋体" w:hAnsi="宋体"/>
          <w:color w:val="000000"/>
          <w:sz w:val="24"/>
          <w:lang w:val="en-US" w:eastAsia="zh-CN"/>
        </w:rPr>
        <w:t>6</w:t>
      </w:r>
      <w:r>
        <w:rPr>
          <w:rFonts w:hint="eastAsia" w:ascii="宋体" w:hAnsi="宋体"/>
          <w:color w:val="000000"/>
          <w:sz w:val="24"/>
          <w:lang w:val="zh-CN"/>
        </w:rPr>
        <w:t>0%。</w:t>
      </w: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pStyle w:val="5"/>
        <w:spacing w:line="360" w:lineRule="auto"/>
        <w:ind w:left="120" w:firstLine="480"/>
        <w:rPr>
          <w:rFonts w:asciiTheme="minorEastAsia" w:hAnsiTheme="minorEastAsia" w:eastAsiaTheme="minorEastAsia" w:cstheme="minorBidi"/>
          <w:kern w:val="0"/>
          <w:sz w:val="24"/>
        </w:rPr>
      </w:pPr>
    </w:p>
    <w:p>
      <w:pPr>
        <w:numPr>
          <w:ilvl w:val="0"/>
          <w:numId w:val="4"/>
        </w:numPr>
        <w:spacing w:line="360" w:lineRule="auto"/>
        <w:jc w:val="center"/>
        <w:outlineLvl w:val="0"/>
        <w:rPr>
          <w:rFonts w:asciiTheme="minorEastAsia" w:hAnsiTheme="minorEastAsia" w:eastAsiaTheme="minorEastAsia"/>
          <w:b/>
          <w:sz w:val="36"/>
          <w:szCs w:val="36"/>
        </w:rPr>
      </w:pPr>
      <w:bookmarkStart w:id="36" w:name="_Toc19531"/>
      <w:r>
        <w:rPr>
          <w:rFonts w:hint="eastAsia" w:asciiTheme="minorEastAsia" w:hAnsiTheme="minorEastAsia" w:eastAsiaTheme="minorEastAsia"/>
          <w:b/>
          <w:sz w:val="36"/>
          <w:szCs w:val="36"/>
        </w:rPr>
        <w:t>磋商</w:t>
      </w:r>
      <w:bookmarkEnd w:id="36"/>
    </w:p>
    <w:p>
      <w:pPr>
        <w:numPr>
          <w:ilvl w:val="0"/>
          <w:numId w:val="9"/>
        </w:numPr>
        <w:spacing w:line="360" w:lineRule="auto"/>
        <w:ind w:firstLine="482" w:firstLineChars="200"/>
        <w:rPr>
          <w:rFonts w:ascii="宋体" w:hAnsi="宋体" w:cs="宋体"/>
          <w:b/>
          <w:bCs/>
          <w:sz w:val="24"/>
        </w:rPr>
      </w:pPr>
      <w:r>
        <w:rPr>
          <w:rFonts w:hint="eastAsia" w:ascii="宋体" w:hAnsi="宋体" w:cs="宋体"/>
          <w:b/>
          <w:bCs/>
          <w:sz w:val="24"/>
        </w:rPr>
        <w:t>磋商原则</w:t>
      </w:r>
    </w:p>
    <w:p>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spacing w:line="360" w:lineRule="auto"/>
        <w:ind w:firstLine="480" w:firstLineChars="200"/>
        <w:rPr>
          <w:rFonts w:ascii="宋体" w:hAnsi="宋体" w:cs="宋体"/>
          <w:sz w:val="24"/>
        </w:rPr>
      </w:pPr>
      <w:r>
        <w:rPr>
          <w:rFonts w:hint="eastAsia" w:ascii="宋体" w:hAnsi="宋体" w:cs="宋体"/>
          <w:sz w:val="24"/>
        </w:rPr>
        <w:t>评标采用综合评分法，磋商小组从最终投标报价、供应商的资信、业绩、技术方案、服务承诺、等方面进行评审。磋商小组根据评审情况，对各供应商的商务报价方面在分值范围内进行统一打分，对各供应商的商务技术方面在分值范围内进行统一打分，对各供应商的技术方面在分值范围内进行独立打分。</w:t>
      </w:r>
    </w:p>
    <w:p>
      <w:pPr>
        <w:spacing w:line="360" w:lineRule="auto"/>
        <w:ind w:firstLine="480" w:firstLineChars="200"/>
        <w:rPr>
          <w:rFonts w:ascii="宋体" w:hAnsi="宋体" w:cs="宋体"/>
          <w:sz w:val="24"/>
        </w:rPr>
      </w:pPr>
      <w:r>
        <w:rPr>
          <w:rFonts w:hint="eastAsia" w:ascii="宋体" w:hAnsi="宋体" w:cs="宋体"/>
          <w:sz w:val="24"/>
        </w:rPr>
        <w:t>每个供应商最终得分=报价分+商务技术分</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三、磋商小组</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hint="eastAsia" w:asciiTheme="minorEastAsia" w:hAnsiTheme="minorEastAsia" w:eastAsiaTheme="minorEastAsia" w:cstheme="minorBidi"/>
          <w:sz w:val="24"/>
        </w:rPr>
        <w:t>磋商小组</w:t>
      </w:r>
      <w:r>
        <w:rPr>
          <w:rFonts w:asciiTheme="minorEastAsia" w:hAnsiTheme="minorEastAsia" w:eastAsiaTheme="minorEastAsia"/>
          <w:sz w:val="24"/>
        </w:rPr>
        <w:t>由</w:t>
      </w:r>
      <w:r>
        <w:rPr>
          <w:rFonts w:hint="eastAsia" w:asciiTheme="minorEastAsia" w:hAnsiTheme="minorEastAsia" w:eastAsiaTheme="minorEastAsia"/>
          <w:sz w:val="24"/>
        </w:rPr>
        <w:t>采购人代表和评审专家</w:t>
      </w:r>
      <w:r>
        <w:rPr>
          <w:rFonts w:asciiTheme="minorEastAsia" w:hAnsiTheme="minorEastAsia" w:eastAsiaTheme="minorEastAsia"/>
          <w:sz w:val="24"/>
        </w:rPr>
        <w:t>组成</w:t>
      </w:r>
      <w:r>
        <w:rPr>
          <w:rFonts w:hint="eastAsia" w:asciiTheme="minorEastAsia" w:hAnsiTheme="minorEastAsia" w:eastAsiaTheme="minorEastAsia"/>
          <w:sz w:val="24"/>
        </w:rPr>
        <w:t>。</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成员</w:t>
      </w:r>
      <w:r>
        <w:rPr>
          <w:rFonts w:hint="eastAsia" w:ascii="宋体" w:hAnsi="宋体" w:cs="宋体"/>
          <w:sz w:val="24"/>
          <w:szCs w:val="24"/>
        </w:rPr>
        <w:t>与参与磋商的供应商</w:t>
      </w:r>
      <w:r>
        <w:rPr>
          <w:rFonts w:hint="eastAsia" w:asciiTheme="minorEastAsia" w:hAnsiTheme="minorEastAsia" w:eastAsiaTheme="minorEastAsia"/>
          <w:sz w:val="24"/>
        </w:rPr>
        <w:t>有下列情形之一的，应当回避：</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四、磋商要求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rPr>
      </w:pPr>
      <w:r>
        <w:rPr>
          <w:rFonts w:hint="eastAsia" w:ascii="宋体" w:hAnsi="宋体" w:cs="宋体"/>
          <w:sz w:val="24"/>
        </w:rPr>
        <w:t>（六）磋商结束后，磋商小组将要求所有实质性响应的供应商按磋商小组提出的要求并在规定时间内分别进行最终报价，各供应商在规定时间之后的报价将被视为无效。提交最后报价的供应商一般不得少于3家。</w:t>
      </w:r>
    </w:p>
    <w:p>
      <w:pPr>
        <w:spacing w:line="360" w:lineRule="auto"/>
        <w:ind w:firstLine="480" w:firstLineChars="200"/>
        <w:rPr>
          <w:rFonts w:ascii="宋体" w:hAnsi="宋体" w:cs="宋体"/>
          <w:sz w:val="24"/>
        </w:rPr>
      </w:pPr>
      <w:r>
        <w:rPr>
          <w:rFonts w:hint="eastAsia" w:ascii="宋体" w:hAnsi="宋体" w:cs="宋体"/>
          <w:sz w:val="24"/>
        </w:rPr>
        <w:t>（七）最后报价是供应商响应文件的有效组成部分。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（八）错误的修正：磋商小组将对确定为实质上响应竞争性磋商文件要求的响应文件进行校核，看其在磋商报价方面是否有计算、累计或表达上的错误，修正错误的原则及顺序如下：</w:t>
      </w:r>
    </w:p>
    <w:p>
      <w:pPr>
        <w:spacing w:line="360" w:lineRule="auto"/>
        <w:ind w:firstLine="480" w:firstLineChars="200"/>
        <w:rPr>
          <w:rFonts w:ascii="宋体" w:hAnsi="宋体" w:cs="宋体"/>
          <w:sz w:val="24"/>
        </w:rPr>
      </w:pPr>
      <w:r>
        <w:rPr>
          <w:rFonts w:hint="eastAsia" w:ascii="宋体" w:hAnsi="宋体" w:cs="宋体"/>
          <w:sz w:val="24"/>
        </w:rPr>
        <w:t>（1）响应文件中初次报价一览表与响应文件中报价清单不一致的，以初次报价一览表为准。</w:t>
      </w:r>
    </w:p>
    <w:p>
      <w:pPr>
        <w:spacing w:line="360" w:lineRule="auto"/>
        <w:ind w:firstLine="480" w:firstLineChars="200"/>
        <w:rPr>
          <w:rFonts w:ascii="宋体" w:hAnsi="宋体" w:cs="宋体"/>
          <w:sz w:val="24"/>
        </w:rPr>
      </w:pPr>
      <w:r>
        <w:rPr>
          <w:rFonts w:hint="eastAsia" w:ascii="宋体" w:hAnsi="宋体" w:cs="宋体"/>
          <w:sz w:val="24"/>
        </w:rPr>
        <w:t>（2）响应文件的大写金额和小写金额不一致的，以大写金额为准；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 xml:space="preserve">（3）单价金额小数点有明显错位的，应以初次报价一览表总价为准，并修改单价； </w:t>
      </w:r>
    </w:p>
    <w:p>
      <w:pPr>
        <w:spacing w:line="360" w:lineRule="auto"/>
        <w:ind w:firstLine="480" w:firstLineChars="200"/>
        <w:rPr>
          <w:rFonts w:ascii="宋体" w:hAnsi="宋体" w:cs="宋体"/>
          <w:sz w:val="24"/>
        </w:rPr>
      </w:pPr>
      <w:r>
        <w:rPr>
          <w:rFonts w:hint="eastAsia" w:ascii="宋体" w:hAnsi="宋体" w:cs="宋体"/>
          <w:sz w:val="24"/>
        </w:rPr>
        <w:t>（4）报价总金额与按单价汇总金额不一致的，以单价金额计算结果为准；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同时出现两种以上不一致的，按照前款规定的顺序修正。按前款规定修正时，顺序在</w:t>
      </w:r>
    </w:p>
    <w:p>
      <w:pPr>
        <w:spacing w:line="360" w:lineRule="auto"/>
        <w:ind w:firstLine="480" w:firstLineChars="200"/>
        <w:rPr>
          <w:rFonts w:ascii="宋体" w:hAnsi="宋体" w:cs="宋体"/>
          <w:sz w:val="24"/>
        </w:rPr>
      </w:pPr>
      <w:r>
        <w:rPr>
          <w:rFonts w:hint="eastAsia" w:ascii="宋体" w:hAnsi="宋体" w:cs="宋体"/>
          <w:sz w:val="24"/>
        </w:rPr>
        <w:t>后的修正可能引起顺序在前的其他修正的，该项修正不再执行。修正后的报价经供应商确认后产生约束力，供应商不确认的，其投标无效。</w:t>
      </w:r>
    </w:p>
    <w:p>
      <w:pPr>
        <w:spacing w:line="360" w:lineRule="auto"/>
        <w:ind w:firstLine="480" w:firstLineChars="200"/>
        <w:rPr>
          <w:rFonts w:ascii="宋体" w:hAnsi="宋体" w:cs="宋体"/>
          <w:sz w:val="24"/>
        </w:rPr>
      </w:pPr>
      <w:r>
        <w:rPr>
          <w:rFonts w:hint="eastAsia" w:ascii="宋体" w:hAnsi="宋体" w:cs="宋体"/>
          <w:sz w:val="24"/>
        </w:rPr>
        <w:t>（九）已提交响应文件的供应商，在提交最后报价之前，可以根据磋商情况退出磋商。</w:t>
      </w:r>
    </w:p>
    <w:p>
      <w:pPr>
        <w:pStyle w:val="2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pPr>
        <w:pStyle w:val="20"/>
        <w:spacing w:before="0" w:beforeAutospacing="0" w:after="0" w:afterAutospacing="0" w:line="360" w:lineRule="auto"/>
        <w:ind w:firstLine="480" w:firstLineChars="200"/>
        <w:jc w:val="both"/>
        <w:rPr>
          <w:rFonts w:hint="default" w:asciiTheme="minorEastAsia" w:hAnsiTheme="minorEastAsia" w:eastAsiaTheme="minorEastAsia"/>
          <w:bCs/>
        </w:rPr>
      </w:pPr>
      <w:r>
        <w:rPr>
          <w:rFonts w:asciiTheme="minorEastAsia" w:hAnsiTheme="minorEastAsia" w:eastAsiaTheme="minorEastAsia"/>
          <w:bCs/>
        </w:rPr>
        <w:t>（一）</w:t>
      </w:r>
      <w:r>
        <w:rPr>
          <w:rFonts w:hint="default" w:asciiTheme="minorEastAsia" w:hAnsiTheme="minorEastAsia" w:eastAsiaTheme="minorEastAsia"/>
          <w:bCs/>
        </w:rPr>
        <w:t>仅提交“备份响应文件”的</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szCs w:val="32"/>
        </w:rPr>
        <w:t>（二）</w:t>
      </w:r>
      <w:r>
        <w:rPr>
          <w:rFonts w:hint="eastAsia" w:asciiTheme="minorEastAsia" w:hAnsiTheme="minorEastAsia" w:eastAsiaTheme="minorEastAsia"/>
          <w:kern w:val="0"/>
          <w:sz w:val="24"/>
        </w:rPr>
        <w:t>在资格证明文件或商务与技术文件中出现响应报价的，或者报价文件中报价的货物跟商务与技术文件中的供应货物出现重大偏差的；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（三）</w:t>
      </w:r>
      <w:r>
        <w:rPr>
          <w:rFonts w:asciiTheme="minorEastAsia" w:hAnsiTheme="minorEastAsia" w:eastAsiaTheme="minorEastAsia"/>
        </w:rPr>
        <w:t>不具备磋商文件中规定的资格要求的；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（四）</w:t>
      </w:r>
      <w:r>
        <w:rPr>
          <w:rFonts w:hint="default" w:asciiTheme="minorEastAsia" w:hAnsiTheme="minorEastAsia" w:eastAsiaTheme="minorEastAsia"/>
        </w:rPr>
        <w:t>响应文件存在一个或一个以上备选（替代）投标方案的；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（五）</w:t>
      </w:r>
      <w:r>
        <w:rPr>
          <w:rFonts w:hint="default" w:asciiTheme="minorEastAsia" w:hAnsiTheme="minorEastAsia" w:eastAsiaTheme="minorEastAsia"/>
        </w:rPr>
        <w:t>获取文件的供应商与参加磋商的供应商发生实质性变更的且未提供有效证明的；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（六）</w:t>
      </w:r>
      <w:r>
        <w:rPr>
          <w:rFonts w:hint="default" w:asciiTheme="minorEastAsia" w:hAnsiTheme="minorEastAsia" w:eastAsiaTheme="minorEastAsia"/>
        </w:rPr>
        <w:t>响应文件未有效授权，未提供或提供无效的法定代表人资格证明书或附法定代表人资格证明书的法定代表人授权书；</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（七）</w:t>
      </w:r>
      <w:r>
        <w:rPr>
          <w:rFonts w:hint="default" w:asciiTheme="minorEastAsia" w:hAnsiTheme="minorEastAsia" w:eastAsiaTheme="minorEastAsia"/>
        </w:rPr>
        <w:t>响应文件内容未按竞争性磋商文件规定签字或盖章的；</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（八）</w:t>
      </w:r>
      <w:r>
        <w:rPr>
          <w:rFonts w:hint="default" w:asciiTheme="minorEastAsia" w:hAnsiTheme="minorEastAsia" w:eastAsiaTheme="minorEastAsia"/>
        </w:rPr>
        <w:t>响应文件组成漏项或未按规定的格式编制，内容不全或内容字迹模糊辨认不清的而导致评审活动无法正常进行；</w:t>
      </w:r>
    </w:p>
    <w:p>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（九）</w:t>
      </w:r>
      <w:r>
        <w:rPr>
          <w:rFonts w:hint="default" w:asciiTheme="minorEastAsia" w:hAnsiTheme="minorEastAsia" w:eastAsiaTheme="minorEastAsia"/>
        </w:rPr>
        <w:t>不符合磋商范围、技术规格、技术标准的要求无法满足采购人使用要求</w:t>
      </w:r>
      <w:r>
        <w:rPr>
          <w:rFonts w:hint="default" w:asciiTheme="minorEastAsia" w:hAnsiTheme="minorEastAsia" w:eastAsiaTheme="minorEastAsia"/>
        </w:rPr>
        <w:tab/>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w:t>
      </w:r>
      <w:r>
        <w:rPr>
          <w:rFonts w:asciiTheme="minorEastAsia" w:hAnsiTheme="minorEastAsia" w:eastAsiaTheme="minorEastAsia"/>
        </w:rPr>
        <w:t>响应文件含有采购人不能接受的附加条件的；</w:t>
      </w:r>
    </w:p>
    <w:p>
      <w:pPr>
        <w:pStyle w:val="10"/>
        <w:spacing w:line="360" w:lineRule="auto"/>
        <w:ind w:firstLine="480" w:firstLineChars="200"/>
        <w:jc w:val="both"/>
        <w:rPr>
          <w:rFonts w:asciiTheme="minorEastAsia" w:hAnsiTheme="minorEastAsia" w:eastAsiaTheme="minorEastAsia"/>
          <w:kern w:val="0"/>
          <w:sz w:val="24"/>
        </w:rPr>
      </w:pPr>
      <w:r>
        <w:rPr>
          <w:rFonts w:hint="eastAsia" w:asciiTheme="minorEastAsia" w:hAnsiTheme="minorEastAsia" w:eastAsiaTheme="minorEastAsia"/>
          <w:sz w:val="24"/>
          <w:szCs w:val="32"/>
        </w:rPr>
        <w:t>（十一）</w:t>
      </w:r>
      <w:r>
        <w:rPr>
          <w:rFonts w:hint="eastAsia" w:asciiTheme="minorEastAsia" w:hAnsiTheme="minorEastAsia" w:eastAsiaTheme="minor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磋商小组认为供应商的报价明显低于其他通过符合性审查供应商的报价，有可能影响产品质量或者不能诚信履约的，供应商在限定的时间内不能证明其报价合理性的，磋商小组应当将其作为无效投标处理；</w:t>
      </w:r>
    </w:p>
    <w:p>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（十二）</w:t>
      </w:r>
      <w:r>
        <w:rPr>
          <w:rFonts w:asciiTheme="minorEastAsia" w:hAnsiTheme="minorEastAsia" w:eastAsiaTheme="minorEastAsia"/>
        </w:rPr>
        <w:t xml:space="preserve">报价超过磋商文件中规定的预算金额/最高限价； </w:t>
      </w:r>
    </w:p>
    <w:p>
      <w:pPr>
        <w:pStyle w:val="10"/>
        <w:spacing w:line="360" w:lineRule="auto"/>
        <w:ind w:firstLine="480" w:firstLineChars="200"/>
        <w:rPr>
          <w:rFonts w:asciiTheme="minorEastAsia" w:hAnsiTheme="minorEastAsia" w:eastAsiaTheme="minorEastAsia"/>
          <w:color w:val="FF0000"/>
        </w:rPr>
      </w:pPr>
      <w:r>
        <w:rPr>
          <w:rFonts w:hint="eastAsia" w:asciiTheme="minorEastAsia" w:hAnsiTheme="minorEastAsia" w:eastAsiaTheme="minorEastAsia"/>
          <w:kern w:val="0"/>
          <w:sz w:val="24"/>
          <w:szCs w:val="32"/>
        </w:rPr>
        <w:t>（十三）主要性能参数指标负偏离</w:t>
      </w:r>
      <w:r>
        <w:rPr>
          <w:rFonts w:hint="eastAsia" w:asciiTheme="minorEastAsia" w:hAnsiTheme="minorEastAsia" w:eastAsiaTheme="minorEastAsia"/>
          <w:kern w:val="0"/>
          <w:sz w:val="24"/>
          <w:szCs w:val="32"/>
          <w:u w:val="single"/>
        </w:rPr>
        <w:t xml:space="preserve"> </w:t>
      </w:r>
      <w:r>
        <w:rPr>
          <w:rFonts w:hint="eastAsia" w:asciiTheme="minorEastAsia" w:hAnsiTheme="minorEastAsia" w:eastAsiaTheme="minorEastAsia"/>
          <w:kern w:val="0"/>
          <w:sz w:val="24"/>
          <w:szCs w:val="32"/>
          <w:u w:val="single"/>
          <w:lang w:val="en-US" w:eastAsia="zh-CN"/>
        </w:rPr>
        <w:t>10</w:t>
      </w:r>
      <w:r>
        <w:rPr>
          <w:rFonts w:hint="eastAsia" w:asciiTheme="minorEastAsia" w:hAnsiTheme="minorEastAsia" w:eastAsiaTheme="minorEastAsia"/>
          <w:kern w:val="0"/>
          <w:sz w:val="24"/>
          <w:szCs w:val="32"/>
          <w:u w:val="single"/>
        </w:rPr>
        <w:t xml:space="preserve"> </w:t>
      </w:r>
      <w:r>
        <w:rPr>
          <w:rFonts w:hint="eastAsia" w:asciiTheme="minorEastAsia" w:hAnsiTheme="minorEastAsia" w:eastAsiaTheme="minorEastAsia"/>
          <w:kern w:val="0"/>
          <w:sz w:val="24"/>
          <w:szCs w:val="32"/>
        </w:rPr>
        <w:t>项（含）以上的</w:t>
      </w:r>
      <w:r>
        <w:rPr>
          <w:rFonts w:asciiTheme="minorEastAsia" w:hAnsiTheme="minorEastAsia" w:eastAsiaTheme="minorEastAsia"/>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（十四）</w:t>
      </w:r>
      <w:r>
        <w:rPr>
          <w:rFonts w:hint="eastAsia" w:asciiTheme="minorEastAsia" w:hAnsiTheme="minorEastAsia" w:eastAsiaTheme="minorEastAsia"/>
          <w:sz w:val="24"/>
        </w:rPr>
        <w:t>响应文件</w:t>
      </w:r>
      <w:r>
        <w:rPr>
          <w:rFonts w:hint="eastAsia" w:asciiTheme="minorEastAsia" w:hAnsiTheme="minorEastAsia" w:eastAsiaTheme="minorEastAsia"/>
          <w:kern w:val="0"/>
          <w:sz w:val="24"/>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32"/>
        </w:rPr>
        <w:t>（十五）</w:t>
      </w: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由同一单位或者个人编制</w:t>
      </w:r>
      <w:r>
        <w:rPr>
          <w:rFonts w:hint="eastAsia" w:asciiTheme="minorEastAsia" w:hAnsiTheme="minorEastAsia" w:eastAsiaTheme="minorEastAsia"/>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szCs w:val="32"/>
        </w:rPr>
        <w:t>（十六）</w:t>
      </w: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委托同一单位或者个人办理</w:t>
      </w:r>
      <w:r>
        <w:rPr>
          <w:rFonts w:hint="eastAsia" w:asciiTheme="minorEastAsia" w:hAnsiTheme="minorEastAsia" w:eastAsiaTheme="minorEastAsia"/>
          <w:sz w:val="24"/>
        </w:rPr>
        <w:t>磋商</w:t>
      </w:r>
      <w:r>
        <w:rPr>
          <w:rFonts w:asciiTheme="minorEastAsia" w:hAnsiTheme="minorEastAsia" w:eastAsiaTheme="minorEastAsia"/>
          <w:sz w:val="24"/>
        </w:rPr>
        <w:t>事宜</w:t>
      </w:r>
      <w:r>
        <w:rPr>
          <w:rFonts w:hint="eastAsia" w:asciiTheme="minorEastAsia" w:hAnsiTheme="minorEastAsia" w:eastAsiaTheme="minorEastAsia"/>
          <w:sz w:val="24"/>
        </w:rPr>
        <w:t>；</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（十七）</w:t>
      </w:r>
      <w:r>
        <w:rPr>
          <w:rFonts w:asciiTheme="minorEastAsia" w:hAnsiTheme="minorEastAsia" w:eastAsiaTheme="minorEastAsia"/>
        </w:rPr>
        <w:t>不同供应商的响应文件载明的项目管理成员或者联系人员为同一人；</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（十八）</w:t>
      </w:r>
      <w:r>
        <w:rPr>
          <w:rFonts w:asciiTheme="minorEastAsia" w:hAnsiTheme="minorEastAsia" w:eastAsiaTheme="minorEastAsia"/>
        </w:rPr>
        <w:t>不同供应商的响应文件异常一致或者磋商报价呈规律性差异；</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（十九）不同供应商的响应文件相互混装；</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（二十）</w:t>
      </w:r>
      <w:r>
        <w:rPr>
          <w:rFonts w:cs="宋体"/>
        </w:rPr>
        <w:t>实质性要求（磋商文件中打“▲”内容）不响应的；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（二十一）</w:t>
      </w:r>
      <w:r>
        <w:rPr>
          <w:rFonts w:hint="eastAsia" w:asciiTheme="minorEastAsia" w:hAnsiTheme="minorEastAsia" w:eastAsiaTheme="minorEastAsia"/>
          <w:kern w:val="0"/>
          <w:sz w:val="24"/>
          <w:szCs w:val="24"/>
        </w:rPr>
        <w:t>商务条款不响应；</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（二十二）</w:t>
      </w:r>
      <w:r>
        <w:rPr>
          <w:rFonts w:hint="eastAsia" w:cs="宋体"/>
          <w:sz w:val="24"/>
          <w:szCs w:val="24"/>
        </w:rPr>
        <w:t>响应</w:t>
      </w:r>
      <w:r>
        <w:rPr>
          <w:rFonts w:hint="eastAsia" w:asciiTheme="minorEastAsia" w:hAnsiTheme="minorEastAsia" w:eastAsiaTheme="minorEastAsia"/>
          <w:kern w:val="0"/>
          <w:sz w:val="24"/>
          <w:szCs w:val="24"/>
        </w:rPr>
        <w:t>文件有效期不足的；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（二十三）</w:t>
      </w:r>
      <w:r>
        <w:rPr>
          <w:rFonts w:hint="eastAsia" w:asciiTheme="minorEastAsia" w:hAnsiTheme="minorEastAsia" w:eastAsiaTheme="minorEastAsia"/>
          <w:kern w:val="0"/>
          <w:sz w:val="24"/>
          <w:szCs w:val="24"/>
        </w:rPr>
        <w:t>逾期或未按要求提交</w:t>
      </w:r>
      <w:r>
        <w:rPr>
          <w:rFonts w:hint="eastAsia" w:cs="宋体"/>
          <w:sz w:val="24"/>
          <w:szCs w:val="24"/>
        </w:rPr>
        <w:t>响应</w:t>
      </w:r>
      <w:r>
        <w:rPr>
          <w:rFonts w:hint="eastAsia" w:asciiTheme="minorEastAsia" w:hAnsiTheme="minorEastAsia" w:eastAsiaTheme="minorEastAsia"/>
          <w:kern w:val="0"/>
          <w:sz w:val="24"/>
          <w:szCs w:val="24"/>
        </w:rPr>
        <w:t>文件的。</w:t>
      </w:r>
    </w:p>
    <w:p>
      <w:pPr>
        <w:autoSpaceDE w:val="0"/>
        <w:autoSpaceDN w:val="0"/>
        <w:adjustRightInd w:val="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（二十四）存在串标、抬标或弄虚作假情况的；</w:t>
      </w:r>
    </w:p>
    <w:p>
      <w:pPr>
        <w:autoSpaceDE w:val="0"/>
        <w:autoSpaceDN w:val="0"/>
        <w:adjustRightInd w:val="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（二十五）采购人拟采购的产品如属于品目清单范围内的强制采购品目的，供应商未</w:t>
      </w:r>
      <w:bookmarkStart w:id="37" w:name="_Toc33194398"/>
      <w:r>
        <w:rPr>
          <w:rFonts w:hint="eastAsia" w:asciiTheme="minorEastAsia" w:hAnsiTheme="minorEastAsia" w:eastAsiaTheme="minorEastAsia"/>
          <w:bCs/>
          <w:kern w:val="0"/>
          <w:sz w:val="24"/>
        </w:rPr>
        <w:t>能在响应文件中提供国家确定的认证机构出具的、处于有效期之内的该产品节能产品认证证书；</w:t>
      </w:r>
      <w:bookmarkEnd w:id="37"/>
    </w:p>
    <w:p>
      <w:pPr>
        <w:autoSpaceDE w:val="0"/>
        <w:autoSpaceDN w:val="0"/>
        <w:adjustRightInd w:val="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（二十六）违反国家及政府部门相关法律、法规、文件规定或经磋商小组认定的其他属于重大偏离。</w:t>
      </w:r>
    </w:p>
    <w:p>
      <w:pPr>
        <w:autoSpaceDE w:val="0"/>
        <w:autoSpaceDN w:val="0"/>
        <w:adjustRightIn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w:t>
      </w:r>
    </w:p>
    <w:p>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pPr>
        <w:pStyle w:val="20"/>
        <w:spacing w:before="0" w:beforeAutospacing="0" w:after="0" w:afterAutospacing="0" w:line="360" w:lineRule="auto"/>
        <w:ind w:firstLine="482" w:firstLineChars="200"/>
        <w:jc w:val="both"/>
        <w:rPr>
          <w:rFonts w:hint="default"/>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八、</w:t>
      </w:r>
      <w:r>
        <w:rPr>
          <w:b/>
          <w:bCs/>
          <w:color w:val="000000" w:themeColor="text1"/>
          <w14:textFill>
            <w14:solidFill>
              <w14:schemeClr w14:val="tx1"/>
            </w14:solidFill>
          </w14:textFill>
        </w:rPr>
        <w:t>政府采购政策落实</w:t>
      </w:r>
    </w:p>
    <w:p>
      <w:pPr>
        <w:autoSpaceDE w:val="0"/>
        <w:autoSpaceDN w:val="0"/>
        <w:adjustRightInd w:val="0"/>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（一）</w:t>
      </w:r>
      <w:r>
        <w:rPr>
          <w:rFonts w:hint="eastAsia" w:ascii="宋体"/>
          <w:color w:val="000000" w:themeColor="text1"/>
          <w:sz w:val="24"/>
          <w:lang w:val="zh-CN"/>
          <w14:textFill>
            <w14:solidFill>
              <w14:schemeClr w14:val="tx1"/>
            </w14:solidFill>
          </w14:textFill>
        </w:rPr>
        <w:t>政府采购政策及优惠：</w:t>
      </w:r>
    </w:p>
    <w:p>
      <w:pPr>
        <w:pStyle w:val="10"/>
        <w:spacing w:line="360" w:lineRule="auto"/>
        <w:ind w:firstLine="480" w:firstLineChars="200"/>
        <w:jc w:val="both"/>
        <w:rPr>
          <w:rFonts w:ascii="宋体" w:hAnsi="宋体" w:cs="宋体"/>
          <w:color w:val="000000" w:themeColor="text1"/>
          <w:sz w:val="24"/>
          <w:szCs w:val="22"/>
          <w:lang w:val="zh-CN"/>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r>
        <w:rPr>
          <w:rFonts w:hint="eastAsia" w:ascii="宋体" w:hAnsi="宋体" w:cs="宋体"/>
          <w:color w:val="000000" w:themeColor="text1"/>
          <w:sz w:val="24"/>
          <w:szCs w:val="22"/>
          <w14:textFill>
            <w14:solidFill>
              <w14:schemeClr w14:val="tx1"/>
            </w14:solidFill>
          </w14:textFill>
        </w:rPr>
        <w:br w:type="textWrapping"/>
      </w:r>
      <w:r>
        <w:rPr>
          <w:rFonts w:hint="eastAsia" w:ascii="宋体" w:hAnsi="宋体" w:cs="宋体"/>
          <w:color w:val="000000" w:themeColor="text1"/>
          <w:sz w:val="24"/>
          <w:szCs w:val="22"/>
          <w14:textFill>
            <w14:solidFill>
              <w14:schemeClr w14:val="tx1"/>
            </w14:solidFill>
          </w14:textFill>
        </w:rPr>
        <w:t xml:space="preserve">    2、监狱企业参加政府采购活动时，应当提供由省级以上监狱管理局、戒毒管理局（含新疆生产建设兵团）出具的属于监狱企业的证明文件，视同小型、微型企业，享受促进中小企业发展的政府采购政策。</w:t>
      </w:r>
      <w:r>
        <w:rPr>
          <w:rFonts w:hint="eastAsia" w:ascii="宋体" w:hAnsi="宋体" w:cs="宋体"/>
          <w:color w:val="000000" w:themeColor="text1"/>
          <w:sz w:val="24"/>
          <w:szCs w:val="22"/>
          <w14:textFill>
            <w14:solidFill>
              <w14:schemeClr w14:val="tx1"/>
            </w14:solidFill>
          </w14:textFill>
        </w:rPr>
        <w:br w:type="textWrapping"/>
      </w:r>
      <w:r>
        <w:rPr>
          <w:rFonts w:hint="eastAsia" w:ascii="宋体" w:hAnsi="宋体" w:cs="宋体"/>
          <w:color w:val="000000" w:themeColor="text1"/>
          <w:sz w:val="24"/>
          <w:szCs w:val="22"/>
          <w14:textFill>
            <w14:solidFill>
              <w14:schemeClr w14:val="tx1"/>
            </w14:solidFill>
          </w14:textFill>
        </w:rPr>
        <w:t xml:space="preserve">    3、符合条件的残疾人福利性单位在参加政府采购活动时，应提供《残疾人福利性单位声明函》（见附件），视同小型、微型企业，享受促进中小企业发展的政府采购政策。</w:t>
      </w:r>
    </w:p>
    <w:p>
      <w:pPr>
        <w:pStyle w:val="10"/>
        <w:spacing w:line="360" w:lineRule="auto"/>
        <w:ind w:firstLine="480" w:firstLineChars="200"/>
        <w:jc w:val="both"/>
        <w:rPr>
          <w:rFonts w:ascii="宋体" w:hAnsi="宋体" w:cs="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0"/>
        <w:spacing w:line="360" w:lineRule="auto"/>
        <w:ind w:firstLine="480" w:firstLineChars="200"/>
        <w:jc w:val="both"/>
        <w:rPr>
          <w:color w:val="000000" w:themeColor="text1"/>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响应文件解密后</w:t>
      </w:r>
      <w:r>
        <w:rPr>
          <w:rFonts w:asciiTheme="minorEastAsia" w:hAnsiTheme="minorEastAsia" w:eastAsiaTheme="minorEastAsia"/>
          <w:sz w:val="24"/>
        </w:rPr>
        <w:t>，采购人或采购组织机构依法对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的资格进行审查，对审查发现无效的进行必要的询标，</w:t>
      </w:r>
      <w:r>
        <w:rPr>
          <w:rFonts w:hint="eastAsia"/>
          <w:sz w:val="24"/>
        </w:rPr>
        <w:t>在政采云平台公布</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响应</w:t>
      </w:r>
      <w:r>
        <w:rPr>
          <w:rFonts w:asciiTheme="minorEastAsia" w:hAnsiTheme="minorEastAsia" w:eastAsiaTheme="minorEastAsia"/>
          <w:sz w:val="24"/>
        </w:rPr>
        <w:t>无效的原因。</w:t>
      </w:r>
    </w:p>
    <w:tbl>
      <w:tblPr>
        <w:tblStyle w:val="24"/>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9"/>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59" w:type="dxa"/>
            <w:vAlign w:val="center"/>
          </w:tcPr>
          <w:p>
            <w:pPr>
              <w:pStyle w:val="46"/>
              <w:spacing w:line="400" w:lineRule="exact"/>
              <w:ind w:right="146"/>
              <w:rPr>
                <w:szCs w:val="21"/>
              </w:rPr>
            </w:pPr>
            <w:r>
              <w:rPr>
                <w:rFonts w:hint="eastAsia"/>
                <w:szCs w:val="21"/>
              </w:rPr>
              <w:t>具有独立承担民事责任的能力</w:t>
            </w:r>
          </w:p>
        </w:tc>
        <w:tc>
          <w:tcPr>
            <w:tcW w:w="7423" w:type="dxa"/>
            <w:vAlign w:val="center"/>
          </w:tcPr>
          <w:p>
            <w:pPr>
              <w:pStyle w:val="46"/>
              <w:spacing w:line="400" w:lineRule="exact"/>
              <w:ind w:left="64" w:right="63" w:firstLine="420" w:firstLineChars="200"/>
              <w:rPr>
                <w:szCs w:val="21"/>
              </w:rPr>
            </w:pPr>
            <w:r>
              <w:rPr>
                <w:rFonts w:hint="eastAsia"/>
                <w:szCs w:val="21"/>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59" w:type="dxa"/>
            <w:shd w:val="clear" w:color="auto" w:fill="F6F6F6"/>
            <w:vAlign w:val="center"/>
          </w:tcPr>
          <w:p>
            <w:pPr>
              <w:pStyle w:val="46"/>
              <w:spacing w:line="400" w:lineRule="exact"/>
              <w:ind w:right="146"/>
              <w:rPr>
                <w:szCs w:val="21"/>
              </w:rPr>
            </w:pPr>
            <w:r>
              <w:rPr>
                <w:rFonts w:hint="eastAsia"/>
                <w:szCs w:val="21"/>
              </w:rPr>
              <w:t>有依法缴纳税收和社会保障资金的良好记录</w:t>
            </w:r>
          </w:p>
        </w:tc>
        <w:tc>
          <w:tcPr>
            <w:tcW w:w="7423" w:type="dxa"/>
            <w:shd w:val="clear" w:color="auto" w:fill="F6F6F6"/>
            <w:vAlign w:val="center"/>
          </w:tcPr>
          <w:p>
            <w:pPr>
              <w:pStyle w:val="46"/>
              <w:spacing w:line="400" w:lineRule="exact"/>
              <w:ind w:left="64" w:right="63" w:firstLine="420" w:firstLineChars="200"/>
              <w:rPr>
                <w:szCs w:val="21"/>
              </w:rPr>
            </w:pPr>
            <w:r>
              <w:rPr>
                <w:rFonts w:hint="eastAsia"/>
                <w:szCs w:val="21"/>
              </w:rPr>
              <w:t>提供磋商截止日前6个月内任意1个月依法缴纳税收和社会保障资金的相关材料。如依法免税或不需要缴纳社会保障资金的，提供相应证明材料。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jc w:val="center"/>
        </w:trPr>
        <w:tc>
          <w:tcPr>
            <w:tcW w:w="1659" w:type="dxa"/>
            <w:vAlign w:val="center"/>
          </w:tcPr>
          <w:p>
            <w:pPr>
              <w:pStyle w:val="46"/>
              <w:spacing w:line="400" w:lineRule="exact"/>
              <w:ind w:right="146"/>
              <w:rPr>
                <w:szCs w:val="21"/>
              </w:rPr>
            </w:pPr>
            <w:r>
              <w:rPr>
                <w:rFonts w:hint="eastAsia"/>
                <w:szCs w:val="21"/>
              </w:rPr>
              <w:t>具有良好的商业信誉和健全的财务会计制度</w:t>
            </w:r>
          </w:p>
        </w:tc>
        <w:tc>
          <w:tcPr>
            <w:tcW w:w="7423" w:type="dxa"/>
            <w:vAlign w:val="center"/>
          </w:tcPr>
          <w:p>
            <w:pPr>
              <w:pStyle w:val="46"/>
              <w:spacing w:line="400" w:lineRule="exact"/>
              <w:ind w:firstLine="480" w:firstLineChars="200"/>
              <w:rPr>
                <w:szCs w:val="21"/>
              </w:rPr>
            </w:pPr>
            <w:r>
              <w:rPr>
                <w:rFonts w:ascii="宋体" w:hAnsi="宋体" w:eastAsia="宋体" w:cs="宋体"/>
                <w:sz w:val="24"/>
                <w:szCs w:val="24"/>
              </w:rPr>
              <w:t>近一年内经审计的财务状况报告（或提供开户行出具的银行资信证明或担保机构的担保函扫描件)；提供投标截止日前6个月内任意1个月依法缴纳税收和社会保障资金的相关材料内依法缴纳税收（如依法免税的，应提供相应文件证明其依法免税）</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6" w:hRule="atLeast"/>
          <w:jc w:val="center"/>
        </w:trPr>
        <w:tc>
          <w:tcPr>
            <w:tcW w:w="1659" w:type="dxa"/>
            <w:shd w:val="clear" w:color="auto" w:fill="F6F6F6"/>
            <w:vAlign w:val="center"/>
          </w:tcPr>
          <w:p>
            <w:pPr>
              <w:pStyle w:val="46"/>
              <w:spacing w:line="400" w:lineRule="exact"/>
              <w:ind w:right="146"/>
              <w:rPr>
                <w:szCs w:val="21"/>
              </w:rPr>
            </w:pPr>
            <w:r>
              <w:rPr>
                <w:rFonts w:hint="eastAsia"/>
                <w:szCs w:val="21"/>
              </w:rPr>
              <w:t>履行合同所必需的设备和专业技术能力</w:t>
            </w:r>
          </w:p>
        </w:tc>
        <w:tc>
          <w:tcPr>
            <w:tcW w:w="7423" w:type="dxa"/>
            <w:shd w:val="clear" w:color="auto" w:fill="F6F6F6"/>
            <w:vAlign w:val="center"/>
          </w:tcPr>
          <w:p>
            <w:pPr>
              <w:pStyle w:val="46"/>
              <w:spacing w:line="400" w:lineRule="exact"/>
              <w:ind w:left="64" w:firstLine="420" w:firstLineChars="200"/>
              <w:rPr>
                <w:szCs w:val="21"/>
              </w:rPr>
            </w:pPr>
            <w:r>
              <w:rPr>
                <w:rFonts w:hint="eastAsia"/>
                <w:szCs w:val="21"/>
              </w:rPr>
              <w:t>按响应文件格式填报设备及专业技术能力情况。（根据附件5《供应商基本情况表》和附件6《项目实施人员一览表》填报）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5" w:hRule="atLeast"/>
          <w:jc w:val="center"/>
        </w:trPr>
        <w:tc>
          <w:tcPr>
            <w:tcW w:w="1659" w:type="dxa"/>
            <w:vAlign w:val="center"/>
          </w:tcPr>
          <w:p>
            <w:pPr>
              <w:pStyle w:val="46"/>
              <w:spacing w:line="400" w:lineRule="exact"/>
              <w:ind w:right="146"/>
              <w:rPr>
                <w:szCs w:val="21"/>
              </w:rPr>
            </w:pPr>
            <w:r>
              <w:rPr>
                <w:rFonts w:hint="eastAsia"/>
                <w:szCs w:val="21"/>
              </w:rPr>
              <w:t>参加采购活动前</w:t>
            </w:r>
            <w:r>
              <w:rPr>
                <w:rFonts w:hint="eastAsia"/>
                <w:w w:val="110"/>
                <w:szCs w:val="21"/>
              </w:rPr>
              <w:t>3</w:t>
            </w:r>
            <w:r>
              <w:rPr>
                <w:rFonts w:hint="eastAsia"/>
                <w:szCs w:val="21"/>
              </w:rPr>
              <w:t>年内，在经营活动中没有重大违法记录</w:t>
            </w:r>
          </w:p>
        </w:tc>
        <w:tc>
          <w:tcPr>
            <w:tcW w:w="7423" w:type="dxa"/>
            <w:vAlign w:val="center"/>
          </w:tcPr>
          <w:p>
            <w:pPr>
              <w:pStyle w:val="46"/>
              <w:spacing w:line="400" w:lineRule="exact"/>
              <w:ind w:left="64" w:right="63" w:firstLine="420" w:firstLineChars="200"/>
              <w:rPr>
                <w:szCs w:val="21"/>
              </w:rPr>
            </w:pPr>
            <w:r>
              <w:rPr>
                <w:rFonts w:hint="eastAsia"/>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jc w:val="center"/>
        </w:trPr>
        <w:tc>
          <w:tcPr>
            <w:tcW w:w="1659" w:type="dxa"/>
            <w:vAlign w:val="center"/>
          </w:tcPr>
          <w:p>
            <w:pPr>
              <w:pStyle w:val="46"/>
              <w:spacing w:line="400" w:lineRule="exact"/>
              <w:ind w:right="146"/>
              <w:rPr>
                <w:szCs w:val="21"/>
              </w:rPr>
            </w:pPr>
            <w:r>
              <w:rPr>
                <w:rFonts w:hint="eastAsia"/>
                <w:szCs w:val="21"/>
              </w:rPr>
              <w:t>供应商必须符合法律、行政法规规定的其他条件</w:t>
            </w:r>
          </w:p>
        </w:tc>
        <w:tc>
          <w:tcPr>
            <w:tcW w:w="7423" w:type="dxa"/>
            <w:vAlign w:val="center"/>
          </w:tcPr>
          <w:p>
            <w:pPr>
              <w:pStyle w:val="46"/>
              <w:spacing w:line="400" w:lineRule="exact"/>
              <w:ind w:right="63" w:firstLine="420" w:firstLineChars="200"/>
              <w:rPr>
                <w:spacing w:val="-3"/>
                <w:szCs w:val="21"/>
              </w:rPr>
            </w:pPr>
            <w:r>
              <w:rPr>
                <w:rFonts w:hint="eastAsia"/>
                <w:szCs w:val="21"/>
              </w:rPr>
              <w:t>1.单位负责人为同一人或者存在直接控股、管理关系的不同供应商，不得参加同一合同项下的政府采购活动</w:t>
            </w:r>
            <w:r>
              <w:rPr>
                <w:rFonts w:hint="eastAsia"/>
                <w:spacing w:val="-3"/>
                <w:szCs w:val="21"/>
              </w:rPr>
              <w:t>。</w:t>
            </w:r>
          </w:p>
          <w:p>
            <w:pPr>
              <w:pStyle w:val="46"/>
              <w:spacing w:line="400" w:lineRule="exact"/>
              <w:ind w:right="63" w:firstLine="408" w:firstLineChars="200"/>
              <w:rPr>
                <w:szCs w:val="21"/>
              </w:rPr>
            </w:pPr>
            <w:r>
              <w:rPr>
                <w:rFonts w:hint="eastAsia"/>
                <w:spacing w:val="-3"/>
                <w:szCs w:val="21"/>
              </w:rPr>
              <w:t>2.为本项目提供整体设计、规范编制或者项目管理、监理、检测等服务的供应商</w:t>
            </w:r>
            <w:r>
              <w:rPr>
                <w:rFonts w:hint="eastAsia"/>
                <w:spacing w:val="1"/>
                <w:szCs w:val="21"/>
              </w:rPr>
              <w:t>，不得再参与本项目磋商。</w:t>
            </w:r>
          </w:p>
          <w:p>
            <w:pPr>
              <w:pStyle w:val="46"/>
              <w:spacing w:line="400" w:lineRule="exact"/>
              <w:ind w:right="63" w:firstLine="424" w:firstLineChars="200"/>
              <w:rPr>
                <w:szCs w:val="21"/>
              </w:rPr>
            </w:pPr>
            <w:r>
              <w:rPr>
                <w:rFonts w:hint="eastAsia"/>
                <w:spacing w:val="1"/>
                <w:szCs w:val="21"/>
              </w:rPr>
              <w:t>3.</w:t>
            </w:r>
            <w:r>
              <w:rPr>
                <w:rFonts w:hint="eastAsia"/>
                <w:szCs w:val="21"/>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59" w:type="dxa"/>
            <w:shd w:val="clear" w:color="auto" w:fill="F6F6F6"/>
            <w:vAlign w:val="center"/>
          </w:tcPr>
          <w:p>
            <w:pPr>
              <w:pStyle w:val="46"/>
              <w:spacing w:line="400" w:lineRule="exact"/>
              <w:ind w:left="64"/>
              <w:rPr>
                <w:szCs w:val="21"/>
              </w:rPr>
            </w:pPr>
            <w:r>
              <w:rPr>
                <w:rFonts w:hint="eastAsia"/>
                <w:szCs w:val="21"/>
              </w:rPr>
              <w:t>联合体参与磋商</w:t>
            </w:r>
          </w:p>
        </w:tc>
        <w:tc>
          <w:tcPr>
            <w:tcW w:w="7423" w:type="dxa"/>
            <w:shd w:val="clear" w:color="auto" w:fill="F6F6F6"/>
            <w:vAlign w:val="center"/>
          </w:tcPr>
          <w:p>
            <w:pPr>
              <w:pStyle w:val="46"/>
              <w:spacing w:line="400" w:lineRule="exact"/>
              <w:rPr>
                <w:szCs w:val="21"/>
              </w:rPr>
            </w:pPr>
            <w:r>
              <w:rPr>
                <w:rFonts w:hint="eastAsia"/>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59" w:type="dxa"/>
            <w:shd w:val="clear" w:color="auto" w:fill="F6F6F6"/>
            <w:vAlign w:val="center"/>
          </w:tcPr>
          <w:p>
            <w:pPr>
              <w:pStyle w:val="46"/>
              <w:spacing w:line="400" w:lineRule="exact"/>
              <w:ind w:right="14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落实政府采购政策需满足的资格要求</w:t>
            </w:r>
          </w:p>
        </w:tc>
        <w:tc>
          <w:tcPr>
            <w:tcW w:w="7423" w:type="dxa"/>
            <w:shd w:val="clear" w:color="auto" w:fill="F6F6F6"/>
            <w:vAlign w:val="center"/>
          </w:tcPr>
          <w:p>
            <w:pPr>
              <w:pStyle w:val="46"/>
              <w:spacing w:line="400" w:lineRule="exact"/>
              <w:ind w:right="63"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1659" w:type="dxa"/>
            <w:shd w:val="clear" w:color="auto" w:fill="F6F6F6"/>
            <w:vAlign w:val="center"/>
          </w:tcPr>
          <w:p>
            <w:pPr>
              <w:pStyle w:val="46"/>
              <w:spacing w:line="400" w:lineRule="exact"/>
              <w:ind w:right="146"/>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中小企业</w:t>
            </w:r>
            <w:r>
              <w:rPr>
                <w:rFonts w:hint="eastAsia"/>
                <w:color w:val="000000" w:themeColor="text1"/>
                <w:szCs w:val="21"/>
                <w:lang w:eastAsia="zh-CN"/>
                <w14:textFill>
                  <w14:solidFill>
                    <w14:schemeClr w14:val="tx1"/>
                  </w14:solidFill>
                </w14:textFill>
              </w:rPr>
              <w:t>声明</w:t>
            </w:r>
          </w:p>
        </w:tc>
        <w:tc>
          <w:tcPr>
            <w:tcW w:w="7423" w:type="dxa"/>
            <w:shd w:val="clear" w:color="auto" w:fill="F6F6F6"/>
            <w:vAlign w:val="center"/>
          </w:tcPr>
          <w:p>
            <w:pPr>
              <w:pStyle w:val="46"/>
              <w:spacing w:line="400" w:lineRule="exact"/>
              <w:ind w:right="63" w:firstLine="420" w:firstLineChars="200"/>
              <w:rPr>
                <w:rFonts w:hint="eastAsia"/>
                <w:color w:val="000000" w:themeColor="text1"/>
                <w:szCs w:val="21"/>
                <w14:textFill>
                  <w14:solidFill>
                    <w14:schemeClr w14:val="tx1"/>
                  </w14:solidFill>
                </w14:textFill>
              </w:rPr>
            </w:pPr>
            <w:r>
              <w:rPr>
                <w:rFonts w:hint="eastAsia"/>
                <w:szCs w:val="21"/>
              </w:rPr>
              <w:t>中小企业声明函</w:t>
            </w:r>
            <w:r>
              <w:rPr>
                <w:rFonts w:hint="eastAsia"/>
                <w:szCs w:val="21"/>
                <w:lang w:eastAsia="zh-CN"/>
              </w:rPr>
              <w:t>或</w:t>
            </w:r>
            <w:r>
              <w:rPr>
                <w:rFonts w:hint="eastAsia"/>
                <w:szCs w:val="21"/>
                <w:lang w:val="en-GB"/>
              </w:rPr>
              <w:t>残疾人福利性单位声明函</w:t>
            </w:r>
            <w:r>
              <w:rPr>
                <w:rFonts w:hint="eastAsia"/>
                <w:szCs w:val="21"/>
                <w:lang w:val="en-GB" w:eastAsia="zh-CN"/>
              </w:rPr>
              <w:t>或监狱企业证明文件。</w:t>
            </w:r>
          </w:p>
        </w:tc>
      </w:tr>
    </w:tbl>
    <w:p>
      <w:pPr>
        <w:pStyle w:val="10"/>
        <w:spacing w:line="360" w:lineRule="auto"/>
        <w:ind w:firstLine="422" w:firstLineChars="200"/>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（二）</w:t>
      </w:r>
      <w:r>
        <w:rPr>
          <w:rFonts w:asciiTheme="minorEastAsia" w:hAnsiTheme="minorEastAsia" w:eastAsiaTheme="minorEastAsia"/>
          <w:b/>
          <w:bCs/>
          <w:color w:val="000000" w:themeColor="text1"/>
          <w14:textFill>
            <w14:solidFill>
              <w14:schemeClr w14:val="tx1"/>
            </w14:solidFill>
          </w14:textFill>
        </w:rPr>
        <w:t>符合性审查</w:t>
      </w:r>
    </w:p>
    <w:p>
      <w:pPr>
        <w:pStyle w:val="1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应当对符合资格的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响应文件</w:t>
      </w:r>
      <w:r>
        <w:rPr>
          <w:rFonts w:asciiTheme="minorEastAsia" w:hAnsiTheme="minorEastAsia" w:eastAsiaTheme="minorEastAsia"/>
          <w:color w:val="000000" w:themeColor="text1"/>
          <w:sz w:val="24"/>
          <w14:textFill>
            <w14:solidFill>
              <w14:schemeClr w14:val="tx1"/>
            </w14:solidFill>
          </w14:textFill>
        </w:rPr>
        <w:t>进行符合性审查，以确定其是否满足</w:t>
      </w:r>
      <w:r>
        <w:rPr>
          <w:rFonts w:hint="eastAsia" w:asciiTheme="minorEastAsia" w:hAnsiTheme="minorEastAsia" w:eastAsiaTheme="minorEastAsia"/>
          <w:color w:val="000000" w:themeColor="text1"/>
          <w:sz w:val="24"/>
          <w14:textFill>
            <w14:solidFill>
              <w14:schemeClr w14:val="tx1"/>
            </w14:solidFill>
          </w14:textFill>
        </w:rPr>
        <w:t>磋商文件</w:t>
      </w:r>
      <w:r>
        <w:rPr>
          <w:rFonts w:asciiTheme="minorEastAsia" w:hAnsiTheme="minorEastAsia" w:eastAsiaTheme="minorEastAsia"/>
          <w:color w:val="000000" w:themeColor="text1"/>
          <w:sz w:val="24"/>
          <w14:textFill>
            <w14:solidFill>
              <w14:schemeClr w14:val="tx1"/>
            </w14:solidFill>
          </w14:textFill>
        </w:rPr>
        <w:t>的实质性要求，对审查发现无效的进行必要的询标，</w:t>
      </w:r>
      <w:r>
        <w:rPr>
          <w:rFonts w:hint="eastAsia"/>
          <w:color w:val="000000" w:themeColor="text1"/>
          <w:sz w:val="24"/>
          <w14:textFill>
            <w14:solidFill>
              <w14:schemeClr w14:val="tx1"/>
            </w14:solidFill>
          </w14:textFill>
        </w:rPr>
        <w:t>对</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及响应</w:t>
      </w:r>
      <w:r>
        <w:rPr>
          <w:rFonts w:asciiTheme="minorEastAsia" w:hAnsiTheme="minorEastAsia" w:eastAsiaTheme="minorEastAsia"/>
          <w:color w:val="000000" w:themeColor="text1"/>
          <w:sz w:val="24"/>
          <w14:textFill>
            <w14:solidFill>
              <w14:schemeClr w14:val="tx1"/>
            </w14:solidFill>
          </w14:textFill>
        </w:rPr>
        <w:t>无效原因</w:t>
      </w:r>
      <w:r>
        <w:rPr>
          <w:rFonts w:hint="eastAsia" w:asciiTheme="minorEastAsia" w:hAnsiTheme="minorEastAsia" w:eastAsiaTheme="minorEastAsia"/>
          <w:color w:val="000000" w:themeColor="text1"/>
          <w:sz w:val="24"/>
          <w14:textFill>
            <w14:solidFill>
              <w14:schemeClr w14:val="tx1"/>
            </w14:solidFill>
          </w14:textFill>
        </w:rPr>
        <w:t>的公布方式同上。</w:t>
      </w:r>
    </w:p>
    <w:tbl>
      <w:tblPr>
        <w:tblStyle w:val="24"/>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8"/>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2408" w:type="dxa"/>
            <w:vAlign w:val="center"/>
          </w:tcPr>
          <w:p>
            <w:pPr>
              <w:pStyle w:val="46"/>
              <w:spacing w:line="4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w:t>
            </w:r>
          </w:p>
        </w:tc>
        <w:tc>
          <w:tcPr>
            <w:tcW w:w="6875" w:type="dxa"/>
            <w:vAlign w:val="center"/>
          </w:tcPr>
          <w:p>
            <w:pPr>
              <w:pStyle w:val="46"/>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jc w:val="center"/>
        </w:trPr>
        <w:tc>
          <w:tcPr>
            <w:tcW w:w="2408" w:type="dxa"/>
            <w:shd w:val="clear" w:color="auto" w:fill="F6F6F6"/>
            <w:vAlign w:val="center"/>
          </w:tcPr>
          <w:p>
            <w:pPr>
              <w:pStyle w:val="46"/>
              <w:spacing w:line="4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法定代表人/负责人资格证明书及授权委托书</w:t>
            </w:r>
          </w:p>
        </w:tc>
        <w:tc>
          <w:tcPr>
            <w:tcW w:w="6875" w:type="dxa"/>
            <w:shd w:val="clear" w:color="auto" w:fill="F6F6F6"/>
            <w:vAlign w:val="center"/>
          </w:tcPr>
          <w:p>
            <w:pPr>
              <w:pStyle w:val="46"/>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408" w:type="dxa"/>
            <w:vAlign w:val="center"/>
          </w:tcPr>
          <w:p>
            <w:pPr>
              <w:pStyle w:val="46"/>
              <w:spacing w:line="4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w:t>
            </w:r>
          </w:p>
        </w:tc>
        <w:tc>
          <w:tcPr>
            <w:tcW w:w="6875" w:type="dxa"/>
            <w:vAlign w:val="center"/>
          </w:tcPr>
          <w:p>
            <w:pPr>
              <w:pStyle w:val="46"/>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408" w:type="dxa"/>
            <w:vAlign w:val="center"/>
          </w:tcPr>
          <w:p>
            <w:pPr>
              <w:pStyle w:val="46"/>
              <w:spacing w:line="400" w:lineRule="exact"/>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附加条件</w:t>
            </w:r>
          </w:p>
        </w:tc>
        <w:tc>
          <w:tcPr>
            <w:tcW w:w="6875" w:type="dxa"/>
            <w:vAlign w:val="center"/>
          </w:tcPr>
          <w:p>
            <w:pPr>
              <w:pStyle w:val="46"/>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响应文件未含有采购人不可接受的附加条件。</w:t>
            </w:r>
          </w:p>
        </w:tc>
      </w:tr>
    </w:tbl>
    <w:p>
      <w:pPr>
        <w:autoSpaceDE w:val="0"/>
        <w:autoSpaceDN w:val="0"/>
        <w:spacing w:line="360" w:lineRule="auto"/>
        <w:ind w:firstLine="482" w:firstLineChars="200"/>
        <w:rPr>
          <w:rFonts w:asciiTheme="minorEastAsia" w:hAnsiTheme="minorEastAsia" w:eastAsiaTheme="minorEastAsia"/>
          <w:b/>
          <w:bCs/>
          <w:color w:val="FF0000"/>
          <w:kern w:val="0"/>
          <w:sz w:val="24"/>
        </w:rPr>
      </w:pPr>
      <w:r>
        <w:rPr>
          <w:rFonts w:hint="eastAsia" w:asciiTheme="minorEastAsia" w:hAnsiTheme="minorEastAsia" w:eastAsiaTheme="minorEastAsia"/>
          <w:b/>
          <w:bCs/>
          <w:color w:val="000000" w:themeColor="text1"/>
          <w:kern w:val="0"/>
          <w:sz w:val="24"/>
          <w14:textFill>
            <w14:solidFill>
              <w14:schemeClr w14:val="tx1"/>
            </w14:solidFill>
          </w14:textFill>
        </w:rPr>
        <w:t>（三）</w:t>
      </w:r>
      <w:r>
        <w:rPr>
          <w:rFonts w:hint="eastAsia" w:asciiTheme="minorEastAsia" w:hAnsiTheme="minorEastAsia" w:eastAsiaTheme="minorEastAsia"/>
          <w:b/>
          <w:bCs/>
          <w:color w:val="000000" w:themeColor="text1"/>
          <w:sz w:val="24"/>
          <w14:textFill>
            <w14:solidFill>
              <w14:schemeClr w14:val="tx1"/>
            </w14:solidFill>
          </w14:textFill>
        </w:rPr>
        <w:t>商务技术及价格评审</w:t>
      </w:r>
    </w:p>
    <w:p>
      <w:pPr>
        <w:autoSpaceDE w:val="0"/>
        <w:autoSpaceDN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本项目评审方法为综合评分法，总计100分，评</w:t>
      </w:r>
      <w:r>
        <w:rPr>
          <w:rFonts w:hint="eastAsia" w:asciiTheme="minorEastAsia" w:hAnsiTheme="minorEastAsia" w:eastAsiaTheme="minorEastAsia"/>
          <w:color w:val="000000" w:themeColor="text1"/>
          <w:sz w:val="24"/>
          <w14:textFill>
            <w14:solidFill>
              <w14:schemeClr w14:val="tx1"/>
            </w14:solidFill>
          </w14:textFill>
        </w:rPr>
        <w:t>审</w:t>
      </w:r>
      <w:r>
        <w:rPr>
          <w:rFonts w:hint="eastAsia" w:asciiTheme="minorEastAsia" w:hAnsiTheme="minorEastAsia" w:eastAsiaTheme="minorEastAsia"/>
          <w:color w:val="000000" w:themeColor="text1"/>
          <w:kern w:val="0"/>
          <w:sz w:val="24"/>
          <w14:textFill>
            <w14:solidFill>
              <w14:schemeClr w14:val="tx1"/>
            </w14:solidFill>
          </w14:textFill>
        </w:rPr>
        <w:t>按以下标准及要求进行：</w:t>
      </w:r>
    </w:p>
    <w:p>
      <w:pPr>
        <w:numPr>
          <w:ilvl w:val="0"/>
          <w:numId w:val="10"/>
        </w:numPr>
        <w:autoSpaceDE w:val="0"/>
        <w:autoSpaceDN w:val="0"/>
        <w:adjustRightInd w:val="0"/>
        <w:spacing w:line="360" w:lineRule="auto"/>
        <w:ind w:right="85" w:firstLine="482" w:firstLineChars="20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24"/>
        <w:tblW w:w="9313" w:type="dxa"/>
        <w:jc w:val="center"/>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33"/>
        <w:gridCol w:w="900"/>
        <w:gridCol w:w="170"/>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560" w:type="dxa"/>
            <w:gridSpan w:val="3"/>
            <w:shd w:val="clear" w:color="auto" w:fill="auto"/>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themeColor="text1"/>
                <w:sz w:val="21"/>
                <w:szCs w:val="21"/>
                <w14:textFill>
                  <w14:solidFill>
                    <w14:schemeClr w14:val="tx1"/>
                  </w14:solidFill>
                </w14:textFill>
              </w:rPr>
              <w:t>分值构成</w:t>
            </w:r>
          </w:p>
        </w:tc>
        <w:tc>
          <w:tcPr>
            <w:tcW w:w="6753" w:type="dxa"/>
            <w:gridSpan w:val="2"/>
            <w:shd w:val="clear" w:color="auto" w:fill="auto"/>
            <w:vAlign w:val="center"/>
          </w:tcPr>
          <w:p>
            <w:pPr>
              <w:rPr>
                <w:rFonts w:hint="eastAsia" w:ascii="宋体" w:hAnsi="宋体" w:eastAsia="宋体" w:cs="宋体"/>
                <w:b/>
                <w:color w:val="000000"/>
                <w:sz w:val="21"/>
                <w:szCs w:val="21"/>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商务</w:t>
            </w:r>
            <w:r>
              <w:rPr>
                <w:rFonts w:hint="eastAsia" w:ascii="宋体" w:hAnsi="宋体" w:eastAsia="宋体" w:cs="宋体"/>
                <w:b/>
                <w:color w:val="000000" w:themeColor="text1"/>
                <w:sz w:val="21"/>
                <w:szCs w:val="21"/>
                <w14:textFill>
                  <w14:solidFill>
                    <w14:schemeClr w14:val="tx1"/>
                  </w14:solidFill>
                </w14:textFill>
              </w:rPr>
              <w:t>部分</w:t>
            </w:r>
            <w:r>
              <w:rPr>
                <w:rFonts w:hint="eastAsia" w:ascii="宋体" w:hAnsi="宋体" w:eastAsia="宋体" w:cs="宋体"/>
                <w:b/>
                <w:color w:val="000000" w:themeColor="text1"/>
                <w:sz w:val="21"/>
                <w:szCs w:val="21"/>
                <w:lang w:val="en-US" w:eastAsia="zh-CN"/>
                <w14:textFill>
                  <w14:solidFill>
                    <w14:schemeClr w14:val="tx1"/>
                  </w14:solidFill>
                </w14:textFill>
              </w:rPr>
              <w:t>24</w:t>
            </w:r>
            <w:r>
              <w:rPr>
                <w:rFonts w:hint="eastAsia" w:ascii="宋体" w:hAnsi="宋体" w:eastAsia="宋体" w:cs="宋体"/>
                <w:b/>
                <w:color w:val="000000" w:themeColor="text1"/>
                <w:sz w:val="21"/>
                <w:szCs w:val="21"/>
                <w14:textFill>
                  <w14:solidFill>
                    <w14:schemeClr w14:val="tx1"/>
                  </w14:solidFill>
                </w14:textFill>
              </w:rPr>
              <w:t>分； 2、</w:t>
            </w:r>
            <w:r>
              <w:rPr>
                <w:rFonts w:hint="eastAsia" w:ascii="宋体" w:hAnsi="宋体" w:eastAsia="宋体" w:cs="宋体"/>
                <w:b/>
                <w:color w:val="000000" w:themeColor="text1"/>
                <w:sz w:val="21"/>
                <w:szCs w:val="21"/>
                <w:lang w:eastAsia="zh-CN"/>
                <w14:textFill>
                  <w14:solidFill>
                    <w14:schemeClr w14:val="tx1"/>
                  </w14:solidFill>
                </w14:textFill>
              </w:rPr>
              <w:t>技术</w:t>
            </w:r>
            <w:r>
              <w:rPr>
                <w:rFonts w:hint="eastAsia" w:ascii="宋体" w:hAnsi="宋体" w:eastAsia="宋体" w:cs="宋体"/>
                <w:b/>
                <w:color w:val="000000" w:themeColor="text1"/>
                <w:sz w:val="21"/>
                <w:szCs w:val="21"/>
                <w14:textFill>
                  <w14:solidFill>
                    <w14:schemeClr w14:val="tx1"/>
                  </w14:solidFill>
                </w14:textFill>
              </w:rPr>
              <w:t>部分</w:t>
            </w:r>
            <w:r>
              <w:rPr>
                <w:rFonts w:hint="eastAsia" w:ascii="宋体" w:hAnsi="宋体" w:eastAsia="宋体" w:cs="宋体"/>
                <w:b/>
                <w:color w:val="000000" w:themeColor="text1"/>
                <w:sz w:val="21"/>
                <w:szCs w:val="21"/>
                <w:lang w:val="en-US" w:eastAsia="zh-CN"/>
                <w14:textFill>
                  <w14:solidFill>
                    <w14:schemeClr w14:val="tx1"/>
                  </w14:solidFill>
                </w14:textFill>
              </w:rPr>
              <w:t>46</w:t>
            </w:r>
            <w:r>
              <w:rPr>
                <w:rFonts w:hint="eastAsia" w:ascii="宋体" w:hAnsi="宋体" w:eastAsia="宋体" w:cs="宋体"/>
                <w:b/>
                <w:color w:val="000000" w:themeColor="text1"/>
                <w:sz w:val="21"/>
                <w:szCs w:val="21"/>
                <w14:textFill>
                  <w14:solidFill>
                    <w14:schemeClr w14:val="tx1"/>
                  </w14:solidFill>
                </w14:textFill>
              </w:rPr>
              <w:t>分； 3、报价得分30分。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313" w:type="dxa"/>
            <w:gridSpan w:val="5"/>
            <w:vAlign w:val="center"/>
          </w:tcPr>
          <w:p>
            <w:pPr>
              <w:spacing w:before="120" w:line="24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评分标准、评价内容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827" w:type="dxa"/>
            <w:vMerge w:val="restart"/>
            <w:vAlign w:val="center"/>
          </w:tcPr>
          <w:p>
            <w:pPr>
              <w:spacing w:before="120" w:line="24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商务</w:t>
            </w:r>
          </w:p>
          <w:p>
            <w:pPr>
              <w:spacing w:before="120" w:line="24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24</w:t>
            </w:r>
            <w:r>
              <w:rPr>
                <w:rFonts w:hint="eastAsia" w:ascii="宋体" w:hAnsi="宋体" w:eastAsia="宋体" w:cs="宋体"/>
                <w:b/>
                <w:color w:val="000000"/>
                <w:sz w:val="21"/>
                <w:szCs w:val="21"/>
              </w:rPr>
              <w:t>分</w:t>
            </w:r>
          </w:p>
        </w:tc>
        <w:tc>
          <w:tcPr>
            <w:tcW w:w="1903" w:type="dxa"/>
            <w:gridSpan w:val="3"/>
            <w:vAlign w:val="center"/>
          </w:tcPr>
          <w:p>
            <w:pPr>
              <w:spacing w:line="260" w:lineRule="atLeast"/>
              <w:rPr>
                <w:rFonts w:hint="eastAsia" w:ascii="宋体" w:hAnsi="宋体" w:eastAsia="宋体" w:cs="宋体"/>
                <w:bCs/>
                <w:sz w:val="21"/>
                <w:szCs w:val="21"/>
              </w:rPr>
            </w:pPr>
            <w:r>
              <w:rPr>
                <w:rFonts w:hint="eastAsia" w:ascii="宋体" w:hAnsi="宋体" w:eastAsia="宋体" w:cs="宋体"/>
                <w:bCs/>
                <w:sz w:val="21"/>
                <w:szCs w:val="21"/>
              </w:rPr>
              <w:t>成功案例及业绩</w:t>
            </w:r>
          </w:p>
          <w:p>
            <w:pPr>
              <w:spacing w:line="260" w:lineRule="atLeas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tc>
        <w:tc>
          <w:tcPr>
            <w:tcW w:w="6583" w:type="dxa"/>
            <w:vAlign w:val="center"/>
          </w:tcPr>
          <w:p>
            <w:pPr>
              <w:spacing w:line="300" w:lineRule="auto"/>
              <w:jc w:val="both"/>
              <w:rPr>
                <w:rFonts w:hint="eastAsia" w:ascii="宋体" w:hAnsi="宋体" w:eastAsia="宋体" w:cs="宋体"/>
                <w:bCs/>
                <w:sz w:val="21"/>
                <w:szCs w:val="21"/>
              </w:rPr>
            </w:pPr>
            <w:r>
              <w:rPr>
                <w:rFonts w:hint="eastAsia" w:ascii="宋体" w:hAnsi="宋体" w:eastAsia="宋体" w:cs="宋体"/>
                <w:sz w:val="21"/>
                <w:szCs w:val="21"/>
                <w:lang w:bidi="en-US"/>
              </w:rPr>
              <w:t>以供应商近三年类似项目（201</w:t>
            </w:r>
            <w:r>
              <w:rPr>
                <w:rFonts w:hint="eastAsia" w:ascii="宋体" w:hAnsi="宋体" w:eastAsia="宋体" w:cs="宋体"/>
                <w:sz w:val="21"/>
                <w:szCs w:val="21"/>
                <w:lang w:val="en-US" w:eastAsia="zh-CN" w:bidi="en-US"/>
              </w:rPr>
              <w:t>9</w:t>
            </w:r>
            <w:r>
              <w:rPr>
                <w:rFonts w:hint="eastAsia" w:ascii="宋体" w:hAnsi="宋体" w:eastAsia="宋体" w:cs="宋体"/>
                <w:sz w:val="21"/>
                <w:szCs w:val="21"/>
                <w:lang w:bidi="en-US"/>
              </w:rPr>
              <w:t>年</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月1日及以后）的业绩进行评价。每提供一份得</w:t>
            </w:r>
            <w:r>
              <w:rPr>
                <w:rFonts w:hint="eastAsia" w:ascii="宋体" w:hAnsi="宋体" w:eastAsia="宋体" w:cs="宋体"/>
                <w:sz w:val="21"/>
                <w:szCs w:val="21"/>
                <w:lang w:val="en-US" w:eastAsia="zh-CN" w:bidi="en-US"/>
              </w:rPr>
              <w:t>1</w:t>
            </w:r>
            <w:r>
              <w:rPr>
                <w:rFonts w:hint="eastAsia" w:ascii="宋体" w:hAnsi="宋体" w:eastAsia="宋体" w:cs="宋体"/>
                <w:sz w:val="21"/>
                <w:szCs w:val="21"/>
                <w:lang w:bidi="en-US"/>
              </w:rPr>
              <w:t>分,最高得</w:t>
            </w:r>
            <w:r>
              <w:rPr>
                <w:rFonts w:hint="eastAsia" w:ascii="宋体" w:hAnsi="宋体" w:eastAsia="宋体" w:cs="宋体"/>
                <w:sz w:val="21"/>
                <w:szCs w:val="21"/>
                <w:lang w:val="en-US" w:eastAsia="zh-CN" w:bidi="en-US"/>
              </w:rPr>
              <w:t>3</w:t>
            </w:r>
            <w:r>
              <w:rPr>
                <w:rFonts w:hint="eastAsia" w:ascii="宋体" w:hAnsi="宋体" w:eastAsia="宋体" w:cs="宋体"/>
                <w:sz w:val="21"/>
                <w:szCs w:val="21"/>
                <w:lang w:bidi="en-US"/>
              </w:rPr>
              <w:t>分</w:t>
            </w:r>
            <w:r>
              <w:rPr>
                <w:rFonts w:hint="eastAsia" w:ascii="宋体" w:hAnsi="宋体" w:eastAsia="宋体" w:cs="宋体"/>
                <w:sz w:val="21"/>
                <w:szCs w:val="21"/>
                <w:lang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1903" w:type="dxa"/>
            <w:gridSpan w:val="3"/>
            <w:vMerge w:val="restart"/>
            <w:vAlign w:val="center"/>
          </w:tcPr>
          <w:p>
            <w:pPr>
              <w:spacing w:line="260" w:lineRule="atLeast"/>
              <w:rPr>
                <w:rFonts w:hint="eastAsia" w:ascii="宋体" w:hAnsi="宋体" w:eastAsia="宋体" w:cs="宋体"/>
                <w:bCs/>
                <w:sz w:val="21"/>
                <w:szCs w:val="21"/>
              </w:rPr>
            </w:pPr>
            <w:r>
              <w:rPr>
                <w:rFonts w:hint="eastAsia" w:ascii="宋体" w:hAnsi="宋体" w:eastAsia="宋体" w:cs="宋体"/>
                <w:bCs/>
                <w:sz w:val="21"/>
                <w:szCs w:val="21"/>
                <w:lang w:bidi="en-US"/>
              </w:rPr>
              <w:t>公司资质</w:t>
            </w:r>
            <w:r>
              <w:rPr>
                <w:rFonts w:hint="eastAsia" w:ascii="宋体" w:hAnsi="宋体" w:eastAsia="宋体" w:cs="宋体"/>
                <w:bCs/>
                <w:sz w:val="21"/>
                <w:szCs w:val="21"/>
                <w:lang w:val="en-US" w:eastAsia="zh-CN"/>
              </w:rPr>
              <w:t>7</w:t>
            </w:r>
            <w:r>
              <w:rPr>
                <w:rFonts w:hint="eastAsia" w:ascii="宋体" w:hAnsi="宋体" w:eastAsia="宋体" w:cs="宋体"/>
                <w:bCs/>
                <w:sz w:val="21"/>
                <w:szCs w:val="21"/>
              </w:rPr>
              <w:t>分</w:t>
            </w:r>
          </w:p>
        </w:tc>
        <w:tc>
          <w:tcPr>
            <w:tcW w:w="6583" w:type="dxa"/>
            <w:vAlign w:val="center"/>
          </w:tcPr>
          <w:p>
            <w:pPr>
              <w:spacing w:line="300" w:lineRule="auto"/>
              <w:jc w:val="both"/>
              <w:rPr>
                <w:rFonts w:hint="eastAsia" w:ascii="宋体" w:hAnsi="宋体" w:eastAsia="宋体" w:cs="宋体"/>
                <w:sz w:val="21"/>
                <w:szCs w:val="21"/>
                <w:lang w:bidi="en-US"/>
              </w:rPr>
            </w:pPr>
            <w:r>
              <w:rPr>
                <w:rFonts w:hint="eastAsia" w:ascii="宋体" w:hAnsi="宋体" w:eastAsia="宋体" w:cs="宋体"/>
                <w:sz w:val="21"/>
                <w:szCs w:val="21"/>
                <w:lang w:val="en-US" w:eastAsia="zh-CN" w:bidi="en-US"/>
              </w:rPr>
              <w:t>投标人提供所投“数字化运营管理平台”制造厂商具备信息安全管理体系认证证书</w:t>
            </w:r>
            <w:r>
              <w:rPr>
                <w:rFonts w:hint="eastAsia" w:ascii="宋体" w:hAnsi="宋体" w:eastAsia="宋体" w:cs="宋体"/>
                <w:sz w:val="21"/>
                <w:szCs w:val="21"/>
                <w:lang w:bidi="en-US"/>
              </w:rPr>
              <w:t>得</w:t>
            </w:r>
            <w:r>
              <w:rPr>
                <w:rFonts w:hint="eastAsia" w:ascii="宋体" w:hAnsi="宋体" w:eastAsia="宋体" w:cs="宋体"/>
                <w:sz w:val="21"/>
                <w:szCs w:val="21"/>
                <w:lang w:val="en-US" w:eastAsia="zh-CN" w:bidi="en-US"/>
              </w:rPr>
              <w:t>2</w:t>
            </w:r>
            <w:r>
              <w:rPr>
                <w:rFonts w:hint="eastAsia" w:ascii="宋体" w:hAnsi="宋体" w:eastAsia="宋体" w:cs="宋体"/>
                <w:sz w:val="21"/>
                <w:szCs w:val="21"/>
                <w:lang w:bidi="en-US"/>
              </w:rPr>
              <w:t>分</w:t>
            </w:r>
            <w:r>
              <w:rPr>
                <w:rFonts w:hint="eastAsia" w:ascii="宋体" w:hAnsi="宋体" w:eastAsia="宋体" w:cs="宋体"/>
                <w:sz w:val="21"/>
                <w:szCs w:val="21"/>
                <w:lang w:val="en-US" w:eastAsia="zh-CN" w:bidi="en-US"/>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1903" w:type="dxa"/>
            <w:gridSpan w:val="3"/>
            <w:vMerge w:val="continue"/>
            <w:vAlign w:val="center"/>
          </w:tcPr>
          <w:p>
            <w:pPr>
              <w:spacing w:line="260" w:lineRule="atLeast"/>
              <w:rPr>
                <w:rFonts w:hint="eastAsia" w:ascii="宋体" w:hAnsi="宋体" w:eastAsia="宋体" w:cs="宋体"/>
                <w:bCs/>
                <w:sz w:val="21"/>
                <w:szCs w:val="21"/>
              </w:rPr>
            </w:pPr>
          </w:p>
        </w:tc>
        <w:tc>
          <w:tcPr>
            <w:tcW w:w="6583" w:type="dxa"/>
            <w:vAlign w:val="center"/>
          </w:tcPr>
          <w:p>
            <w:pPr>
              <w:spacing w:line="300" w:lineRule="auto"/>
              <w:jc w:val="both"/>
              <w:rPr>
                <w:rFonts w:hint="eastAsia" w:ascii="宋体" w:hAnsi="宋体" w:eastAsia="宋体" w:cs="宋体"/>
                <w:sz w:val="21"/>
                <w:szCs w:val="21"/>
                <w:lang w:bidi="en-US"/>
              </w:rPr>
            </w:pPr>
            <w:r>
              <w:rPr>
                <w:rFonts w:hint="eastAsia" w:ascii="宋体" w:hAnsi="宋体" w:eastAsia="宋体" w:cs="宋体"/>
                <w:sz w:val="21"/>
                <w:szCs w:val="21"/>
                <w:lang w:val="en-US" w:eastAsia="zh-CN" w:bidi="en-US"/>
              </w:rPr>
              <w:t>投标人提供所投“数字化运营管理平台”软件著作权登记证书</w:t>
            </w:r>
            <w:r>
              <w:rPr>
                <w:rFonts w:hint="eastAsia" w:ascii="宋体" w:hAnsi="宋体" w:eastAsia="宋体" w:cs="宋体"/>
                <w:sz w:val="21"/>
                <w:szCs w:val="21"/>
                <w:lang w:bidi="en-US"/>
              </w:rPr>
              <w:t>得</w:t>
            </w:r>
            <w:r>
              <w:rPr>
                <w:rFonts w:hint="eastAsia" w:ascii="宋体" w:hAnsi="宋体" w:eastAsia="宋体" w:cs="宋体"/>
                <w:sz w:val="21"/>
                <w:szCs w:val="21"/>
                <w:lang w:val="en-US" w:eastAsia="zh-CN" w:bidi="en-US"/>
              </w:rPr>
              <w:t>2</w:t>
            </w:r>
            <w:r>
              <w:rPr>
                <w:rFonts w:hint="eastAsia" w:ascii="宋体" w:hAnsi="宋体" w:eastAsia="宋体" w:cs="宋体"/>
                <w:sz w:val="21"/>
                <w:szCs w:val="21"/>
                <w:lang w:bidi="en-US"/>
              </w:rPr>
              <w:t>分</w:t>
            </w:r>
            <w:r>
              <w:rPr>
                <w:rFonts w:hint="eastAsia" w:ascii="宋体" w:hAnsi="宋体" w:eastAsia="宋体" w:cs="宋体"/>
                <w:sz w:val="21"/>
                <w:szCs w:val="21"/>
                <w:lang w:val="en-US" w:eastAsia="zh-CN" w:bidi="en-US"/>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1903" w:type="dxa"/>
            <w:gridSpan w:val="3"/>
            <w:vMerge w:val="continue"/>
            <w:vAlign w:val="center"/>
          </w:tcPr>
          <w:p>
            <w:pPr>
              <w:spacing w:line="260" w:lineRule="atLeast"/>
              <w:rPr>
                <w:rFonts w:hint="eastAsia" w:ascii="宋体" w:hAnsi="宋体" w:eastAsia="宋体" w:cs="宋体"/>
                <w:bCs/>
                <w:sz w:val="21"/>
                <w:szCs w:val="21"/>
              </w:rPr>
            </w:pPr>
          </w:p>
        </w:tc>
        <w:tc>
          <w:tcPr>
            <w:tcW w:w="6583" w:type="dxa"/>
            <w:vAlign w:val="center"/>
          </w:tcPr>
          <w:p>
            <w:pPr>
              <w:spacing w:line="300" w:lineRule="auto"/>
              <w:jc w:val="both"/>
              <w:rPr>
                <w:rFonts w:hint="eastAsia" w:ascii="宋体" w:hAnsi="宋体" w:eastAsia="宋体" w:cs="宋体"/>
                <w:sz w:val="21"/>
                <w:szCs w:val="21"/>
                <w:lang w:val="en-US" w:eastAsia="zh-CN" w:bidi="en-US"/>
              </w:rPr>
            </w:pPr>
            <w:r>
              <w:rPr>
                <w:rFonts w:hint="eastAsia" w:ascii="宋体" w:hAnsi="宋体" w:eastAsia="宋体" w:cs="宋体"/>
                <w:color w:val="auto"/>
                <w:sz w:val="21"/>
                <w:szCs w:val="21"/>
                <w:lang w:val="zh-TW" w:eastAsia="zh-TW" w:bidi="en-US"/>
              </w:rPr>
              <w:t>投标人通过ISO9001:2015、14001:</w:t>
            </w:r>
            <w:r>
              <w:rPr>
                <w:rFonts w:hint="eastAsia" w:ascii="宋体" w:hAnsi="宋体" w:eastAsia="宋体" w:cs="宋体"/>
                <w:color w:val="auto"/>
                <w:sz w:val="21"/>
                <w:szCs w:val="21"/>
                <w:lang w:val="zh-TW" w:eastAsia="zh-CN" w:bidi="en-US"/>
              </w:rPr>
              <w:t>2015</w:t>
            </w:r>
            <w:r>
              <w:rPr>
                <w:rFonts w:hint="eastAsia" w:ascii="宋体" w:hAnsi="宋体" w:eastAsia="宋体" w:cs="宋体"/>
                <w:color w:val="auto"/>
                <w:sz w:val="21"/>
                <w:szCs w:val="21"/>
                <w:lang w:val="zh-TW" w:eastAsia="zh-TW" w:bidi="en-US"/>
              </w:rPr>
              <w:t>和45001认证的，每提供一个证书得1分，最高得3分。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1903" w:type="dxa"/>
            <w:gridSpan w:val="3"/>
            <w:vAlign w:val="center"/>
          </w:tcPr>
          <w:p>
            <w:pPr>
              <w:spacing w:line="260" w:lineRule="atLeas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产品测试报告2分</w:t>
            </w:r>
          </w:p>
        </w:tc>
        <w:tc>
          <w:tcPr>
            <w:tcW w:w="6583" w:type="dxa"/>
            <w:vAlign w:val="center"/>
          </w:tcPr>
          <w:p>
            <w:pPr>
              <w:spacing w:line="260" w:lineRule="atLeas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投标人提供所投“数字化运营管理平台”软件测试报告得2分</w:t>
            </w:r>
            <w:r>
              <w:rPr>
                <w:rFonts w:hint="eastAsia" w:ascii="宋体" w:hAnsi="宋体" w:eastAsia="宋体" w:cs="宋体"/>
                <w:sz w:val="21"/>
                <w:szCs w:val="21"/>
                <w:lang w:val="en-US" w:eastAsia="zh-CN" w:bidi="en-US"/>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833" w:type="dxa"/>
            <w:vMerge w:val="restart"/>
            <w:vAlign w:val="center"/>
          </w:tcPr>
          <w:p>
            <w:pPr>
              <w:spacing w:line="260" w:lineRule="atLeast"/>
              <w:rPr>
                <w:rFonts w:hint="eastAsia" w:ascii="宋体" w:hAnsi="宋体" w:eastAsia="宋体" w:cs="宋体"/>
                <w:kern w:val="0"/>
                <w:sz w:val="21"/>
                <w:szCs w:val="21"/>
              </w:rPr>
            </w:pPr>
            <w:r>
              <w:rPr>
                <w:rFonts w:hint="eastAsia" w:ascii="宋体" w:hAnsi="宋体" w:eastAsia="宋体" w:cs="宋体"/>
                <w:bCs/>
                <w:sz w:val="21"/>
                <w:szCs w:val="21"/>
              </w:rPr>
              <w:t>售后1</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tc>
        <w:tc>
          <w:tcPr>
            <w:tcW w:w="1070" w:type="dxa"/>
            <w:gridSpan w:val="2"/>
            <w:vAlign w:val="center"/>
          </w:tcPr>
          <w:p>
            <w:pPr>
              <w:spacing w:line="260" w:lineRule="atLeast"/>
              <w:rPr>
                <w:rFonts w:hint="eastAsia" w:ascii="宋体" w:hAnsi="宋体" w:eastAsia="宋体" w:cs="宋体"/>
                <w:bCs/>
                <w:sz w:val="21"/>
                <w:szCs w:val="21"/>
                <w:lang w:eastAsia="zh-CN"/>
              </w:rPr>
            </w:pPr>
            <w:r>
              <w:rPr>
                <w:rFonts w:hint="eastAsia" w:ascii="宋体" w:hAnsi="宋体" w:eastAsia="宋体" w:cs="宋体"/>
                <w:bCs/>
                <w:sz w:val="21"/>
                <w:szCs w:val="21"/>
                <w:lang w:eastAsia="zh-CN"/>
              </w:rPr>
              <w:t>质保期限</w:t>
            </w:r>
            <w:r>
              <w:rPr>
                <w:rFonts w:hint="eastAsia" w:ascii="宋体" w:hAnsi="宋体" w:eastAsia="宋体" w:cs="宋体"/>
                <w:bCs/>
                <w:sz w:val="21"/>
                <w:szCs w:val="21"/>
                <w:lang w:val="en-US" w:eastAsia="zh-CN"/>
              </w:rPr>
              <w:t>3分</w:t>
            </w:r>
          </w:p>
        </w:tc>
        <w:tc>
          <w:tcPr>
            <w:tcW w:w="6583" w:type="dxa"/>
            <w:vAlign w:val="center"/>
          </w:tcPr>
          <w:p>
            <w:pPr>
              <w:spacing w:line="260" w:lineRule="atLeast"/>
              <w:jc w:val="both"/>
              <w:rPr>
                <w:rFonts w:hint="eastAsia" w:ascii="宋体" w:hAnsi="宋体" w:eastAsia="宋体" w:cs="宋体"/>
                <w:bCs/>
                <w:sz w:val="21"/>
                <w:szCs w:val="21"/>
              </w:rPr>
            </w:pPr>
            <w:r>
              <w:rPr>
                <w:rFonts w:hint="eastAsia" w:ascii="宋体" w:hAnsi="宋体" w:eastAsia="宋体" w:cs="宋体"/>
                <w:bCs/>
                <w:sz w:val="21"/>
                <w:szCs w:val="21"/>
              </w:rPr>
              <w:t>仅满足招标文件要求的质保期的得0分。质保期超过招标文件要求的，根据时间长短，每增加一年的得1分，最多得</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833" w:type="dxa"/>
            <w:vMerge w:val="continue"/>
            <w:vAlign w:val="center"/>
          </w:tcPr>
          <w:p>
            <w:pPr>
              <w:spacing w:line="260" w:lineRule="atLeast"/>
              <w:rPr>
                <w:rFonts w:hint="eastAsia" w:ascii="宋体" w:hAnsi="宋体" w:eastAsia="宋体" w:cs="宋体"/>
                <w:kern w:val="0"/>
                <w:sz w:val="21"/>
                <w:szCs w:val="21"/>
              </w:rPr>
            </w:pPr>
          </w:p>
        </w:tc>
        <w:tc>
          <w:tcPr>
            <w:tcW w:w="1070" w:type="dxa"/>
            <w:gridSpan w:val="2"/>
            <w:vAlign w:val="center"/>
          </w:tcPr>
          <w:p>
            <w:pPr>
              <w:spacing w:line="260" w:lineRule="atLeast"/>
              <w:rPr>
                <w:rFonts w:hint="eastAsia" w:ascii="宋体" w:hAnsi="宋体" w:eastAsia="宋体" w:cs="宋体"/>
                <w:bCs/>
                <w:sz w:val="21"/>
                <w:szCs w:val="21"/>
              </w:rPr>
            </w:pPr>
            <w:r>
              <w:rPr>
                <w:rFonts w:hint="eastAsia" w:ascii="宋体" w:hAnsi="宋体" w:eastAsia="宋体" w:cs="宋体"/>
                <w:bCs/>
                <w:sz w:val="21"/>
                <w:szCs w:val="21"/>
              </w:rPr>
              <w:t>服务承诺5分</w:t>
            </w:r>
          </w:p>
        </w:tc>
        <w:tc>
          <w:tcPr>
            <w:tcW w:w="6583" w:type="dxa"/>
            <w:vAlign w:val="center"/>
          </w:tcPr>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u w:color="000000"/>
                <w:shd w:val="clear" w:color="auto" w:fill="auto"/>
                <w:lang w:val="zh-TW"/>
              </w:rPr>
            </w:pPr>
            <w:r>
              <w:rPr>
                <w:rFonts w:hint="eastAsia" w:ascii="宋体" w:hAnsi="宋体" w:eastAsia="宋体" w:cs="宋体"/>
                <w:color w:val="auto"/>
                <w:sz w:val="21"/>
                <w:szCs w:val="21"/>
                <w:u w:color="000000"/>
                <w:shd w:val="clear" w:color="auto" w:fill="auto"/>
                <w:lang w:val="zh-TW"/>
              </w:rPr>
              <w:t>根据投标人提供的售后服务方案、服务承诺、维修响应时间及到达现场解决故障情况进行综合评分：</w:t>
            </w: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u w:color="000000"/>
                <w:shd w:val="clear" w:color="auto" w:fill="auto"/>
                <w:lang w:val="zh-TW"/>
              </w:rPr>
            </w:pPr>
            <w:r>
              <w:rPr>
                <w:rFonts w:hint="eastAsia" w:ascii="宋体" w:hAnsi="宋体" w:eastAsia="宋体" w:cs="宋体"/>
                <w:color w:val="auto"/>
                <w:sz w:val="21"/>
                <w:szCs w:val="21"/>
                <w:u w:color="000000"/>
                <w:shd w:val="clear" w:color="auto" w:fill="auto"/>
                <w:lang w:val="zh-TW"/>
              </w:rPr>
              <w:t>①售后服务方案完善，科学合理、维修响应时间及到达现场解决故障时间及时的得</w:t>
            </w:r>
            <w:r>
              <w:rPr>
                <w:rFonts w:hint="eastAsia" w:ascii="宋体" w:hAnsi="宋体" w:eastAsia="宋体" w:cs="宋体"/>
                <w:color w:val="auto"/>
                <w:sz w:val="21"/>
                <w:szCs w:val="21"/>
                <w:u w:color="000000"/>
                <w:shd w:val="clear" w:color="auto" w:fill="auto"/>
                <w:lang w:val="en-US" w:eastAsia="zh-CN"/>
              </w:rPr>
              <w:t>5-4</w:t>
            </w:r>
            <w:r>
              <w:rPr>
                <w:rFonts w:hint="eastAsia" w:ascii="宋体" w:hAnsi="宋体" w:eastAsia="宋体" w:cs="宋体"/>
                <w:color w:val="auto"/>
                <w:sz w:val="21"/>
                <w:szCs w:val="21"/>
                <w:u w:color="000000"/>
                <w:shd w:val="clear" w:color="auto" w:fill="auto"/>
                <w:lang w:val="zh-TW"/>
              </w:rPr>
              <w:t>分；</w:t>
            </w: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u w:color="000000"/>
                <w:shd w:val="clear" w:color="auto" w:fill="auto"/>
                <w:lang w:val="zh-TW"/>
              </w:rPr>
            </w:pPr>
            <w:r>
              <w:rPr>
                <w:rFonts w:hint="eastAsia" w:ascii="宋体" w:hAnsi="宋体" w:eastAsia="宋体" w:cs="宋体"/>
                <w:color w:val="auto"/>
                <w:sz w:val="21"/>
                <w:szCs w:val="21"/>
                <w:u w:color="000000"/>
                <w:shd w:val="clear" w:color="auto" w:fill="auto"/>
                <w:lang w:val="zh-TW"/>
              </w:rPr>
              <w:t>②售后服务方案较具体、维修响应时间及到达现场解决故障时间一般的得</w:t>
            </w:r>
            <w:r>
              <w:rPr>
                <w:rFonts w:hint="eastAsia" w:ascii="宋体" w:hAnsi="宋体" w:eastAsia="宋体" w:cs="宋体"/>
                <w:color w:val="auto"/>
                <w:sz w:val="21"/>
                <w:szCs w:val="21"/>
                <w:u w:color="000000"/>
                <w:shd w:val="clear" w:color="auto" w:fill="auto"/>
                <w:lang w:val="en-US" w:eastAsia="zh-CN"/>
              </w:rPr>
              <w:t>3-2</w:t>
            </w:r>
            <w:r>
              <w:rPr>
                <w:rFonts w:hint="eastAsia" w:ascii="宋体" w:hAnsi="宋体" w:eastAsia="宋体" w:cs="宋体"/>
                <w:color w:val="auto"/>
                <w:sz w:val="21"/>
                <w:szCs w:val="21"/>
                <w:u w:color="000000"/>
                <w:shd w:val="clear" w:color="auto" w:fill="auto"/>
                <w:lang w:val="zh-TW"/>
              </w:rPr>
              <w:t>分；</w:t>
            </w:r>
          </w:p>
          <w:p>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kern w:val="0"/>
                <w:sz w:val="21"/>
                <w:szCs w:val="21"/>
              </w:rPr>
            </w:pPr>
            <w:r>
              <w:rPr>
                <w:rFonts w:hint="eastAsia" w:ascii="宋体" w:hAnsi="宋体" w:eastAsia="宋体" w:cs="宋体"/>
                <w:color w:val="auto"/>
                <w:sz w:val="21"/>
                <w:szCs w:val="21"/>
                <w:u w:color="000000"/>
                <w:shd w:val="clear" w:color="auto" w:fill="auto"/>
                <w:lang w:val="zh-TW"/>
              </w:rPr>
              <w:t>③售后服务方案不够具体合理、响应时间较慢的得</w:t>
            </w:r>
            <w:r>
              <w:rPr>
                <w:rFonts w:hint="eastAsia" w:ascii="宋体" w:hAnsi="宋体" w:eastAsia="宋体" w:cs="宋体"/>
                <w:color w:val="auto"/>
                <w:sz w:val="21"/>
                <w:szCs w:val="21"/>
                <w:u w:color="000000"/>
                <w:shd w:val="clear" w:color="auto" w:fill="auto"/>
                <w:lang w:val="en-US" w:eastAsia="zh-CN"/>
              </w:rPr>
              <w:t>1-0</w:t>
            </w:r>
            <w:r>
              <w:rPr>
                <w:rFonts w:hint="eastAsia" w:ascii="宋体" w:hAnsi="宋体" w:eastAsia="宋体" w:cs="宋体"/>
                <w:color w:val="auto"/>
                <w:sz w:val="21"/>
                <w:szCs w:val="21"/>
                <w:u w:color="000000"/>
                <w:shd w:val="clear" w:color="auto" w:fill="auto"/>
                <w:lang w:val="zh-TW"/>
              </w:rPr>
              <w:t>分</w:t>
            </w:r>
            <w:r>
              <w:rPr>
                <w:rFonts w:hint="eastAsia" w:ascii="宋体" w:hAnsi="宋体" w:eastAsia="宋体" w:cs="宋体"/>
                <w:color w:val="auto"/>
                <w:sz w:val="21"/>
                <w:szCs w:val="21"/>
                <w:u w:color="000000"/>
                <w:shd w:val="clear" w:color="auto" w:fill="auto"/>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jc w:val="center"/>
        </w:trPr>
        <w:tc>
          <w:tcPr>
            <w:tcW w:w="827" w:type="dxa"/>
            <w:vMerge w:val="continue"/>
            <w:vAlign w:val="center"/>
          </w:tcPr>
          <w:p>
            <w:pPr>
              <w:spacing w:before="120" w:line="240" w:lineRule="exact"/>
              <w:rPr>
                <w:rFonts w:hint="eastAsia" w:ascii="宋体" w:hAnsi="宋体" w:eastAsia="宋体" w:cs="宋体"/>
                <w:b/>
                <w:color w:val="000000"/>
                <w:sz w:val="21"/>
                <w:szCs w:val="21"/>
              </w:rPr>
            </w:pPr>
          </w:p>
        </w:tc>
        <w:tc>
          <w:tcPr>
            <w:tcW w:w="833" w:type="dxa"/>
            <w:vMerge w:val="continue"/>
            <w:vAlign w:val="center"/>
          </w:tcPr>
          <w:p>
            <w:pPr>
              <w:spacing w:line="260" w:lineRule="atLeast"/>
              <w:rPr>
                <w:rFonts w:hint="eastAsia" w:ascii="宋体" w:hAnsi="宋体" w:eastAsia="宋体" w:cs="宋体"/>
                <w:kern w:val="0"/>
                <w:sz w:val="21"/>
                <w:szCs w:val="21"/>
              </w:rPr>
            </w:pPr>
          </w:p>
        </w:tc>
        <w:tc>
          <w:tcPr>
            <w:tcW w:w="1070" w:type="dxa"/>
            <w:gridSpan w:val="2"/>
            <w:vAlign w:val="center"/>
          </w:tcPr>
          <w:p>
            <w:pPr>
              <w:spacing w:line="260" w:lineRule="atLeast"/>
              <w:rPr>
                <w:rFonts w:hint="eastAsia" w:ascii="宋体" w:hAnsi="宋体" w:eastAsia="宋体" w:cs="宋体"/>
                <w:bCs/>
                <w:sz w:val="21"/>
                <w:szCs w:val="21"/>
              </w:rPr>
            </w:pPr>
            <w:r>
              <w:rPr>
                <w:rFonts w:hint="eastAsia" w:ascii="宋体" w:hAnsi="宋体" w:eastAsia="宋体" w:cs="宋体"/>
                <w:bCs/>
                <w:sz w:val="21"/>
                <w:szCs w:val="21"/>
                <w:lang w:eastAsia="zh-CN"/>
              </w:rPr>
              <w:t>培训计划</w:t>
            </w:r>
            <w:r>
              <w:rPr>
                <w:rFonts w:hint="eastAsia" w:ascii="宋体" w:hAnsi="宋体" w:eastAsia="宋体" w:cs="宋体"/>
                <w:bCs/>
                <w:sz w:val="21"/>
                <w:szCs w:val="21"/>
                <w:lang w:val="en-US" w:eastAsia="zh-CN"/>
              </w:rPr>
              <w:t>4</w:t>
            </w:r>
            <w:r>
              <w:rPr>
                <w:rFonts w:hint="eastAsia" w:ascii="宋体" w:hAnsi="宋体" w:eastAsia="宋体" w:cs="宋体"/>
                <w:bCs/>
                <w:sz w:val="21"/>
                <w:szCs w:val="21"/>
              </w:rPr>
              <w:t>分</w:t>
            </w:r>
          </w:p>
        </w:tc>
        <w:tc>
          <w:tcPr>
            <w:tcW w:w="6583" w:type="dxa"/>
            <w:vAlign w:val="center"/>
          </w:tcPr>
          <w:p>
            <w:pPr>
              <w:jc w:val="both"/>
              <w:rPr>
                <w:rFonts w:hint="eastAsia" w:ascii="宋体" w:hAnsi="宋体" w:eastAsia="宋体" w:cs="宋体"/>
                <w:kern w:val="0"/>
                <w:sz w:val="21"/>
                <w:szCs w:val="21"/>
              </w:rPr>
            </w:pPr>
            <w:r>
              <w:rPr>
                <w:rFonts w:hint="eastAsia" w:ascii="宋体" w:hAnsi="宋体" w:eastAsia="宋体" w:cs="宋体"/>
                <w:bCs/>
                <w:sz w:val="21"/>
                <w:szCs w:val="21"/>
                <w:lang w:val="en-US" w:eastAsia="zh-CN"/>
              </w:rPr>
              <w:t>投标人针对该项目提供完善的培训服务体系。包含：①培训服务机构和人员②培训服务内容③培训方式和时间④培训流程等。以上因素有实质性响应得4分，每响应一个因素得1分，未实质性响应或未提供不得分。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5" w:hRule="atLeast"/>
          <w:jc w:val="center"/>
        </w:trPr>
        <w:tc>
          <w:tcPr>
            <w:tcW w:w="827" w:type="dxa"/>
            <w:vMerge w:val="restart"/>
            <w:vAlign w:val="center"/>
          </w:tcPr>
          <w:p>
            <w:pPr>
              <w:spacing w:before="120" w:line="24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技术</w:t>
            </w:r>
            <w:r>
              <w:rPr>
                <w:rFonts w:hint="eastAsia" w:ascii="宋体" w:hAnsi="宋体" w:eastAsia="宋体" w:cs="宋体"/>
                <w:b/>
                <w:color w:val="000000"/>
                <w:sz w:val="21"/>
                <w:szCs w:val="21"/>
                <w:lang w:val="en-US" w:eastAsia="zh-CN"/>
              </w:rPr>
              <w:t>46</w:t>
            </w:r>
            <w:r>
              <w:rPr>
                <w:rFonts w:hint="eastAsia" w:ascii="宋体" w:hAnsi="宋体" w:eastAsia="宋体" w:cs="宋体"/>
                <w:b/>
                <w:color w:val="000000"/>
                <w:sz w:val="21"/>
                <w:szCs w:val="21"/>
              </w:rPr>
              <w:t>分</w:t>
            </w:r>
          </w:p>
        </w:tc>
        <w:tc>
          <w:tcPr>
            <w:tcW w:w="1903" w:type="dxa"/>
            <w:gridSpan w:val="3"/>
            <w:vAlign w:val="center"/>
          </w:tcPr>
          <w:p>
            <w:pPr>
              <w:spacing w:line="260" w:lineRule="atLeast"/>
              <w:rPr>
                <w:rFonts w:hint="eastAsia" w:ascii="宋体" w:hAnsi="宋体" w:eastAsia="宋体" w:cs="宋体"/>
                <w:b/>
                <w:bCs/>
                <w:kern w:val="0"/>
                <w:sz w:val="21"/>
                <w:szCs w:val="21"/>
              </w:rPr>
            </w:pPr>
            <w:r>
              <w:rPr>
                <w:rFonts w:hint="eastAsia" w:ascii="宋体" w:hAnsi="宋体" w:eastAsia="宋体" w:cs="宋体"/>
                <w:kern w:val="0"/>
                <w:sz w:val="21"/>
                <w:szCs w:val="21"/>
              </w:rPr>
              <w:t>投标产品设备符合性</w:t>
            </w:r>
            <w:r>
              <w:rPr>
                <w:rFonts w:hint="eastAsia" w:ascii="宋体" w:hAnsi="宋体" w:eastAsia="宋体" w:cs="宋体"/>
                <w:bCs/>
                <w:sz w:val="21"/>
                <w:szCs w:val="21"/>
              </w:rPr>
              <w:t>1</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p>
        </w:tc>
        <w:tc>
          <w:tcPr>
            <w:tcW w:w="6583" w:type="dxa"/>
            <w:vAlign w:val="center"/>
          </w:tcPr>
          <w:p>
            <w:pPr>
              <w:pStyle w:val="7"/>
              <w:ind w:firstLine="0"/>
              <w:jc w:val="both"/>
              <w:rPr>
                <w:rFonts w:hint="eastAsia" w:ascii="宋体" w:hAnsi="宋体" w:eastAsia="宋体" w:cs="宋体"/>
                <w:sz w:val="21"/>
                <w:szCs w:val="21"/>
              </w:rPr>
            </w:pPr>
            <w:r>
              <w:rPr>
                <w:rFonts w:hint="eastAsia" w:ascii="宋体" w:hAnsi="宋体" w:eastAsia="宋体" w:cs="宋体"/>
                <w:bCs/>
                <w:kern w:val="2"/>
                <w:sz w:val="21"/>
                <w:szCs w:val="21"/>
                <w:lang w:val="en-US" w:eastAsia="zh-CN" w:bidi="ar-SA"/>
              </w:rPr>
              <w:t>投标文件需提供真实明确的性能一览表及技术偏离表，根据投标产品的性能指标及技术参数满足程度进行综合评分：技术参数对招标文件的满足程度、响应程度、软件体系性能。技术参数完全满足招标要求的得16分，技术参数负偏离的，每一项扣1分,带★号参数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827" w:type="dxa"/>
            <w:vMerge w:val="continue"/>
            <w:vAlign w:val="center"/>
          </w:tcPr>
          <w:p>
            <w:pPr>
              <w:spacing w:before="120" w:line="240" w:lineRule="exact"/>
              <w:jc w:val="center"/>
              <w:rPr>
                <w:rFonts w:hint="eastAsia" w:ascii="宋体" w:hAnsi="宋体" w:eastAsia="宋体" w:cs="宋体"/>
                <w:b/>
                <w:color w:val="000000"/>
                <w:sz w:val="21"/>
                <w:szCs w:val="21"/>
              </w:rPr>
            </w:pPr>
          </w:p>
        </w:tc>
        <w:tc>
          <w:tcPr>
            <w:tcW w:w="1903" w:type="dxa"/>
            <w:gridSpan w:val="3"/>
            <w:vMerge w:val="restart"/>
            <w:vAlign w:val="center"/>
          </w:tcPr>
          <w:p>
            <w:pPr>
              <w:spacing w:line="260" w:lineRule="atLeast"/>
              <w:rPr>
                <w:rFonts w:hint="eastAsia" w:ascii="宋体" w:hAnsi="宋体" w:eastAsia="宋体" w:cs="宋体"/>
                <w:bCs/>
                <w:sz w:val="21"/>
                <w:szCs w:val="21"/>
              </w:rPr>
            </w:pPr>
            <w:r>
              <w:rPr>
                <w:rFonts w:hint="eastAsia" w:ascii="宋体" w:hAnsi="宋体" w:eastAsia="宋体" w:cs="宋体"/>
                <w:bCs/>
                <w:sz w:val="21"/>
                <w:szCs w:val="21"/>
              </w:rPr>
              <w:t>技术方案1</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p>
        </w:tc>
        <w:tc>
          <w:tcPr>
            <w:tcW w:w="6583"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需求分析。投标人对项目建设背景、目标和功能需求的理解</w:t>
            </w:r>
            <w:r>
              <w:rPr>
                <w:rFonts w:hint="eastAsia" w:ascii="宋体" w:hAnsi="宋体" w:eastAsia="宋体" w:cs="宋体"/>
                <w:sz w:val="21"/>
                <w:szCs w:val="21"/>
                <w:lang w:eastAsia="zh-CN"/>
              </w:rPr>
              <w:t>：</w:t>
            </w:r>
            <w:r>
              <w:rPr>
                <w:rFonts w:hint="eastAsia" w:ascii="宋体" w:hAnsi="宋体" w:eastAsia="宋体" w:cs="宋体"/>
                <w:sz w:val="21"/>
                <w:szCs w:val="21"/>
              </w:rPr>
              <w:t>需求分析透彻，理解到位</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4-3</w:t>
            </w:r>
            <w:r>
              <w:rPr>
                <w:rFonts w:hint="eastAsia" w:ascii="宋体" w:hAnsi="宋体" w:eastAsia="宋体" w:cs="宋体"/>
                <w:sz w:val="21"/>
                <w:szCs w:val="21"/>
                <w:lang w:eastAsia="zh-CN"/>
              </w:rPr>
              <w:t>；</w:t>
            </w:r>
            <w:r>
              <w:rPr>
                <w:rFonts w:hint="eastAsia" w:ascii="宋体" w:hAnsi="宋体" w:eastAsia="宋体" w:cs="宋体"/>
                <w:sz w:val="21"/>
                <w:szCs w:val="21"/>
              </w:rPr>
              <w:t>需求分析</w:t>
            </w:r>
            <w:r>
              <w:rPr>
                <w:rFonts w:hint="eastAsia" w:ascii="宋体" w:hAnsi="宋体" w:eastAsia="宋体" w:cs="宋体"/>
                <w:sz w:val="21"/>
                <w:szCs w:val="21"/>
                <w:lang w:eastAsia="zh-CN"/>
              </w:rPr>
              <w:t>不够</w:t>
            </w:r>
            <w:r>
              <w:rPr>
                <w:rFonts w:hint="eastAsia" w:ascii="宋体" w:hAnsi="宋体" w:eastAsia="宋体" w:cs="宋体"/>
                <w:sz w:val="21"/>
                <w:szCs w:val="21"/>
              </w:rPr>
              <w:t>透彻，理解</w:t>
            </w:r>
            <w:r>
              <w:rPr>
                <w:rFonts w:hint="eastAsia" w:ascii="宋体" w:hAnsi="宋体" w:eastAsia="宋体" w:cs="宋体"/>
                <w:sz w:val="21"/>
                <w:szCs w:val="21"/>
                <w:lang w:eastAsia="zh-CN"/>
              </w:rPr>
              <w:t>欠缺得</w:t>
            </w:r>
            <w:r>
              <w:rPr>
                <w:rFonts w:hint="eastAsia" w:ascii="宋体" w:hAnsi="宋体" w:eastAsia="宋体" w:cs="宋体"/>
                <w:sz w:val="21"/>
                <w:szCs w:val="21"/>
                <w:lang w:val="en-US" w:eastAsia="zh-CN"/>
              </w:rPr>
              <w:t>2-1；</w:t>
            </w:r>
            <w:r>
              <w:rPr>
                <w:rFonts w:hint="eastAsia" w:ascii="宋体" w:hAnsi="宋体" w:eastAsia="宋体" w:cs="宋体"/>
                <w:b w:val="0"/>
                <w:bCs w:val="0"/>
                <w:kern w:val="2"/>
                <w:sz w:val="21"/>
                <w:szCs w:val="21"/>
                <w:lang w:val="zh-TW"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6" w:hRule="atLeast"/>
          <w:jc w:val="center"/>
        </w:trPr>
        <w:tc>
          <w:tcPr>
            <w:tcW w:w="827" w:type="dxa"/>
            <w:vMerge w:val="continue"/>
            <w:vAlign w:val="center"/>
          </w:tcPr>
          <w:p>
            <w:pPr>
              <w:spacing w:before="120" w:line="240" w:lineRule="exact"/>
              <w:jc w:val="center"/>
              <w:rPr>
                <w:rFonts w:hint="eastAsia" w:ascii="宋体" w:hAnsi="宋体" w:eastAsia="宋体" w:cs="宋体"/>
                <w:b/>
                <w:color w:val="000000"/>
                <w:sz w:val="21"/>
                <w:szCs w:val="21"/>
              </w:rPr>
            </w:pPr>
          </w:p>
        </w:tc>
        <w:tc>
          <w:tcPr>
            <w:tcW w:w="1903" w:type="dxa"/>
            <w:gridSpan w:val="3"/>
            <w:vMerge w:val="continue"/>
            <w:vAlign w:val="center"/>
          </w:tcPr>
          <w:p>
            <w:pPr>
              <w:spacing w:line="260" w:lineRule="atLeast"/>
              <w:rPr>
                <w:rFonts w:hint="eastAsia" w:ascii="宋体" w:hAnsi="宋体" w:eastAsia="宋体" w:cs="宋体"/>
                <w:bCs/>
                <w:sz w:val="21"/>
                <w:szCs w:val="21"/>
              </w:rPr>
            </w:pPr>
          </w:p>
        </w:tc>
        <w:tc>
          <w:tcPr>
            <w:tcW w:w="6583" w:type="dxa"/>
            <w:vAlign w:val="center"/>
          </w:tcPr>
          <w:p>
            <w:pPr>
              <w:jc w:val="both"/>
              <w:rPr>
                <w:rFonts w:hint="eastAsia" w:ascii="宋体" w:hAnsi="宋体" w:eastAsia="宋体" w:cs="宋体"/>
                <w:bCs/>
                <w:sz w:val="21"/>
                <w:szCs w:val="21"/>
              </w:rPr>
            </w:pPr>
            <w:r>
              <w:rPr>
                <w:rFonts w:hint="eastAsia" w:ascii="宋体" w:hAnsi="宋体" w:eastAsia="宋体" w:cs="宋体"/>
                <w:bCs/>
                <w:sz w:val="21"/>
                <w:szCs w:val="21"/>
              </w:rPr>
              <w:t>实施方案。根据供应商提供的项目实施方案进行打分：方案完整全面、切实可行、对项目进度安排及各阶段详细工作计划科学合理，方案完整全面内容详尽的得</w:t>
            </w:r>
            <w:r>
              <w:rPr>
                <w:rFonts w:hint="eastAsia" w:ascii="宋体" w:hAnsi="宋体" w:eastAsia="宋体" w:cs="宋体"/>
                <w:bCs/>
                <w:sz w:val="21"/>
                <w:szCs w:val="21"/>
                <w:lang w:val="en-US" w:eastAsia="zh-CN"/>
              </w:rPr>
              <w:t>6</w:t>
            </w:r>
            <w:r>
              <w:rPr>
                <w:rFonts w:hint="eastAsia" w:ascii="宋体" w:hAnsi="宋体" w:eastAsia="宋体" w:cs="宋体"/>
                <w:bCs/>
                <w:sz w:val="21"/>
                <w:szCs w:val="21"/>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分；方案合理、内容常规、操作简略的得</w:t>
            </w:r>
            <w:r>
              <w:rPr>
                <w:rFonts w:hint="eastAsia" w:ascii="宋体" w:hAnsi="宋体" w:eastAsia="宋体" w:cs="宋体"/>
                <w:bCs/>
                <w:sz w:val="21"/>
                <w:szCs w:val="21"/>
                <w:lang w:val="en-US" w:eastAsia="zh-CN"/>
              </w:rPr>
              <w:t>4</w:t>
            </w:r>
            <w:r>
              <w:rPr>
                <w:rFonts w:hint="eastAsia" w:ascii="宋体" w:hAnsi="宋体" w:eastAsia="宋体" w:cs="宋体"/>
                <w:bCs/>
                <w:sz w:val="21"/>
                <w:szCs w:val="21"/>
              </w:rPr>
              <w:t>-3分；方案粗糙、内容缺漏、操作性差的或未提供方案的得2-0分。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827" w:type="dxa"/>
            <w:vMerge w:val="continue"/>
            <w:vAlign w:val="center"/>
          </w:tcPr>
          <w:p>
            <w:pPr>
              <w:spacing w:before="120" w:line="240" w:lineRule="exact"/>
              <w:jc w:val="center"/>
              <w:rPr>
                <w:rFonts w:hint="eastAsia" w:ascii="宋体" w:hAnsi="宋体" w:eastAsia="宋体" w:cs="宋体"/>
                <w:b/>
                <w:color w:val="000000"/>
                <w:sz w:val="21"/>
                <w:szCs w:val="21"/>
              </w:rPr>
            </w:pPr>
          </w:p>
        </w:tc>
        <w:tc>
          <w:tcPr>
            <w:tcW w:w="1903" w:type="dxa"/>
            <w:gridSpan w:val="3"/>
            <w:vMerge w:val="continue"/>
            <w:vAlign w:val="center"/>
          </w:tcPr>
          <w:p>
            <w:pPr>
              <w:spacing w:line="260" w:lineRule="atLeast"/>
              <w:rPr>
                <w:rFonts w:hint="eastAsia" w:ascii="宋体" w:hAnsi="宋体" w:eastAsia="宋体" w:cs="宋体"/>
                <w:bCs/>
                <w:sz w:val="21"/>
                <w:szCs w:val="21"/>
              </w:rPr>
            </w:pPr>
          </w:p>
        </w:tc>
        <w:tc>
          <w:tcPr>
            <w:tcW w:w="6583" w:type="dxa"/>
            <w:vAlign w:val="center"/>
          </w:tcPr>
          <w:p>
            <w:pPr>
              <w:jc w:val="both"/>
              <w:rPr>
                <w:rFonts w:hint="eastAsia" w:ascii="宋体" w:hAnsi="宋体" w:eastAsia="宋体" w:cs="宋体"/>
                <w:bCs/>
                <w:sz w:val="21"/>
                <w:szCs w:val="21"/>
              </w:rPr>
            </w:pPr>
            <w:r>
              <w:rPr>
                <w:rFonts w:hint="eastAsia" w:ascii="宋体" w:hAnsi="宋体" w:eastAsia="宋体" w:cs="宋体"/>
                <w:bCs/>
                <w:sz w:val="21"/>
                <w:szCs w:val="21"/>
              </w:rPr>
              <w:t>系统配套的完整性和可靠性</w:t>
            </w:r>
            <w:r>
              <w:rPr>
                <w:rFonts w:hint="eastAsia" w:ascii="宋体" w:hAnsi="宋体" w:eastAsia="宋体" w:cs="宋体"/>
                <w:bCs/>
                <w:sz w:val="21"/>
                <w:szCs w:val="21"/>
                <w:lang w:eastAsia="zh-CN"/>
              </w:rPr>
              <w:t>：</w:t>
            </w:r>
            <w:r>
              <w:rPr>
                <w:rFonts w:hint="eastAsia" w:ascii="宋体" w:hAnsi="宋体" w:eastAsia="宋体" w:cs="宋体"/>
                <w:bCs/>
                <w:sz w:val="21"/>
                <w:szCs w:val="21"/>
              </w:rPr>
              <w:t>投标设备系统配套完整稳定、</w:t>
            </w:r>
            <w:r>
              <w:rPr>
                <w:rFonts w:hint="eastAsia" w:ascii="宋体" w:hAnsi="宋体" w:eastAsia="宋体" w:cs="宋体"/>
                <w:bCs/>
                <w:sz w:val="21"/>
                <w:szCs w:val="21"/>
                <w:lang w:eastAsia="zh-CN"/>
              </w:rPr>
              <w:t>完全</w:t>
            </w:r>
            <w:r>
              <w:rPr>
                <w:rFonts w:hint="eastAsia" w:ascii="宋体" w:hAnsi="宋体" w:eastAsia="宋体" w:cs="宋体"/>
                <w:bCs/>
                <w:sz w:val="21"/>
                <w:szCs w:val="21"/>
              </w:rPr>
              <w:t>兼容得6</w:t>
            </w:r>
            <w:r>
              <w:rPr>
                <w:rFonts w:hint="eastAsia" w:ascii="宋体" w:hAnsi="宋体" w:eastAsia="宋体" w:cs="宋体"/>
                <w:bCs/>
                <w:sz w:val="21"/>
                <w:szCs w:val="21"/>
                <w:lang w:val="en-US" w:eastAsia="zh-CN"/>
              </w:rPr>
              <w:t>-4</w:t>
            </w:r>
            <w:r>
              <w:rPr>
                <w:rFonts w:hint="eastAsia" w:ascii="宋体" w:hAnsi="宋体" w:eastAsia="宋体" w:cs="宋体"/>
                <w:bCs/>
                <w:sz w:val="21"/>
                <w:szCs w:val="21"/>
              </w:rPr>
              <w:t>分</w:t>
            </w:r>
            <w:r>
              <w:rPr>
                <w:rFonts w:hint="eastAsia" w:ascii="宋体" w:hAnsi="宋体" w:eastAsia="宋体" w:cs="宋体"/>
                <w:bCs/>
                <w:sz w:val="21"/>
                <w:szCs w:val="21"/>
                <w:lang w:eastAsia="zh-CN"/>
              </w:rPr>
              <w:t>；</w:t>
            </w:r>
            <w:r>
              <w:rPr>
                <w:rFonts w:hint="eastAsia" w:ascii="宋体" w:hAnsi="宋体" w:eastAsia="宋体" w:cs="宋体"/>
                <w:bCs/>
                <w:sz w:val="21"/>
                <w:szCs w:val="21"/>
              </w:rPr>
              <w:t>投标设备系统配套</w:t>
            </w:r>
            <w:r>
              <w:rPr>
                <w:rFonts w:hint="eastAsia" w:ascii="宋体" w:hAnsi="宋体" w:eastAsia="宋体" w:cs="宋体"/>
                <w:bCs/>
                <w:sz w:val="21"/>
                <w:szCs w:val="21"/>
                <w:lang w:eastAsia="zh-CN"/>
              </w:rPr>
              <w:t>不够</w:t>
            </w:r>
            <w:r>
              <w:rPr>
                <w:rFonts w:hint="eastAsia" w:ascii="宋体" w:hAnsi="宋体" w:eastAsia="宋体" w:cs="宋体"/>
                <w:bCs/>
                <w:sz w:val="21"/>
                <w:szCs w:val="21"/>
              </w:rPr>
              <w:t>完整稳定、兼容</w:t>
            </w:r>
            <w:r>
              <w:rPr>
                <w:rFonts w:hint="eastAsia" w:ascii="宋体" w:hAnsi="宋体" w:eastAsia="宋体" w:cs="宋体"/>
                <w:bCs/>
                <w:sz w:val="21"/>
                <w:szCs w:val="21"/>
                <w:lang w:eastAsia="zh-CN"/>
              </w:rPr>
              <w:t>性差</w:t>
            </w:r>
            <w:r>
              <w:rPr>
                <w:rFonts w:hint="eastAsia" w:ascii="宋体" w:hAnsi="宋体" w:eastAsia="宋体" w:cs="宋体"/>
                <w:bCs/>
                <w:sz w:val="21"/>
                <w:szCs w:val="21"/>
              </w:rPr>
              <w:t>得</w:t>
            </w:r>
            <w:r>
              <w:rPr>
                <w:rFonts w:hint="eastAsia" w:ascii="宋体" w:hAnsi="宋体" w:eastAsia="宋体" w:cs="宋体"/>
                <w:bCs/>
                <w:sz w:val="21"/>
                <w:szCs w:val="21"/>
                <w:lang w:val="en-US" w:eastAsia="zh-CN"/>
              </w:rPr>
              <w:t>3-0</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3" w:hRule="atLeast"/>
          <w:jc w:val="center"/>
        </w:trPr>
        <w:tc>
          <w:tcPr>
            <w:tcW w:w="827" w:type="dxa"/>
            <w:vMerge w:val="continue"/>
            <w:vAlign w:val="center"/>
          </w:tcPr>
          <w:p>
            <w:pPr>
              <w:spacing w:before="120" w:line="240" w:lineRule="exact"/>
              <w:jc w:val="center"/>
              <w:rPr>
                <w:rFonts w:hint="eastAsia" w:ascii="宋体" w:hAnsi="宋体" w:eastAsia="宋体" w:cs="宋体"/>
                <w:b/>
                <w:color w:val="000000"/>
                <w:sz w:val="21"/>
                <w:szCs w:val="21"/>
              </w:rPr>
            </w:pPr>
          </w:p>
        </w:tc>
        <w:tc>
          <w:tcPr>
            <w:tcW w:w="1903" w:type="dxa"/>
            <w:gridSpan w:val="3"/>
            <w:vAlign w:val="center"/>
          </w:tcPr>
          <w:p>
            <w:pPr>
              <w:spacing w:line="260" w:lineRule="atLeast"/>
              <w:rPr>
                <w:rFonts w:hint="eastAsia" w:ascii="宋体" w:hAnsi="宋体" w:eastAsia="宋体" w:cs="宋体"/>
                <w:bCs/>
                <w:sz w:val="21"/>
                <w:szCs w:val="21"/>
              </w:rPr>
            </w:pPr>
            <w:r>
              <w:rPr>
                <w:rFonts w:hint="eastAsia" w:ascii="宋体" w:hAnsi="宋体" w:eastAsia="宋体" w:cs="宋体"/>
                <w:bCs/>
                <w:sz w:val="21"/>
                <w:szCs w:val="21"/>
              </w:rPr>
              <w:t>应急方案</w:t>
            </w:r>
            <w:r>
              <w:rPr>
                <w:rFonts w:hint="eastAsia" w:ascii="宋体" w:hAnsi="宋体" w:eastAsia="宋体" w:cs="宋体"/>
                <w:bCs/>
                <w:sz w:val="21"/>
                <w:szCs w:val="21"/>
                <w:lang w:val="en-US" w:eastAsia="zh-CN"/>
              </w:rPr>
              <w:t>4分</w:t>
            </w:r>
          </w:p>
        </w:tc>
        <w:tc>
          <w:tcPr>
            <w:tcW w:w="6583" w:type="dxa"/>
            <w:vAlign w:val="center"/>
          </w:tcPr>
          <w:p>
            <w:pPr>
              <w:spacing w:line="260" w:lineRule="atLeast"/>
              <w:jc w:val="both"/>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eastAsia="宋体" w:cs="宋体"/>
                <w:bCs/>
                <w:sz w:val="21"/>
                <w:szCs w:val="21"/>
                <w:lang w:eastAsia="zh-CN"/>
              </w:rPr>
              <w:t>投标人的应急方案</w:t>
            </w:r>
            <w:r>
              <w:rPr>
                <w:rFonts w:hint="eastAsia" w:ascii="宋体" w:hAnsi="宋体" w:eastAsia="宋体" w:cs="宋体"/>
                <w:bCs/>
                <w:sz w:val="21"/>
                <w:szCs w:val="21"/>
                <w:lang w:val="zh-CN" w:eastAsia="zh-CN"/>
              </w:rPr>
              <w:t>①是否建立服务保障应急预案，方案对可能遇到的问题及其应对措施的考虑情况。</w:t>
            </w:r>
            <w:r>
              <w:rPr>
                <w:rFonts w:hint="eastAsia" w:ascii="宋体" w:hAnsi="宋体" w:eastAsia="宋体" w:cs="宋体"/>
                <w:bCs/>
                <w:sz w:val="21"/>
                <w:szCs w:val="21"/>
                <w:lang w:eastAsia="zh-CN"/>
              </w:rPr>
              <w:t>②</w:t>
            </w:r>
            <w:r>
              <w:rPr>
                <w:rFonts w:hint="eastAsia" w:ascii="宋体" w:hAnsi="宋体" w:eastAsia="宋体" w:cs="宋体"/>
                <w:bCs/>
                <w:sz w:val="21"/>
                <w:szCs w:val="21"/>
                <w:lang w:val="zh-CN" w:eastAsia="zh-CN"/>
              </w:rPr>
              <w:t>在服务期间巡检、故障处理的组织和联系机制的情况。根据提供的方案内容进行评分，每一项</w:t>
            </w:r>
            <w:r>
              <w:rPr>
                <w:rFonts w:hint="eastAsia" w:ascii="宋体" w:hAnsi="宋体" w:eastAsia="宋体" w:cs="宋体"/>
                <w:bCs/>
                <w:sz w:val="21"/>
                <w:szCs w:val="21"/>
                <w:lang w:val="en-US" w:eastAsia="zh-CN"/>
              </w:rPr>
              <w:t>满足</w:t>
            </w:r>
            <w:r>
              <w:rPr>
                <w:rFonts w:hint="eastAsia" w:ascii="宋体" w:hAnsi="宋体" w:eastAsia="宋体" w:cs="宋体"/>
                <w:bCs/>
                <w:sz w:val="21"/>
                <w:szCs w:val="21"/>
                <w:lang w:val="zh-CN" w:eastAsia="zh-CN"/>
              </w:rPr>
              <w:t>得</w:t>
            </w:r>
            <w:r>
              <w:rPr>
                <w:rFonts w:hint="eastAsia" w:ascii="宋体" w:hAnsi="宋体" w:eastAsia="宋体" w:cs="宋体"/>
                <w:bCs/>
                <w:sz w:val="21"/>
                <w:szCs w:val="21"/>
                <w:lang w:val="en-US" w:eastAsia="zh-CN"/>
              </w:rPr>
              <w:t>2</w:t>
            </w:r>
            <w:r>
              <w:rPr>
                <w:rFonts w:hint="eastAsia" w:ascii="宋体" w:hAnsi="宋体" w:eastAsia="宋体" w:cs="宋体"/>
                <w:bCs/>
                <w:sz w:val="21"/>
                <w:szCs w:val="21"/>
                <w:lang w:val="zh-CN" w:eastAsia="zh-CN"/>
              </w:rPr>
              <w:t>分，</w:t>
            </w:r>
            <w:r>
              <w:rPr>
                <w:rFonts w:hint="eastAsia" w:ascii="宋体" w:hAnsi="宋体" w:eastAsia="宋体" w:cs="宋体"/>
                <w:bCs/>
                <w:sz w:val="21"/>
                <w:szCs w:val="21"/>
                <w:lang w:val="en-US" w:eastAsia="zh-CN"/>
              </w:rPr>
              <w:t>不满足</w:t>
            </w:r>
            <w:r>
              <w:rPr>
                <w:rFonts w:hint="eastAsia" w:ascii="宋体" w:hAnsi="宋体" w:eastAsia="宋体" w:cs="宋体"/>
                <w:bCs/>
                <w:sz w:val="21"/>
                <w:szCs w:val="21"/>
                <w:lang w:val="zh-CN" w:eastAsia="zh-CN"/>
              </w:rPr>
              <w:t>不得分</w:t>
            </w:r>
            <w:r>
              <w:rPr>
                <w:rFonts w:hint="eastAsia" w:ascii="宋体" w:hAnsi="宋体" w:eastAsia="宋体" w:cs="宋体"/>
                <w:bCs/>
                <w:sz w:val="21"/>
                <w:szCs w:val="21"/>
                <w:lang w:eastAsia="zh-CN"/>
              </w:rPr>
              <w:t>，</w:t>
            </w:r>
            <w:r>
              <w:rPr>
                <w:rFonts w:hint="eastAsia" w:ascii="宋体" w:hAnsi="宋体" w:eastAsia="宋体" w:cs="宋体"/>
                <w:bCs/>
                <w:sz w:val="21"/>
                <w:szCs w:val="21"/>
                <w:lang w:val="zh-CN" w:eastAsia="zh-CN"/>
              </w:rPr>
              <w:t>最高得</w:t>
            </w:r>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eastAsia="zh-CN"/>
              </w:rPr>
              <w:t>分</w:t>
            </w:r>
            <w:r>
              <w:rPr>
                <w:rFonts w:hint="eastAsia" w:ascii="宋体" w:hAnsi="宋体" w:eastAsia="宋体" w:cs="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827" w:type="dxa"/>
            <w:vMerge w:val="continue"/>
            <w:vAlign w:val="center"/>
          </w:tcPr>
          <w:p>
            <w:pPr>
              <w:spacing w:before="120" w:line="240" w:lineRule="exact"/>
              <w:jc w:val="center"/>
              <w:rPr>
                <w:rFonts w:hint="eastAsia" w:ascii="宋体" w:hAnsi="宋体" w:eastAsia="宋体" w:cs="宋体"/>
                <w:b/>
                <w:color w:val="000000"/>
                <w:sz w:val="21"/>
                <w:szCs w:val="21"/>
              </w:rPr>
            </w:pPr>
          </w:p>
        </w:tc>
        <w:tc>
          <w:tcPr>
            <w:tcW w:w="1903" w:type="dxa"/>
            <w:gridSpan w:val="3"/>
            <w:vAlign w:val="center"/>
          </w:tcPr>
          <w:p>
            <w:pPr>
              <w:spacing w:line="260" w:lineRule="atLeast"/>
              <w:rPr>
                <w:rFonts w:hint="eastAsia" w:ascii="宋体" w:hAnsi="宋体" w:eastAsia="宋体" w:cs="宋体"/>
                <w:kern w:val="0"/>
                <w:sz w:val="21"/>
                <w:szCs w:val="21"/>
              </w:rPr>
            </w:pPr>
            <w:r>
              <w:rPr>
                <w:rFonts w:hint="eastAsia" w:ascii="宋体" w:hAnsi="宋体" w:eastAsia="宋体" w:cs="宋体"/>
                <w:kern w:val="0"/>
                <w:sz w:val="21"/>
                <w:szCs w:val="21"/>
                <w:lang w:bidi="en-US"/>
              </w:rPr>
              <w:t>项目人员配置情况5分</w:t>
            </w:r>
          </w:p>
        </w:tc>
        <w:tc>
          <w:tcPr>
            <w:tcW w:w="6583"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根据提供的项目团队整体能力情况（各人员工作履历、技术能力等情况介绍）及人员配置合理性等情况进行综合评价打分（</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line="300" w:lineRule="exact"/>
              <w:rPr>
                <w:rFonts w:hint="eastAsia" w:ascii="宋体" w:hAnsi="宋体" w:eastAsia="宋体" w:cs="宋体"/>
                <w:sz w:val="21"/>
                <w:szCs w:val="21"/>
              </w:rPr>
            </w:pPr>
            <w:r>
              <w:rPr>
                <w:rFonts w:hint="eastAsia" w:ascii="宋体" w:hAnsi="宋体" w:eastAsia="宋体" w:cs="宋体"/>
                <w:sz w:val="21"/>
                <w:szCs w:val="21"/>
              </w:rPr>
              <w:t>拟指派本项目组成员每一人具有在软件和信息技术服务业方面的资质、证书，以及过往业绩得1分，最高</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line="260" w:lineRule="atLeast"/>
              <w:jc w:val="both"/>
              <w:rPr>
                <w:rFonts w:hint="eastAsia" w:ascii="宋体" w:hAnsi="宋体" w:eastAsia="宋体" w:cs="宋体"/>
                <w:kern w:val="0"/>
                <w:sz w:val="21"/>
                <w:szCs w:val="21"/>
              </w:rPr>
            </w:pPr>
            <w:r>
              <w:rPr>
                <w:rFonts w:hint="eastAsia" w:ascii="宋体" w:hAnsi="宋体" w:eastAsia="宋体" w:cs="宋体"/>
                <w:sz w:val="21"/>
                <w:szCs w:val="21"/>
              </w:rPr>
              <w:t>注：提供证书业绩等证明材料和近一个月的社保证明。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827" w:type="dxa"/>
            <w:vMerge w:val="continue"/>
            <w:vAlign w:val="center"/>
          </w:tcPr>
          <w:p>
            <w:pPr>
              <w:spacing w:before="120" w:line="240" w:lineRule="exact"/>
              <w:jc w:val="center"/>
              <w:rPr>
                <w:rFonts w:hint="eastAsia" w:ascii="宋体" w:hAnsi="宋体" w:eastAsia="宋体" w:cs="宋体"/>
                <w:b/>
                <w:color w:val="000000"/>
                <w:sz w:val="21"/>
                <w:szCs w:val="21"/>
              </w:rPr>
            </w:pPr>
          </w:p>
        </w:tc>
        <w:tc>
          <w:tcPr>
            <w:tcW w:w="1903" w:type="dxa"/>
            <w:gridSpan w:val="3"/>
            <w:vAlign w:val="center"/>
          </w:tcPr>
          <w:p>
            <w:pPr>
              <w:spacing w:line="260" w:lineRule="atLeast"/>
              <w:rPr>
                <w:rFonts w:hint="eastAsia" w:ascii="宋体" w:hAnsi="宋体" w:eastAsia="宋体" w:cs="宋体"/>
                <w:bCs/>
                <w:sz w:val="21"/>
                <w:szCs w:val="21"/>
              </w:rPr>
            </w:pPr>
            <w:r>
              <w:rPr>
                <w:rFonts w:hint="eastAsia" w:ascii="宋体" w:hAnsi="宋体" w:eastAsia="宋体" w:cs="宋体"/>
                <w:kern w:val="0"/>
                <w:sz w:val="21"/>
                <w:szCs w:val="21"/>
              </w:rPr>
              <w:t>安装、调试、验收的方案和措施</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p>
        </w:tc>
        <w:tc>
          <w:tcPr>
            <w:tcW w:w="6583" w:type="dxa"/>
            <w:vAlign w:val="center"/>
          </w:tcPr>
          <w:p>
            <w:pPr>
              <w:spacing w:line="260" w:lineRule="atLeast"/>
              <w:jc w:val="both"/>
              <w:rPr>
                <w:rFonts w:hint="eastAsia" w:ascii="宋体" w:hAnsi="宋体" w:eastAsia="宋体" w:cs="宋体"/>
                <w:bCs/>
                <w:sz w:val="21"/>
                <w:szCs w:val="21"/>
              </w:rPr>
            </w:pPr>
            <w:r>
              <w:rPr>
                <w:rFonts w:hint="eastAsia" w:ascii="宋体" w:hAnsi="宋体" w:eastAsia="宋体" w:cs="宋体"/>
                <w:color w:val="000000" w:themeColor="text1"/>
                <w:sz w:val="21"/>
                <w:szCs w:val="21"/>
                <w:lang w:bidi="ar"/>
                <w14:textFill>
                  <w14:solidFill>
                    <w14:schemeClr w14:val="tx1"/>
                  </w14:solidFill>
                </w14:textFill>
              </w:rPr>
              <w:t>根据投标供应商的安装、调试、验收的方案和措施情况进行打分。方案内容能针对本项目实际情况，完整全面、科学安全、完全满足甚至优于招标需求的得</w:t>
            </w:r>
            <w:r>
              <w:rPr>
                <w:rFonts w:hint="eastAsia" w:ascii="宋体" w:hAnsi="宋体" w:eastAsia="宋体" w:cs="宋体"/>
                <w:color w:val="000000" w:themeColor="text1"/>
                <w:sz w:val="21"/>
                <w:szCs w:val="21"/>
                <w:lang w:val="en-US" w:eastAsia="zh-CN" w:bidi="ar"/>
                <w14:textFill>
                  <w14:solidFill>
                    <w14:schemeClr w14:val="tx1"/>
                  </w14:solidFill>
                </w14:textFill>
              </w:rPr>
              <w:t>5</w:t>
            </w:r>
            <w:r>
              <w:rPr>
                <w:rFonts w:hint="eastAsia" w:ascii="宋体" w:hAnsi="宋体" w:eastAsia="宋体" w:cs="宋体"/>
                <w:color w:val="000000" w:themeColor="text1"/>
                <w:sz w:val="21"/>
                <w:szCs w:val="21"/>
                <w:lang w:bidi="ar"/>
                <w14:textFill>
                  <w14:solidFill>
                    <w14:schemeClr w14:val="tx1"/>
                  </w14:solidFill>
                </w14:textFill>
              </w:rPr>
              <w:t>-</w:t>
            </w:r>
            <w:r>
              <w:rPr>
                <w:rFonts w:hint="eastAsia" w:ascii="宋体" w:hAnsi="宋体" w:eastAsia="宋体" w:cs="宋体"/>
                <w:color w:val="000000" w:themeColor="text1"/>
                <w:sz w:val="21"/>
                <w:szCs w:val="21"/>
                <w:lang w:val="en-US" w:eastAsia="zh-CN" w:bidi="ar"/>
                <w14:textFill>
                  <w14:solidFill>
                    <w14:schemeClr w14:val="tx1"/>
                  </w14:solidFill>
                </w14:textFill>
              </w:rPr>
              <w:t>4</w:t>
            </w:r>
            <w:r>
              <w:rPr>
                <w:rFonts w:hint="eastAsia" w:ascii="宋体" w:hAnsi="宋体" w:eastAsia="宋体" w:cs="宋体"/>
                <w:color w:val="000000" w:themeColor="text1"/>
                <w:sz w:val="21"/>
                <w:szCs w:val="21"/>
                <w:lang w:bidi="ar"/>
                <w14:textFill>
                  <w14:solidFill>
                    <w14:schemeClr w14:val="tx1"/>
                  </w14:solidFill>
                </w14:textFill>
              </w:rPr>
              <w:t>分；内容简单满足招标需求的得</w:t>
            </w:r>
            <w:r>
              <w:rPr>
                <w:rFonts w:hint="eastAsia" w:ascii="宋体" w:hAnsi="宋体" w:eastAsia="宋体" w:cs="宋体"/>
                <w:color w:val="000000" w:themeColor="text1"/>
                <w:sz w:val="21"/>
                <w:szCs w:val="21"/>
                <w:lang w:val="en-US" w:eastAsia="zh-CN" w:bidi="ar"/>
                <w14:textFill>
                  <w14:solidFill>
                    <w14:schemeClr w14:val="tx1"/>
                  </w14:solidFill>
                </w14:textFill>
              </w:rPr>
              <w:t>3</w:t>
            </w:r>
            <w:r>
              <w:rPr>
                <w:rFonts w:hint="eastAsia" w:ascii="宋体" w:hAnsi="宋体" w:eastAsia="宋体" w:cs="宋体"/>
                <w:color w:val="000000" w:themeColor="text1"/>
                <w:sz w:val="21"/>
                <w:szCs w:val="21"/>
                <w:lang w:bidi="ar"/>
                <w14:textFill>
                  <w14:solidFill>
                    <w14:schemeClr w14:val="tx1"/>
                  </w14:solidFill>
                </w14:textFill>
              </w:rPr>
              <w:t>-</w:t>
            </w:r>
            <w:r>
              <w:rPr>
                <w:rFonts w:hint="eastAsia" w:ascii="宋体" w:hAnsi="宋体" w:eastAsia="宋体" w:cs="宋体"/>
                <w:color w:val="000000" w:themeColor="text1"/>
                <w:sz w:val="21"/>
                <w:szCs w:val="21"/>
                <w:lang w:val="en-US" w:eastAsia="zh-CN" w:bidi="ar"/>
                <w14:textFill>
                  <w14:solidFill>
                    <w14:schemeClr w14:val="tx1"/>
                  </w14:solidFill>
                </w14:textFill>
              </w:rPr>
              <w:t>2</w:t>
            </w:r>
            <w:r>
              <w:rPr>
                <w:rFonts w:hint="eastAsia" w:ascii="宋体" w:hAnsi="宋体" w:eastAsia="宋体" w:cs="宋体"/>
                <w:color w:val="000000" w:themeColor="text1"/>
                <w:sz w:val="21"/>
                <w:szCs w:val="21"/>
                <w:lang w:bidi="ar"/>
                <w14:textFill>
                  <w14:solidFill>
                    <w14:schemeClr w14:val="tx1"/>
                  </w14:solidFill>
                </w14:textFill>
              </w:rPr>
              <w:t>分；内容简略仅有提及的得</w:t>
            </w:r>
            <w:r>
              <w:rPr>
                <w:rFonts w:hint="eastAsia" w:ascii="宋体" w:hAnsi="宋体" w:eastAsia="宋体" w:cs="宋体"/>
                <w:color w:val="000000" w:themeColor="text1"/>
                <w:sz w:val="21"/>
                <w:szCs w:val="21"/>
                <w:lang w:val="en-US" w:eastAsia="zh-CN" w:bidi="ar"/>
                <w14:textFill>
                  <w14:solidFill>
                    <w14:schemeClr w14:val="tx1"/>
                  </w14:solidFill>
                </w14:textFill>
              </w:rPr>
              <w:t>1</w:t>
            </w:r>
            <w:r>
              <w:rPr>
                <w:rFonts w:hint="eastAsia" w:ascii="宋体" w:hAnsi="宋体" w:eastAsia="宋体" w:cs="宋体"/>
                <w:color w:val="000000" w:themeColor="text1"/>
                <w:sz w:val="21"/>
                <w:szCs w:val="21"/>
                <w:lang w:bidi="ar"/>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jc w:val="center"/>
        </w:trPr>
        <w:tc>
          <w:tcPr>
            <w:tcW w:w="827" w:type="dxa"/>
            <w:vAlign w:val="center"/>
          </w:tcPr>
          <w:p>
            <w:pPr>
              <w:spacing w:before="120" w:line="24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价格</w:t>
            </w:r>
          </w:p>
          <w:p>
            <w:pPr>
              <w:spacing w:before="120" w:line="24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30分</w:t>
            </w:r>
          </w:p>
        </w:tc>
        <w:tc>
          <w:tcPr>
            <w:tcW w:w="8486" w:type="dxa"/>
            <w:gridSpan w:val="4"/>
            <w:vAlign w:val="center"/>
          </w:tcPr>
          <w:p>
            <w:pPr>
              <w:spacing w:line="260" w:lineRule="atLeast"/>
              <w:jc w:val="both"/>
              <w:rPr>
                <w:rFonts w:hint="eastAsia" w:ascii="宋体" w:hAnsi="宋体" w:eastAsia="宋体" w:cs="宋体"/>
                <w:bCs/>
                <w:sz w:val="21"/>
                <w:szCs w:val="21"/>
              </w:rPr>
            </w:pPr>
            <w:r>
              <w:rPr>
                <w:rFonts w:hint="eastAsia" w:ascii="宋体" w:hAnsi="宋体" w:eastAsia="宋体" w:cs="宋体"/>
                <w:bCs/>
                <w:sz w:val="21"/>
                <w:szCs w:val="21"/>
              </w:rPr>
              <w:t>以合格供应商有效总报价中的最低价为基准价，基准价为30分。报价得分＝（评标基准价/最终投标报价）×30%×100（小数点后保留2位小数）。</w:t>
            </w:r>
          </w:p>
          <w:p>
            <w:pPr>
              <w:spacing w:line="260" w:lineRule="atLeast"/>
              <w:jc w:val="both"/>
              <w:rPr>
                <w:rFonts w:hint="eastAsia" w:ascii="宋体" w:hAnsi="宋体" w:eastAsia="宋体" w:cs="宋体"/>
                <w:bCs/>
                <w:color w:val="000000"/>
                <w:sz w:val="21"/>
                <w:szCs w:val="21"/>
              </w:rPr>
            </w:pPr>
            <w:r>
              <w:rPr>
                <w:rFonts w:hint="eastAsia" w:ascii="宋体" w:hAnsi="宋体" w:eastAsia="宋体" w:cs="宋体"/>
                <w:bCs/>
                <w:sz w:val="21"/>
                <w:szCs w:val="21"/>
              </w:rPr>
              <w:t>此项由磋商小组集体核实后统一打分。</w:t>
            </w:r>
          </w:p>
        </w:tc>
      </w:tr>
    </w:tbl>
    <w:p>
      <w:pPr>
        <w:rPr>
          <w:rFonts w:ascii="宋体" w:hAnsi="宋体" w:cs="宋体"/>
          <w:b/>
          <w:bCs/>
          <w:sz w:val="24"/>
        </w:rPr>
      </w:pPr>
      <w:r>
        <w:rPr>
          <w:rFonts w:hint="eastAsia"/>
        </w:rPr>
        <w:t>注：合同、证书、报告及其他相关证明材料，将原件扫描上传至响应文件，并加盖电子印章。</w:t>
      </w:r>
    </w:p>
    <w:p>
      <w:pPr>
        <w:spacing w:line="360" w:lineRule="auto"/>
        <w:ind w:firstLine="482" w:firstLineChars="200"/>
        <w:rPr>
          <w:rFonts w:ascii="宋体" w:hAnsi="宋体" w:cs="宋体"/>
          <w:sz w:val="24"/>
        </w:rPr>
      </w:pPr>
      <w:r>
        <w:rPr>
          <w:rFonts w:hint="eastAsia" w:ascii="宋体" w:hAnsi="宋体" w:cs="宋体"/>
          <w:b/>
          <w:bCs/>
          <w:sz w:val="24"/>
        </w:rPr>
        <w:t>2.最后报价</w:t>
      </w:r>
    </w:p>
    <w:p>
      <w:pPr>
        <w:spacing w:line="360" w:lineRule="auto"/>
        <w:ind w:firstLine="480" w:firstLineChars="200"/>
        <w:rPr>
          <w:rFonts w:ascii="宋体" w:hAnsi="宋体" w:cs="宋体"/>
          <w:sz w:val="24"/>
        </w:rPr>
      </w:pPr>
      <w:r>
        <w:rPr>
          <w:rFonts w:hint="eastAsia" w:ascii="宋体" w:hAnsi="宋体" w:cs="宋体"/>
          <w:sz w:val="24"/>
        </w:rPr>
        <w:t>（1）磋商文件能够详细列明采购标的的技术、服务要求的，磋商结束后，磋商小组将要求所有实质性响应的供应商在规定时间内提交最后报价，最后报价是供应商响应文件的有效组成部分。</w:t>
      </w:r>
    </w:p>
    <w:p>
      <w:pPr>
        <w:pStyle w:val="26"/>
        <w:spacing w:line="360" w:lineRule="auto"/>
        <w:ind w:firstLine="480" w:firstLineChars="200"/>
        <w:jc w:val="both"/>
      </w:pPr>
      <w:r>
        <w:rPr>
          <w:rFonts w:hint="eastAsia" w:ascii="宋体" w:hAnsi="宋体" w:eastAsia="宋体" w:cs="宋体"/>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3.评审要求</w:t>
      </w:r>
    </w:p>
    <w:p>
      <w:pPr>
        <w:spacing w:line="360" w:lineRule="auto"/>
        <w:ind w:firstLine="480" w:firstLineChars="200"/>
        <w:rPr>
          <w:rFonts w:ascii="宋体" w:hAnsi="宋体" w:cs="宋体"/>
          <w:sz w:val="24"/>
        </w:rPr>
      </w:pPr>
      <w:r>
        <w:rPr>
          <w:rFonts w:hint="eastAsia" w:ascii="宋体" w:hAnsi="宋体" w:cs="宋体"/>
          <w:sz w:val="24"/>
        </w:rPr>
        <w:t>(1)磋商小组应当按照磋商文件中规定的评标方法和标准，对符合性审查合格的响应文件的商务部分和技术部分进行综合比较与评价，其中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（2）对于磋商响应文件中含义不明确、同类问题表述不一致或者有明显文字和计算错误的内容，磋商小组应当要求投标人作出必要的澄清、说明或者补正。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投标报价相同的，按照技术指标优劣顺序推荐。</w:t>
      </w:r>
    </w:p>
    <w:p>
      <w:pPr>
        <w:spacing w:line="360" w:lineRule="auto"/>
        <w:ind w:firstLine="480" w:firstLineChars="200"/>
        <w:rPr>
          <w:rFonts w:ascii="宋体" w:hAnsi="宋体" w:cs="宋体"/>
          <w:sz w:val="24"/>
        </w:rPr>
      </w:pPr>
      <w:r>
        <w:rPr>
          <w:rFonts w:hint="eastAsia" w:ascii="宋体" w:hAnsi="宋体" w:cs="宋体"/>
          <w:sz w:val="24"/>
        </w:rPr>
        <w:t>2.提供相同品牌产品的，参照《政府采购货物和服务招标投标管理办法》（第87号令）第三十一条有关规定执行。</w:t>
      </w:r>
    </w:p>
    <w:p>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pPr>
        <w:spacing w:line="360" w:lineRule="auto"/>
        <w:ind w:firstLine="480" w:firstLineChars="200"/>
      </w:pPr>
      <w:r>
        <w:rPr>
          <w:rFonts w:hint="eastAsia" w:ascii="宋体" w:hAnsi="宋体" w:cs="宋体"/>
          <w:sz w:val="24"/>
        </w:rPr>
        <w:t>磋商小组根据全体评审人员签字的原始记录和得分情况编写评审报告。</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widowControl/>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w:t>
      </w:r>
      <w:r>
        <w:rPr>
          <w:rFonts w:hint="eastAsia" w:asciiTheme="minorEastAsia" w:hAnsiTheme="minorEastAsia" w:eastAsiaTheme="minorEastAsia"/>
          <w:sz w:val="24"/>
        </w:rPr>
        <w:t>签</w:t>
      </w:r>
      <w:r>
        <w:rPr>
          <w:rFonts w:hint="eastAsia" w:ascii="宋体" w:hAnsi="宋体"/>
          <w:sz w:val="24"/>
        </w:rPr>
        <w:t>订</w:t>
      </w:r>
      <w:r>
        <w:rPr>
          <w:rFonts w:asciiTheme="minorEastAsia" w:hAnsiTheme="minorEastAsia" w:eastAsiaTheme="minorEastAsia"/>
          <w:sz w:val="24"/>
        </w:rPr>
        <w:t>本项目合同的通用条款，成交供应商不得提出实质性的修改，关于专用条款将由采购人与成交供应商结合本项目具体情况协商后签订。</w:t>
      </w:r>
    </w:p>
    <w:p>
      <w:pPr>
        <w:pStyle w:val="8"/>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8"/>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8"/>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8"/>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rPr>
        <w:t>竞争性磋商</w:t>
      </w:r>
      <w:r>
        <w:rPr>
          <w:rFonts w:asciiTheme="minorEastAsia" w:hAnsiTheme="minorEastAsia" w:eastAsiaTheme="minorEastAsia"/>
          <w:sz w:val="24"/>
        </w:rPr>
        <w:t>的结果，签署本合同。</w:t>
      </w:r>
    </w:p>
    <w:p>
      <w:pPr>
        <w:spacing w:line="360" w:lineRule="auto"/>
        <w:ind w:firstLine="482" w:firstLineChars="200"/>
        <w:rPr>
          <w:rFonts w:ascii="宋体"/>
          <w:b/>
          <w:bCs/>
          <w:sz w:val="24"/>
          <w:lang w:val="zh-CN"/>
        </w:rPr>
      </w:pPr>
      <w:r>
        <w:rPr>
          <w:rFonts w:hint="eastAsia" w:ascii="宋体"/>
          <w:b/>
          <w:bCs/>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成交通知书。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成交</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8"/>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8"/>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本合同金额为（大写）：______________________元（￥__________元）人民币。</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8"/>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8"/>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无</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8"/>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8"/>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8"/>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8"/>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8"/>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rPr>
        <w:t>xx</w:t>
      </w:r>
      <w:r>
        <w:rPr>
          <w:rFonts w:asciiTheme="minorEastAsia" w:hAnsiTheme="minorEastAsia" w:eastAsiaTheme="minorEastAsia"/>
          <w:sz w:val="24"/>
        </w:rPr>
        <w:t>小时内到达甲方现场。</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sz w:val="24"/>
          <w:u w:val="single"/>
        </w:rPr>
        <w:t>五</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8"/>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乙方在货物发运手续办理完毕后24小时内或货到甲方48小时前通知甲方，以准备接货。</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8"/>
        <w:snapToGrid w:val="0"/>
        <w:spacing w:line="360" w:lineRule="auto"/>
        <w:ind w:firstLine="480" w:firstLineChars="200"/>
        <w:rPr>
          <w:sz w:val="24"/>
        </w:rPr>
      </w:pPr>
      <w:r>
        <w:rPr>
          <w:rFonts w:asciiTheme="minorEastAsia" w:hAnsiTheme="minorEastAsia" w:eastAsiaTheme="minorEastAsia"/>
          <w:sz w:val="24"/>
        </w:rPr>
        <w:t>如双方在履行合同时发生纠纷，应协商解决；协商不成时，可提请政府采购管理部门调解；调解不成的</w:t>
      </w:r>
      <w:r>
        <w:rPr>
          <w:rFonts w:hAnsi="宋体" w:cs="宋体"/>
          <w:kern w:val="0"/>
          <w:sz w:val="24"/>
        </w:rPr>
        <w:t>提交</w:t>
      </w:r>
      <w:r>
        <w:rPr>
          <w:rFonts w:hAnsi="宋体"/>
          <w:sz w:val="24"/>
          <w:u w:val="single"/>
        </w:rPr>
        <w:t>台州</w:t>
      </w:r>
      <w:r>
        <w:rPr>
          <w:rFonts w:hAnsi="宋体" w:cs="宋体"/>
          <w:kern w:val="0"/>
          <w:sz w:val="24"/>
        </w:rPr>
        <w:t xml:space="preserve">仲裁委员会仲裁。 </w:t>
      </w:r>
    </w:p>
    <w:p>
      <w:pPr>
        <w:pStyle w:val="8"/>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color w:val="111F2C"/>
          <w:szCs w:val="21"/>
          <w:shd w:val="clear" w:color="auto" w:fill="FFFFFF"/>
        </w:rPr>
        <w:t>中华人民共和国民法典</w:t>
      </w:r>
      <w:r>
        <w:rPr>
          <w:rFonts w:asciiTheme="minorEastAsia" w:hAnsiTheme="minorEastAsia" w:eastAsiaTheme="minorEastAsia"/>
        </w:rPr>
        <w:t>》有关条文执行。</w:t>
      </w:r>
    </w:p>
    <w:p>
      <w:pPr>
        <w:pStyle w:val="11"/>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jc w:val="center"/>
        <w:rPr>
          <w:rFonts w:ascii="宋体" w:hAnsi="宋体"/>
          <w:b/>
          <w:sz w:val="36"/>
        </w:rPr>
      </w:pPr>
    </w:p>
    <w:p>
      <w:pPr>
        <w:pStyle w:val="2"/>
        <w:numPr>
          <w:ilvl w:val="0"/>
          <w:numId w:val="0"/>
        </w:numPr>
        <w:jc w:val="both"/>
      </w:pPr>
    </w:p>
    <w:p/>
    <w:p>
      <w:pPr>
        <w:pStyle w:val="21"/>
      </w:pPr>
    </w:p>
    <w:p/>
    <w:p>
      <w:pPr>
        <w:pStyle w:val="21"/>
      </w:pPr>
    </w:p>
    <w:p/>
    <w:p>
      <w:pPr>
        <w:pStyle w:val="21"/>
      </w:pPr>
    </w:p>
    <w:p/>
    <w:p>
      <w:pPr>
        <w:pStyle w:val="7"/>
      </w:pPr>
    </w:p>
    <w:p>
      <w:pPr>
        <w:pStyle w:val="8"/>
      </w:pPr>
    </w:p>
    <w:p>
      <w:pPr>
        <w:pStyle w:val="9"/>
        <w:ind w:left="5250"/>
      </w:pPr>
    </w:p>
    <w:p>
      <w:pPr>
        <w:rPr>
          <w:rFonts w:asciiTheme="minorEastAsia" w:hAnsiTheme="minorEastAsia" w:eastAsiaTheme="minorEastAsia"/>
          <w:b/>
          <w:sz w:val="36"/>
          <w:szCs w:val="36"/>
        </w:rPr>
      </w:pPr>
    </w:p>
    <w:p>
      <w:pPr>
        <w:rPr>
          <w:rFonts w:asciiTheme="minorEastAsia" w:hAnsiTheme="minorEastAsia" w:eastAsiaTheme="minorEastAsia"/>
          <w:b/>
          <w:sz w:val="36"/>
          <w:szCs w:val="36"/>
        </w:rPr>
      </w:pPr>
    </w:p>
    <w:p>
      <w:pPr>
        <w:pStyle w:val="8"/>
      </w:pPr>
    </w:p>
    <w:p>
      <w:pPr>
        <w:numPr>
          <w:ilvl w:val="0"/>
          <w:numId w:val="4"/>
        </w:numPr>
        <w:spacing w:line="360" w:lineRule="auto"/>
        <w:jc w:val="center"/>
        <w:outlineLvl w:val="0"/>
        <w:rPr>
          <w:rFonts w:asciiTheme="minorEastAsia" w:hAnsiTheme="minorEastAsia" w:eastAsiaTheme="minorEastAsia"/>
          <w:b/>
          <w:sz w:val="36"/>
          <w:szCs w:val="36"/>
        </w:rPr>
      </w:pPr>
      <w:bookmarkStart w:id="38" w:name="_Toc22166"/>
      <w:r>
        <w:rPr>
          <w:rFonts w:hint="eastAsia" w:asciiTheme="minorEastAsia" w:hAnsiTheme="minorEastAsia" w:eastAsiaTheme="minorEastAsia"/>
          <w:b/>
          <w:sz w:val="36"/>
          <w:szCs w:val="36"/>
        </w:rPr>
        <w:t>响应文件格式</w:t>
      </w:r>
      <w:bookmarkEnd w:id="38"/>
    </w:p>
    <w:p>
      <w:pPr>
        <w:outlineLvl w:val="0"/>
        <w:rPr>
          <w:rFonts w:ascii="宋体" w:hAnsi="宋体"/>
          <w:b/>
          <w:kern w:val="0"/>
          <w:sz w:val="28"/>
          <w:szCs w:val="28"/>
        </w:rPr>
      </w:pPr>
      <w:r>
        <w:rPr>
          <w:rFonts w:hint="eastAsia" w:ascii="宋体" w:hAnsi="宋体"/>
          <w:b/>
          <w:sz w:val="28"/>
          <w:szCs w:val="28"/>
        </w:rPr>
        <w:t xml:space="preserve">附件1 </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b/>
          <w:bCs/>
          <w:sz w:val="44"/>
          <w:szCs w:val="44"/>
        </w:rPr>
      </w:pPr>
      <w:r>
        <w:rPr>
          <w:rFonts w:hint="eastAsia" w:asciiTheme="minorEastAsia" w:hAnsiTheme="minorEastAsia" w:eastAsiaTheme="minorEastAsia" w:cstheme="minorEastAsia"/>
          <w:b/>
          <w:bCs/>
          <w:sz w:val="44"/>
          <w:szCs w:val="44"/>
        </w:rPr>
        <w:t>台州科技职业学院数字化营销与运营管理平台项目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bCs/>
          <w:kern w:val="0"/>
          <w:sz w:val="30"/>
          <w:szCs w:val="30"/>
        </w:rPr>
      </w:pPr>
      <w:r>
        <w:rPr>
          <w:rFonts w:hint="eastAsia" w:ascii="宋体" w:hAnsi="宋体" w:cs="宋体"/>
          <w:color w:val="000000" w:themeColor="text1"/>
          <w:sz w:val="36"/>
          <w:szCs w:val="36"/>
          <w:lang w:bidi="ar"/>
          <w14:textFill>
            <w14:solidFill>
              <w14:schemeClr w14:val="tx1"/>
            </w14:solidFill>
          </w14:textFill>
        </w:rPr>
        <w:t>项目编号：TZTL-2022-CS05</w:t>
      </w:r>
      <w:r>
        <w:rPr>
          <w:rFonts w:hint="eastAsia" w:ascii="宋体" w:hAnsi="宋体" w:cs="宋体"/>
          <w:color w:val="000000" w:themeColor="text1"/>
          <w:sz w:val="36"/>
          <w:szCs w:val="36"/>
          <w:lang w:val="en-US" w:eastAsia="zh-CN" w:bidi="ar"/>
          <w14:textFill>
            <w14:solidFill>
              <w14:schemeClr w14:val="tx1"/>
            </w14:solidFill>
          </w14:textFill>
        </w:rPr>
        <w:t>4</w:t>
      </w:r>
    </w:p>
    <w:p>
      <w:pPr>
        <w:spacing w:before="240" w:beforeLines="100" w:line="360" w:lineRule="auto"/>
        <w:ind w:right="-108"/>
        <w:jc w:val="center"/>
        <w:rPr>
          <w:rFonts w:ascii="宋体" w:hAnsi="宋体"/>
          <w:sz w:val="36"/>
          <w:szCs w:val="36"/>
        </w:rPr>
      </w:pPr>
    </w:p>
    <w:p>
      <w:pPr>
        <w:pStyle w:val="26"/>
        <w:rPr>
          <w:rFonts w:asciiTheme="majorEastAsia" w:hAnsiTheme="majorEastAsia" w:eastAsiaTheme="majorEastAsia"/>
          <w:sz w:val="28"/>
          <w:szCs w:val="28"/>
        </w:rPr>
      </w:pPr>
    </w:p>
    <w:p>
      <w:pPr>
        <w:jc w:val="center"/>
        <w:rPr>
          <w:sz w:val="84"/>
          <w:szCs w:val="84"/>
        </w:rPr>
      </w:pPr>
      <w:r>
        <w:rPr>
          <w:rFonts w:hint="eastAsia"/>
          <w:sz w:val="84"/>
          <w:szCs w:val="84"/>
        </w:rPr>
        <w:t>磋</w:t>
      </w:r>
    </w:p>
    <w:p>
      <w:pPr>
        <w:jc w:val="center"/>
        <w:rPr>
          <w:sz w:val="84"/>
          <w:szCs w:val="84"/>
        </w:rPr>
      </w:pPr>
      <w:r>
        <w:rPr>
          <w:rFonts w:hint="eastAsia"/>
          <w:sz w:val="84"/>
          <w:szCs w:val="84"/>
        </w:rPr>
        <w:t>商</w:t>
      </w:r>
    </w:p>
    <w:p>
      <w:pPr>
        <w:jc w:val="center"/>
        <w:rPr>
          <w:sz w:val="84"/>
          <w:szCs w:val="84"/>
        </w:rPr>
      </w:pPr>
      <w:r>
        <w:rPr>
          <w:rFonts w:hint="eastAsia"/>
          <w:sz w:val="84"/>
          <w:szCs w:val="84"/>
        </w:rPr>
        <w:t>响</w:t>
      </w:r>
    </w:p>
    <w:p>
      <w:pPr>
        <w:jc w:val="center"/>
        <w:rPr>
          <w:sz w:val="84"/>
          <w:szCs w:val="84"/>
        </w:rPr>
      </w:pPr>
      <w:r>
        <w:rPr>
          <w:rFonts w:hint="eastAsia"/>
          <w:sz w:val="84"/>
          <w:szCs w:val="84"/>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26"/>
      </w:pPr>
    </w:p>
    <w:p>
      <w:pPr>
        <w:spacing w:line="360" w:lineRule="auto"/>
        <w:ind w:right="532" w:firstLine="640" w:firstLineChars="200"/>
        <w:rPr>
          <w:rFonts w:ascii="宋体" w:hAnsi="宋体"/>
          <w:sz w:val="32"/>
          <w:szCs w:val="32"/>
        </w:rPr>
      </w:pPr>
      <w:r>
        <w:rPr>
          <w:rFonts w:hint="eastAsia" w:ascii="宋体" w:hAnsi="宋体"/>
          <w:sz w:val="32"/>
          <w:szCs w:val="32"/>
        </w:rPr>
        <w:t>供应商全称（电子印章）：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仿宋_GB2312" w:hAnsi="宋体" w:eastAsia="仿宋_GB2312"/>
          <w:b/>
          <w:sz w:val="36"/>
          <w:szCs w:val="36"/>
        </w:rPr>
      </w:pPr>
      <w:r>
        <w:rPr>
          <w:rFonts w:hint="eastAsia" w:ascii="宋体" w:hAnsi="宋体"/>
          <w:sz w:val="32"/>
          <w:szCs w:val="32"/>
        </w:rPr>
        <w:t>时    间：</w:t>
      </w:r>
    </w:p>
    <w:p>
      <w:pPr>
        <w:pStyle w:val="2"/>
        <w:numPr>
          <w:ilvl w:val="0"/>
          <w:numId w:val="0"/>
        </w:numPr>
        <w:ind w:left="425"/>
        <w:jc w:val="both"/>
      </w:pPr>
    </w:p>
    <w:p>
      <w:pPr>
        <w:jc w:val="center"/>
        <w:rPr>
          <w:sz w:val="24"/>
        </w:rPr>
      </w:pPr>
      <w:r>
        <w:rPr>
          <w:rFonts w:hint="eastAsia"/>
          <w:b/>
          <w:bCs/>
          <w:sz w:val="32"/>
          <w:szCs w:val="40"/>
        </w:rPr>
        <w:t>资格证明内容</w:t>
      </w:r>
    </w:p>
    <w:p>
      <w:pPr>
        <w:spacing w:line="360" w:lineRule="auto"/>
        <w:ind w:firstLine="480" w:firstLineChars="200"/>
        <w:rPr>
          <w:sz w:val="24"/>
        </w:rPr>
      </w:pPr>
      <w:bookmarkStart w:id="39" w:name="_Toc27049_WPSOffice_Level1"/>
      <w:bookmarkStart w:id="40" w:name="_Toc12587_WPSOffice_Level1"/>
      <w:r>
        <w:rPr>
          <w:rFonts w:hint="eastAsia"/>
          <w:sz w:val="24"/>
        </w:rPr>
        <w:t>1、磋商声明书（附件2）</w:t>
      </w:r>
      <w:bookmarkEnd w:id="39"/>
      <w:bookmarkEnd w:id="40"/>
    </w:p>
    <w:p>
      <w:pPr>
        <w:spacing w:line="360" w:lineRule="auto"/>
        <w:ind w:firstLine="480" w:firstLineChars="200"/>
        <w:rPr>
          <w:sz w:val="24"/>
        </w:rPr>
      </w:pPr>
      <w:bookmarkStart w:id="41" w:name="_Toc25574_WPSOffice_Level1"/>
      <w:bookmarkStart w:id="42" w:name="_Toc28306_WPSOffice_Level1"/>
      <w:r>
        <w:rPr>
          <w:rFonts w:hint="eastAsia"/>
          <w:sz w:val="24"/>
        </w:rPr>
        <w:t>2、</w:t>
      </w:r>
      <w:r>
        <w:rPr>
          <w:sz w:val="24"/>
        </w:rPr>
        <w:t>授权</w:t>
      </w:r>
      <w:r>
        <w:rPr>
          <w:rFonts w:hint="eastAsia"/>
          <w:sz w:val="24"/>
        </w:rPr>
        <w:t>委托</w:t>
      </w:r>
      <w:r>
        <w:rPr>
          <w:sz w:val="24"/>
        </w:rPr>
        <w:t>书</w:t>
      </w:r>
      <w:r>
        <w:rPr>
          <w:rFonts w:hint="eastAsia"/>
          <w:sz w:val="24"/>
        </w:rPr>
        <w:t>（法定代表人办理磋商事宜的，则无需提交)（附件3）</w:t>
      </w:r>
      <w:bookmarkEnd w:id="41"/>
      <w:bookmarkEnd w:id="42"/>
    </w:p>
    <w:p>
      <w:pPr>
        <w:spacing w:line="360" w:lineRule="auto"/>
        <w:ind w:firstLine="480" w:firstLineChars="200"/>
        <w:rPr>
          <w:sz w:val="24"/>
        </w:rPr>
      </w:pPr>
      <w:bookmarkStart w:id="43" w:name="_Toc32100_WPSOffice_Level1"/>
      <w:bookmarkStart w:id="44" w:name="_Toc29616_WPSOffice_Level1"/>
      <w:r>
        <w:rPr>
          <w:rFonts w:hint="eastAsia"/>
          <w:sz w:val="24"/>
        </w:rPr>
        <w:t>3、</w:t>
      </w:r>
      <w:r>
        <w:rPr>
          <w:sz w:val="24"/>
        </w:rPr>
        <w:t>法人或者其他组织的营业执照等证明文件，自然人的身份证明</w:t>
      </w:r>
      <w:bookmarkEnd w:id="43"/>
      <w:bookmarkEnd w:id="44"/>
    </w:p>
    <w:p>
      <w:pPr>
        <w:spacing w:line="360" w:lineRule="auto"/>
        <w:ind w:firstLine="480" w:firstLineChars="200"/>
        <w:rPr>
          <w:rFonts w:ascii="宋体" w:hAnsi="宋体" w:cs="宋体"/>
          <w:sz w:val="24"/>
        </w:rPr>
      </w:pPr>
      <w:bookmarkStart w:id="45" w:name="_Toc25807_WPSOffice_Level1"/>
      <w:bookmarkStart w:id="46" w:name="_Toc9981_WPSOffice_Level1"/>
      <w:r>
        <w:rPr>
          <w:rFonts w:hint="eastAsia"/>
          <w:sz w:val="24"/>
        </w:rPr>
        <w:t>4、</w:t>
      </w:r>
      <w:bookmarkEnd w:id="45"/>
      <w:bookmarkEnd w:id="46"/>
      <w:bookmarkStart w:id="47" w:name="_Toc30751_WPSOffice_Level1"/>
      <w:bookmarkStart w:id="48" w:name="_Toc2696_WPSOffice_Level1"/>
      <w:r>
        <w:rPr>
          <w:rFonts w:ascii="宋体" w:hAnsi="宋体" w:eastAsia="宋体" w:cs="宋体"/>
          <w:sz w:val="24"/>
          <w:szCs w:val="24"/>
        </w:rPr>
        <w:t>近一年内经审计的财务状况报告（或提供开户行出具的银行资信证明或担保机构的担保函扫描件)；提供投标截止日前6个月内任意1个月依法缴纳税收和社会保障资金的相关材料内依法缴纳税收（如依法免税的，应提供相应文件证明其依法免税）</w:t>
      </w:r>
      <w:r>
        <w:rPr>
          <w:rFonts w:hint="eastAsia" w:ascii="宋体" w:hAnsi="宋体" w:eastAsia="宋体" w:cs="宋体"/>
          <w:sz w:val="24"/>
          <w:szCs w:val="24"/>
          <w:lang w:eastAsia="zh-CN"/>
        </w:rPr>
        <w:t>。</w:t>
      </w:r>
    </w:p>
    <w:p>
      <w:pPr>
        <w:spacing w:line="360" w:lineRule="auto"/>
        <w:ind w:firstLine="480" w:firstLineChars="200"/>
        <w:rPr>
          <w:sz w:val="24"/>
        </w:rPr>
      </w:pPr>
      <w:r>
        <w:rPr>
          <w:rFonts w:hint="eastAsia"/>
          <w:sz w:val="24"/>
        </w:rPr>
        <w:t>5、</w:t>
      </w:r>
      <w:r>
        <w:rPr>
          <w:sz w:val="24"/>
        </w:rPr>
        <w:t>具备履行合同所必需的设备和专业技术能力的证明材料</w:t>
      </w:r>
      <w:bookmarkEnd w:id="47"/>
      <w:bookmarkEnd w:id="48"/>
    </w:p>
    <w:p>
      <w:pPr>
        <w:spacing w:line="360" w:lineRule="auto"/>
        <w:ind w:firstLine="480" w:firstLineChars="200"/>
        <w:rPr>
          <w:sz w:val="24"/>
        </w:rPr>
      </w:pPr>
      <w:bookmarkStart w:id="49" w:name="_Toc4587_WPSOffice_Level1"/>
      <w:bookmarkStart w:id="50" w:name="_Toc14150_WPSOffice_Level1"/>
      <w:r>
        <w:rPr>
          <w:rFonts w:hint="eastAsia"/>
          <w:sz w:val="24"/>
        </w:rPr>
        <w:t>6、本项目要求的特定资质证书</w:t>
      </w:r>
      <w:bookmarkEnd w:id="49"/>
      <w:bookmarkEnd w:id="50"/>
    </w:p>
    <w:p>
      <w:pPr>
        <w:spacing w:line="360" w:lineRule="auto"/>
        <w:ind w:firstLine="480" w:firstLineChars="200"/>
        <w:rPr>
          <w:rFonts w:hint="eastAsia"/>
          <w:sz w:val="24"/>
        </w:rPr>
      </w:pPr>
      <w:r>
        <w:rPr>
          <w:rFonts w:hint="eastAsia"/>
          <w:sz w:val="24"/>
          <w:lang w:val="en-US" w:eastAsia="zh-CN"/>
        </w:rPr>
        <w:t>7、</w:t>
      </w:r>
      <w:r>
        <w:rPr>
          <w:rFonts w:hint="eastAsia"/>
          <w:sz w:val="24"/>
        </w:rPr>
        <w:t>中小企业声明函（附件18）</w:t>
      </w:r>
    </w:p>
    <w:p>
      <w:pPr>
        <w:spacing w:line="360" w:lineRule="auto"/>
        <w:ind w:firstLine="482" w:firstLineChars="200"/>
        <w:rPr>
          <w:rFonts w:hint="eastAsia" w:ascii="宋体" w:hAnsi="宋体" w:eastAsia="宋体"/>
          <w:b/>
          <w:sz w:val="24"/>
          <w:lang w:val="en-US" w:eastAsia="zh-CN"/>
        </w:rPr>
      </w:pPr>
    </w:p>
    <w:p>
      <w:pPr>
        <w:spacing w:line="360" w:lineRule="auto"/>
        <w:ind w:firstLine="482" w:firstLineChars="200"/>
        <w:rPr>
          <w:rFonts w:ascii="宋体" w:hAnsi="宋体"/>
          <w:b/>
          <w:sz w:val="24"/>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spacing w:line="312" w:lineRule="auto"/>
        <w:outlineLvl w:val="0"/>
        <w:rPr>
          <w:rFonts w:ascii="宋体" w:hAnsi="宋体"/>
          <w:b/>
          <w:sz w:val="28"/>
        </w:rPr>
      </w:pPr>
      <w:bookmarkStart w:id="51" w:name="_Toc1587"/>
    </w:p>
    <w:p>
      <w:pPr>
        <w:spacing w:line="312" w:lineRule="auto"/>
        <w:outlineLvl w:val="0"/>
        <w:rPr>
          <w:rFonts w:ascii="宋体" w:hAnsi="宋体"/>
          <w:b/>
          <w:sz w:val="28"/>
        </w:rPr>
      </w:pPr>
    </w:p>
    <w:p>
      <w:pPr>
        <w:spacing w:line="312" w:lineRule="auto"/>
        <w:outlineLvl w:val="0"/>
        <w:rPr>
          <w:rFonts w:ascii="宋体" w:hAnsi="宋体"/>
          <w:b/>
          <w:sz w:val="28"/>
        </w:rPr>
      </w:pPr>
      <w:r>
        <w:rPr>
          <w:rFonts w:hint="eastAsia" w:ascii="宋体" w:hAnsi="宋体"/>
          <w:b/>
          <w:sz w:val="28"/>
        </w:rPr>
        <w:t>附件2</w:t>
      </w:r>
      <w:bookmarkEnd w:id="51"/>
    </w:p>
    <w:p>
      <w:pPr>
        <w:adjustRightInd w:val="0"/>
        <w:snapToGrid w:val="0"/>
        <w:spacing w:line="312" w:lineRule="auto"/>
        <w:ind w:right="480"/>
        <w:jc w:val="center"/>
        <w:rPr>
          <w:rFonts w:ascii="宋体" w:hAnsi="宋体"/>
          <w:b/>
          <w:kern w:val="0"/>
          <w:sz w:val="32"/>
          <w:szCs w:val="32"/>
          <w:lang w:val="zh-CN"/>
        </w:rPr>
      </w:pPr>
      <w:bookmarkStart w:id="52" w:name="_Toc31708_WPSOffice_Level1"/>
      <w:bookmarkStart w:id="53"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2"/>
      <w:bookmarkEnd w:id="53"/>
    </w:p>
    <w:p>
      <w:pPr>
        <w:snapToGrid w:val="0"/>
        <w:spacing w:before="120" w:beforeLines="50" w:after="50" w:line="312" w:lineRule="auto"/>
        <w:rPr>
          <w:rFonts w:ascii="宋体" w:hAnsi="宋体" w:cstheme="minorBidi"/>
          <w:sz w:val="24"/>
          <w:u w:val="single"/>
        </w:rPr>
      </w:pPr>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台州天利招标有限公司</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pacing w:line="360" w:lineRule="auto"/>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台州科技职业学院数字化营销与运营管理平台项目（编号为TZTL-2022-CS05</w:t>
      </w:r>
      <w:r>
        <w:rPr>
          <w:rFonts w:hint="eastAsia" w:ascii="宋体" w:hAnsi="宋体" w:cs="宋体"/>
          <w:kern w:val="0"/>
          <w:sz w:val="24"/>
          <w:u w:val="single"/>
          <w:lang w:val="en-US" w:eastAsia="zh-CN"/>
        </w:rPr>
        <w:t>4</w:t>
      </w:r>
      <w:r>
        <w:rPr>
          <w:rFonts w:hint="eastAsia" w:ascii="宋体" w:hAnsi="宋体" w:cs="宋体"/>
          <w:kern w:val="0"/>
          <w:sz w:val="24"/>
          <w:u w:val="single"/>
        </w:rPr>
        <w:t>）</w:t>
      </w:r>
      <w:r>
        <w:rPr>
          <w:rFonts w:hint="eastAsia" w:ascii="宋体" w:hAnsi="宋体" w:cs="宋体"/>
          <w:kern w:val="0"/>
          <w:sz w:val="24"/>
        </w:rPr>
        <w:t>的磋商，为此，我公司就本次磋商有关事项郑重声明如下：</w:t>
      </w:r>
    </w:p>
    <w:p>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1"/>
        </w:numPr>
        <w:snapToGrid w:val="0"/>
        <w:spacing w:line="360" w:lineRule="auto"/>
        <w:ind w:firstLine="480" w:firstLineChars="200"/>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widowControl/>
        <w:spacing w:line="408" w:lineRule="auto"/>
        <w:ind w:firstLine="480" w:firstLineChars="200"/>
        <w:rPr>
          <w:rFonts w:asciiTheme="minorEastAsia" w:hAnsiTheme="minorEastAsia" w:eastAsiaTheme="minorEastAsia" w:cstheme="minorEastAsia"/>
          <w:color w:val="000000" w:themeColor="text1"/>
          <w:sz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6、</w:t>
      </w:r>
      <w:r>
        <w:rPr>
          <w:rFonts w:hint="eastAsia" w:asciiTheme="minorEastAsia" w:hAnsiTheme="minorEastAsia" w:eastAsiaTheme="minorEastAsia" w:cstheme="minorEastAsia"/>
          <w:color w:val="000000" w:themeColor="text1"/>
          <w:kern w:val="0"/>
          <w:sz w:val="24"/>
          <w:lang w:val="af" w:bidi="ar"/>
          <w14:textFill>
            <w14:solidFill>
              <w14:schemeClr w14:val="tx1"/>
            </w14:solidFill>
          </w14:textFill>
        </w:rPr>
        <w:t>我</w:t>
      </w:r>
      <w:r>
        <w:rPr>
          <w:rFonts w:hint="eastAsia" w:asciiTheme="minorEastAsia" w:hAnsiTheme="minorEastAsia" w:eastAsiaTheme="minorEastAsia" w:cstheme="minorEastAsia"/>
          <w:color w:val="000000" w:themeColor="text1"/>
          <w:kern w:val="0"/>
          <w:sz w:val="24"/>
          <w:lang w:val="zh-CN" w:bidi="ar"/>
          <w14:textFill>
            <w14:solidFill>
              <w14:schemeClr w14:val="tx1"/>
            </w14:solidFill>
          </w14:textFill>
        </w:rPr>
        <w:t>公司如被确定为成交供应商，保证在成交结果公示后五个工作日内缴纳招标服务费人民币</w:t>
      </w:r>
      <w:r>
        <w:rPr>
          <w:rFonts w:hint="eastAsia" w:ascii="宋体" w:hAnsi="宋体" w:cs="宋体" w:eastAsiaTheme="minorEastAsia"/>
          <w:color w:val="000000" w:themeColor="text1"/>
          <w:sz w:val="24"/>
          <w:u w:val="single"/>
          <w:lang w:eastAsia="zh-CN"/>
          <w14:textFill>
            <w14:solidFill>
              <w14:schemeClr w14:val="tx1"/>
            </w14:solidFill>
          </w14:textFill>
        </w:rPr>
        <w:t>伍仟玖佰元整</w:t>
      </w:r>
      <w:r>
        <w:rPr>
          <w:rFonts w:hint="eastAsia" w:asciiTheme="minorEastAsia" w:hAnsiTheme="minorEastAsia" w:eastAsiaTheme="minorEastAsia" w:cstheme="minorEastAsia"/>
          <w:color w:val="000000" w:themeColor="text1"/>
          <w:sz w:val="24"/>
          <w:lang w:bidi="ar"/>
          <w14:textFill>
            <w14:solidFill>
              <w14:schemeClr w14:val="tx1"/>
            </w14:solidFill>
          </w14:textFill>
        </w:rPr>
        <w:t>（小写¥</w:t>
      </w:r>
      <w:r>
        <w:rPr>
          <w:rFonts w:hint="eastAsia" w:asciiTheme="minorEastAsia" w:hAnsiTheme="minorEastAsia" w:eastAsiaTheme="minorEastAsia" w:cstheme="minorEastAsia"/>
          <w:color w:val="000000" w:themeColor="text1"/>
          <w:sz w:val="24"/>
          <w:u w:val="single"/>
          <w:lang w:val="en-US" w:eastAsia="zh-CN" w:bidi="ar"/>
          <w14:textFill>
            <w14:solidFill>
              <w14:schemeClr w14:val="tx1"/>
            </w14:solidFill>
          </w14:textFill>
        </w:rPr>
        <w:t>5900</w:t>
      </w:r>
      <w:r>
        <w:rPr>
          <w:rFonts w:hint="eastAsia" w:asciiTheme="minorEastAsia" w:hAnsiTheme="minorEastAsia" w:eastAsiaTheme="minorEastAsia" w:cstheme="minorEastAsia"/>
          <w:color w:val="000000" w:themeColor="text1"/>
          <w:sz w:val="24"/>
          <w:u w:val="single"/>
          <w:lang w:bidi="ar"/>
          <w14:textFill>
            <w14:solidFill>
              <w14:schemeClr w14:val="tx1"/>
            </w14:solidFill>
          </w14:textFill>
        </w:rPr>
        <w:t>.00元</w:t>
      </w:r>
      <w:r>
        <w:rPr>
          <w:rFonts w:hint="eastAsia" w:asciiTheme="minorEastAsia" w:hAnsiTheme="minorEastAsia" w:eastAsiaTheme="minorEastAsia" w:cstheme="minorEastAsia"/>
          <w:color w:val="000000" w:themeColor="text1"/>
          <w:sz w:val="24"/>
          <w:lang w:bidi="ar"/>
          <w14:textFill>
            <w14:solidFill>
              <w14:schemeClr w14:val="tx1"/>
            </w14:solidFill>
          </w14:textFill>
        </w:rPr>
        <w:t>）。</w:t>
      </w:r>
    </w:p>
    <w:tbl>
      <w:tblPr>
        <w:tblStyle w:val="24"/>
        <w:tblW w:w="876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50"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中标服务费发票类型</w:t>
            </w:r>
          </w:p>
        </w:tc>
        <w:tc>
          <w:tcPr>
            <w:tcW w:w="498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20" w:beforeLines="50" w:after="50"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 ）增值税普通发票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20" w:beforeLines="50" w:after="50"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开票信息（普通发票需要提供纳税识别号）</w:t>
            </w:r>
          </w:p>
        </w:tc>
        <w:tc>
          <w:tcPr>
            <w:tcW w:w="498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20" w:beforeLines="50" w:after="50"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纳税人名称：</w:t>
            </w:r>
          </w:p>
          <w:p>
            <w:pPr>
              <w:snapToGrid w:val="0"/>
              <w:spacing w:before="120" w:beforeLines="50" w:after="50"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纳税识别号：</w:t>
            </w:r>
          </w:p>
        </w:tc>
      </w:tr>
    </w:tbl>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80" w:firstLineChars="200"/>
        <w:rPr>
          <w:rFonts w:ascii="宋体" w:hAnsi="宋体" w:cs="仿宋_GB2312"/>
          <w:kern w:val="0"/>
          <w:sz w:val="24"/>
        </w:rPr>
      </w:pPr>
    </w:p>
    <w:p>
      <w:pPr>
        <w:adjustRightInd w:val="0"/>
        <w:snapToGrid w:val="0"/>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名称(电子印章)：</w:t>
      </w:r>
    </w:p>
    <w:p>
      <w:pPr>
        <w:adjustRightInd w:val="0"/>
        <w:snapToGrid w:val="0"/>
        <w:spacing w:line="360" w:lineRule="auto"/>
        <w:ind w:firstLine="480" w:firstLineChars="200"/>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法定代表人或授权委托人签字或电子印章：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right="480"/>
        <w:outlineLvl w:val="0"/>
        <w:rPr>
          <w:rFonts w:ascii="宋体" w:hAnsi="宋体"/>
          <w:b/>
          <w:sz w:val="28"/>
        </w:rPr>
      </w:pPr>
      <w:bookmarkStart w:id="54" w:name="_Toc32143"/>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hAnsi="宋体"/>
          <w:b/>
          <w:sz w:val="28"/>
        </w:rPr>
      </w:pPr>
    </w:p>
    <w:p>
      <w:pPr>
        <w:adjustRightInd w:val="0"/>
        <w:snapToGrid w:val="0"/>
        <w:spacing w:line="360" w:lineRule="auto"/>
        <w:ind w:right="480"/>
        <w:outlineLvl w:val="0"/>
        <w:rPr>
          <w:rFonts w:ascii="宋体"/>
          <w:b/>
          <w:sz w:val="30"/>
          <w:szCs w:val="30"/>
        </w:rPr>
      </w:pPr>
      <w:r>
        <w:rPr>
          <w:rFonts w:hint="eastAsia" w:ascii="宋体" w:hAnsi="宋体"/>
          <w:b/>
          <w:sz w:val="28"/>
        </w:rPr>
        <w:t>附件3</w:t>
      </w:r>
      <w:bookmarkEnd w:id="54"/>
    </w:p>
    <w:p>
      <w:pPr>
        <w:spacing w:line="360" w:lineRule="auto"/>
        <w:ind w:firstLine="321" w:firstLineChars="100"/>
        <w:jc w:val="center"/>
        <w:rPr>
          <w:rFonts w:hAnsi="宋体"/>
          <w:b/>
          <w:sz w:val="32"/>
          <w:szCs w:val="32"/>
          <w:u w:val="single"/>
        </w:rPr>
      </w:pPr>
      <w:bookmarkStart w:id="55" w:name="_Toc6870_WPSOffice_Level1"/>
      <w:bookmarkStart w:id="56" w:name="_Toc24373_WPSOffice_Level1"/>
      <w:r>
        <w:rPr>
          <w:b/>
          <w:sz w:val="32"/>
          <w:szCs w:val="32"/>
        </w:rPr>
        <w:t>授权</w:t>
      </w:r>
      <w:r>
        <w:rPr>
          <w:rFonts w:hint="eastAsia"/>
          <w:b/>
          <w:sz w:val="32"/>
          <w:szCs w:val="32"/>
        </w:rPr>
        <w:t>委托</w:t>
      </w:r>
      <w:r>
        <w:rPr>
          <w:b/>
          <w:sz w:val="32"/>
          <w:szCs w:val="32"/>
        </w:rPr>
        <w:t>书</w:t>
      </w:r>
      <w:bookmarkEnd w:id="55"/>
      <w:bookmarkEnd w:id="56"/>
    </w:p>
    <w:p>
      <w:pPr>
        <w:pStyle w:val="8"/>
        <w:spacing w:line="360" w:lineRule="auto"/>
        <w:rPr>
          <w:rFonts w:hAnsi="宋体"/>
          <w:bCs/>
          <w:sz w:val="24"/>
          <w:u w:val="single"/>
        </w:rPr>
      </w:pPr>
    </w:p>
    <w:p>
      <w:pPr>
        <w:pStyle w:val="8"/>
        <w:spacing w:line="360" w:lineRule="auto"/>
        <w:rPr>
          <w:rFonts w:hAnsi="宋体"/>
          <w:bCs/>
          <w:sz w:val="24"/>
        </w:rPr>
      </w:pPr>
      <w:r>
        <w:rPr>
          <w:rFonts w:hint="eastAsia" w:hAnsi="宋体"/>
          <w:bCs/>
          <w:sz w:val="24"/>
          <w:u w:val="single"/>
        </w:rPr>
        <w:t>台州天利招标有限公司</w:t>
      </w:r>
      <w:r>
        <w:rPr>
          <w:rFonts w:hAnsi="宋体"/>
          <w:bCs/>
          <w:sz w:val="24"/>
        </w:rPr>
        <w:t>：</w:t>
      </w:r>
    </w:p>
    <w:p>
      <w:pPr>
        <w:pStyle w:val="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8"/>
        <w:spacing w:line="360" w:lineRule="auto"/>
        <w:ind w:firstLine="480" w:firstLineChars="200"/>
        <w:rPr>
          <w:rFonts w:hAnsi="宋体"/>
          <w:sz w:val="24"/>
        </w:rPr>
      </w:pPr>
      <w:r>
        <w:rPr>
          <w:rFonts w:hint="eastAsia" w:hAnsi="宋体"/>
          <w:sz w:val="24"/>
        </w:rPr>
        <w:t>全权代表无转委托权，特此委托。</w:t>
      </w:r>
    </w:p>
    <w:p>
      <w:pPr>
        <w:spacing w:line="360" w:lineRule="auto"/>
        <w:ind w:firstLine="480" w:firstLineChars="200"/>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法定代表身份证复印件粘贴处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全权代表身份证复印件粘贴处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b/>
          <w:bCs/>
          <w:sz w:val="32"/>
          <w:szCs w:val="32"/>
          <w:lang w:val="zh-CN"/>
        </w:rPr>
      </w:pPr>
      <w:r>
        <w:rPr>
          <w:rFonts w:hint="eastAsia" w:ascii="宋体" w:hAnsi="宋体"/>
          <w:b/>
          <w:sz w:val="28"/>
        </w:rPr>
        <w:br w:type="page"/>
      </w:r>
      <w:bookmarkStart w:id="57" w:name="_Toc5889_WPSOffice_Level1"/>
      <w:bookmarkStart w:id="58" w:name="_Toc11308_WPSOffice_Level1"/>
    </w:p>
    <w:p>
      <w:pPr>
        <w:adjustRightInd w:val="0"/>
        <w:snapToGrid w:val="0"/>
        <w:spacing w:line="360" w:lineRule="auto"/>
        <w:ind w:right="480"/>
        <w:outlineLvl w:val="0"/>
        <w:rPr>
          <w:rFonts w:ascii="宋体" w:hAnsi="宋体"/>
          <w:b/>
          <w:sz w:val="28"/>
        </w:rPr>
      </w:pPr>
      <w:r>
        <w:rPr>
          <w:rFonts w:hint="eastAsia" w:ascii="宋体" w:hAnsi="宋体"/>
          <w:b/>
          <w:sz w:val="28"/>
        </w:rPr>
        <w:t>附件4</w:t>
      </w:r>
    </w:p>
    <w:p>
      <w:pPr>
        <w:jc w:val="center"/>
        <w:rPr>
          <w:b/>
          <w:bCs/>
          <w:sz w:val="32"/>
          <w:szCs w:val="32"/>
        </w:rPr>
      </w:pPr>
      <w:r>
        <w:rPr>
          <w:rFonts w:hint="eastAsia"/>
          <w:b/>
          <w:bCs/>
          <w:sz w:val="32"/>
          <w:szCs w:val="32"/>
          <w:lang w:val="zh-CN"/>
        </w:rPr>
        <w:t>商务与技术内容</w:t>
      </w:r>
      <w:r>
        <w:rPr>
          <w:rFonts w:hint="eastAsia"/>
          <w:b/>
          <w:bCs/>
          <w:sz w:val="32"/>
          <w:szCs w:val="32"/>
        </w:rPr>
        <w:t>目录</w:t>
      </w:r>
      <w:bookmarkEnd w:id="57"/>
      <w:bookmarkEnd w:id="58"/>
    </w:p>
    <w:p>
      <w:pPr>
        <w:rPr>
          <w:sz w:val="28"/>
          <w:szCs w:val="28"/>
        </w:rPr>
      </w:pPr>
    </w:p>
    <w:p>
      <w:pPr>
        <w:spacing w:line="360" w:lineRule="auto"/>
        <w:ind w:firstLine="482" w:firstLineChars="200"/>
        <w:rPr>
          <w:b/>
          <w:bCs/>
          <w:sz w:val="24"/>
        </w:rPr>
      </w:pPr>
      <w:bookmarkStart w:id="59" w:name="_Toc20529_WPSOffice_Level1"/>
      <w:bookmarkStart w:id="60" w:name="_Toc21250_WPSOffice_Level1"/>
      <w:r>
        <w:rPr>
          <w:rFonts w:hint="eastAsia"/>
          <w:b/>
          <w:bCs/>
          <w:sz w:val="24"/>
        </w:rPr>
        <w:t>第一部分  技术方案描述部分</w:t>
      </w:r>
      <w:bookmarkEnd w:id="59"/>
      <w:bookmarkEnd w:id="60"/>
    </w:p>
    <w:p>
      <w:pPr>
        <w:spacing w:line="360" w:lineRule="auto"/>
        <w:ind w:firstLine="480" w:firstLineChars="200"/>
        <w:rPr>
          <w:sz w:val="24"/>
        </w:rPr>
      </w:pPr>
      <w:r>
        <w:rPr>
          <w:rFonts w:hint="eastAsia"/>
          <w:sz w:val="24"/>
        </w:rPr>
        <w:t>1、供应商情况介绍（附件5）；</w:t>
      </w:r>
    </w:p>
    <w:p>
      <w:pPr>
        <w:spacing w:line="360" w:lineRule="auto"/>
        <w:ind w:firstLine="480" w:firstLineChars="200"/>
        <w:rPr>
          <w:sz w:val="24"/>
        </w:rPr>
      </w:pPr>
      <w:r>
        <w:rPr>
          <w:rFonts w:hint="eastAsia"/>
          <w:sz w:val="24"/>
        </w:rPr>
        <w:t>2、项目需求的理解与分析；</w:t>
      </w:r>
    </w:p>
    <w:p>
      <w:pPr>
        <w:spacing w:line="360" w:lineRule="auto"/>
        <w:ind w:firstLine="480" w:firstLineChars="200"/>
        <w:rPr>
          <w:sz w:val="24"/>
        </w:rPr>
      </w:pPr>
      <w:r>
        <w:rPr>
          <w:rFonts w:hint="eastAsia"/>
          <w:sz w:val="24"/>
        </w:rPr>
        <w:t>3、项目实施人员一览表（附件6）；</w:t>
      </w:r>
    </w:p>
    <w:p>
      <w:pPr>
        <w:spacing w:line="360" w:lineRule="auto"/>
        <w:ind w:firstLine="480" w:firstLineChars="200"/>
        <w:rPr>
          <w:sz w:val="24"/>
        </w:rPr>
      </w:pPr>
      <w:r>
        <w:rPr>
          <w:rFonts w:hint="eastAsia"/>
          <w:sz w:val="24"/>
        </w:rPr>
        <w:t>4、项目负责人、技术负责人资格情况表（附件7)</w:t>
      </w:r>
      <w:r>
        <w:rPr>
          <w:sz w:val="24"/>
        </w:rPr>
        <w:t xml:space="preserve">； </w:t>
      </w:r>
    </w:p>
    <w:p>
      <w:pPr>
        <w:spacing w:line="360" w:lineRule="auto"/>
        <w:ind w:firstLine="480" w:firstLineChars="200"/>
        <w:rPr>
          <w:sz w:val="24"/>
        </w:rPr>
      </w:pPr>
      <w:r>
        <w:rPr>
          <w:rFonts w:hint="eastAsia"/>
          <w:sz w:val="24"/>
        </w:rPr>
        <w:t>5、</w:t>
      </w:r>
      <w:r>
        <w:rPr>
          <w:sz w:val="24"/>
        </w:rPr>
        <w:t>安装、调试及验收方案</w:t>
      </w:r>
      <w:r>
        <w:rPr>
          <w:rFonts w:hint="eastAsia"/>
          <w:sz w:val="24"/>
        </w:rPr>
        <w:t>；</w:t>
      </w:r>
    </w:p>
    <w:p>
      <w:pPr>
        <w:spacing w:line="360" w:lineRule="auto"/>
        <w:ind w:firstLine="482" w:firstLineChars="200"/>
        <w:rPr>
          <w:b/>
          <w:bCs/>
          <w:sz w:val="24"/>
        </w:rPr>
      </w:pPr>
      <w:bookmarkStart w:id="61" w:name="_Toc12004_WPSOffice_Level1"/>
      <w:bookmarkStart w:id="62" w:name="_Toc6008_WPSOffice_Level1"/>
      <w:r>
        <w:rPr>
          <w:rFonts w:hint="eastAsia"/>
          <w:b/>
          <w:bCs/>
          <w:sz w:val="24"/>
        </w:rPr>
        <w:t>第二部分  磋商响应产品描述部分</w:t>
      </w:r>
      <w:bookmarkEnd w:id="61"/>
      <w:bookmarkEnd w:id="62"/>
    </w:p>
    <w:p>
      <w:pPr>
        <w:spacing w:line="360" w:lineRule="auto"/>
        <w:ind w:firstLine="480" w:firstLineChars="200"/>
        <w:rPr>
          <w:sz w:val="24"/>
        </w:rPr>
      </w:pPr>
      <w:r>
        <w:rPr>
          <w:rFonts w:hint="eastAsia"/>
          <w:sz w:val="24"/>
        </w:rPr>
        <w:t>1、供货</w:t>
      </w:r>
      <w:r>
        <w:rPr>
          <w:sz w:val="24"/>
        </w:rPr>
        <w:t>清单</w:t>
      </w:r>
      <w:r>
        <w:rPr>
          <w:rFonts w:hint="eastAsia"/>
          <w:sz w:val="24"/>
        </w:rPr>
        <w:t>（附件8）；</w:t>
      </w:r>
    </w:p>
    <w:p>
      <w:pPr>
        <w:spacing w:line="360" w:lineRule="auto"/>
        <w:ind w:firstLine="480" w:firstLineChars="200"/>
        <w:rPr>
          <w:sz w:val="24"/>
        </w:rPr>
      </w:pPr>
      <w:r>
        <w:rPr>
          <w:rFonts w:hint="eastAsia"/>
          <w:sz w:val="24"/>
        </w:rPr>
        <w:t>2、技术需求响应表（附件9）；</w:t>
      </w:r>
    </w:p>
    <w:p>
      <w:pPr>
        <w:spacing w:line="360" w:lineRule="auto"/>
        <w:ind w:firstLine="480" w:firstLineChars="200"/>
        <w:rPr>
          <w:sz w:val="24"/>
        </w:rPr>
      </w:pPr>
      <w:r>
        <w:rPr>
          <w:rFonts w:hint="eastAsia"/>
          <w:sz w:val="24"/>
        </w:rPr>
        <w:t>3、供应商</w:t>
      </w:r>
      <w:r>
        <w:rPr>
          <w:sz w:val="24"/>
        </w:rPr>
        <w:t>需要说明的其他</w:t>
      </w:r>
      <w:r>
        <w:rPr>
          <w:rFonts w:hint="eastAsia"/>
          <w:sz w:val="24"/>
        </w:rPr>
        <w:t>内容；（包括可能影响供应商技术性能评分项的各类证明材料）</w:t>
      </w:r>
    </w:p>
    <w:p>
      <w:pPr>
        <w:spacing w:line="360" w:lineRule="auto"/>
        <w:ind w:firstLine="482" w:firstLineChars="200"/>
        <w:rPr>
          <w:b/>
          <w:bCs/>
          <w:sz w:val="24"/>
        </w:rPr>
      </w:pPr>
      <w:bookmarkStart w:id="63" w:name="_Toc30029_WPSOffice_Level1"/>
      <w:bookmarkStart w:id="64" w:name="_Toc20986_WPSOffice_Level1"/>
      <w:r>
        <w:rPr>
          <w:rFonts w:hint="eastAsia"/>
          <w:b/>
          <w:bCs/>
          <w:sz w:val="24"/>
        </w:rPr>
        <w:t>第三部分  商务响应及其他部分</w:t>
      </w:r>
      <w:bookmarkEnd w:id="63"/>
      <w:bookmarkEnd w:id="64"/>
    </w:p>
    <w:p>
      <w:pPr>
        <w:spacing w:line="360" w:lineRule="auto"/>
        <w:ind w:firstLine="480" w:firstLineChars="200"/>
        <w:rPr>
          <w:sz w:val="24"/>
        </w:rPr>
      </w:pPr>
      <w:r>
        <w:rPr>
          <w:rFonts w:hint="eastAsia"/>
          <w:sz w:val="24"/>
        </w:rPr>
        <w:t>1、证书一览表（附件10）；</w:t>
      </w:r>
    </w:p>
    <w:p>
      <w:pPr>
        <w:spacing w:line="360" w:lineRule="auto"/>
        <w:ind w:firstLine="480" w:firstLineChars="200"/>
        <w:rPr>
          <w:sz w:val="24"/>
        </w:rPr>
      </w:pPr>
      <w:r>
        <w:rPr>
          <w:rFonts w:hint="eastAsia"/>
          <w:sz w:val="24"/>
        </w:rPr>
        <w:t>2、近三年来类似项目的成功案例（附件11）；</w:t>
      </w:r>
    </w:p>
    <w:p>
      <w:pPr>
        <w:spacing w:line="360" w:lineRule="auto"/>
        <w:ind w:firstLine="480" w:firstLineChars="200"/>
        <w:rPr>
          <w:rFonts w:ascii="宋体" w:hAnsi="宋体"/>
          <w:b/>
          <w:sz w:val="32"/>
          <w:szCs w:val="32"/>
        </w:rPr>
      </w:pPr>
      <w:r>
        <w:rPr>
          <w:rFonts w:hint="eastAsia"/>
          <w:sz w:val="24"/>
        </w:rPr>
        <w:t>3、商务需求响应表（附件12）</w:t>
      </w:r>
    </w:p>
    <w:p>
      <w:pPr>
        <w:spacing w:line="360" w:lineRule="auto"/>
        <w:ind w:firstLine="480" w:firstLineChars="200"/>
        <w:rPr>
          <w:sz w:val="24"/>
        </w:rPr>
      </w:pPr>
      <w:r>
        <w:rPr>
          <w:rFonts w:hint="eastAsia"/>
          <w:sz w:val="24"/>
        </w:rPr>
        <w:t>4、售后服务情况表（附件13）；</w:t>
      </w:r>
    </w:p>
    <w:p>
      <w:pPr>
        <w:spacing w:line="360" w:lineRule="auto"/>
        <w:ind w:firstLine="480" w:firstLineChars="200"/>
        <w:rPr>
          <w:sz w:val="24"/>
        </w:rPr>
      </w:pPr>
      <w:r>
        <w:rPr>
          <w:rFonts w:hint="eastAsia"/>
          <w:sz w:val="24"/>
        </w:rPr>
        <w:t>5、供应商需要说明的其他内容。（包括可能影响供应商企业实力及信誉评分项以及售后服务评分项的各类证明材料）</w:t>
      </w: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jc w:val="both"/>
        <w:rPr>
          <w:b/>
        </w:rPr>
      </w:pPr>
    </w:p>
    <w:p>
      <w:pPr>
        <w:pStyle w:val="30"/>
        <w:spacing w:before="0" w:beforeAutospacing="0" w:after="0" w:afterAutospacing="0" w:line="360" w:lineRule="auto"/>
        <w:outlineLvl w:val="0"/>
        <w:rPr>
          <w:b/>
          <w:sz w:val="28"/>
        </w:rPr>
      </w:pPr>
      <w:bookmarkStart w:id="65" w:name="_Toc3188"/>
    </w:p>
    <w:p>
      <w:pPr>
        <w:pStyle w:val="30"/>
        <w:spacing w:before="0" w:beforeAutospacing="0" w:after="0" w:afterAutospacing="0" w:line="360" w:lineRule="auto"/>
        <w:outlineLvl w:val="0"/>
        <w:rPr>
          <w:b/>
          <w:sz w:val="28"/>
        </w:rPr>
      </w:pPr>
    </w:p>
    <w:p>
      <w:pPr>
        <w:pStyle w:val="30"/>
        <w:spacing w:before="0" w:beforeAutospacing="0" w:after="0" w:afterAutospacing="0" w:line="360" w:lineRule="auto"/>
        <w:outlineLvl w:val="0"/>
        <w:rPr>
          <w:b/>
          <w:sz w:val="28"/>
        </w:rPr>
      </w:pPr>
      <w:r>
        <w:rPr>
          <w:rFonts w:hint="eastAsia"/>
          <w:b/>
          <w:sz w:val="28"/>
        </w:rPr>
        <w:t>附件5</w:t>
      </w:r>
      <w:bookmarkEnd w:id="65"/>
    </w:p>
    <w:p>
      <w:pPr>
        <w:pStyle w:val="30"/>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6" w:name="_Toc14261_WPSOffice_Level1"/>
      <w:bookmarkStart w:id="67" w:name="_Toc13307_WPSOffice_Level1"/>
      <w:r>
        <w:rPr>
          <w:rFonts w:hint="eastAsia"/>
          <w:b/>
          <w:sz w:val="32"/>
          <w:szCs w:val="32"/>
        </w:rPr>
        <w:t>供应商</w:t>
      </w:r>
      <w:r>
        <w:rPr>
          <w:rFonts w:hint="eastAsia"/>
          <w:b/>
          <w:bCs/>
          <w:spacing w:val="21"/>
          <w:sz w:val="32"/>
          <w:szCs w:val="32"/>
        </w:rPr>
        <w:t>基本情况表</w:t>
      </w:r>
      <w:bookmarkEnd w:id="66"/>
      <w:bookmarkEnd w:id="67"/>
    </w:p>
    <w:tbl>
      <w:tblPr>
        <w:tblStyle w:val="24"/>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10"/>
        <w:gridCol w:w="86"/>
        <w:gridCol w:w="1077"/>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企业名称</w:t>
            </w:r>
          </w:p>
        </w:tc>
        <w:tc>
          <w:tcPr>
            <w:tcW w:w="3979" w:type="dxa"/>
            <w:gridSpan w:val="6"/>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法人代表</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地址</w:t>
            </w:r>
          </w:p>
        </w:tc>
        <w:tc>
          <w:tcPr>
            <w:tcW w:w="3979" w:type="dxa"/>
            <w:gridSpan w:val="6"/>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企业性质</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股东姓名</w:t>
            </w:r>
          </w:p>
        </w:tc>
        <w:tc>
          <w:tcPr>
            <w:tcW w:w="701"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910"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股权结构（%）</w:t>
            </w:r>
          </w:p>
        </w:tc>
        <w:tc>
          <w:tcPr>
            <w:tcW w:w="2368" w:type="dxa"/>
            <w:gridSpan w:val="4"/>
            <w:tcBorders>
              <w:bottom w:val="single" w:color="auto" w:sz="4" w:space="0"/>
            </w:tcBorders>
            <w:vAlign w:val="center"/>
          </w:tcPr>
          <w:p>
            <w:pPr>
              <w:widowControl/>
              <w:spacing w:line="360" w:lineRule="auto"/>
              <w:jc w:val="center"/>
              <w:rPr>
                <w:rFonts w:asciiTheme="minorEastAsia" w:hAnsiTheme="minorEastAsia" w:eastAsiaTheme="minorEastAsia" w:cstheme="minorEastAsia"/>
                <w:bCs/>
                <w:color w:val="000000" w:themeColor="text1"/>
                <w:kern w:val="0"/>
                <w:sz w:val="24"/>
                <w14:textFill>
                  <w14:solidFill>
                    <w14:schemeClr w14:val="tx1"/>
                  </w14:solidFill>
                </w14:textFill>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股东关系</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联系人姓名</w:t>
            </w:r>
          </w:p>
        </w:tc>
        <w:tc>
          <w:tcPr>
            <w:tcW w:w="701" w:type="dxa"/>
            <w:vMerge w:val="restart"/>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910" w:type="dxa"/>
            <w:tcBorders>
              <w:top w:val="nil"/>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固定电话</w:t>
            </w:r>
          </w:p>
        </w:tc>
        <w:tc>
          <w:tcPr>
            <w:tcW w:w="2368" w:type="dxa"/>
            <w:gridSpan w:val="4"/>
            <w:tcBorders>
              <w:top w:val="nil"/>
              <w:bottom w:val="single" w:color="auto" w:sz="4" w:space="0"/>
            </w:tcBorders>
            <w:vAlign w:val="center"/>
          </w:tcPr>
          <w:p>
            <w:pPr>
              <w:widowControl/>
              <w:spacing w:line="360" w:lineRule="auto"/>
              <w:jc w:val="center"/>
              <w:rPr>
                <w:rFonts w:asciiTheme="minorEastAsia" w:hAnsiTheme="minorEastAsia" w:eastAsiaTheme="minorEastAsia" w:cstheme="minorEastAsia"/>
                <w:bCs/>
                <w:color w:val="000000" w:themeColor="text1"/>
                <w:kern w:val="0"/>
                <w:sz w:val="24"/>
                <w14:textFill>
                  <w14:solidFill>
                    <w14:schemeClr w14:val="tx1"/>
                  </w14:solidFill>
                </w14:textFill>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001" w:type="dxa"/>
            <w:gridSpan w:val="3"/>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传真</w:t>
            </w:r>
          </w:p>
        </w:tc>
        <w:tc>
          <w:tcPr>
            <w:tcW w:w="2151" w:type="dxa"/>
            <w:gridSpan w:val="2"/>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701" w:type="dxa"/>
            <w:vMerge w:val="continue"/>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910" w:type="dxa"/>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手机</w:t>
            </w:r>
          </w:p>
        </w:tc>
        <w:tc>
          <w:tcPr>
            <w:tcW w:w="2368" w:type="dxa"/>
            <w:gridSpan w:val="4"/>
            <w:tcBorders>
              <w:bottom w:val="single" w:color="auto" w:sz="4" w:space="0"/>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001" w:type="dxa"/>
            <w:gridSpan w:val="3"/>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151" w:type="dxa"/>
            <w:gridSpan w:val="2"/>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1.</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企</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业</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概</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况</w:t>
            </w:r>
          </w:p>
        </w:tc>
        <w:tc>
          <w:tcPr>
            <w:tcW w:w="701" w:type="dxa"/>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职工人数</w:t>
            </w:r>
          </w:p>
        </w:tc>
        <w:tc>
          <w:tcPr>
            <w:tcW w:w="910" w:type="dxa"/>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163" w:type="dxa"/>
            <w:gridSpan w:val="2"/>
            <w:tcBorders>
              <w:top w:val="nil"/>
            </w:tcBorders>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具备大专以上学历人数</w:t>
            </w:r>
          </w:p>
        </w:tc>
        <w:tc>
          <w:tcPr>
            <w:tcW w:w="1205" w:type="dxa"/>
            <w:gridSpan w:val="2"/>
            <w:tcBorders>
              <w:top w:val="nil"/>
            </w:tcBorders>
            <w:vAlign w:val="center"/>
          </w:tcPr>
          <w:p>
            <w:pPr>
              <w:widowControl/>
              <w:spacing w:line="360" w:lineRule="auto"/>
              <w:jc w:val="center"/>
              <w:rPr>
                <w:rFonts w:asciiTheme="minorEastAsia" w:hAnsiTheme="minorEastAsia" w:eastAsiaTheme="minorEastAsia" w:cstheme="minorEastAsia"/>
                <w:bCs/>
                <w:color w:val="000000" w:themeColor="text1"/>
                <w:kern w:val="0"/>
                <w:sz w:val="24"/>
                <w14:textFill>
                  <w14:solidFill>
                    <w14:schemeClr w14:val="tx1"/>
                  </w14:solidFill>
                </w14:textFill>
              </w:rPr>
            </w:pPr>
          </w:p>
          <w:p>
            <w:pPr>
              <w:widowControl/>
              <w:spacing w:line="360" w:lineRule="auto"/>
              <w:jc w:val="center"/>
              <w:rPr>
                <w:rFonts w:asciiTheme="minorEastAsia" w:hAnsiTheme="minorEastAsia" w:eastAsiaTheme="minorEastAsia" w:cstheme="minorEastAsia"/>
                <w:bCs/>
                <w:color w:val="000000" w:themeColor="text1"/>
                <w:kern w:val="0"/>
                <w:sz w:val="24"/>
                <w14:textFill>
                  <w14:solidFill>
                    <w14:schemeClr w14:val="tx1"/>
                  </w14:solidFill>
                </w14:textFill>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国家授予技术职称人数</w:t>
            </w:r>
          </w:p>
        </w:tc>
        <w:tc>
          <w:tcPr>
            <w:tcW w:w="2151" w:type="dxa"/>
            <w:gridSpan w:val="2"/>
            <w:vAlign w:val="center"/>
          </w:tcPr>
          <w:p>
            <w:pPr>
              <w:widowControl/>
              <w:spacing w:line="360" w:lineRule="auto"/>
              <w:jc w:val="center"/>
              <w:rPr>
                <w:rFonts w:asciiTheme="minorEastAsia" w:hAnsiTheme="minorEastAsia" w:eastAsiaTheme="minorEastAsia" w:cstheme="minorEastAsia"/>
                <w:bCs/>
                <w:color w:val="000000" w:themeColor="text1"/>
                <w:kern w:val="0"/>
                <w:sz w:val="24"/>
                <w14:textFill>
                  <w14:solidFill>
                    <w14:schemeClr w14:val="tx1"/>
                  </w14:solidFill>
                </w14:textFill>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701"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占地面积</w:t>
            </w:r>
          </w:p>
        </w:tc>
        <w:tc>
          <w:tcPr>
            <w:tcW w:w="910"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163"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建筑面积</w:t>
            </w:r>
          </w:p>
        </w:tc>
        <w:tc>
          <w:tcPr>
            <w:tcW w:w="1205"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平方米</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□自有</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□租赁</w:t>
            </w:r>
          </w:p>
        </w:tc>
        <w:tc>
          <w:tcPr>
            <w:tcW w:w="200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生产经营场所及场所的设施与设备</w:t>
            </w:r>
          </w:p>
        </w:tc>
        <w:tc>
          <w:tcPr>
            <w:tcW w:w="2151"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701"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注册资金</w:t>
            </w:r>
          </w:p>
        </w:tc>
        <w:tc>
          <w:tcPr>
            <w:tcW w:w="910"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163"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注册发证机关</w:t>
            </w:r>
          </w:p>
        </w:tc>
        <w:tc>
          <w:tcPr>
            <w:tcW w:w="3206" w:type="dxa"/>
            <w:gridSpan w:val="5"/>
            <w:vAlign w:val="center"/>
          </w:tcPr>
          <w:p>
            <w:pPr>
              <w:widowControl/>
              <w:spacing w:line="360" w:lineRule="auto"/>
              <w:jc w:val="center"/>
              <w:rPr>
                <w:rFonts w:asciiTheme="minorEastAsia" w:hAnsiTheme="minorEastAsia" w:eastAsiaTheme="minorEastAsia" w:cstheme="minorEastAsia"/>
                <w:bCs/>
                <w:color w:val="000000" w:themeColor="text1"/>
                <w:kern w:val="0"/>
                <w:sz w:val="24"/>
                <w14:textFill>
                  <w14:solidFill>
                    <w14:schemeClr w14:val="tx1"/>
                  </w14:solidFill>
                </w14:textFill>
              </w:rPr>
            </w:pP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218"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公司成立时间</w:t>
            </w:r>
          </w:p>
        </w:tc>
        <w:tc>
          <w:tcPr>
            <w:tcW w:w="93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701"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核准经营范围</w:t>
            </w:r>
          </w:p>
        </w:tc>
        <w:tc>
          <w:tcPr>
            <w:tcW w:w="7430" w:type="dxa"/>
            <w:gridSpan w:val="10"/>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8131" w:type="dxa"/>
            <w:gridSpan w:val="11"/>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w:t>
            </w:r>
          </w:p>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企业有关资质获证情况</w:t>
            </w:r>
          </w:p>
        </w:tc>
        <w:tc>
          <w:tcPr>
            <w:tcW w:w="1697" w:type="dxa"/>
            <w:gridSpan w:val="3"/>
            <w:vMerge w:val="restart"/>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产品生产许可证情况（对需获得生产许可证的产品要填写此栏）</w:t>
            </w:r>
          </w:p>
        </w:tc>
        <w:tc>
          <w:tcPr>
            <w:tcW w:w="1189"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产品名称</w:t>
            </w:r>
          </w:p>
        </w:tc>
        <w:tc>
          <w:tcPr>
            <w:tcW w:w="1418"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发证机关</w:t>
            </w:r>
          </w:p>
        </w:tc>
        <w:tc>
          <w:tcPr>
            <w:tcW w:w="1276"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编号</w:t>
            </w:r>
          </w:p>
        </w:tc>
        <w:tc>
          <w:tcPr>
            <w:tcW w:w="1618"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发证时间</w:t>
            </w:r>
          </w:p>
        </w:tc>
        <w:tc>
          <w:tcPr>
            <w:tcW w:w="933"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697" w:type="dxa"/>
            <w:gridSpan w:val="3"/>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189"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418" w:type="dxa"/>
            <w:gridSpan w:val="2"/>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276" w:type="dxa"/>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2551"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697"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企业通过质量体系、环保体系、计量等认证情况</w:t>
            </w:r>
          </w:p>
        </w:tc>
        <w:tc>
          <w:tcPr>
            <w:tcW w:w="6434" w:type="dxa"/>
            <w:gridSpan w:val="8"/>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823" w:type="dxa"/>
            <w:vMerge w:val="continue"/>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c>
          <w:tcPr>
            <w:tcW w:w="1697" w:type="dxa"/>
            <w:gridSpan w:val="3"/>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企业获得专利情况</w:t>
            </w:r>
          </w:p>
        </w:tc>
        <w:tc>
          <w:tcPr>
            <w:tcW w:w="6434" w:type="dxa"/>
            <w:gridSpan w:val="8"/>
            <w:vAlign w:val="center"/>
          </w:tcPr>
          <w:p>
            <w:pPr>
              <w:pStyle w:val="30"/>
              <w:shd w:val="clear" w:color="auto" w:fill="FFFFFF"/>
              <w:spacing w:before="0" w:beforeAutospacing="0" w:after="0" w:afterAutospacing="0" w:line="360" w:lineRule="auto"/>
              <w:jc w:val="center"/>
              <w:rPr>
                <w:rFonts w:asciiTheme="minorEastAsia" w:hAnsiTheme="minorEastAsia" w:eastAsiaTheme="minorEastAsia" w:cstheme="minorEastAsia"/>
                <w:bCs/>
                <w:color w:val="000000" w:themeColor="text1"/>
                <w14:textFill>
                  <w14:solidFill>
                    <w14:schemeClr w14:val="tx1"/>
                  </w14:solidFill>
                </w14:textFill>
              </w:rPr>
            </w:pPr>
          </w:p>
        </w:tc>
      </w:tr>
    </w:tbl>
    <w:p>
      <w:pPr>
        <w:pStyle w:val="30"/>
        <w:spacing w:before="0" w:beforeAutospacing="0" w:after="0" w:afterAutospacing="0" w:line="360" w:lineRule="auto"/>
        <w:rPr>
          <w:rFonts w:ascii="仿宋_GB2312" w:eastAsia="仿宋_GB2312"/>
        </w:rPr>
      </w:pPr>
    </w:p>
    <w:p>
      <w:pPr>
        <w:pStyle w:val="30"/>
        <w:spacing w:before="0" w:beforeAutospacing="0" w:after="0" w:afterAutospacing="0" w:line="360" w:lineRule="auto"/>
        <w:rPr>
          <w:b/>
          <w:sz w:val="21"/>
          <w:szCs w:val="21"/>
        </w:rPr>
      </w:pPr>
      <w:r>
        <w:rPr>
          <w:rFonts w:hint="eastAsia"/>
          <w:b/>
          <w:sz w:val="21"/>
          <w:szCs w:val="21"/>
        </w:rPr>
        <w:t>要求：</w:t>
      </w:r>
    </w:p>
    <w:p>
      <w:pPr>
        <w:pStyle w:val="30"/>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spacing w:line="360" w:lineRule="auto"/>
        <w:outlineLvl w:val="0"/>
        <w:rPr>
          <w:rFonts w:ascii="宋体" w:hAnsi="宋体"/>
          <w:b/>
          <w:sz w:val="28"/>
        </w:rPr>
      </w:pPr>
      <w:bookmarkStart w:id="68" w:name="_Toc6916"/>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b/>
          <w:sz w:val="28"/>
        </w:rPr>
      </w:pPr>
    </w:p>
    <w:p>
      <w:pPr>
        <w:spacing w:line="360" w:lineRule="auto"/>
        <w:outlineLvl w:val="0"/>
        <w:rPr>
          <w:rFonts w:ascii="宋体" w:hAnsi="宋体"/>
          <w:sz w:val="24"/>
        </w:rPr>
      </w:pPr>
      <w:r>
        <w:rPr>
          <w:rFonts w:hint="eastAsia" w:ascii="宋体" w:hAnsi="宋体"/>
          <w:b/>
          <w:sz w:val="28"/>
        </w:rPr>
        <w:t>附件6</w:t>
      </w:r>
      <w:bookmarkEnd w:id="68"/>
    </w:p>
    <w:p>
      <w:pPr>
        <w:snapToGrid w:val="0"/>
        <w:spacing w:before="120" w:beforeLines="50" w:after="50" w:line="360" w:lineRule="auto"/>
        <w:ind w:firstLine="2570" w:firstLineChars="800"/>
        <w:rPr>
          <w:rFonts w:ascii="宋体" w:hAnsi="宋体"/>
          <w:b/>
          <w:sz w:val="36"/>
          <w:szCs w:val="36"/>
        </w:rPr>
      </w:pPr>
      <w:bookmarkStart w:id="69" w:name="_Toc20569_WPSOffice_Level1"/>
      <w:bookmarkStart w:id="70" w:name="_Toc23671_WPSOffice_Level1"/>
      <w:r>
        <w:rPr>
          <w:rFonts w:hint="eastAsia" w:ascii="宋体" w:hAnsi="宋体"/>
          <w:b/>
          <w:sz w:val="32"/>
          <w:szCs w:val="32"/>
        </w:rPr>
        <w:t>项目实施人员一览表</w:t>
      </w:r>
      <w:bookmarkEnd w:id="69"/>
      <w:bookmarkEnd w:id="70"/>
    </w:p>
    <w:p>
      <w:pPr>
        <w:snapToGrid w:val="0"/>
        <w:spacing w:before="120"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9"/>
              <w:snapToGrid w:val="0"/>
              <w:spacing w:before="120"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9"/>
              <w:snapToGrid w:val="0"/>
              <w:spacing w:before="120"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9"/>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在填写时，如本表格不适合供应商的实际情况，可根据本表格式自行划表填写。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2.附人员证书复印件；</w:t>
      </w:r>
    </w:p>
    <w:p>
      <w:pPr>
        <w:pStyle w:val="31"/>
        <w:spacing w:line="360" w:lineRule="auto"/>
        <w:ind w:left="424" w:hanging="424" w:hangingChars="202"/>
        <w:rPr>
          <w:rFonts w:ascii="宋体" w:hAnsi="宋体"/>
          <w:szCs w:val="21"/>
        </w:rPr>
      </w:pPr>
      <w:r>
        <w:rPr>
          <w:rFonts w:hint="eastAsia" w:ascii="宋体" w:hAnsi="宋体"/>
          <w:szCs w:val="21"/>
        </w:rPr>
        <w:t>　　3.出具上述人员在本单位服务的外部证明，如：磋商响应</w:t>
      </w:r>
      <w:r>
        <w:rPr>
          <w:rFonts w:ascii="宋体" w:hAnsi="宋体"/>
          <w:szCs w:val="21"/>
        </w:rPr>
        <w:t>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outlineLvl w:val="0"/>
        <w:rPr>
          <w:rFonts w:ascii="宋体" w:hAnsi="宋体"/>
          <w:b/>
          <w:sz w:val="28"/>
        </w:rPr>
      </w:pPr>
      <w:bookmarkStart w:id="71" w:name="_Toc17888"/>
    </w:p>
    <w:p>
      <w:pPr>
        <w:spacing w:line="360" w:lineRule="auto"/>
        <w:outlineLvl w:val="0"/>
        <w:rPr>
          <w:rFonts w:ascii="宋体" w:hAnsi="宋体"/>
          <w:b/>
          <w:sz w:val="28"/>
        </w:rPr>
      </w:pPr>
    </w:p>
    <w:p>
      <w:pPr>
        <w:spacing w:line="360" w:lineRule="auto"/>
        <w:outlineLvl w:val="0"/>
        <w:rPr>
          <w:rFonts w:ascii="宋体" w:hAnsi="宋体"/>
        </w:rPr>
      </w:pPr>
      <w:r>
        <w:rPr>
          <w:rFonts w:hint="eastAsia" w:ascii="宋体" w:hAnsi="宋体"/>
          <w:b/>
          <w:sz w:val="28"/>
        </w:rPr>
        <w:t>附件7</w:t>
      </w:r>
      <w:bookmarkEnd w:id="71"/>
    </w:p>
    <w:p>
      <w:pPr>
        <w:spacing w:before="120" w:beforeLines="50" w:after="120" w:afterLines="50" w:line="360" w:lineRule="auto"/>
        <w:ind w:right="-10"/>
        <w:jc w:val="center"/>
        <w:rPr>
          <w:rFonts w:ascii="宋体" w:hAnsi="宋体"/>
          <w:b/>
          <w:bCs/>
          <w:sz w:val="32"/>
          <w:szCs w:val="32"/>
        </w:rPr>
      </w:pPr>
      <w:bookmarkStart w:id="72" w:name="_Toc12710_WPSOffice_Level1"/>
      <w:bookmarkStart w:id="73" w:name="_Toc23055_WPSOffice_Level1"/>
      <w:r>
        <w:rPr>
          <w:rFonts w:hint="eastAsia" w:ascii="宋体" w:hAnsi="宋体"/>
          <w:b/>
          <w:bCs/>
          <w:sz w:val="32"/>
          <w:szCs w:val="32"/>
        </w:rPr>
        <w:t>项目负责人资格情况表</w:t>
      </w:r>
      <w:bookmarkEnd w:id="72"/>
      <w:bookmarkEnd w:id="73"/>
    </w:p>
    <w:p>
      <w:pPr>
        <w:spacing w:line="360" w:lineRule="auto"/>
        <w:rPr>
          <w:rFonts w:ascii="宋体" w:hAnsi="宋体"/>
        </w:rPr>
      </w:pPr>
      <w:r>
        <w:rPr>
          <w:rFonts w:hint="eastAsia" w:ascii="宋体" w:hAnsi="宋体"/>
        </w:rPr>
        <w:t>采购项目：                                            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outlineLvl w:val="0"/>
        <w:rPr>
          <w:rFonts w:ascii="宋体" w:hAnsi="宋体"/>
          <w:b/>
          <w:sz w:val="28"/>
        </w:rPr>
      </w:pPr>
      <w:bookmarkStart w:id="74" w:name="_Toc18391"/>
    </w:p>
    <w:p>
      <w:pPr>
        <w:widowControl/>
        <w:tabs>
          <w:tab w:val="center" w:pos="4755"/>
          <w:tab w:val="right" w:pos="9070"/>
        </w:tabs>
        <w:spacing w:line="300" w:lineRule="auto"/>
        <w:jc w:val="center"/>
        <w:rPr>
          <w:rFonts w:ascii="宋体" w:hAnsi="宋体" w:cs="宋体"/>
          <w:b/>
          <w:sz w:val="32"/>
          <w:szCs w:val="32"/>
        </w:rPr>
      </w:pPr>
      <w:r>
        <w:rPr>
          <w:rFonts w:hint="eastAsia" w:ascii="宋体" w:hAnsi="宋体" w:cs="宋体"/>
          <w:b/>
          <w:sz w:val="32"/>
          <w:szCs w:val="32"/>
        </w:rPr>
        <w:t>技术负责人简历表</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82"/>
        <w:gridCol w:w="889"/>
        <w:gridCol w:w="1132"/>
        <w:gridCol w:w="943"/>
        <w:gridCol w:w="1482"/>
        <w:gridCol w:w="88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000" w:type="dxa"/>
            <w:vAlign w:val="center"/>
          </w:tcPr>
          <w:p>
            <w:pPr>
              <w:pStyle w:val="53"/>
              <w:jc w:val="center"/>
              <w:rPr>
                <w:rFonts w:ascii="宋体" w:hAnsi="宋体"/>
              </w:rPr>
            </w:pPr>
            <w:r>
              <w:rPr>
                <w:rFonts w:hint="eastAsia" w:ascii="宋体" w:hAnsi="宋体"/>
              </w:rPr>
              <w:t>姓名</w:t>
            </w:r>
          </w:p>
        </w:tc>
        <w:tc>
          <w:tcPr>
            <w:tcW w:w="1482" w:type="dxa"/>
            <w:vAlign w:val="center"/>
          </w:tcPr>
          <w:p>
            <w:pPr>
              <w:pStyle w:val="53"/>
              <w:jc w:val="center"/>
              <w:rPr>
                <w:rFonts w:ascii="宋体" w:hAnsi="宋体"/>
              </w:rPr>
            </w:pPr>
          </w:p>
        </w:tc>
        <w:tc>
          <w:tcPr>
            <w:tcW w:w="889" w:type="dxa"/>
            <w:vAlign w:val="center"/>
          </w:tcPr>
          <w:p>
            <w:pPr>
              <w:pStyle w:val="53"/>
              <w:jc w:val="center"/>
              <w:rPr>
                <w:rFonts w:ascii="宋体" w:hAnsi="宋体"/>
              </w:rPr>
            </w:pPr>
            <w:r>
              <w:rPr>
                <w:rFonts w:hint="eastAsia" w:ascii="宋体" w:hAnsi="宋体"/>
              </w:rPr>
              <w:t>性别</w:t>
            </w:r>
          </w:p>
        </w:tc>
        <w:tc>
          <w:tcPr>
            <w:tcW w:w="1132" w:type="dxa"/>
            <w:vAlign w:val="center"/>
          </w:tcPr>
          <w:p>
            <w:pPr>
              <w:pStyle w:val="53"/>
              <w:jc w:val="center"/>
              <w:rPr>
                <w:rFonts w:ascii="宋体" w:hAnsi="宋体"/>
              </w:rPr>
            </w:pPr>
          </w:p>
        </w:tc>
        <w:tc>
          <w:tcPr>
            <w:tcW w:w="943" w:type="dxa"/>
            <w:vAlign w:val="center"/>
          </w:tcPr>
          <w:p>
            <w:pPr>
              <w:pStyle w:val="53"/>
              <w:jc w:val="center"/>
              <w:rPr>
                <w:rFonts w:ascii="宋体" w:hAnsi="宋体"/>
              </w:rPr>
            </w:pPr>
            <w:r>
              <w:rPr>
                <w:rFonts w:hint="eastAsia" w:ascii="宋体" w:hAnsi="宋体"/>
              </w:rPr>
              <w:t>年龄</w:t>
            </w:r>
          </w:p>
        </w:tc>
        <w:tc>
          <w:tcPr>
            <w:tcW w:w="1482" w:type="dxa"/>
            <w:vAlign w:val="center"/>
          </w:tcPr>
          <w:p>
            <w:pPr>
              <w:pStyle w:val="53"/>
              <w:jc w:val="center"/>
              <w:rPr>
                <w:rFonts w:ascii="宋体" w:hAnsi="宋体"/>
              </w:rPr>
            </w:pPr>
          </w:p>
        </w:tc>
        <w:tc>
          <w:tcPr>
            <w:tcW w:w="889" w:type="dxa"/>
            <w:vAlign w:val="center"/>
          </w:tcPr>
          <w:p>
            <w:pPr>
              <w:pStyle w:val="53"/>
              <w:jc w:val="center"/>
              <w:rPr>
                <w:rFonts w:ascii="宋体" w:hAnsi="宋体"/>
              </w:rPr>
            </w:pPr>
            <w:r>
              <w:rPr>
                <w:rFonts w:hint="eastAsia" w:ascii="宋体" w:hAnsi="宋体"/>
              </w:rPr>
              <w:t>专业</w:t>
            </w:r>
          </w:p>
        </w:tc>
        <w:tc>
          <w:tcPr>
            <w:tcW w:w="1811" w:type="dxa"/>
            <w:vAlign w:val="center"/>
          </w:tcPr>
          <w:p>
            <w:pPr>
              <w:pStyle w:val="53"/>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1000" w:type="dxa"/>
            <w:vAlign w:val="center"/>
          </w:tcPr>
          <w:p>
            <w:pPr>
              <w:pStyle w:val="53"/>
              <w:jc w:val="center"/>
              <w:rPr>
                <w:rFonts w:ascii="宋体" w:hAnsi="宋体"/>
              </w:rPr>
            </w:pPr>
            <w:r>
              <w:rPr>
                <w:rFonts w:hint="eastAsia" w:ascii="宋体" w:hAnsi="宋体"/>
              </w:rPr>
              <w:t>职称</w:t>
            </w:r>
          </w:p>
        </w:tc>
        <w:tc>
          <w:tcPr>
            <w:tcW w:w="1482" w:type="dxa"/>
            <w:vAlign w:val="center"/>
          </w:tcPr>
          <w:p>
            <w:pPr>
              <w:pStyle w:val="53"/>
              <w:jc w:val="center"/>
              <w:rPr>
                <w:rFonts w:ascii="宋体" w:hAnsi="宋体"/>
              </w:rPr>
            </w:pPr>
          </w:p>
        </w:tc>
        <w:tc>
          <w:tcPr>
            <w:tcW w:w="2021" w:type="dxa"/>
            <w:gridSpan w:val="2"/>
            <w:vAlign w:val="center"/>
          </w:tcPr>
          <w:p>
            <w:pPr>
              <w:pStyle w:val="53"/>
              <w:jc w:val="center"/>
              <w:rPr>
                <w:rFonts w:ascii="宋体" w:hAnsi="宋体"/>
              </w:rPr>
            </w:pPr>
            <w:r>
              <w:rPr>
                <w:rFonts w:hint="eastAsia" w:ascii="宋体" w:hAnsi="宋体"/>
              </w:rPr>
              <w:t>毕业院校</w:t>
            </w:r>
          </w:p>
        </w:tc>
        <w:tc>
          <w:tcPr>
            <w:tcW w:w="2425" w:type="dxa"/>
            <w:gridSpan w:val="2"/>
            <w:vAlign w:val="center"/>
          </w:tcPr>
          <w:p>
            <w:pPr>
              <w:pStyle w:val="53"/>
              <w:jc w:val="center"/>
              <w:rPr>
                <w:rFonts w:ascii="宋体" w:hAnsi="宋体"/>
              </w:rPr>
            </w:pPr>
          </w:p>
        </w:tc>
        <w:tc>
          <w:tcPr>
            <w:tcW w:w="889" w:type="dxa"/>
            <w:vAlign w:val="center"/>
          </w:tcPr>
          <w:p>
            <w:pPr>
              <w:pStyle w:val="53"/>
              <w:jc w:val="center"/>
              <w:rPr>
                <w:rFonts w:ascii="宋体" w:hAnsi="宋体"/>
              </w:rPr>
            </w:pPr>
            <w:r>
              <w:rPr>
                <w:rFonts w:hint="eastAsia" w:ascii="宋体" w:hAnsi="宋体"/>
              </w:rPr>
              <w:t>学历</w:t>
            </w:r>
          </w:p>
        </w:tc>
        <w:tc>
          <w:tcPr>
            <w:tcW w:w="1811" w:type="dxa"/>
            <w:vAlign w:val="center"/>
          </w:tcPr>
          <w:p>
            <w:pPr>
              <w:pStyle w:val="53"/>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2482" w:type="dxa"/>
            <w:gridSpan w:val="2"/>
            <w:vAlign w:val="center"/>
          </w:tcPr>
          <w:p>
            <w:pPr>
              <w:pStyle w:val="53"/>
              <w:jc w:val="center"/>
              <w:rPr>
                <w:rFonts w:ascii="宋体" w:hAnsi="宋体"/>
              </w:rPr>
            </w:pPr>
            <w:r>
              <w:rPr>
                <w:rFonts w:hint="eastAsia" w:ascii="宋体" w:hAnsi="宋体"/>
              </w:rPr>
              <w:t>从事技术负责人年限</w:t>
            </w:r>
          </w:p>
        </w:tc>
        <w:tc>
          <w:tcPr>
            <w:tcW w:w="2021" w:type="dxa"/>
            <w:gridSpan w:val="2"/>
            <w:vAlign w:val="center"/>
          </w:tcPr>
          <w:p>
            <w:pPr>
              <w:pStyle w:val="53"/>
              <w:jc w:val="center"/>
              <w:rPr>
                <w:rFonts w:ascii="宋体" w:hAnsi="宋体"/>
              </w:rPr>
            </w:pPr>
          </w:p>
        </w:tc>
        <w:tc>
          <w:tcPr>
            <w:tcW w:w="3314" w:type="dxa"/>
            <w:gridSpan w:val="3"/>
            <w:vAlign w:val="center"/>
          </w:tcPr>
          <w:p>
            <w:pPr>
              <w:pStyle w:val="53"/>
              <w:jc w:val="center"/>
              <w:rPr>
                <w:rFonts w:ascii="宋体" w:hAnsi="宋体"/>
              </w:rPr>
            </w:pPr>
            <w:r>
              <w:rPr>
                <w:rFonts w:hint="eastAsia" w:ascii="宋体" w:hAnsi="宋体"/>
              </w:rPr>
              <w:t>到位率承诺</w:t>
            </w:r>
          </w:p>
        </w:tc>
        <w:tc>
          <w:tcPr>
            <w:tcW w:w="1811" w:type="dxa"/>
            <w:vAlign w:val="center"/>
          </w:tcPr>
          <w:p>
            <w:pPr>
              <w:pStyle w:val="53"/>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trPr>
        <w:tc>
          <w:tcPr>
            <w:tcW w:w="1000" w:type="dxa"/>
            <w:vAlign w:val="center"/>
          </w:tcPr>
          <w:p>
            <w:pPr>
              <w:pStyle w:val="53"/>
              <w:jc w:val="center"/>
              <w:rPr>
                <w:rFonts w:ascii="宋体" w:hAnsi="宋体"/>
              </w:rPr>
            </w:pPr>
          </w:p>
          <w:p>
            <w:pPr>
              <w:pStyle w:val="53"/>
              <w:jc w:val="center"/>
              <w:rPr>
                <w:rFonts w:ascii="宋体" w:hAnsi="宋体"/>
              </w:rPr>
            </w:pPr>
          </w:p>
          <w:p>
            <w:pPr>
              <w:pStyle w:val="53"/>
              <w:jc w:val="center"/>
              <w:rPr>
                <w:rFonts w:ascii="宋体" w:hAnsi="宋体"/>
              </w:rPr>
            </w:pPr>
          </w:p>
          <w:p>
            <w:pPr>
              <w:pStyle w:val="53"/>
              <w:jc w:val="center"/>
              <w:rPr>
                <w:rFonts w:ascii="宋体" w:hAnsi="宋体"/>
              </w:rPr>
            </w:pPr>
            <w:r>
              <w:rPr>
                <w:rFonts w:hint="eastAsia" w:ascii="宋体" w:hAnsi="宋体"/>
              </w:rPr>
              <w:t>简</w:t>
            </w:r>
          </w:p>
          <w:p>
            <w:pPr>
              <w:pStyle w:val="53"/>
              <w:jc w:val="center"/>
              <w:rPr>
                <w:rFonts w:ascii="宋体" w:hAnsi="宋体"/>
              </w:rPr>
            </w:pPr>
          </w:p>
          <w:p>
            <w:pPr>
              <w:pStyle w:val="53"/>
              <w:jc w:val="center"/>
              <w:rPr>
                <w:rFonts w:ascii="宋体" w:hAnsi="宋体"/>
              </w:rPr>
            </w:pPr>
          </w:p>
          <w:p>
            <w:pPr>
              <w:pStyle w:val="53"/>
              <w:jc w:val="center"/>
              <w:rPr>
                <w:rFonts w:ascii="宋体" w:hAnsi="宋体"/>
              </w:rPr>
            </w:pPr>
          </w:p>
          <w:p>
            <w:pPr>
              <w:pStyle w:val="53"/>
              <w:jc w:val="center"/>
              <w:rPr>
                <w:rFonts w:ascii="宋体" w:hAnsi="宋体"/>
              </w:rPr>
            </w:pPr>
          </w:p>
          <w:p>
            <w:pPr>
              <w:pStyle w:val="53"/>
              <w:jc w:val="center"/>
              <w:rPr>
                <w:rFonts w:ascii="宋体" w:hAnsi="宋体"/>
              </w:rPr>
            </w:pPr>
          </w:p>
          <w:p>
            <w:pPr>
              <w:pStyle w:val="53"/>
              <w:jc w:val="center"/>
              <w:rPr>
                <w:rFonts w:ascii="宋体" w:hAnsi="宋体"/>
              </w:rPr>
            </w:pPr>
          </w:p>
          <w:p>
            <w:pPr>
              <w:pStyle w:val="53"/>
              <w:jc w:val="center"/>
              <w:rPr>
                <w:rFonts w:ascii="宋体" w:hAnsi="宋体"/>
              </w:rPr>
            </w:pPr>
            <w:r>
              <w:rPr>
                <w:rFonts w:hint="eastAsia" w:ascii="宋体" w:hAnsi="宋体"/>
              </w:rPr>
              <w:t>历</w:t>
            </w:r>
          </w:p>
          <w:p>
            <w:pPr>
              <w:pStyle w:val="53"/>
              <w:jc w:val="center"/>
              <w:rPr>
                <w:rFonts w:ascii="宋体" w:hAnsi="宋体"/>
              </w:rPr>
            </w:pPr>
          </w:p>
          <w:p>
            <w:pPr>
              <w:pStyle w:val="53"/>
              <w:jc w:val="center"/>
              <w:rPr>
                <w:rFonts w:ascii="宋体" w:hAnsi="宋体"/>
              </w:rPr>
            </w:pPr>
          </w:p>
          <w:p>
            <w:pPr>
              <w:pStyle w:val="53"/>
              <w:jc w:val="center"/>
              <w:rPr>
                <w:rFonts w:ascii="宋体" w:hAnsi="宋体"/>
              </w:rPr>
            </w:pPr>
          </w:p>
        </w:tc>
        <w:tc>
          <w:tcPr>
            <w:tcW w:w="8628" w:type="dxa"/>
            <w:gridSpan w:val="7"/>
            <w:vAlign w:val="center"/>
          </w:tcPr>
          <w:p>
            <w:pPr>
              <w:pStyle w:val="53"/>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trPr>
        <w:tc>
          <w:tcPr>
            <w:tcW w:w="1000" w:type="dxa"/>
            <w:vAlign w:val="center"/>
          </w:tcPr>
          <w:p>
            <w:pPr>
              <w:pStyle w:val="53"/>
              <w:jc w:val="center"/>
              <w:rPr>
                <w:rFonts w:ascii="宋体" w:hAnsi="宋体"/>
              </w:rPr>
            </w:pPr>
            <w:r>
              <w:rPr>
                <w:rFonts w:hint="eastAsia" w:ascii="宋体" w:hAnsi="宋体"/>
              </w:rPr>
              <w:t>类似工程业绩</w:t>
            </w:r>
          </w:p>
        </w:tc>
        <w:tc>
          <w:tcPr>
            <w:tcW w:w="8628" w:type="dxa"/>
            <w:gridSpan w:val="7"/>
            <w:vAlign w:val="center"/>
          </w:tcPr>
          <w:p>
            <w:pPr>
              <w:pStyle w:val="53"/>
              <w:jc w:val="center"/>
              <w:rPr>
                <w:rFonts w:ascii="宋体" w:hAnsi="宋体"/>
              </w:rPr>
            </w:pPr>
          </w:p>
        </w:tc>
      </w:tr>
    </w:tbl>
    <w:p>
      <w:pPr>
        <w:spacing w:line="360" w:lineRule="auto"/>
        <w:ind w:firstLine="480" w:firstLineChars="20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firstLine="435"/>
      </w:pPr>
      <w:r>
        <w:rPr>
          <w:rFonts w:hint="eastAsia" w:ascii="宋体" w:hAnsi="宋体" w:cs="宋体"/>
          <w:szCs w:val="21"/>
        </w:rPr>
        <w:br w:type="page"/>
      </w:r>
    </w:p>
    <w:p/>
    <w:p>
      <w:pPr>
        <w:snapToGrid w:val="0"/>
        <w:spacing w:before="50" w:after="50" w:line="360" w:lineRule="auto"/>
        <w:outlineLvl w:val="0"/>
        <w:rPr>
          <w:rFonts w:ascii="宋体" w:hAnsi="宋体"/>
          <w:b/>
          <w:sz w:val="28"/>
        </w:rPr>
      </w:pPr>
      <w:r>
        <w:rPr>
          <w:rFonts w:hint="eastAsia" w:ascii="宋体" w:hAnsi="宋体"/>
          <w:b/>
          <w:sz w:val="28"/>
        </w:rPr>
        <w:t>附件8</w:t>
      </w:r>
      <w:bookmarkEnd w:id="74"/>
    </w:p>
    <w:p>
      <w:pPr>
        <w:spacing w:line="360" w:lineRule="auto"/>
        <w:ind w:left="480"/>
        <w:jc w:val="center"/>
        <w:rPr>
          <w:rFonts w:ascii="宋体" w:hAnsi="宋体"/>
          <w:b/>
          <w:sz w:val="32"/>
          <w:szCs w:val="32"/>
        </w:rPr>
      </w:pPr>
      <w:bookmarkStart w:id="75" w:name="_Toc3591_WPSOffice_Level1"/>
      <w:bookmarkStart w:id="76" w:name="_Toc32718_WPSOffice_Level1"/>
      <w:r>
        <w:rPr>
          <w:rFonts w:hint="eastAsia" w:ascii="宋体" w:hAnsi="宋体"/>
          <w:b/>
          <w:sz w:val="32"/>
          <w:szCs w:val="32"/>
        </w:rPr>
        <w:t>供货</w:t>
      </w:r>
      <w:r>
        <w:rPr>
          <w:rFonts w:ascii="宋体" w:hAnsi="宋体"/>
          <w:b/>
          <w:sz w:val="32"/>
          <w:szCs w:val="32"/>
        </w:rPr>
        <w:t>清单</w:t>
      </w:r>
      <w:r>
        <w:rPr>
          <w:rFonts w:hint="eastAsia" w:ascii="宋体" w:hAnsi="宋体"/>
          <w:b/>
          <w:sz w:val="32"/>
          <w:szCs w:val="32"/>
        </w:rPr>
        <w:t xml:space="preserve"> </w:t>
      </w:r>
      <w:bookmarkEnd w:id="75"/>
      <w:bookmarkEnd w:id="76"/>
    </w:p>
    <w:p>
      <w:pPr>
        <w:spacing w:line="360" w:lineRule="auto"/>
        <w:ind w:left="480"/>
        <w:rPr>
          <w:rFonts w:ascii="宋体" w:hAnsi="宋体"/>
        </w:rPr>
      </w:pPr>
    </w:p>
    <w:p>
      <w:pPr>
        <w:spacing w:line="360" w:lineRule="auto"/>
        <w:rPr>
          <w:rFonts w:ascii="宋体" w:hAnsi="宋体"/>
          <w:sz w:val="24"/>
        </w:rPr>
      </w:pPr>
      <w:r>
        <w:rPr>
          <w:rFonts w:hint="eastAsia" w:ascii="宋体" w:hAnsi="宋体"/>
          <w:sz w:val="24"/>
        </w:rPr>
        <w:t xml:space="preserve">  项目编号：</w:t>
      </w:r>
    </w:p>
    <w:p>
      <w:pPr>
        <w:spacing w:line="360" w:lineRule="auto"/>
        <w:ind w:left="420"/>
        <w:rPr>
          <w:rFonts w:ascii="宋体" w:hAnsi="宋体"/>
          <w:sz w:val="24"/>
        </w:rPr>
      </w:pPr>
    </w:p>
    <w:tbl>
      <w:tblPr>
        <w:tblStyle w:val="2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sz w:val="24"/>
              </w:rPr>
            </w:pPr>
            <w:r>
              <w:rPr>
                <w:rFonts w:hint="eastAsia" w:ascii="宋体" w:hAnsi="宋体"/>
                <w:b/>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规格型号</w:t>
            </w:r>
          </w:p>
        </w:tc>
        <w:tc>
          <w:tcPr>
            <w:tcW w:w="993" w:type="dxa"/>
            <w:vAlign w:val="center"/>
          </w:tcPr>
          <w:p>
            <w:pPr>
              <w:spacing w:line="360" w:lineRule="auto"/>
              <w:ind w:left="52"/>
              <w:jc w:val="center"/>
              <w:rPr>
                <w:rFonts w:ascii="宋体" w:hAnsi="宋体"/>
                <w:b/>
                <w:sz w:val="24"/>
              </w:rPr>
            </w:pPr>
            <w:r>
              <w:rPr>
                <w:rFonts w:hint="eastAsia" w:ascii="宋体" w:hAnsi="宋体"/>
                <w:b/>
                <w:sz w:val="24"/>
              </w:rPr>
              <w:t>产地</w:t>
            </w:r>
          </w:p>
        </w:tc>
        <w:tc>
          <w:tcPr>
            <w:tcW w:w="1559" w:type="dxa"/>
            <w:vAlign w:val="center"/>
          </w:tcPr>
          <w:p>
            <w:pPr>
              <w:spacing w:line="360" w:lineRule="auto"/>
              <w:ind w:left="152"/>
              <w:jc w:val="center"/>
              <w:rPr>
                <w:rFonts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r>
              <w:rPr>
                <w:rFonts w:hint="eastAsia" w:ascii="宋体" w:hAnsi="宋体"/>
                <w:sz w:val="24"/>
              </w:rPr>
              <w:t>1</w:t>
            </w: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r>
              <w:rPr>
                <w:rFonts w:hint="eastAsia" w:ascii="宋体" w:hAnsi="宋体"/>
                <w:sz w:val="24"/>
              </w:rPr>
              <w:t>2</w:t>
            </w: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r>
              <w:rPr>
                <w:rFonts w:hint="eastAsia" w:ascii="宋体" w:hAnsi="宋体"/>
                <w:sz w:val="24"/>
              </w:rPr>
              <w:t>3</w:t>
            </w: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r>
              <w:rPr>
                <w:rFonts w:hint="eastAsia" w:ascii="宋体" w:hAnsi="宋体"/>
                <w:sz w:val="24"/>
              </w:rPr>
              <w:t>4</w:t>
            </w: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r>
              <w:rPr>
                <w:rFonts w:hint="eastAsia" w:ascii="宋体" w:hAnsi="宋体"/>
                <w:sz w:val="24"/>
              </w:rPr>
              <w:t>5</w:t>
            </w: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sz w:val="24"/>
              </w:rPr>
            </w:pPr>
            <w:r>
              <w:rPr>
                <w:rFonts w:hint="eastAsia" w:ascii="宋体" w:hAnsi="宋体"/>
                <w:sz w:val="24"/>
              </w:rPr>
              <w:t>6</w:t>
            </w:r>
          </w:p>
        </w:tc>
        <w:tc>
          <w:tcPr>
            <w:tcW w:w="216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sz w:val="24"/>
              </w:rPr>
            </w:pPr>
          </w:p>
        </w:tc>
        <w:tc>
          <w:tcPr>
            <w:tcW w:w="2169" w:type="dxa"/>
            <w:vAlign w:val="center"/>
          </w:tcPr>
          <w:p>
            <w:pPr>
              <w:spacing w:line="360" w:lineRule="auto"/>
              <w:ind w:firstLine="720" w:firstLineChars="300"/>
              <w:rPr>
                <w:rFonts w:ascii="宋体" w:hAnsi="宋体"/>
                <w:sz w:val="24"/>
              </w:rPr>
            </w:pPr>
            <w:r>
              <w:rPr>
                <w:rFonts w:hint="eastAsia" w:ascii="宋体" w:hAnsi="宋体"/>
                <w:sz w:val="24"/>
              </w:rPr>
              <w:t>......</w:t>
            </w:r>
          </w:p>
        </w:tc>
        <w:tc>
          <w:tcPr>
            <w:tcW w:w="1134" w:type="dxa"/>
            <w:vAlign w:val="center"/>
          </w:tcPr>
          <w:p>
            <w:pPr>
              <w:spacing w:line="360" w:lineRule="auto"/>
              <w:rPr>
                <w:rFonts w:ascii="宋体" w:hAnsi="宋体"/>
                <w:sz w:val="24"/>
              </w:rPr>
            </w:pPr>
          </w:p>
        </w:tc>
        <w:tc>
          <w:tcPr>
            <w:tcW w:w="1842" w:type="dxa"/>
            <w:vAlign w:val="center"/>
          </w:tcPr>
          <w:p>
            <w:pPr>
              <w:spacing w:line="360" w:lineRule="auto"/>
              <w:rPr>
                <w:rFonts w:ascii="宋体" w:hAnsi="宋体"/>
                <w:sz w:val="24"/>
              </w:rPr>
            </w:pPr>
          </w:p>
        </w:tc>
        <w:tc>
          <w:tcPr>
            <w:tcW w:w="993"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r>
    </w:tbl>
    <w:p>
      <w:pPr>
        <w:spacing w:line="360" w:lineRule="auto"/>
        <w:ind w:left="420"/>
        <w:rPr>
          <w:rFonts w:ascii="宋体" w:hAnsi="宋体"/>
          <w:sz w:val="24"/>
        </w:rPr>
      </w:pPr>
    </w:p>
    <w:p>
      <w:pPr>
        <w:spacing w:line="360" w:lineRule="auto"/>
        <w:ind w:left="435"/>
        <w:rPr>
          <w:rFonts w:ascii="宋体" w:hAnsi="宋体"/>
          <w:b/>
          <w:szCs w:val="21"/>
        </w:rPr>
      </w:pPr>
      <w:r>
        <w:rPr>
          <w:rFonts w:hint="eastAsia" w:ascii="宋体" w:hAnsi="宋体"/>
          <w:b/>
          <w:szCs w:val="21"/>
        </w:rPr>
        <w:t>要求：</w:t>
      </w:r>
    </w:p>
    <w:p>
      <w:pPr>
        <w:numPr>
          <w:ilvl w:val="0"/>
          <w:numId w:val="12"/>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2"/>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p>
    <w:p>
      <w:pPr>
        <w:snapToGrid w:val="0"/>
        <w:spacing w:before="50" w:after="50" w:line="360" w:lineRule="auto"/>
        <w:outlineLvl w:val="0"/>
        <w:rPr>
          <w:rFonts w:ascii="宋体" w:hAnsi="宋体"/>
          <w:b/>
          <w:sz w:val="28"/>
        </w:rPr>
      </w:pPr>
      <w:bookmarkStart w:id="77" w:name="_Toc26557"/>
      <w:r>
        <w:rPr>
          <w:rFonts w:hint="eastAsia" w:ascii="宋体" w:hAnsi="宋体"/>
          <w:b/>
          <w:sz w:val="28"/>
        </w:rPr>
        <w:t>附件9</w:t>
      </w:r>
      <w:bookmarkEnd w:id="77"/>
    </w:p>
    <w:p>
      <w:pPr>
        <w:spacing w:line="360" w:lineRule="auto"/>
        <w:ind w:left="480"/>
        <w:jc w:val="center"/>
        <w:rPr>
          <w:rFonts w:ascii="宋体" w:hAnsi="宋体"/>
          <w:b/>
          <w:bCs/>
          <w:color w:val="000000" w:themeColor="text1"/>
          <w:sz w:val="32"/>
          <w:szCs w:val="32"/>
          <w14:textFill>
            <w14:solidFill>
              <w14:schemeClr w14:val="tx1"/>
            </w14:solidFill>
          </w14:textFill>
        </w:rPr>
      </w:pPr>
      <w:bookmarkStart w:id="78" w:name="_Toc26601_WPSOffice_Level1"/>
      <w:bookmarkStart w:id="79" w:name="_Toc12856_WPSOffice_Level1"/>
      <w:r>
        <w:rPr>
          <w:rFonts w:ascii="宋体" w:hAnsi="宋体"/>
          <w:b/>
          <w:bCs/>
          <w:color w:val="000000" w:themeColor="text1"/>
          <w:kern w:val="0"/>
          <w:sz w:val="32"/>
          <w:szCs w:val="32"/>
          <w14:textFill>
            <w14:solidFill>
              <w14:schemeClr w14:val="tx1"/>
            </w14:solidFill>
          </w14:textFill>
        </w:rPr>
        <w:t>技术</w:t>
      </w:r>
      <w:r>
        <w:rPr>
          <w:rFonts w:hint="eastAsia" w:ascii="宋体" w:hAnsi="宋体"/>
          <w:b/>
          <w:bCs/>
          <w:color w:val="000000" w:themeColor="text1"/>
          <w:kern w:val="0"/>
          <w:sz w:val="32"/>
          <w:szCs w:val="32"/>
          <w14:textFill>
            <w14:solidFill>
              <w14:schemeClr w14:val="tx1"/>
            </w14:solidFill>
          </w14:textFill>
        </w:rPr>
        <w:t>需求</w:t>
      </w:r>
      <w:r>
        <w:rPr>
          <w:rFonts w:ascii="宋体" w:hAnsi="宋体"/>
          <w:b/>
          <w:bCs/>
          <w:color w:val="000000" w:themeColor="text1"/>
          <w:kern w:val="0"/>
          <w:sz w:val="32"/>
          <w:szCs w:val="32"/>
          <w14:textFill>
            <w14:solidFill>
              <w14:schemeClr w14:val="tx1"/>
            </w14:solidFill>
          </w14:textFill>
        </w:rPr>
        <w:t>响应表</w:t>
      </w:r>
      <w:bookmarkEnd w:id="78"/>
      <w:bookmarkEnd w:id="79"/>
    </w:p>
    <w:p>
      <w:pPr>
        <w:spacing w:line="360" w:lineRule="auto"/>
        <w:rPr>
          <w:rFonts w:ascii="宋体" w:hAnsi="宋体"/>
          <w:sz w:val="24"/>
        </w:rPr>
      </w:pPr>
    </w:p>
    <w:tbl>
      <w:tblPr>
        <w:tblStyle w:val="24"/>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jc w:val="center"/>
              <w:rPr>
                <w:rFonts w:ascii="宋体" w:hAnsi="宋体"/>
                <w:b/>
                <w:sz w:val="24"/>
              </w:rPr>
            </w:pPr>
            <w:r>
              <w:rPr>
                <w:rFonts w:hint="eastAsia" w:ascii="宋体" w:hAnsi="宋体"/>
                <w:b/>
                <w:sz w:val="24"/>
              </w:rPr>
              <w:t>序号</w:t>
            </w:r>
          </w:p>
        </w:tc>
        <w:tc>
          <w:tcPr>
            <w:tcW w:w="1785" w:type="dxa"/>
            <w:vAlign w:val="center"/>
          </w:tcPr>
          <w:p>
            <w:pPr>
              <w:jc w:val="center"/>
              <w:rPr>
                <w:rFonts w:ascii="宋体" w:hAnsi="宋体"/>
                <w:b/>
                <w:sz w:val="24"/>
              </w:rPr>
            </w:pPr>
            <w:r>
              <w:rPr>
                <w:rFonts w:hint="eastAsia" w:ascii="宋体" w:hAnsi="宋体"/>
                <w:b/>
                <w:sz w:val="24"/>
              </w:rPr>
              <w:t>名称</w:t>
            </w:r>
          </w:p>
        </w:tc>
        <w:tc>
          <w:tcPr>
            <w:tcW w:w="1449" w:type="dxa"/>
            <w:vAlign w:val="center"/>
          </w:tcPr>
          <w:p>
            <w:pPr>
              <w:jc w:val="center"/>
              <w:rPr>
                <w:rFonts w:ascii="宋体" w:hAnsi="宋体"/>
                <w:b/>
                <w:sz w:val="24"/>
              </w:rPr>
            </w:pPr>
            <w:r>
              <w:rPr>
                <w:rFonts w:hint="eastAsia" w:ascii="宋体" w:hAnsi="宋体"/>
                <w:b/>
                <w:sz w:val="24"/>
              </w:rPr>
              <w:t>规格型号</w:t>
            </w:r>
          </w:p>
        </w:tc>
        <w:tc>
          <w:tcPr>
            <w:tcW w:w="1560" w:type="dxa"/>
            <w:vAlign w:val="center"/>
          </w:tcPr>
          <w:p>
            <w:pPr>
              <w:jc w:val="center"/>
              <w:rPr>
                <w:rFonts w:ascii="宋体" w:hAnsi="宋体"/>
                <w:b/>
                <w:sz w:val="24"/>
              </w:rPr>
            </w:pPr>
            <w:r>
              <w:rPr>
                <w:rFonts w:hint="eastAsia" w:ascii="宋体" w:hAnsi="宋体"/>
                <w:b/>
                <w:sz w:val="24"/>
              </w:rPr>
              <w:t>需求参数</w:t>
            </w:r>
          </w:p>
        </w:tc>
        <w:tc>
          <w:tcPr>
            <w:tcW w:w="1401" w:type="dxa"/>
            <w:vAlign w:val="center"/>
          </w:tcPr>
          <w:p>
            <w:pPr>
              <w:jc w:val="center"/>
              <w:rPr>
                <w:rFonts w:ascii="宋体" w:hAnsi="宋体"/>
                <w:b/>
                <w:sz w:val="24"/>
              </w:rPr>
            </w:pPr>
            <w:r>
              <w:rPr>
                <w:rFonts w:hint="eastAsia" w:ascii="宋体" w:hAnsi="宋体"/>
                <w:b/>
                <w:sz w:val="24"/>
              </w:rPr>
              <w:t>响应参数</w:t>
            </w:r>
          </w:p>
        </w:tc>
        <w:tc>
          <w:tcPr>
            <w:tcW w:w="1365" w:type="dxa"/>
            <w:vAlign w:val="center"/>
          </w:tcPr>
          <w:p>
            <w:pPr>
              <w:jc w:val="center"/>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sz w:val="24"/>
              </w:rPr>
            </w:pPr>
          </w:p>
        </w:tc>
        <w:tc>
          <w:tcPr>
            <w:tcW w:w="1785" w:type="dxa"/>
            <w:vAlign w:val="center"/>
          </w:tcPr>
          <w:p>
            <w:pPr>
              <w:rPr>
                <w:rFonts w:ascii="宋体" w:hAnsi="宋体"/>
                <w:sz w:val="24"/>
              </w:rPr>
            </w:pPr>
          </w:p>
        </w:tc>
        <w:tc>
          <w:tcPr>
            <w:tcW w:w="1449"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bl>
    <w:p>
      <w:pPr>
        <w:pStyle w:val="32"/>
        <w:tabs>
          <w:tab w:val="left" w:pos="360"/>
        </w:tabs>
        <w:spacing w:line="360" w:lineRule="auto"/>
        <w:ind w:right="84" w:rightChars="40" w:firstLine="422" w:firstLineChars="200"/>
        <w:rPr>
          <w:rFonts w:ascii="宋体"/>
          <w:b/>
          <w:szCs w:val="21"/>
        </w:rPr>
      </w:pPr>
      <w:r>
        <w:rPr>
          <w:rFonts w:hint="eastAsia" w:ascii="宋体"/>
          <w:b/>
          <w:szCs w:val="21"/>
        </w:rPr>
        <w:t>要求：</w:t>
      </w:r>
    </w:p>
    <w:p>
      <w:pPr>
        <w:pStyle w:val="32"/>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2"/>
        <w:spacing w:line="360" w:lineRule="auto"/>
        <w:ind w:right="84" w:rightChars="40" w:firstLine="420" w:firstLineChars="200"/>
        <w:rPr>
          <w:rFonts w:ascii="宋体"/>
          <w:szCs w:val="21"/>
        </w:rPr>
      </w:pPr>
      <w:r>
        <w:rPr>
          <w:rFonts w:hint="eastAsia" w:ascii="宋体"/>
          <w:szCs w:val="21"/>
        </w:rPr>
        <w:t>2.本表参照本磋商文件第三部分“项目需求”内第二条“具体技术需求”填制，供应商应根据磋商设备的性能指标、服务指标，对照磋商文件要求在“偏离情况”栏注明“正偏离”、“负偏离”或“无偏离”。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3.对于磋商产品的技术偏离情况需严格按照磋商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3"/>
        <w:spacing w:line="360" w:lineRule="auto"/>
        <w:jc w:val="left"/>
        <w:outlineLvl w:val="0"/>
        <w:rPr>
          <w:rFonts w:ascii="宋体" w:hAnsi="宋体"/>
          <w:b/>
          <w:sz w:val="28"/>
        </w:rPr>
      </w:pPr>
      <w:bookmarkStart w:id="80" w:name="_Toc20060"/>
    </w:p>
    <w:p>
      <w:pPr>
        <w:snapToGrid w:val="0"/>
        <w:spacing w:line="360" w:lineRule="auto"/>
        <w:jc w:val="center"/>
        <w:rPr>
          <w:rFonts w:hAnsi="宋体" w:cs="宋体"/>
          <w:szCs w:val="21"/>
        </w:rPr>
      </w:pPr>
    </w:p>
    <w:p>
      <w:pPr>
        <w:pStyle w:val="33"/>
        <w:spacing w:line="360" w:lineRule="auto"/>
        <w:jc w:val="left"/>
        <w:outlineLvl w:val="0"/>
        <w:rPr>
          <w:rFonts w:ascii="宋体" w:hAnsi="宋体"/>
          <w:b/>
          <w:sz w:val="28"/>
        </w:rPr>
      </w:pPr>
      <w:r>
        <w:rPr>
          <w:rFonts w:hint="eastAsia" w:ascii="宋体" w:hAnsi="宋体"/>
          <w:b/>
          <w:sz w:val="28"/>
        </w:rPr>
        <w:t>附件10</w:t>
      </w:r>
      <w:bookmarkEnd w:id="80"/>
    </w:p>
    <w:p>
      <w:pPr>
        <w:pStyle w:val="34"/>
        <w:spacing w:line="360" w:lineRule="auto"/>
        <w:jc w:val="center"/>
        <w:rPr>
          <w:rFonts w:ascii="宋体" w:hAnsi="宋体"/>
          <w:b/>
          <w:sz w:val="32"/>
          <w:szCs w:val="32"/>
        </w:rPr>
      </w:pPr>
      <w:bookmarkStart w:id="81" w:name="_Toc11030_WPSOffice_Level1"/>
      <w:bookmarkStart w:id="82" w:name="_Toc17604_WPSOffice_Level1"/>
      <w:r>
        <w:rPr>
          <w:rFonts w:hint="eastAsia" w:ascii="宋体" w:hAnsi="宋体"/>
          <w:b/>
          <w:sz w:val="32"/>
          <w:szCs w:val="32"/>
        </w:rPr>
        <w:t>证书一览表</w:t>
      </w:r>
      <w:bookmarkEnd w:id="81"/>
      <w:bookmarkEnd w:id="82"/>
    </w:p>
    <w:p>
      <w:pPr>
        <w:pStyle w:val="34"/>
        <w:spacing w:line="360" w:lineRule="auto"/>
        <w:jc w:val="center"/>
        <w:rPr>
          <w:rFonts w:ascii="宋体" w:hAnsi="宋体" w:cs="Arial"/>
          <w:sz w:val="28"/>
          <w:szCs w:val="28"/>
        </w:rPr>
      </w:pPr>
    </w:p>
    <w:tbl>
      <w:tblPr>
        <w:tblStyle w:val="24"/>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bottom w:val="single" w:color="auto" w:sz="4" w:space="0"/>
            </w:tcBorders>
            <w:vAlign w:val="center"/>
          </w:tcPr>
          <w:p>
            <w:pPr>
              <w:pStyle w:val="34"/>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vAlign w:val="center"/>
          </w:tcPr>
          <w:p>
            <w:pPr>
              <w:pStyle w:val="34"/>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vAlign w:val="center"/>
          </w:tcPr>
          <w:p>
            <w:pPr>
              <w:pStyle w:val="34"/>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vAlign w:val="center"/>
          </w:tcPr>
          <w:p>
            <w:pPr>
              <w:pStyle w:val="34"/>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top w:val="single" w:color="auto" w:sz="4" w:space="0"/>
              <w:left w:val="single" w:color="auto" w:sz="4" w:space="0"/>
            </w:tcBorders>
            <w:vAlign w:val="center"/>
          </w:tcPr>
          <w:p>
            <w:pPr>
              <w:pStyle w:val="34"/>
              <w:jc w:val="center"/>
              <w:rPr>
                <w:rFonts w:ascii="宋体" w:hAnsi="宋体" w:cs="Arial"/>
                <w:szCs w:val="21"/>
              </w:rPr>
            </w:pPr>
          </w:p>
        </w:tc>
        <w:tc>
          <w:tcPr>
            <w:tcW w:w="2258" w:type="dxa"/>
            <w:tcBorders>
              <w:top w:val="single" w:color="auto" w:sz="4" w:space="0"/>
            </w:tcBorders>
            <w:vAlign w:val="center"/>
          </w:tcPr>
          <w:p>
            <w:pPr>
              <w:pStyle w:val="34"/>
              <w:jc w:val="center"/>
              <w:rPr>
                <w:rFonts w:ascii="宋体" w:hAnsi="宋体" w:cs="Arial"/>
                <w:szCs w:val="21"/>
              </w:rPr>
            </w:pPr>
          </w:p>
        </w:tc>
        <w:tc>
          <w:tcPr>
            <w:tcW w:w="2260" w:type="dxa"/>
            <w:tcBorders>
              <w:top w:val="single" w:color="auto" w:sz="4" w:space="0"/>
            </w:tcBorders>
            <w:vAlign w:val="center"/>
          </w:tcPr>
          <w:p>
            <w:pPr>
              <w:pStyle w:val="34"/>
              <w:jc w:val="center"/>
              <w:rPr>
                <w:rFonts w:ascii="宋体" w:hAnsi="宋体" w:cs="Arial"/>
                <w:szCs w:val="21"/>
              </w:rPr>
            </w:pPr>
          </w:p>
        </w:tc>
        <w:tc>
          <w:tcPr>
            <w:tcW w:w="2047" w:type="dxa"/>
            <w:tcBorders>
              <w:top w:val="single" w:color="auto" w:sz="4" w:space="0"/>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tcBorders>
            <w:vAlign w:val="center"/>
          </w:tcPr>
          <w:p>
            <w:pPr>
              <w:pStyle w:val="34"/>
              <w:jc w:val="center"/>
              <w:rPr>
                <w:rFonts w:ascii="宋体" w:hAnsi="宋体" w:cs="Arial"/>
                <w:szCs w:val="21"/>
              </w:rPr>
            </w:pPr>
          </w:p>
        </w:tc>
        <w:tc>
          <w:tcPr>
            <w:tcW w:w="2258" w:type="dxa"/>
            <w:vAlign w:val="center"/>
          </w:tcPr>
          <w:p>
            <w:pPr>
              <w:pStyle w:val="34"/>
              <w:jc w:val="center"/>
              <w:rPr>
                <w:rFonts w:ascii="宋体" w:hAnsi="宋体" w:cs="Arial"/>
                <w:szCs w:val="21"/>
              </w:rPr>
            </w:pPr>
          </w:p>
        </w:tc>
        <w:tc>
          <w:tcPr>
            <w:tcW w:w="2260" w:type="dxa"/>
            <w:vAlign w:val="center"/>
          </w:tcPr>
          <w:p>
            <w:pPr>
              <w:pStyle w:val="34"/>
              <w:jc w:val="center"/>
              <w:rPr>
                <w:rFonts w:ascii="宋体" w:hAnsi="宋体" w:cs="Arial"/>
                <w:szCs w:val="21"/>
              </w:rPr>
            </w:pPr>
          </w:p>
        </w:tc>
        <w:tc>
          <w:tcPr>
            <w:tcW w:w="2047" w:type="dxa"/>
            <w:tcBorders>
              <w:right w:val="single" w:color="auto" w:sz="4" w:space="0"/>
            </w:tcBorders>
            <w:vAlign w:val="center"/>
          </w:tcPr>
          <w:p>
            <w:pPr>
              <w:pStyle w:val="34"/>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7" w:type="dxa"/>
            <w:tcBorders>
              <w:left w:val="single" w:color="auto" w:sz="4" w:space="0"/>
              <w:bottom w:val="single" w:color="auto" w:sz="4" w:space="0"/>
            </w:tcBorders>
            <w:vAlign w:val="center"/>
          </w:tcPr>
          <w:p>
            <w:pPr>
              <w:pStyle w:val="34"/>
              <w:jc w:val="center"/>
              <w:rPr>
                <w:rFonts w:ascii="宋体" w:hAnsi="宋体" w:cs="Arial"/>
                <w:szCs w:val="21"/>
              </w:rPr>
            </w:pPr>
          </w:p>
        </w:tc>
        <w:tc>
          <w:tcPr>
            <w:tcW w:w="2258" w:type="dxa"/>
            <w:tcBorders>
              <w:bottom w:val="single" w:color="auto" w:sz="4" w:space="0"/>
            </w:tcBorders>
            <w:vAlign w:val="center"/>
          </w:tcPr>
          <w:p>
            <w:pPr>
              <w:pStyle w:val="34"/>
              <w:jc w:val="center"/>
              <w:rPr>
                <w:rFonts w:ascii="宋体" w:hAnsi="宋体" w:cs="Arial"/>
                <w:szCs w:val="21"/>
              </w:rPr>
            </w:pPr>
          </w:p>
        </w:tc>
        <w:tc>
          <w:tcPr>
            <w:tcW w:w="2260" w:type="dxa"/>
            <w:tcBorders>
              <w:bottom w:val="single" w:color="auto" w:sz="4" w:space="0"/>
            </w:tcBorders>
            <w:vAlign w:val="center"/>
          </w:tcPr>
          <w:p>
            <w:pPr>
              <w:pStyle w:val="34"/>
              <w:jc w:val="center"/>
              <w:rPr>
                <w:rFonts w:ascii="宋体" w:hAnsi="宋体" w:cs="Arial"/>
                <w:szCs w:val="21"/>
              </w:rPr>
            </w:pPr>
          </w:p>
        </w:tc>
        <w:tc>
          <w:tcPr>
            <w:tcW w:w="2047" w:type="dxa"/>
            <w:tcBorders>
              <w:bottom w:val="single" w:color="auto" w:sz="4" w:space="0"/>
              <w:right w:val="single" w:color="auto" w:sz="4" w:space="0"/>
            </w:tcBorders>
            <w:vAlign w:val="center"/>
          </w:tcPr>
          <w:p>
            <w:pPr>
              <w:pStyle w:val="34"/>
              <w:jc w:val="center"/>
              <w:rPr>
                <w:rFonts w:ascii="宋体" w:hAnsi="宋体" w:cs="Arial"/>
                <w:szCs w:val="21"/>
              </w:rPr>
            </w:pPr>
          </w:p>
        </w:tc>
      </w:tr>
    </w:tbl>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422" w:firstLineChars="200"/>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outlineLvl w:val="0"/>
        <w:rPr>
          <w:rFonts w:ascii="宋体" w:hAnsi="宋体"/>
          <w:b/>
          <w:sz w:val="28"/>
        </w:rPr>
      </w:pPr>
      <w:bookmarkStart w:id="83" w:name="_Toc24698"/>
    </w:p>
    <w:p>
      <w:pPr>
        <w:spacing w:line="360" w:lineRule="auto"/>
        <w:outlineLvl w:val="0"/>
        <w:rPr>
          <w:rFonts w:ascii="宋体" w:hAnsi="宋体"/>
          <w:b/>
          <w:sz w:val="28"/>
        </w:rPr>
      </w:pPr>
      <w:r>
        <w:rPr>
          <w:rFonts w:hint="eastAsia" w:ascii="宋体" w:hAnsi="宋体"/>
          <w:b/>
          <w:sz w:val="28"/>
        </w:rPr>
        <w:t>附件11</w:t>
      </w:r>
      <w:bookmarkEnd w:id="83"/>
    </w:p>
    <w:p>
      <w:pPr>
        <w:pStyle w:val="33"/>
        <w:spacing w:line="360" w:lineRule="auto"/>
        <w:jc w:val="center"/>
        <w:rPr>
          <w:rFonts w:ascii="宋体" w:hAnsi="宋体"/>
          <w:b/>
          <w:sz w:val="32"/>
          <w:szCs w:val="32"/>
        </w:rPr>
      </w:pPr>
      <w:bookmarkStart w:id="84" w:name="_Toc19231_WPSOffice_Level1"/>
      <w:bookmarkStart w:id="85" w:name="_Toc7134_WPSOffice_Level1"/>
      <w:r>
        <w:rPr>
          <w:rFonts w:hint="eastAsia" w:ascii="宋体" w:hAnsi="宋体"/>
          <w:b/>
          <w:sz w:val="32"/>
          <w:szCs w:val="32"/>
        </w:rPr>
        <w:t>供应商类似项目实施情况一览表</w:t>
      </w:r>
      <w:bookmarkEnd w:id="84"/>
      <w:bookmarkEnd w:id="85"/>
    </w:p>
    <w:p>
      <w:pPr>
        <w:pStyle w:val="33"/>
        <w:spacing w:line="360" w:lineRule="auto"/>
        <w:jc w:val="center"/>
        <w:rPr>
          <w:rFonts w:ascii="仿宋_GB2312" w:eastAsia="仿宋_GB2312"/>
          <w:b/>
          <w:sz w:val="28"/>
          <w:szCs w:val="28"/>
        </w:rPr>
      </w:pPr>
    </w:p>
    <w:tbl>
      <w:tblPr>
        <w:tblStyle w:val="24"/>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bl>
    <w:p>
      <w:pPr>
        <w:autoSpaceDE w:val="0"/>
        <w:autoSpaceDN w:val="0"/>
        <w:adjustRightInd w:val="0"/>
        <w:spacing w:before="120" w:beforeLines="50" w:line="360" w:lineRule="auto"/>
        <w:ind w:firstLine="422" w:firstLineChars="200"/>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复印件可只提供首页、含金额页、盖章页并加盖供应商电子印章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4"/>
        <w:tabs>
          <w:tab w:val="left" w:pos="1050"/>
        </w:tabs>
        <w:spacing w:line="360" w:lineRule="auto"/>
        <w:outlineLvl w:val="0"/>
        <w:rPr>
          <w:rFonts w:ascii="宋体" w:hAnsi="宋体"/>
          <w:b/>
          <w:sz w:val="28"/>
        </w:rPr>
      </w:pPr>
      <w:bookmarkStart w:id="86" w:name="_Toc19806"/>
    </w:p>
    <w:p>
      <w:pPr>
        <w:pStyle w:val="34"/>
        <w:tabs>
          <w:tab w:val="left" w:pos="1050"/>
        </w:tabs>
        <w:spacing w:line="360" w:lineRule="auto"/>
        <w:outlineLvl w:val="0"/>
        <w:rPr>
          <w:rFonts w:ascii="仿宋_GB2312" w:hAnsi="宋体" w:eastAsia="仿宋_GB2312"/>
          <w:sz w:val="24"/>
        </w:rPr>
      </w:pPr>
      <w:r>
        <w:rPr>
          <w:rFonts w:hint="eastAsia" w:ascii="宋体" w:hAnsi="宋体"/>
          <w:b/>
          <w:sz w:val="28"/>
        </w:rPr>
        <w:t>附件12</w:t>
      </w:r>
      <w:bookmarkEnd w:id="86"/>
    </w:p>
    <w:p>
      <w:pPr>
        <w:spacing w:line="360" w:lineRule="auto"/>
        <w:ind w:left="549" w:hanging="549" w:hangingChars="171"/>
        <w:jc w:val="center"/>
        <w:rPr>
          <w:rFonts w:ascii="宋体" w:hAnsi="宋体"/>
          <w:b/>
          <w:sz w:val="32"/>
          <w:szCs w:val="32"/>
        </w:rPr>
      </w:pPr>
      <w:bookmarkStart w:id="87" w:name="_Toc3068_WPSOffice_Level1"/>
      <w:bookmarkStart w:id="88" w:name="_Toc21582_WPSOffice_Level1"/>
      <w:r>
        <w:rPr>
          <w:rFonts w:hint="eastAsia" w:ascii="宋体" w:hAnsi="宋体"/>
          <w:b/>
          <w:sz w:val="32"/>
          <w:szCs w:val="32"/>
        </w:rPr>
        <w:t>商务需求响应表</w:t>
      </w:r>
      <w:bookmarkEnd w:id="87"/>
      <w:bookmarkEnd w:id="88"/>
    </w:p>
    <w:p>
      <w:pPr>
        <w:spacing w:line="360" w:lineRule="auto"/>
        <w:ind w:left="481" w:leftChars="229" w:firstLine="813" w:firstLineChars="450"/>
        <w:rPr>
          <w:rFonts w:ascii="宋体" w:hAnsi="宋体"/>
          <w:b/>
          <w:sz w:val="18"/>
          <w:szCs w:val="18"/>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jc w:val="center"/>
              <w:rPr>
                <w:rFonts w:ascii="宋体" w:hAnsi="宋体"/>
                <w:b/>
                <w:sz w:val="24"/>
              </w:rPr>
            </w:pPr>
            <w:r>
              <w:rPr>
                <w:rFonts w:hint="eastAsia" w:ascii="宋体" w:hAnsi="宋体"/>
                <w:b/>
                <w:sz w:val="24"/>
              </w:rPr>
              <w:t>磋商采购需求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outlineLvl w:val="0"/>
        <w:rPr>
          <w:rFonts w:ascii="宋体" w:hAnsi="宋体"/>
          <w:b/>
          <w:sz w:val="28"/>
        </w:rPr>
      </w:pPr>
      <w:bookmarkStart w:id="89" w:name="_Toc32105"/>
    </w:p>
    <w:p>
      <w:pPr>
        <w:tabs>
          <w:tab w:val="left" w:pos="2460"/>
        </w:tabs>
        <w:spacing w:line="360" w:lineRule="auto"/>
        <w:ind w:firstLine="435"/>
        <w:outlineLvl w:val="0"/>
        <w:rPr>
          <w:rFonts w:ascii="宋体" w:hAnsi="宋体"/>
          <w:b/>
          <w:sz w:val="28"/>
        </w:rPr>
      </w:pPr>
      <w:r>
        <w:rPr>
          <w:rFonts w:hint="eastAsia" w:ascii="宋体" w:hAnsi="宋体"/>
          <w:b/>
          <w:sz w:val="28"/>
        </w:rPr>
        <w:t>附件13</w:t>
      </w:r>
      <w:bookmarkEnd w:id="89"/>
      <w:r>
        <w:rPr>
          <w:rFonts w:ascii="宋体" w:hAnsi="宋体"/>
          <w:b/>
          <w:sz w:val="28"/>
        </w:rPr>
        <w:tab/>
      </w:r>
    </w:p>
    <w:p>
      <w:pPr>
        <w:spacing w:line="360" w:lineRule="auto"/>
        <w:ind w:firstLine="435"/>
        <w:jc w:val="center"/>
        <w:rPr>
          <w:rFonts w:ascii="宋体" w:hAnsi="宋体"/>
          <w:b/>
          <w:sz w:val="32"/>
          <w:szCs w:val="32"/>
        </w:rPr>
      </w:pPr>
      <w:bookmarkStart w:id="90" w:name="_Toc3463_WPSOffice_Level1"/>
      <w:bookmarkStart w:id="91" w:name="_Toc29652_WPSOffice_Level1"/>
      <w:r>
        <w:rPr>
          <w:rFonts w:hint="eastAsia" w:ascii="宋体" w:hAnsi="宋体"/>
          <w:b/>
          <w:sz w:val="32"/>
          <w:szCs w:val="32"/>
        </w:rPr>
        <w:t>售后服务情况表</w:t>
      </w:r>
      <w:bookmarkEnd w:id="90"/>
      <w:bookmarkEnd w:id="91"/>
    </w:p>
    <w:p>
      <w:pPr>
        <w:spacing w:line="360" w:lineRule="auto"/>
        <w:ind w:firstLine="435"/>
        <w:jc w:val="center"/>
        <w:rPr>
          <w:rFonts w:ascii="宋体" w:hAnsi="宋体"/>
          <w:b/>
          <w:sz w:val="36"/>
          <w:szCs w:val="36"/>
        </w:rPr>
      </w:pPr>
    </w:p>
    <w:tbl>
      <w:tblPr>
        <w:tblStyle w:val="24"/>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5"/>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5"/>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5"/>
              <w:spacing w:line="360" w:lineRule="auto"/>
              <w:jc w:val="center"/>
              <w:rPr>
                <w:rFonts w:ascii="宋体" w:hAnsi="宋体" w:cs="Arial"/>
                <w:b/>
                <w:sz w:val="24"/>
              </w:rPr>
            </w:pPr>
            <w:r>
              <w:rPr>
                <w:rFonts w:hint="eastAsia" w:ascii="宋体" w:hAnsi="宋体" w:cs="Arial"/>
                <w:b/>
                <w:sz w:val="24"/>
              </w:rPr>
              <w:t>供应商情况</w:t>
            </w:r>
          </w:p>
        </w:tc>
        <w:tc>
          <w:tcPr>
            <w:tcW w:w="1373" w:type="dxa"/>
            <w:vAlign w:val="center"/>
          </w:tcPr>
          <w:p>
            <w:pPr>
              <w:pStyle w:val="35"/>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5"/>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5"/>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5"/>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pacing w:line="360" w:lineRule="auto"/>
              <w:jc w:val="left"/>
              <w:rPr>
                <w:rFonts w:ascii="宋体" w:hAnsi="宋体" w:cs="Arial"/>
                <w:bCs/>
                <w:sz w:val="24"/>
              </w:rPr>
            </w:pPr>
          </w:p>
        </w:tc>
        <w:tc>
          <w:tcPr>
            <w:tcW w:w="2355" w:type="dxa"/>
            <w:vMerge w:val="continue"/>
            <w:vAlign w:val="center"/>
          </w:tcPr>
          <w:p>
            <w:pPr>
              <w:pStyle w:val="35"/>
              <w:widowControl/>
              <w:spacing w:line="360" w:lineRule="auto"/>
              <w:jc w:val="left"/>
              <w:rPr>
                <w:rFonts w:ascii="宋体" w:hAnsi="宋体" w:cs="Arial"/>
                <w:bCs/>
                <w:sz w:val="24"/>
              </w:rPr>
            </w:pPr>
          </w:p>
        </w:tc>
        <w:tc>
          <w:tcPr>
            <w:tcW w:w="4061" w:type="dxa"/>
          </w:tcPr>
          <w:p>
            <w:pPr>
              <w:pStyle w:val="35"/>
              <w:spacing w:line="360" w:lineRule="auto"/>
              <w:rPr>
                <w:rFonts w:ascii="宋体" w:hAnsi="宋体" w:cs="Arial"/>
                <w:bCs/>
                <w:sz w:val="24"/>
              </w:rPr>
            </w:pPr>
            <w:r>
              <w:rPr>
                <w:rFonts w:hint="eastAsia" w:ascii="宋体" w:hAnsi="宋体" w:cs="Arial"/>
                <w:bCs/>
                <w:sz w:val="24"/>
              </w:rPr>
              <w:t>供应商售后服务情况：</w:t>
            </w:r>
          </w:p>
        </w:tc>
        <w:tc>
          <w:tcPr>
            <w:tcW w:w="1373" w:type="dxa"/>
          </w:tcPr>
          <w:p>
            <w:pPr>
              <w:pStyle w:val="35"/>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5"/>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5"/>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5"/>
              <w:widowControl/>
              <w:spacing w:line="360" w:lineRule="auto"/>
              <w:jc w:val="left"/>
              <w:rPr>
                <w:rFonts w:ascii="宋体" w:hAnsi="宋体" w:cs="Arial"/>
                <w:bCs/>
                <w:sz w:val="24"/>
              </w:rPr>
            </w:pPr>
          </w:p>
          <w:p>
            <w:pPr>
              <w:pStyle w:val="35"/>
              <w:widowControl/>
              <w:spacing w:line="360" w:lineRule="auto"/>
              <w:jc w:val="left"/>
              <w:rPr>
                <w:rFonts w:ascii="宋体" w:hAnsi="宋体" w:cs="Arial"/>
                <w:bCs/>
                <w:sz w:val="24"/>
              </w:rPr>
            </w:pPr>
          </w:p>
          <w:p>
            <w:pPr>
              <w:pStyle w:val="35"/>
              <w:spacing w:line="360" w:lineRule="auto"/>
              <w:rPr>
                <w:rFonts w:ascii="宋体" w:hAnsi="宋体" w:cs="Arial"/>
                <w:bCs/>
                <w:sz w:val="24"/>
              </w:rPr>
            </w:pPr>
          </w:p>
        </w:tc>
        <w:tc>
          <w:tcPr>
            <w:tcW w:w="1373" w:type="dxa"/>
          </w:tcPr>
          <w:p>
            <w:pPr>
              <w:pStyle w:val="35"/>
              <w:widowControl/>
              <w:spacing w:line="360" w:lineRule="auto"/>
              <w:jc w:val="left"/>
              <w:rPr>
                <w:rFonts w:ascii="宋体" w:hAnsi="宋体" w:cs="Arial"/>
                <w:bCs/>
                <w:sz w:val="24"/>
              </w:rPr>
            </w:pPr>
          </w:p>
          <w:p>
            <w:pPr>
              <w:pStyle w:val="35"/>
              <w:widowControl/>
              <w:spacing w:line="360" w:lineRule="auto"/>
              <w:jc w:val="left"/>
              <w:rPr>
                <w:rFonts w:ascii="宋体" w:hAnsi="宋体" w:cs="Arial"/>
                <w:bCs/>
                <w:sz w:val="24"/>
              </w:rPr>
            </w:pPr>
          </w:p>
          <w:p>
            <w:pPr>
              <w:pStyle w:val="35"/>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5"/>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5"/>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5"/>
              <w:widowControl/>
              <w:spacing w:line="360" w:lineRule="auto"/>
              <w:jc w:val="left"/>
              <w:rPr>
                <w:rFonts w:ascii="宋体" w:hAnsi="宋体" w:cs="Arial"/>
                <w:bCs/>
                <w:i/>
                <w:sz w:val="24"/>
              </w:rPr>
            </w:pPr>
          </w:p>
          <w:p>
            <w:pPr>
              <w:pStyle w:val="35"/>
              <w:widowControl/>
              <w:spacing w:line="360" w:lineRule="auto"/>
              <w:jc w:val="left"/>
              <w:rPr>
                <w:rFonts w:ascii="宋体" w:hAnsi="宋体" w:cs="Arial"/>
                <w:bCs/>
                <w:i/>
                <w:sz w:val="24"/>
              </w:rPr>
            </w:pPr>
          </w:p>
        </w:tc>
        <w:tc>
          <w:tcPr>
            <w:tcW w:w="1373" w:type="dxa"/>
          </w:tcPr>
          <w:p>
            <w:pPr>
              <w:pStyle w:val="35"/>
              <w:widowControl/>
              <w:spacing w:line="360" w:lineRule="auto"/>
              <w:jc w:val="left"/>
              <w:rPr>
                <w:rFonts w:ascii="宋体" w:hAnsi="宋体" w:cs="Arial"/>
                <w:bCs/>
                <w:i/>
                <w:sz w:val="24"/>
              </w:rPr>
            </w:pPr>
          </w:p>
          <w:p>
            <w:pPr>
              <w:pStyle w:val="35"/>
              <w:widowControl/>
              <w:spacing w:line="360" w:lineRule="auto"/>
              <w:jc w:val="left"/>
              <w:rPr>
                <w:rFonts w:ascii="宋体" w:hAnsi="宋体" w:cs="Arial"/>
                <w:bCs/>
                <w:i/>
                <w:sz w:val="24"/>
              </w:rPr>
            </w:pPr>
          </w:p>
          <w:p>
            <w:pPr>
              <w:pStyle w:val="35"/>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5"/>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5"/>
              <w:widowControl/>
              <w:spacing w:line="360" w:lineRule="auto"/>
              <w:jc w:val="left"/>
              <w:rPr>
                <w:rFonts w:ascii="宋体" w:hAnsi="宋体" w:cs="Arial"/>
                <w:bCs/>
                <w:sz w:val="24"/>
              </w:rPr>
            </w:pPr>
            <w:r>
              <w:rPr>
                <w:rFonts w:ascii="宋体" w:hAnsi="宋体" w:cs="Arial"/>
                <w:bCs/>
                <w:sz w:val="24"/>
              </w:rPr>
              <w:t>……</w:t>
            </w:r>
          </w:p>
        </w:tc>
        <w:tc>
          <w:tcPr>
            <w:tcW w:w="4061" w:type="dxa"/>
          </w:tcPr>
          <w:p>
            <w:pPr>
              <w:pStyle w:val="35"/>
              <w:widowControl/>
              <w:spacing w:line="360" w:lineRule="auto"/>
              <w:jc w:val="left"/>
              <w:rPr>
                <w:rFonts w:ascii="宋体" w:hAnsi="宋体" w:cs="Arial"/>
                <w:bCs/>
                <w:sz w:val="24"/>
              </w:rPr>
            </w:pPr>
          </w:p>
        </w:tc>
        <w:tc>
          <w:tcPr>
            <w:tcW w:w="1373" w:type="dxa"/>
          </w:tcPr>
          <w:p>
            <w:pPr>
              <w:pStyle w:val="35"/>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7"/>
        <w:rPr>
          <w:rFonts w:ascii="宋体" w:hAnsi="宋体"/>
          <w:sz w:val="24"/>
          <w:u w:val="single"/>
        </w:rPr>
      </w:pPr>
    </w:p>
    <w:p>
      <w:pPr>
        <w:pStyle w:val="7"/>
        <w:rPr>
          <w:rFonts w:ascii="宋体" w:hAnsi="宋体"/>
          <w:sz w:val="24"/>
          <w:u w:val="single"/>
        </w:rPr>
      </w:pPr>
    </w:p>
    <w:p>
      <w:pPr>
        <w:pStyle w:val="7"/>
        <w:rPr>
          <w:rFonts w:ascii="宋体" w:hAnsi="宋体"/>
          <w:sz w:val="24"/>
          <w:u w:val="single"/>
        </w:rPr>
      </w:pPr>
    </w:p>
    <w:p>
      <w:pPr>
        <w:pStyle w:val="7"/>
        <w:rPr>
          <w:rFonts w:ascii="宋体" w:hAnsi="宋体"/>
          <w:sz w:val="24"/>
          <w:u w:val="single"/>
        </w:rPr>
      </w:pPr>
    </w:p>
    <w:p>
      <w:pPr>
        <w:pStyle w:val="36"/>
        <w:spacing w:line="360" w:lineRule="auto"/>
        <w:outlineLvl w:val="0"/>
        <w:rPr>
          <w:rFonts w:hAnsi="宋体"/>
          <w:b/>
          <w:sz w:val="28"/>
          <w:szCs w:val="28"/>
        </w:rPr>
      </w:pPr>
      <w:bookmarkStart w:id="92" w:name="_Toc10194"/>
    </w:p>
    <w:p>
      <w:pPr>
        <w:pStyle w:val="36"/>
        <w:spacing w:line="360" w:lineRule="auto"/>
        <w:outlineLvl w:val="0"/>
        <w:rPr>
          <w:rFonts w:hAnsi="宋体"/>
          <w:b/>
          <w:sz w:val="28"/>
          <w:szCs w:val="28"/>
        </w:rPr>
      </w:pPr>
    </w:p>
    <w:p>
      <w:pPr>
        <w:pStyle w:val="36"/>
        <w:spacing w:line="360" w:lineRule="auto"/>
        <w:outlineLvl w:val="0"/>
        <w:rPr>
          <w:rFonts w:ascii="宋体" w:hAnsi="宋体"/>
          <w:spacing w:val="40"/>
          <w:sz w:val="52"/>
          <w:szCs w:val="52"/>
        </w:rPr>
      </w:pPr>
      <w:r>
        <w:rPr>
          <w:rFonts w:hint="eastAsia" w:hAnsi="宋体"/>
          <w:b/>
          <w:sz w:val="28"/>
          <w:szCs w:val="28"/>
        </w:rPr>
        <w:t>附件14</w:t>
      </w:r>
      <w:bookmarkEnd w:id="92"/>
    </w:p>
    <w:p>
      <w:pPr>
        <w:jc w:val="center"/>
        <w:rPr>
          <w:b/>
          <w:bCs/>
          <w:sz w:val="32"/>
          <w:szCs w:val="32"/>
        </w:rPr>
      </w:pPr>
      <w:bookmarkStart w:id="93" w:name="_Toc29537_WPSOffice_Level1"/>
      <w:bookmarkStart w:id="94" w:name="_Toc19972_WPSOffice_Level1"/>
    </w:p>
    <w:p>
      <w:pPr>
        <w:jc w:val="center"/>
        <w:rPr>
          <w:b/>
          <w:bCs/>
          <w:sz w:val="32"/>
          <w:szCs w:val="32"/>
        </w:rPr>
      </w:pPr>
      <w:r>
        <w:rPr>
          <w:rFonts w:hint="eastAsia"/>
          <w:b/>
          <w:bCs/>
          <w:sz w:val="32"/>
          <w:szCs w:val="32"/>
        </w:rPr>
        <w:t>报价部分目录</w:t>
      </w:r>
      <w:bookmarkEnd w:id="93"/>
      <w:bookmarkEnd w:id="94"/>
    </w:p>
    <w:p>
      <w:pPr>
        <w:rPr>
          <w:sz w:val="28"/>
          <w:szCs w:val="28"/>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bookmarkStart w:id="95" w:name="_Toc29988_WPSOffice_Level1"/>
      <w:bookmarkStart w:id="96" w:name="_Toc6778_WPSOffice_Level1"/>
      <w:r>
        <w:rPr>
          <w:rFonts w:hint="eastAsia" w:asciiTheme="minorEastAsia" w:hAnsiTheme="minorEastAsia" w:eastAsiaTheme="minorEastAsia"/>
          <w:sz w:val="24"/>
        </w:rPr>
        <w:t>1、首次报价一览表（附件1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w:t>
      </w:r>
      <w:bookmarkEnd w:id="95"/>
      <w:bookmarkEnd w:id="96"/>
    </w:p>
    <w:p>
      <w:pPr>
        <w:spacing w:line="360" w:lineRule="auto"/>
        <w:ind w:firstLine="480" w:firstLineChars="200"/>
        <w:rPr>
          <w:rFonts w:asciiTheme="minorEastAsia" w:hAnsiTheme="minorEastAsia" w:eastAsiaTheme="minorEastAsia"/>
          <w:sz w:val="24"/>
        </w:rPr>
      </w:pPr>
      <w:bookmarkStart w:id="97" w:name="_Toc15601_WPSOffice_Level1"/>
      <w:bookmarkStart w:id="98" w:name="_Toc11601_WPSOffice_Level1"/>
      <w:r>
        <w:rPr>
          <w:rFonts w:hint="eastAsia" w:asciiTheme="minorEastAsia" w:hAnsiTheme="minorEastAsia" w:eastAsiaTheme="minorEastAsia"/>
          <w:sz w:val="24"/>
        </w:rPr>
        <w:t>2、报价明细表（附件1</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w:t>
      </w:r>
      <w:bookmarkEnd w:id="97"/>
      <w:bookmarkEnd w:id="98"/>
      <w:bookmarkStart w:id="99" w:name="_Toc3001_WPSOffice_Level1"/>
      <w:bookmarkStart w:id="100" w:name="_Toc14672_WPSOffice_Level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bookmarkEnd w:id="99"/>
      <w:bookmarkEnd w:id="100"/>
      <w:r>
        <w:rPr>
          <w:rFonts w:hint="eastAsia" w:asciiTheme="minorEastAsia" w:hAnsiTheme="minorEastAsia" w:eastAsiaTheme="minorEastAsia"/>
          <w:sz w:val="24"/>
        </w:rPr>
        <w:t>报价承诺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4、针对报价供应商认为其他需要说明的；</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26"/>
      </w:pPr>
    </w:p>
    <w:p>
      <w:pPr>
        <w:pStyle w:val="26"/>
      </w:pPr>
    </w:p>
    <w:p>
      <w:pPr>
        <w:pStyle w:val="26"/>
      </w:pPr>
    </w:p>
    <w:p>
      <w:pPr>
        <w:pStyle w:val="26"/>
      </w:pPr>
    </w:p>
    <w:p>
      <w:pPr>
        <w:pStyle w:val="26"/>
      </w:pPr>
    </w:p>
    <w:p>
      <w:pPr>
        <w:spacing w:line="360" w:lineRule="auto"/>
        <w:rPr>
          <w:rFonts w:ascii="宋体" w:hAnsi="宋体"/>
          <w:b/>
          <w:sz w:val="28"/>
        </w:rPr>
      </w:pPr>
    </w:p>
    <w:p>
      <w:pPr>
        <w:pStyle w:val="5"/>
      </w:pPr>
    </w:p>
    <w:p>
      <w:pPr>
        <w:spacing w:line="360" w:lineRule="auto"/>
        <w:outlineLvl w:val="0"/>
        <w:rPr>
          <w:rFonts w:ascii="宋体" w:hAnsi="宋体"/>
          <w:b/>
          <w:sz w:val="28"/>
        </w:rPr>
      </w:pPr>
      <w:bookmarkStart w:id="101" w:name="_Toc13512"/>
      <w:r>
        <w:rPr>
          <w:rFonts w:hint="eastAsia" w:ascii="宋体" w:hAnsi="宋体"/>
          <w:b/>
          <w:sz w:val="28"/>
        </w:rPr>
        <w:t>附件1</w:t>
      </w:r>
      <w:bookmarkEnd w:id="101"/>
      <w:r>
        <w:rPr>
          <w:rFonts w:hint="eastAsia" w:ascii="宋体" w:hAnsi="宋体"/>
          <w:b/>
          <w:sz w:val="28"/>
          <w:lang w:val="en-US" w:eastAsia="zh-CN"/>
        </w:rPr>
        <w:t>5</w:t>
      </w:r>
    </w:p>
    <w:p>
      <w:pPr>
        <w:spacing w:line="360" w:lineRule="auto"/>
        <w:ind w:left="-2" w:hanging="2"/>
        <w:jc w:val="center"/>
        <w:rPr>
          <w:rFonts w:ascii="宋体" w:hAnsi="宋体"/>
          <w:b/>
          <w:sz w:val="32"/>
          <w:szCs w:val="32"/>
        </w:rPr>
      </w:pPr>
      <w:bookmarkStart w:id="102" w:name="_Toc16144_WPSOffice_Level1"/>
      <w:bookmarkStart w:id="103" w:name="_Toc30363_WPSOffice_Level1"/>
      <w:r>
        <w:rPr>
          <w:rFonts w:hint="eastAsia" w:ascii="宋体" w:hAnsi="宋体"/>
          <w:b/>
          <w:sz w:val="32"/>
          <w:szCs w:val="32"/>
        </w:rPr>
        <w:t xml:space="preserve">首次报价一览表 </w:t>
      </w:r>
      <w:bookmarkEnd w:id="102"/>
      <w:bookmarkEnd w:id="103"/>
    </w:p>
    <w:p>
      <w:pPr>
        <w:pStyle w:val="8"/>
        <w:spacing w:line="320" w:lineRule="exact"/>
        <w:ind w:firstLine="241" w:firstLineChars="100"/>
        <w:rPr>
          <w:rFonts w:hAnsi="宋体"/>
          <w:b/>
          <w:sz w:val="24"/>
        </w:rPr>
      </w:pPr>
      <w:r>
        <w:rPr>
          <w:rFonts w:hAnsi="宋体"/>
          <w:b/>
          <w:sz w:val="24"/>
        </w:rPr>
        <w:t>项目编号：</w:t>
      </w:r>
    </w:p>
    <w:p>
      <w:pPr>
        <w:pStyle w:val="39"/>
        <w:spacing w:line="360" w:lineRule="auto"/>
        <w:ind w:right="480" w:firstLine="241" w:firstLineChars="1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4"/>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磋商总报价(元)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left="420"/>
        <w:rPr>
          <w:rFonts w:hint="eastAsia" w:ascii="宋体" w:hAnsi="宋体"/>
          <w:sz w:val="24"/>
        </w:rPr>
      </w:pPr>
      <w:r>
        <w:rPr>
          <w:rFonts w:hint="eastAsia" w:ascii="宋体" w:hAnsi="宋体"/>
          <w:sz w:val="24"/>
        </w:rPr>
        <w:t>磋</w:t>
      </w:r>
      <w:r>
        <w:rPr>
          <w:rFonts w:hint="eastAsia" w:ascii="宋体" w:hAnsi="宋体"/>
          <w:sz w:val="24"/>
        </w:rPr>
        <w:t>商总报价是包括货款、所需辅材费用、备品备件、专用工具、包装、运输、装卸、保险、税金、货到就位以及安装、调试、培训、维护、保修、合同包含的所有风险责任等各项费用及不可预见费等所需的全部费用。</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napToGrid w:val="0"/>
        <w:spacing w:before="120" w:beforeLines="50" w:after="50" w:line="360" w:lineRule="auto"/>
        <w:outlineLvl w:val="0"/>
        <w:rPr>
          <w:rFonts w:ascii="宋体" w:hAnsi="宋体"/>
          <w:b/>
          <w:sz w:val="28"/>
        </w:rPr>
      </w:pPr>
    </w:p>
    <w:p>
      <w:pPr>
        <w:snapToGrid w:val="0"/>
        <w:spacing w:before="120" w:beforeLines="50" w:after="50" w:line="360" w:lineRule="auto"/>
        <w:outlineLvl w:val="0"/>
        <w:rPr>
          <w:rFonts w:ascii="宋体" w:hAnsi="宋体"/>
          <w:b/>
          <w:color w:val="000000" w:themeColor="text1"/>
          <w:sz w:val="28"/>
          <w:szCs w:val="28"/>
          <w14:textFill>
            <w14:solidFill>
              <w14:schemeClr w14:val="tx1"/>
            </w14:solidFill>
          </w14:textFill>
        </w:rPr>
      </w:pPr>
      <w:bookmarkStart w:id="104" w:name="_Toc8975_WPSOffice_Level1"/>
      <w:bookmarkStart w:id="105" w:name="_Toc22412_WPSOffice_Level1"/>
      <w:r>
        <w:rPr>
          <w:rFonts w:hint="eastAsia" w:ascii="宋体" w:hAnsi="宋体"/>
          <w:b/>
          <w:color w:val="000000" w:themeColor="text1"/>
          <w:sz w:val="28"/>
          <w14:textFill>
            <w14:solidFill>
              <w14:schemeClr w14:val="tx1"/>
            </w14:solidFill>
          </w14:textFill>
        </w:rPr>
        <w:t>附件1</w:t>
      </w:r>
      <w:r>
        <w:rPr>
          <w:rFonts w:hint="eastAsia" w:ascii="宋体" w:hAnsi="宋体"/>
          <w:b/>
          <w:color w:val="000000" w:themeColor="text1"/>
          <w:sz w:val="28"/>
          <w:lang w:val="en-US" w:eastAsia="zh-CN"/>
          <w14:textFill>
            <w14:solidFill>
              <w14:schemeClr w14:val="tx1"/>
            </w14:solidFill>
          </w14:textFill>
        </w:rPr>
        <w:t>6</w:t>
      </w:r>
    </w:p>
    <w:p>
      <w:pPr>
        <w:spacing w:line="360" w:lineRule="auto"/>
        <w:jc w:val="left"/>
        <w:rPr>
          <w:rFonts w:ascii="宋体" w:hAnsi="宋体"/>
          <w:b/>
          <w:sz w:val="32"/>
          <w:szCs w:val="32"/>
        </w:rPr>
      </w:pPr>
    </w:p>
    <w:p>
      <w:pPr>
        <w:spacing w:line="360" w:lineRule="auto"/>
        <w:ind w:left="480"/>
        <w:jc w:val="center"/>
        <w:rPr>
          <w:rFonts w:ascii="宋体" w:hAnsi="宋体"/>
        </w:rPr>
      </w:pPr>
      <w:r>
        <w:rPr>
          <w:rFonts w:hint="eastAsia" w:ascii="宋体" w:hAnsi="宋体"/>
          <w:b/>
          <w:sz w:val="32"/>
          <w:szCs w:val="32"/>
        </w:rPr>
        <w:t>报价明细表 (第 标)</w:t>
      </w:r>
      <w:bookmarkEnd w:id="104"/>
      <w:bookmarkEnd w:id="105"/>
    </w:p>
    <w:p>
      <w:pPr>
        <w:spacing w:line="360" w:lineRule="auto"/>
        <w:rPr>
          <w:rFonts w:ascii="宋体" w:hAnsi="宋体"/>
          <w:sz w:val="24"/>
        </w:rPr>
      </w:pPr>
      <w:r>
        <w:rPr>
          <w:rFonts w:hint="eastAsia" w:ascii="宋体" w:hAnsi="宋体"/>
          <w:sz w:val="24"/>
        </w:rPr>
        <w:t xml:space="preserve">  项目编号：                                    [货币单位：人民币元]</w:t>
      </w:r>
    </w:p>
    <w:tbl>
      <w:tblPr>
        <w:tblStyle w:val="24"/>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60"/>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jc w:val="center"/>
        </w:trPr>
        <w:tc>
          <w:tcPr>
            <w:tcW w:w="660" w:type="dxa"/>
            <w:vAlign w:val="center"/>
          </w:tcPr>
          <w:p>
            <w:pPr>
              <w:snapToGrid w:val="0"/>
              <w:spacing w:after="160"/>
              <w:rPr>
                <w:rFonts w:ascii="宋体" w:hAnsi="宋体"/>
                <w:b/>
                <w:sz w:val="24"/>
              </w:rPr>
            </w:pPr>
            <w:r>
              <w:rPr>
                <w:rFonts w:hint="eastAsia" w:ascii="宋体" w:hAnsi="宋体"/>
                <w:b/>
                <w:sz w:val="24"/>
              </w:rPr>
              <w:t>序号</w:t>
            </w:r>
          </w:p>
        </w:tc>
        <w:tc>
          <w:tcPr>
            <w:tcW w:w="1360" w:type="dxa"/>
            <w:vAlign w:val="center"/>
          </w:tcPr>
          <w:p>
            <w:pPr>
              <w:tabs>
                <w:tab w:val="left" w:pos="8280"/>
              </w:tabs>
              <w:autoSpaceDE w:val="0"/>
              <w:autoSpaceDN w:val="0"/>
              <w:adjustRightInd w:val="0"/>
              <w:snapToGrid w:val="0"/>
              <w:spacing w:after="160"/>
              <w:ind w:right="25"/>
              <w:rPr>
                <w:rFonts w:ascii="宋体" w:hAnsi="宋体"/>
                <w:b/>
                <w:sz w:val="24"/>
              </w:rPr>
            </w:pPr>
            <w:r>
              <w:rPr>
                <w:rFonts w:hint="eastAsia" w:ascii="宋体" w:hAnsi="宋体"/>
                <w:b/>
                <w:sz w:val="24"/>
              </w:rPr>
              <w:t>报价项目</w:t>
            </w:r>
          </w:p>
        </w:tc>
        <w:tc>
          <w:tcPr>
            <w:tcW w:w="1034" w:type="dxa"/>
            <w:vAlign w:val="center"/>
          </w:tcPr>
          <w:p>
            <w:pPr>
              <w:tabs>
                <w:tab w:val="left" w:pos="8280"/>
              </w:tabs>
              <w:autoSpaceDE w:val="0"/>
              <w:autoSpaceDN w:val="0"/>
              <w:adjustRightInd w:val="0"/>
              <w:snapToGrid w:val="0"/>
              <w:spacing w:after="160"/>
              <w:ind w:right="25"/>
              <w:jc w:val="center"/>
              <w:rPr>
                <w:rFonts w:ascii="宋体" w:hAnsi="宋体"/>
                <w:b/>
                <w:sz w:val="24"/>
              </w:rPr>
            </w:pPr>
            <w:r>
              <w:rPr>
                <w:rFonts w:hint="eastAsia" w:ascii="宋体" w:hAnsi="宋体"/>
                <w:b/>
                <w:sz w:val="24"/>
              </w:rPr>
              <w:t>品牌、产地</w:t>
            </w:r>
          </w:p>
        </w:tc>
        <w:tc>
          <w:tcPr>
            <w:tcW w:w="1260" w:type="dxa"/>
            <w:vAlign w:val="center"/>
          </w:tcPr>
          <w:p>
            <w:pPr>
              <w:snapToGrid w:val="0"/>
              <w:spacing w:after="160"/>
              <w:ind w:left="52"/>
              <w:jc w:val="center"/>
              <w:rPr>
                <w:rFonts w:ascii="宋体" w:hAnsi="宋体"/>
                <w:b/>
                <w:sz w:val="24"/>
              </w:rPr>
            </w:pPr>
            <w:r>
              <w:rPr>
                <w:rFonts w:hint="eastAsia" w:ascii="宋体" w:hAnsi="宋体"/>
                <w:b/>
                <w:sz w:val="24"/>
              </w:rPr>
              <w:t>型号规格</w:t>
            </w:r>
          </w:p>
        </w:tc>
        <w:tc>
          <w:tcPr>
            <w:tcW w:w="1036" w:type="dxa"/>
            <w:vAlign w:val="center"/>
          </w:tcPr>
          <w:p>
            <w:pPr>
              <w:tabs>
                <w:tab w:val="left" w:pos="8280"/>
              </w:tabs>
              <w:autoSpaceDE w:val="0"/>
              <w:autoSpaceDN w:val="0"/>
              <w:adjustRightInd w:val="0"/>
              <w:snapToGrid w:val="0"/>
              <w:spacing w:after="160"/>
              <w:ind w:right="25"/>
              <w:jc w:val="center"/>
              <w:rPr>
                <w:rFonts w:ascii="宋体" w:hAnsi="宋体"/>
                <w:b/>
                <w:sz w:val="24"/>
              </w:rPr>
            </w:pPr>
            <w:r>
              <w:rPr>
                <w:rFonts w:hint="eastAsia" w:ascii="宋体" w:hAnsi="宋体"/>
                <w:b/>
                <w:sz w:val="24"/>
              </w:rPr>
              <w:t>制造商名称</w:t>
            </w:r>
          </w:p>
        </w:tc>
        <w:tc>
          <w:tcPr>
            <w:tcW w:w="1005" w:type="dxa"/>
            <w:vAlign w:val="center"/>
          </w:tcPr>
          <w:p>
            <w:pPr>
              <w:tabs>
                <w:tab w:val="left" w:pos="8280"/>
              </w:tabs>
              <w:autoSpaceDE w:val="0"/>
              <w:autoSpaceDN w:val="0"/>
              <w:adjustRightInd w:val="0"/>
              <w:snapToGrid w:val="0"/>
              <w:spacing w:after="160"/>
              <w:ind w:right="25"/>
              <w:jc w:val="center"/>
              <w:rPr>
                <w:rFonts w:ascii="宋体" w:hAnsi="宋体"/>
                <w:b/>
                <w:sz w:val="24"/>
              </w:rPr>
            </w:pPr>
            <w:r>
              <w:rPr>
                <w:rFonts w:hint="eastAsia" w:ascii="宋体" w:hAnsi="宋体"/>
                <w:b/>
                <w:sz w:val="24"/>
              </w:rPr>
              <w:t>是否是小微企业</w:t>
            </w:r>
          </w:p>
        </w:tc>
        <w:tc>
          <w:tcPr>
            <w:tcW w:w="851" w:type="dxa"/>
            <w:vAlign w:val="center"/>
          </w:tcPr>
          <w:p>
            <w:pPr>
              <w:snapToGrid w:val="0"/>
              <w:spacing w:after="160"/>
              <w:ind w:left="152"/>
              <w:jc w:val="center"/>
              <w:rPr>
                <w:rFonts w:ascii="宋体" w:hAnsi="宋体"/>
                <w:b/>
                <w:sz w:val="24"/>
              </w:rPr>
            </w:pPr>
            <w:r>
              <w:rPr>
                <w:rFonts w:hint="eastAsia" w:ascii="宋体" w:hAnsi="宋体"/>
                <w:b/>
                <w:sz w:val="24"/>
              </w:rPr>
              <w:t>数量</w:t>
            </w:r>
          </w:p>
        </w:tc>
        <w:tc>
          <w:tcPr>
            <w:tcW w:w="714" w:type="dxa"/>
            <w:vAlign w:val="center"/>
          </w:tcPr>
          <w:p>
            <w:pPr>
              <w:snapToGrid w:val="0"/>
              <w:spacing w:after="160"/>
              <w:jc w:val="center"/>
              <w:rPr>
                <w:rFonts w:ascii="宋体" w:hAnsi="宋体"/>
                <w:b/>
                <w:sz w:val="24"/>
              </w:rPr>
            </w:pPr>
            <w:r>
              <w:rPr>
                <w:rFonts w:hint="eastAsia" w:ascii="宋体" w:hAnsi="宋体"/>
                <w:b/>
                <w:sz w:val="24"/>
              </w:rPr>
              <w:t>单价</w:t>
            </w:r>
          </w:p>
        </w:tc>
        <w:tc>
          <w:tcPr>
            <w:tcW w:w="697" w:type="dxa"/>
            <w:vAlign w:val="center"/>
          </w:tcPr>
          <w:p>
            <w:pPr>
              <w:snapToGrid w:val="0"/>
              <w:spacing w:after="160"/>
              <w:jc w:val="center"/>
              <w:rPr>
                <w:rFonts w:ascii="宋体" w:hAnsi="宋体"/>
                <w:b/>
                <w:sz w:val="24"/>
              </w:rPr>
            </w:pPr>
            <w:r>
              <w:rPr>
                <w:rFonts w:hint="eastAsia" w:ascii="宋体" w:hAnsi="宋体"/>
                <w:b/>
                <w:sz w:val="24"/>
              </w:rPr>
              <w:t>小计</w:t>
            </w:r>
          </w:p>
        </w:tc>
        <w:tc>
          <w:tcPr>
            <w:tcW w:w="709" w:type="dxa"/>
            <w:vAlign w:val="center"/>
          </w:tcPr>
          <w:p>
            <w:pPr>
              <w:snapToGrid w:val="0"/>
              <w:spacing w:after="16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0" w:type="dxa"/>
            <w:vAlign w:val="center"/>
          </w:tcPr>
          <w:p>
            <w:pPr>
              <w:snapToGrid w:val="0"/>
              <w:spacing w:after="160"/>
              <w:rPr>
                <w:rFonts w:ascii="宋体" w:hAnsi="宋体"/>
                <w:sz w:val="24"/>
              </w:rPr>
            </w:pPr>
          </w:p>
        </w:tc>
        <w:tc>
          <w:tcPr>
            <w:tcW w:w="1360" w:type="dxa"/>
            <w:vAlign w:val="center"/>
          </w:tcPr>
          <w:p>
            <w:pPr>
              <w:snapToGrid w:val="0"/>
              <w:spacing w:after="160"/>
              <w:rPr>
                <w:rFonts w:ascii="宋体" w:hAnsi="宋体"/>
                <w:sz w:val="24"/>
              </w:rPr>
            </w:pPr>
          </w:p>
        </w:tc>
        <w:tc>
          <w:tcPr>
            <w:tcW w:w="1034" w:type="dxa"/>
            <w:vAlign w:val="center"/>
          </w:tcPr>
          <w:p>
            <w:pPr>
              <w:snapToGrid w:val="0"/>
              <w:spacing w:after="160"/>
              <w:rPr>
                <w:rFonts w:ascii="宋体" w:hAnsi="宋体"/>
                <w:sz w:val="24"/>
              </w:rPr>
            </w:pPr>
          </w:p>
        </w:tc>
        <w:tc>
          <w:tcPr>
            <w:tcW w:w="1260" w:type="dxa"/>
            <w:vAlign w:val="center"/>
          </w:tcPr>
          <w:p>
            <w:pPr>
              <w:snapToGrid w:val="0"/>
              <w:spacing w:after="160"/>
              <w:rPr>
                <w:rFonts w:ascii="宋体" w:hAnsi="宋体"/>
                <w:sz w:val="24"/>
              </w:rPr>
            </w:pPr>
          </w:p>
        </w:tc>
        <w:tc>
          <w:tcPr>
            <w:tcW w:w="1036" w:type="dxa"/>
            <w:vAlign w:val="center"/>
          </w:tcPr>
          <w:p>
            <w:pPr>
              <w:snapToGrid w:val="0"/>
              <w:spacing w:after="160"/>
              <w:rPr>
                <w:rFonts w:ascii="宋体" w:hAnsi="宋体"/>
                <w:sz w:val="24"/>
              </w:rPr>
            </w:pPr>
          </w:p>
        </w:tc>
        <w:tc>
          <w:tcPr>
            <w:tcW w:w="1005" w:type="dxa"/>
            <w:vAlign w:val="center"/>
          </w:tcPr>
          <w:p>
            <w:pPr>
              <w:snapToGrid w:val="0"/>
              <w:spacing w:after="160"/>
              <w:rPr>
                <w:rFonts w:ascii="宋体" w:hAnsi="宋体"/>
                <w:sz w:val="24"/>
              </w:rPr>
            </w:pPr>
          </w:p>
        </w:tc>
        <w:tc>
          <w:tcPr>
            <w:tcW w:w="851" w:type="dxa"/>
            <w:vAlign w:val="center"/>
          </w:tcPr>
          <w:p>
            <w:pPr>
              <w:snapToGrid w:val="0"/>
              <w:spacing w:after="160"/>
              <w:rPr>
                <w:rFonts w:ascii="宋体" w:hAnsi="宋体"/>
                <w:sz w:val="24"/>
              </w:rPr>
            </w:pPr>
          </w:p>
        </w:tc>
        <w:tc>
          <w:tcPr>
            <w:tcW w:w="714" w:type="dxa"/>
            <w:vAlign w:val="center"/>
          </w:tcPr>
          <w:p>
            <w:pPr>
              <w:snapToGrid w:val="0"/>
              <w:spacing w:after="160"/>
              <w:rPr>
                <w:rFonts w:ascii="宋体" w:hAnsi="宋体"/>
                <w:sz w:val="24"/>
              </w:rPr>
            </w:pPr>
          </w:p>
        </w:tc>
        <w:tc>
          <w:tcPr>
            <w:tcW w:w="697" w:type="dxa"/>
            <w:vAlign w:val="center"/>
          </w:tcPr>
          <w:p>
            <w:pPr>
              <w:snapToGrid w:val="0"/>
              <w:spacing w:after="160"/>
              <w:rPr>
                <w:rFonts w:ascii="宋体" w:hAnsi="宋体"/>
                <w:sz w:val="24"/>
              </w:rPr>
            </w:pPr>
          </w:p>
        </w:tc>
        <w:tc>
          <w:tcPr>
            <w:tcW w:w="709" w:type="dxa"/>
            <w:vAlign w:val="center"/>
          </w:tcPr>
          <w:p>
            <w:pPr>
              <w:snapToGrid w:val="0"/>
              <w:spacing w:after="1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60" w:type="dxa"/>
            <w:vAlign w:val="center"/>
          </w:tcPr>
          <w:p>
            <w:pPr>
              <w:snapToGrid w:val="0"/>
              <w:spacing w:after="160"/>
              <w:rPr>
                <w:rFonts w:ascii="宋体" w:hAnsi="宋体"/>
                <w:sz w:val="24"/>
              </w:rPr>
            </w:pPr>
          </w:p>
        </w:tc>
        <w:tc>
          <w:tcPr>
            <w:tcW w:w="1360" w:type="dxa"/>
            <w:vAlign w:val="center"/>
          </w:tcPr>
          <w:p>
            <w:pPr>
              <w:snapToGrid w:val="0"/>
              <w:spacing w:after="160"/>
              <w:rPr>
                <w:rFonts w:ascii="宋体" w:hAnsi="宋体"/>
                <w:sz w:val="24"/>
              </w:rPr>
            </w:pPr>
          </w:p>
        </w:tc>
        <w:tc>
          <w:tcPr>
            <w:tcW w:w="1034" w:type="dxa"/>
            <w:vAlign w:val="center"/>
          </w:tcPr>
          <w:p>
            <w:pPr>
              <w:snapToGrid w:val="0"/>
              <w:spacing w:after="160"/>
              <w:rPr>
                <w:rFonts w:ascii="宋体" w:hAnsi="宋体"/>
                <w:sz w:val="24"/>
              </w:rPr>
            </w:pPr>
          </w:p>
        </w:tc>
        <w:tc>
          <w:tcPr>
            <w:tcW w:w="1260" w:type="dxa"/>
            <w:vAlign w:val="center"/>
          </w:tcPr>
          <w:p>
            <w:pPr>
              <w:snapToGrid w:val="0"/>
              <w:spacing w:after="160"/>
              <w:rPr>
                <w:rFonts w:ascii="宋体" w:hAnsi="宋体"/>
                <w:sz w:val="24"/>
              </w:rPr>
            </w:pPr>
          </w:p>
        </w:tc>
        <w:tc>
          <w:tcPr>
            <w:tcW w:w="1036" w:type="dxa"/>
            <w:vAlign w:val="center"/>
          </w:tcPr>
          <w:p>
            <w:pPr>
              <w:snapToGrid w:val="0"/>
              <w:spacing w:after="160"/>
              <w:rPr>
                <w:rFonts w:ascii="宋体" w:hAnsi="宋体"/>
                <w:sz w:val="24"/>
              </w:rPr>
            </w:pPr>
          </w:p>
        </w:tc>
        <w:tc>
          <w:tcPr>
            <w:tcW w:w="1005" w:type="dxa"/>
            <w:vAlign w:val="center"/>
          </w:tcPr>
          <w:p>
            <w:pPr>
              <w:snapToGrid w:val="0"/>
              <w:spacing w:after="160"/>
              <w:rPr>
                <w:rFonts w:ascii="宋体" w:hAnsi="宋体"/>
                <w:sz w:val="24"/>
              </w:rPr>
            </w:pPr>
          </w:p>
        </w:tc>
        <w:tc>
          <w:tcPr>
            <w:tcW w:w="851" w:type="dxa"/>
            <w:vAlign w:val="center"/>
          </w:tcPr>
          <w:p>
            <w:pPr>
              <w:snapToGrid w:val="0"/>
              <w:spacing w:after="160"/>
              <w:rPr>
                <w:rFonts w:ascii="宋体" w:hAnsi="宋体"/>
                <w:sz w:val="24"/>
              </w:rPr>
            </w:pPr>
          </w:p>
        </w:tc>
        <w:tc>
          <w:tcPr>
            <w:tcW w:w="714" w:type="dxa"/>
            <w:vAlign w:val="center"/>
          </w:tcPr>
          <w:p>
            <w:pPr>
              <w:snapToGrid w:val="0"/>
              <w:spacing w:after="160"/>
              <w:rPr>
                <w:rFonts w:ascii="宋体" w:hAnsi="宋体"/>
                <w:sz w:val="24"/>
              </w:rPr>
            </w:pPr>
          </w:p>
        </w:tc>
        <w:tc>
          <w:tcPr>
            <w:tcW w:w="697" w:type="dxa"/>
            <w:vAlign w:val="center"/>
          </w:tcPr>
          <w:p>
            <w:pPr>
              <w:snapToGrid w:val="0"/>
              <w:spacing w:after="160"/>
              <w:rPr>
                <w:rFonts w:ascii="宋体" w:hAnsi="宋体"/>
                <w:sz w:val="24"/>
              </w:rPr>
            </w:pPr>
          </w:p>
        </w:tc>
        <w:tc>
          <w:tcPr>
            <w:tcW w:w="709" w:type="dxa"/>
            <w:vAlign w:val="center"/>
          </w:tcPr>
          <w:p>
            <w:pPr>
              <w:snapToGrid w:val="0"/>
              <w:spacing w:after="1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60" w:type="dxa"/>
            <w:vAlign w:val="center"/>
          </w:tcPr>
          <w:p>
            <w:pPr>
              <w:snapToGrid w:val="0"/>
              <w:spacing w:after="160"/>
              <w:rPr>
                <w:rFonts w:ascii="宋体" w:hAnsi="宋体"/>
                <w:sz w:val="24"/>
              </w:rPr>
            </w:pPr>
          </w:p>
        </w:tc>
        <w:tc>
          <w:tcPr>
            <w:tcW w:w="1360" w:type="dxa"/>
            <w:vAlign w:val="center"/>
          </w:tcPr>
          <w:p>
            <w:pPr>
              <w:snapToGrid w:val="0"/>
              <w:spacing w:after="160"/>
              <w:rPr>
                <w:rFonts w:ascii="宋体" w:hAnsi="宋体"/>
                <w:sz w:val="24"/>
              </w:rPr>
            </w:pPr>
          </w:p>
        </w:tc>
        <w:tc>
          <w:tcPr>
            <w:tcW w:w="1034" w:type="dxa"/>
            <w:vAlign w:val="center"/>
          </w:tcPr>
          <w:p>
            <w:pPr>
              <w:snapToGrid w:val="0"/>
              <w:spacing w:after="160"/>
              <w:rPr>
                <w:rFonts w:ascii="宋体" w:hAnsi="宋体"/>
                <w:sz w:val="24"/>
              </w:rPr>
            </w:pPr>
          </w:p>
        </w:tc>
        <w:tc>
          <w:tcPr>
            <w:tcW w:w="1260" w:type="dxa"/>
            <w:vAlign w:val="center"/>
          </w:tcPr>
          <w:p>
            <w:pPr>
              <w:snapToGrid w:val="0"/>
              <w:spacing w:after="160"/>
              <w:rPr>
                <w:rFonts w:ascii="宋体" w:hAnsi="宋体"/>
                <w:sz w:val="24"/>
              </w:rPr>
            </w:pPr>
          </w:p>
        </w:tc>
        <w:tc>
          <w:tcPr>
            <w:tcW w:w="1036" w:type="dxa"/>
            <w:vAlign w:val="center"/>
          </w:tcPr>
          <w:p>
            <w:pPr>
              <w:snapToGrid w:val="0"/>
              <w:spacing w:after="160"/>
              <w:rPr>
                <w:rFonts w:ascii="宋体" w:hAnsi="宋体"/>
                <w:sz w:val="24"/>
              </w:rPr>
            </w:pPr>
          </w:p>
        </w:tc>
        <w:tc>
          <w:tcPr>
            <w:tcW w:w="1005" w:type="dxa"/>
            <w:vAlign w:val="center"/>
          </w:tcPr>
          <w:p>
            <w:pPr>
              <w:snapToGrid w:val="0"/>
              <w:spacing w:after="160"/>
              <w:rPr>
                <w:rFonts w:ascii="宋体" w:hAnsi="宋体"/>
                <w:sz w:val="24"/>
              </w:rPr>
            </w:pPr>
          </w:p>
        </w:tc>
        <w:tc>
          <w:tcPr>
            <w:tcW w:w="851" w:type="dxa"/>
            <w:vAlign w:val="center"/>
          </w:tcPr>
          <w:p>
            <w:pPr>
              <w:snapToGrid w:val="0"/>
              <w:spacing w:after="160"/>
              <w:rPr>
                <w:rFonts w:ascii="宋体" w:hAnsi="宋体"/>
                <w:sz w:val="24"/>
              </w:rPr>
            </w:pPr>
          </w:p>
        </w:tc>
        <w:tc>
          <w:tcPr>
            <w:tcW w:w="714" w:type="dxa"/>
            <w:vAlign w:val="center"/>
          </w:tcPr>
          <w:p>
            <w:pPr>
              <w:snapToGrid w:val="0"/>
              <w:spacing w:after="160"/>
              <w:rPr>
                <w:rFonts w:ascii="宋体" w:hAnsi="宋体"/>
                <w:sz w:val="24"/>
              </w:rPr>
            </w:pPr>
          </w:p>
        </w:tc>
        <w:tc>
          <w:tcPr>
            <w:tcW w:w="697" w:type="dxa"/>
            <w:vAlign w:val="center"/>
          </w:tcPr>
          <w:p>
            <w:pPr>
              <w:snapToGrid w:val="0"/>
              <w:spacing w:after="160"/>
              <w:rPr>
                <w:rFonts w:ascii="宋体" w:hAnsi="宋体"/>
                <w:sz w:val="24"/>
              </w:rPr>
            </w:pPr>
          </w:p>
        </w:tc>
        <w:tc>
          <w:tcPr>
            <w:tcW w:w="709" w:type="dxa"/>
            <w:vAlign w:val="center"/>
          </w:tcPr>
          <w:p>
            <w:pPr>
              <w:snapToGrid w:val="0"/>
              <w:spacing w:after="1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660" w:type="dxa"/>
            <w:vAlign w:val="center"/>
          </w:tcPr>
          <w:p>
            <w:pPr>
              <w:snapToGrid w:val="0"/>
              <w:spacing w:after="160"/>
              <w:rPr>
                <w:rFonts w:ascii="宋体" w:hAnsi="宋体"/>
                <w:sz w:val="24"/>
              </w:rPr>
            </w:pPr>
          </w:p>
        </w:tc>
        <w:tc>
          <w:tcPr>
            <w:tcW w:w="1360" w:type="dxa"/>
            <w:vAlign w:val="center"/>
          </w:tcPr>
          <w:p>
            <w:pPr>
              <w:snapToGrid w:val="0"/>
              <w:spacing w:after="160"/>
              <w:rPr>
                <w:rFonts w:ascii="宋体" w:hAnsi="宋体"/>
                <w:sz w:val="24"/>
              </w:rPr>
            </w:pPr>
          </w:p>
        </w:tc>
        <w:tc>
          <w:tcPr>
            <w:tcW w:w="1034" w:type="dxa"/>
            <w:vAlign w:val="center"/>
          </w:tcPr>
          <w:p>
            <w:pPr>
              <w:snapToGrid w:val="0"/>
              <w:spacing w:after="160"/>
              <w:rPr>
                <w:rFonts w:ascii="宋体" w:hAnsi="宋体"/>
                <w:sz w:val="24"/>
              </w:rPr>
            </w:pPr>
          </w:p>
        </w:tc>
        <w:tc>
          <w:tcPr>
            <w:tcW w:w="1260" w:type="dxa"/>
            <w:vAlign w:val="center"/>
          </w:tcPr>
          <w:p>
            <w:pPr>
              <w:snapToGrid w:val="0"/>
              <w:spacing w:after="160"/>
              <w:rPr>
                <w:rFonts w:ascii="宋体" w:hAnsi="宋体"/>
                <w:sz w:val="24"/>
              </w:rPr>
            </w:pPr>
          </w:p>
        </w:tc>
        <w:tc>
          <w:tcPr>
            <w:tcW w:w="1036" w:type="dxa"/>
            <w:vAlign w:val="center"/>
          </w:tcPr>
          <w:p>
            <w:pPr>
              <w:snapToGrid w:val="0"/>
              <w:spacing w:after="160"/>
              <w:rPr>
                <w:rFonts w:ascii="宋体" w:hAnsi="宋体"/>
                <w:sz w:val="24"/>
              </w:rPr>
            </w:pPr>
          </w:p>
        </w:tc>
        <w:tc>
          <w:tcPr>
            <w:tcW w:w="1005" w:type="dxa"/>
            <w:vAlign w:val="center"/>
          </w:tcPr>
          <w:p>
            <w:pPr>
              <w:snapToGrid w:val="0"/>
              <w:spacing w:after="160"/>
              <w:rPr>
                <w:rFonts w:ascii="宋体" w:hAnsi="宋体"/>
                <w:sz w:val="24"/>
              </w:rPr>
            </w:pPr>
          </w:p>
        </w:tc>
        <w:tc>
          <w:tcPr>
            <w:tcW w:w="851" w:type="dxa"/>
            <w:vAlign w:val="center"/>
          </w:tcPr>
          <w:p>
            <w:pPr>
              <w:snapToGrid w:val="0"/>
              <w:spacing w:after="160"/>
              <w:rPr>
                <w:rFonts w:ascii="宋体" w:hAnsi="宋体"/>
                <w:sz w:val="24"/>
              </w:rPr>
            </w:pPr>
          </w:p>
        </w:tc>
        <w:tc>
          <w:tcPr>
            <w:tcW w:w="714" w:type="dxa"/>
            <w:vAlign w:val="center"/>
          </w:tcPr>
          <w:p>
            <w:pPr>
              <w:snapToGrid w:val="0"/>
              <w:spacing w:after="160"/>
              <w:rPr>
                <w:rFonts w:ascii="宋体" w:hAnsi="宋体"/>
                <w:sz w:val="24"/>
              </w:rPr>
            </w:pPr>
          </w:p>
        </w:tc>
        <w:tc>
          <w:tcPr>
            <w:tcW w:w="697" w:type="dxa"/>
            <w:vAlign w:val="center"/>
          </w:tcPr>
          <w:p>
            <w:pPr>
              <w:snapToGrid w:val="0"/>
              <w:spacing w:after="160"/>
              <w:rPr>
                <w:rFonts w:ascii="宋体" w:hAnsi="宋体"/>
                <w:sz w:val="24"/>
              </w:rPr>
            </w:pPr>
          </w:p>
        </w:tc>
        <w:tc>
          <w:tcPr>
            <w:tcW w:w="709" w:type="dxa"/>
            <w:vAlign w:val="center"/>
          </w:tcPr>
          <w:p>
            <w:pPr>
              <w:snapToGrid w:val="0"/>
              <w:spacing w:after="1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660" w:type="dxa"/>
            <w:vAlign w:val="center"/>
          </w:tcPr>
          <w:p>
            <w:pPr>
              <w:snapToGrid w:val="0"/>
              <w:spacing w:after="160"/>
              <w:rPr>
                <w:rFonts w:ascii="宋体" w:hAnsi="宋体"/>
                <w:sz w:val="24"/>
              </w:rPr>
            </w:pPr>
          </w:p>
        </w:tc>
        <w:tc>
          <w:tcPr>
            <w:tcW w:w="1360" w:type="dxa"/>
            <w:vAlign w:val="center"/>
          </w:tcPr>
          <w:p>
            <w:pPr>
              <w:snapToGrid w:val="0"/>
              <w:spacing w:after="160"/>
              <w:rPr>
                <w:rFonts w:ascii="宋体" w:hAnsi="宋体"/>
                <w:sz w:val="24"/>
              </w:rPr>
            </w:pPr>
          </w:p>
        </w:tc>
        <w:tc>
          <w:tcPr>
            <w:tcW w:w="1034" w:type="dxa"/>
            <w:vAlign w:val="center"/>
          </w:tcPr>
          <w:p>
            <w:pPr>
              <w:snapToGrid w:val="0"/>
              <w:spacing w:after="160"/>
              <w:rPr>
                <w:rFonts w:ascii="宋体" w:hAnsi="宋体"/>
                <w:sz w:val="24"/>
              </w:rPr>
            </w:pPr>
          </w:p>
        </w:tc>
        <w:tc>
          <w:tcPr>
            <w:tcW w:w="1260" w:type="dxa"/>
            <w:vAlign w:val="center"/>
          </w:tcPr>
          <w:p>
            <w:pPr>
              <w:snapToGrid w:val="0"/>
              <w:spacing w:after="160"/>
              <w:rPr>
                <w:rFonts w:ascii="宋体" w:hAnsi="宋体"/>
                <w:sz w:val="24"/>
              </w:rPr>
            </w:pPr>
          </w:p>
        </w:tc>
        <w:tc>
          <w:tcPr>
            <w:tcW w:w="1036" w:type="dxa"/>
            <w:vAlign w:val="center"/>
          </w:tcPr>
          <w:p>
            <w:pPr>
              <w:snapToGrid w:val="0"/>
              <w:spacing w:after="160"/>
              <w:rPr>
                <w:rFonts w:ascii="宋体" w:hAnsi="宋体"/>
                <w:sz w:val="24"/>
              </w:rPr>
            </w:pPr>
          </w:p>
        </w:tc>
        <w:tc>
          <w:tcPr>
            <w:tcW w:w="1005" w:type="dxa"/>
            <w:vAlign w:val="center"/>
          </w:tcPr>
          <w:p>
            <w:pPr>
              <w:snapToGrid w:val="0"/>
              <w:spacing w:after="160"/>
              <w:rPr>
                <w:rFonts w:ascii="宋体" w:hAnsi="宋体"/>
                <w:sz w:val="24"/>
              </w:rPr>
            </w:pPr>
          </w:p>
        </w:tc>
        <w:tc>
          <w:tcPr>
            <w:tcW w:w="851" w:type="dxa"/>
            <w:vAlign w:val="center"/>
          </w:tcPr>
          <w:p>
            <w:pPr>
              <w:snapToGrid w:val="0"/>
              <w:spacing w:after="160"/>
              <w:rPr>
                <w:rFonts w:ascii="宋体" w:hAnsi="宋体"/>
                <w:sz w:val="24"/>
              </w:rPr>
            </w:pPr>
          </w:p>
        </w:tc>
        <w:tc>
          <w:tcPr>
            <w:tcW w:w="714" w:type="dxa"/>
            <w:vAlign w:val="center"/>
          </w:tcPr>
          <w:p>
            <w:pPr>
              <w:snapToGrid w:val="0"/>
              <w:spacing w:after="160"/>
              <w:rPr>
                <w:rFonts w:ascii="宋体" w:hAnsi="宋体"/>
                <w:sz w:val="24"/>
              </w:rPr>
            </w:pPr>
          </w:p>
        </w:tc>
        <w:tc>
          <w:tcPr>
            <w:tcW w:w="697" w:type="dxa"/>
            <w:vAlign w:val="center"/>
          </w:tcPr>
          <w:p>
            <w:pPr>
              <w:snapToGrid w:val="0"/>
              <w:spacing w:after="160"/>
              <w:rPr>
                <w:rFonts w:ascii="宋体" w:hAnsi="宋体"/>
                <w:sz w:val="24"/>
              </w:rPr>
            </w:pPr>
          </w:p>
        </w:tc>
        <w:tc>
          <w:tcPr>
            <w:tcW w:w="709" w:type="dxa"/>
            <w:vAlign w:val="center"/>
          </w:tcPr>
          <w:p>
            <w:pPr>
              <w:snapToGrid w:val="0"/>
              <w:spacing w:after="16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9326" w:type="dxa"/>
            <w:gridSpan w:val="10"/>
            <w:tcBorders>
              <w:bottom w:val="single" w:color="auto" w:sz="4" w:space="0"/>
            </w:tcBorders>
            <w:vAlign w:val="center"/>
          </w:tcPr>
          <w:p>
            <w:pPr>
              <w:snapToGrid w:val="0"/>
              <w:spacing w:after="160"/>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hAnsi="宋体" w:cs="宋体"/>
          <w:kern w:val="0"/>
          <w:sz w:val="24"/>
        </w:rPr>
      </w:pPr>
      <w:r>
        <w:rPr>
          <w:rFonts w:hint="eastAsia" w:ascii="宋体"/>
          <w:szCs w:val="21"/>
          <w:lang w:val="zh-CN"/>
        </w:rPr>
        <w:t>▲4. 本表中的型号规格必须明确，招标文件中明确要求定制的除外。</w:t>
      </w: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投标人代表签字或电子印章：</w:t>
      </w:r>
    </w:p>
    <w:p>
      <w:pPr>
        <w:spacing w:line="360" w:lineRule="auto"/>
        <w:ind w:firstLine="435"/>
        <w:rPr>
          <w:rFonts w:ascii="宋体" w:hAnsi="宋体"/>
          <w:sz w:val="24"/>
        </w:rPr>
      </w:pPr>
      <w:r>
        <w:rPr>
          <w:rFonts w:hint="eastAsia" w:ascii="宋体" w:hAnsi="宋体"/>
          <w:sz w:val="24"/>
        </w:rPr>
        <w:t>职        务：</w:t>
      </w:r>
    </w:p>
    <w:p>
      <w:pPr>
        <w:spacing w:line="360" w:lineRule="auto"/>
        <w:ind w:firstLine="435"/>
      </w:pPr>
      <w:r>
        <w:rPr>
          <w:rFonts w:hint="eastAsia" w:ascii="宋体" w:hAnsi="宋体"/>
          <w:sz w:val="24"/>
        </w:rPr>
        <w:t>日        期：</w:t>
      </w:r>
    </w:p>
    <w:p>
      <w:pPr>
        <w:pStyle w:val="7"/>
        <w:rPr>
          <w:rFonts w:ascii="宋体" w:hAnsi="宋体"/>
          <w:b/>
          <w:sz w:val="28"/>
        </w:rPr>
      </w:pPr>
    </w:p>
    <w:p>
      <w:pPr>
        <w:pStyle w:val="8"/>
        <w:rPr>
          <w:rFonts w:hAnsi="宋体"/>
          <w:b/>
          <w:sz w:val="28"/>
        </w:rPr>
      </w:pPr>
    </w:p>
    <w:p>
      <w:pPr>
        <w:pStyle w:val="9"/>
        <w:ind w:left="5250"/>
        <w:rPr>
          <w:rFonts w:ascii="宋体" w:hAnsi="宋体"/>
          <w:b/>
          <w:sz w:val="28"/>
        </w:rPr>
      </w:pPr>
    </w:p>
    <w:p>
      <w:pPr>
        <w:rPr>
          <w:rFonts w:ascii="宋体" w:hAnsi="宋体"/>
          <w:b/>
          <w:sz w:val="28"/>
        </w:rPr>
      </w:pPr>
    </w:p>
    <w:p>
      <w:pPr>
        <w:pStyle w:val="7"/>
      </w:pPr>
    </w:p>
    <w:p>
      <w:pPr>
        <w:snapToGrid w:val="0"/>
        <w:spacing w:before="120" w:beforeLines="50" w:after="50" w:line="360" w:lineRule="auto"/>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hint="eastAsia" w:ascii="宋体" w:hAnsi="宋体"/>
          <w:b/>
          <w:color w:val="000000" w:themeColor="text1"/>
          <w:sz w:val="28"/>
          <w:lang w:val="en-US" w:eastAsia="zh-CN"/>
          <w14:textFill>
            <w14:solidFill>
              <w14:schemeClr w14:val="tx1"/>
            </w14:solidFill>
          </w14:textFill>
        </w:rPr>
        <w:t>7</w:t>
      </w:r>
    </w:p>
    <w:p>
      <w:pPr>
        <w:pStyle w:val="7"/>
        <w:spacing w:line="360" w:lineRule="auto"/>
        <w:ind w:left="420" w:firstLine="643" w:firstLineChars="200"/>
        <w:jc w:val="center"/>
        <w:rPr>
          <w:rFonts w:ascii="宋体" w:hAnsi="宋体" w:cs="宋体"/>
          <w:b/>
          <w:color w:val="000000" w:themeColor="text1"/>
          <w:sz w:val="32"/>
          <w:szCs w:val="32"/>
          <w14:textFill>
            <w14:solidFill>
              <w14:schemeClr w14:val="tx1"/>
            </w14:solidFill>
          </w14:textFill>
        </w:rPr>
      </w:pPr>
      <w:bookmarkStart w:id="106" w:name="_Toc12654_WPSOffice_Level1"/>
      <w:bookmarkStart w:id="107" w:name="_Toc29357_WPSOffice_Level1"/>
      <w:r>
        <w:rPr>
          <w:rFonts w:hint="eastAsia" w:ascii="宋体" w:hAnsi="宋体" w:cs="宋体"/>
          <w:b/>
          <w:color w:val="000000" w:themeColor="text1"/>
          <w:sz w:val="32"/>
          <w:szCs w:val="32"/>
          <w14:textFill>
            <w14:solidFill>
              <w14:schemeClr w14:val="tx1"/>
            </w14:solidFill>
          </w14:textFill>
        </w:rPr>
        <w:t>中小企业声明函（货物）</w:t>
      </w:r>
      <w:bookmarkEnd w:id="106"/>
      <w:bookmarkEnd w:id="107"/>
    </w:p>
    <w:p>
      <w:pPr>
        <w:pStyle w:val="7"/>
        <w:spacing w:line="360" w:lineRule="auto"/>
        <w:ind w:firstLine="643" w:firstLineChars="200"/>
        <w:rPr>
          <w:rFonts w:ascii="宋体" w:hAnsi="宋体" w:cs="宋体"/>
          <w:b/>
          <w:color w:val="000000" w:themeColor="text1"/>
          <w:sz w:val="32"/>
          <w:szCs w:val="32"/>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本公司郑重声明，根据《政府采购促进中小企业发展管理办法》（财库〔2020〕46号）的规定，本公司参加</w:t>
      </w:r>
      <w:r>
        <w:rPr>
          <w:rFonts w:hint="eastAsia" w:ascii="宋体" w:hAnsi="宋体" w:cs="宋体"/>
          <w:color w:val="000000" w:themeColor="text1"/>
          <w:sz w:val="24"/>
          <w:u w:val="single"/>
          <w14:textFill>
            <w14:solidFill>
              <w14:schemeClr w14:val="tx1"/>
            </w14:solidFill>
          </w14:textFill>
        </w:rPr>
        <w:t>台州科技职业学院</w:t>
      </w:r>
      <w:r>
        <w:rPr>
          <w:rFonts w:hint="eastAsia" w:ascii="宋体" w:hAnsi="宋体" w:cs="宋体"/>
          <w:color w:val="000000" w:themeColor="text1"/>
          <w:sz w:val="24"/>
          <w:u w:val="none"/>
          <w:lang w:eastAsia="zh-CN"/>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数字化营销与运营管理平台项目</w:t>
      </w:r>
      <w:r>
        <w:rPr>
          <w:rFonts w:hint="eastAsia" w:ascii="宋体" w:hAnsi="宋体" w:cs="宋体"/>
          <w:color w:val="000000" w:themeColor="text1"/>
          <w:sz w:val="24"/>
          <w14:textFill>
            <w14:solidFill>
              <w14:schemeClr w14:val="tx1"/>
            </w14:solidFill>
          </w14:textFill>
        </w:rPr>
        <w:t>采购活动，提供的货物全部由符合政策要求的中小企业制造。具体情况如下：</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 xml:space="preserve"> 台州科技职业学院数字化营销与运营管理平台项目  </w:t>
      </w:r>
      <w:r>
        <w:rPr>
          <w:rFonts w:hint="eastAsia" w:ascii="宋体" w:hAnsi="宋体" w:cs="宋体"/>
          <w:color w:val="000000" w:themeColor="text1"/>
          <w:sz w:val="24"/>
          <w14:textFill>
            <w14:solidFill>
              <w14:schemeClr w14:val="tx1"/>
            </w14:solidFill>
          </w14:textFill>
        </w:rPr>
        <w:t>，属于</w:t>
      </w:r>
      <w:r>
        <w:rPr>
          <w:rFonts w:hint="eastAsia" w:ascii="宋体" w:hAnsi="宋体" w:cs="微软雅黑"/>
          <w:b/>
          <w:bCs/>
          <w:sz w:val="24"/>
          <w:u w:val="single"/>
        </w:rPr>
        <w:t>软件和信息技术服务业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w:t>
      </w:r>
      <w:r>
        <w:rPr>
          <w:rFonts w:hint="eastAsia" w:ascii="宋体" w:hAnsi="宋体" w:cs="宋体"/>
          <w:color w:val="000000" w:themeColor="text1"/>
          <w:sz w:val="24"/>
          <w:vertAlign w:val="superscript"/>
          <w14:textFill>
            <w14:solidFill>
              <w14:schemeClr w14:val="tx1"/>
            </w14:solidFill>
          </w14:textFill>
        </w:rPr>
        <w:fldChar w:fldCharType="begin"/>
      </w:r>
      <w:r>
        <w:rPr>
          <w:rFonts w:hint="eastAsia" w:ascii="宋体" w:hAnsi="宋体" w:cs="宋体"/>
          <w:color w:val="000000" w:themeColor="text1"/>
          <w:sz w:val="24"/>
          <w:vertAlign w:val="superscript"/>
          <w14:textFill>
            <w14:solidFill>
              <w14:schemeClr w14:val="tx1"/>
            </w14:solidFill>
          </w14:textFill>
        </w:rPr>
        <w:instrText xml:space="preserve"> = 1 \* GB3 </w:instrText>
      </w:r>
      <w:r>
        <w:rPr>
          <w:rFonts w:hint="eastAsia" w:ascii="宋体" w:hAnsi="宋体" w:cs="宋体"/>
          <w:color w:val="000000" w:themeColor="text1"/>
          <w:sz w:val="24"/>
          <w:vertAlign w:val="superscript"/>
          <w14:textFill>
            <w14:solidFill>
              <w14:schemeClr w14:val="tx1"/>
            </w14:solidFill>
          </w14:textFill>
        </w:rPr>
        <w:fldChar w:fldCharType="separate"/>
      </w:r>
      <w:r>
        <w:rPr>
          <w:rFonts w:hint="eastAsia" w:ascii="宋体" w:hAnsi="宋体" w:cs="宋体"/>
          <w:color w:val="000000" w:themeColor="text1"/>
          <w:sz w:val="24"/>
          <w:vertAlign w:val="superscript"/>
          <w14:textFill>
            <w14:solidFill>
              <w14:schemeClr w14:val="tx1"/>
            </w14:solidFill>
          </w14:textFill>
        </w:rPr>
        <w:t>①</w:t>
      </w:r>
      <w:r>
        <w:rPr>
          <w:rFonts w:hint="eastAsia" w:ascii="宋体" w:hAnsi="宋体" w:cs="宋体"/>
          <w:color w:val="000000" w:themeColor="text1"/>
          <w:sz w:val="24"/>
          <w:vertAlign w:val="superscript"/>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，属于（中型企业、小型企业、微型企业）；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numPr>
          <w:ilvl w:val="0"/>
          <w:numId w:val="13"/>
        </w:num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如响应产品由小微企业生产，则需提供中小企业声明函。</w:t>
      </w:r>
    </w:p>
    <w:p>
      <w:pPr>
        <w:numPr>
          <w:ilvl w:val="0"/>
          <w:numId w:val="13"/>
        </w:num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小微企业提供的货物既有中小企业制造货物，也有大型企业制造货物的，不享受中小企业扶持政策。</w:t>
      </w:r>
    </w:p>
    <w:p>
      <w:pPr>
        <w:numPr>
          <w:ilvl w:val="0"/>
          <w:numId w:val="13"/>
        </w:num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如成交人声明为小微企业，本声明函将随成交结果同时公告，接受社会监督。</w:t>
      </w:r>
    </w:p>
    <w:p>
      <w:pPr>
        <w:wordWrap w:val="0"/>
        <w:spacing w:line="360" w:lineRule="auto"/>
        <w:rPr>
          <w:rFonts w:ascii="宋体" w:hAnsi="宋体" w:cs="宋体"/>
          <w:color w:val="000000" w:themeColor="text1"/>
          <w:sz w:val="24"/>
          <w14:textFill>
            <w14:solidFill>
              <w14:schemeClr w14:val="tx1"/>
            </w14:solidFill>
          </w14:textFill>
        </w:rPr>
      </w:pP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企业名称（盖章）：        </w:t>
      </w: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p>
    <w:p>
      <w:pPr>
        <w:wordWrap w:val="0"/>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 期：                  </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nQ5g9sBAACGAwAADgAAAAAA&#10;AAABACAAAAAiAQAAZHJzL2Uyb0RvYy54bWxQSwUGAAAAAAYABgBZAQAAbwUAAAAA&#10;">
                <v:fill on="f" focussize="0,0"/>
                <v:stroke weight="1.25pt" color="#000000" miterlimit="8" joinstyle="miter"/>
                <v:imagedata o:title=""/>
                <o:lock v:ext="edit" aspectratio="f"/>
              </v:line>
            </w:pict>
          </mc:Fallback>
        </mc:AlternateConten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rPr>
          <w:rFonts w:ascii="宋体" w:hAnsi="宋体" w:cs="宋体"/>
          <w:color w:val="000000" w:themeColor="text1"/>
          <w:sz w:val="24"/>
          <w14:textFill>
            <w14:solidFill>
              <w14:schemeClr w14:val="tx1"/>
            </w14:solidFill>
          </w14:textFill>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8"/>
        <w:spacing w:line="360" w:lineRule="auto"/>
        <w:jc w:val="center"/>
        <w:outlineLvl w:val="1"/>
        <w:rPr>
          <w:rFonts w:hAnsi="宋体" w:cs="宋体"/>
          <w:b/>
          <w:color w:val="000000" w:themeColor="text1"/>
          <w:sz w:val="32"/>
          <w:szCs w:val="32"/>
          <w:lang w:val="en-GB"/>
          <w14:textFill>
            <w14:solidFill>
              <w14:schemeClr w14:val="tx1"/>
            </w14:solidFill>
          </w14:textFill>
        </w:rPr>
      </w:pPr>
      <w:bookmarkStart w:id="108" w:name="_Toc27483_WPSOffice_Level1"/>
      <w:bookmarkStart w:id="109" w:name="_Toc17646_WPSOffice_Level1"/>
      <w:r>
        <w:rPr>
          <w:rFonts w:hint="eastAsia" w:hAnsi="宋体" w:cs="宋体"/>
          <w:b/>
          <w:color w:val="000000" w:themeColor="text1"/>
          <w:sz w:val="32"/>
          <w:szCs w:val="32"/>
          <w:lang w:val="en-GB"/>
          <w14:textFill>
            <w14:solidFill>
              <w14:schemeClr w14:val="tx1"/>
            </w14:solidFill>
          </w14:textFill>
        </w:rPr>
        <w:t>残疾人福利性单位声明函</w:t>
      </w:r>
      <w:bookmarkEnd w:id="108"/>
      <w:bookmarkEnd w:id="109"/>
    </w:p>
    <w:p>
      <w:pPr>
        <w:spacing w:line="588" w:lineRule="exact"/>
        <w:ind w:firstLine="504" w:firstLineChars="200"/>
        <w:rPr>
          <w:rFonts w:ascii="宋体" w:hAnsi="宋体" w:cs="宋体"/>
          <w:color w:val="000000" w:themeColor="text1"/>
          <w:spacing w:val="6"/>
          <w:sz w:val="24"/>
          <w14:textFill>
            <w14:solidFill>
              <w14:schemeClr w14:val="tx1"/>
            </w14:solidFill>
          </w14:textFill>
        </w:rPr>
      </w:pP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单位的</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  ：</w:t>
      </w: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p>
    <w:p>
      <w:pPr>
        <w:tabs>
          <w:tab w:val="left" w:pos="4860"/>
        </w:tabs>
        <w:spacing w:line="588" w:lineRule="exact"/>
        <w:ind w:right="1560"/>
        <w:rPr>
          <w:rFonts w:ascii="宋体" w:hAnsi="宋体" w:cs="宋体"/>
          <w:b/>
          <w:color w:val="000000" w:themeColor="text1"/>
          <w:sz w:val="28"/>
          <w:szCs w:val="28"/>
          <w:lang w:bidi="ar"/>
          <w14:textFill>
            <w14:solidFill>
              <w14:schemeClr w14:val="tx1"/>
            </w14:solidFill>
          </w14:textFill>
        </w:rPr>
      </w:pPr>
      <w:r>
        <w:rPr>
          <w:rFonts w:hint="eastAsia" w:ascii="宋体" w:hAnsi="宋体" w:cs="宋体"/>
          <w:b/>
          <w:color w:val="000000" w:themeColor="text1"/>
          <w:sz w:val="28"/>
          <w:szCs w:val="28"/>
          <w:lang w:bidi="ar"/>
          <w14:textFill>
            <w14:solidFill>
              <w14:schemeClr w14:val="tx1"/>
            </w14:solidFill>
          </w14:textFill>
        </w:rPr>
        <w:t>其余事项：</w:t>
      </w:r>
    </w:p>
    <w:p>
      <w:pPr>
        <w:tabs>
          <w:tab w:val="left" w:pos="4860"/>
        </w:tabs>
        <w:spacing w:line="588" w:lineRule="exact"/>
        <w:ind w:right="1560" w:firstLine="2811" w:firstLineChars="10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bidi="ar"/>
          <w14:textFill>
            <w14:solidFill>
              <w14:schemeClr w14:val="tx1"/>
            </w14:solidFill>
          </w14:textFill>
        </w:rPr>
        <w:t>银行（成交项目贷款咨询）</w:t>
      </w:r>
    </w:p>
    <w:p>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成交供应商如有融资需求，可使用以下银行的政采贷服务。</w:t>
      </w:r>
    </w:p>
    <w:tbl>
      <w:tblPr>
        <w:tblStyle w:val="24"/>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759"/>
        <w:gridCol w:w="216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贷款年利率</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联系人</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中国工商银行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3.8%</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王霖</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中国农业银行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3.8%</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龚盛</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中国建设银行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3.8%</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梅晶晶</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88525339</w:t>
            </w:r>
          </w:p>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中国银行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3.75%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任茜</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浦发银行台州分行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4.05%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王渊</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浦发银行椒江分行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4.05%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孙瑞华</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交通银行台州分行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3.75%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周翔宇</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招商银行台州分行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4.32%</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王海玲</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浙商银行台州分行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5.01%</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章涉漪</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81880185</w:t>
            </w:r>
          </w:p>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中信银行台州分行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4.15%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陈金园</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华夏银行台州分行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邱明达</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81871518</w:t>
            </w:r>
          </w:p>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泰隆银行开发区支行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5.6%</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梁宛莉</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民泰银行椒江支行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5.8%</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陈慧珠</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绍兴银行台州分行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5.1%</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郭庭斌</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温州银行台州分行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4.55%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王晓波</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平安银行台州分行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6.53%</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李俊丽</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宁波银行台州分行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4.35%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戴莉丽</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金华银行台州分行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4.05%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金雪婷</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81886670</w:t>
            </w:r>
          </w:p>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台州银行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5.6%</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洪婷</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邮储银行台州分行</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3.85%</w:t>
            </w:r>
            <w:r>
              <w:rPr>
                <w:rFonts w:hint="eastAsia" w:cs="宋体"/>
                <w:color w:val="000000" w:themeColor="text1"/>
                <w:sz w:val="28"/>
                <w:szCs w:val="28"/>
                <w:lang w:bidi="ar"/>
                <w14:textFill>
                  <w14:solidFill>
                    <w14:schemeClr w14:val="tx1"/>
                  </w14:solidFill>
                </w14:textFill>
              </w:rPr>
              <w:t>起</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rFonts w:hint="eastAsia" w:cs="宋体"/>
                <w:color w:val="000000" w:themeColor="text1"/>
                <w:sz w:val="28"/>
                <w:szCs w:val="28"/>
                <w:lang w:bidi="ar"/>
                <w14:textFill>
                  <w14:solidFill>
                    <w14:schemeClr w14:val="tx1"/>
                  </w14:solidFill>
                </w14:textFill>
              </w:rPr>
              <w:t>董庆</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81888982</w:t>
            </w:r>
          </w:p>
          <w:p>
            <w:pPr>
              <w:widowControl/>
              <w:spacing w:line="400" w:lineRule="exact"/>
              <w:jc w:val="center"/>
              <w:rPr>
                <w:color w:val="000000" w:themeColor="text1"/>
                <w:sz w:val="28"/>
                <w:szCs w:val="28"/>
                <w14:textFill>
                  <w14:solidFill>
                    <w14:schemeClr w14:val="tx1"/>
                  </w14:solidFill>
                </w14:textFill>
              </w:rPr>
            </w:pPr>
            <w:r>
              <w:rPr>
                <w:color w:val="000000" w:themeColor="text1"/>
                <w:sz w:val="28"/>
                <w:szCs w:val="28"/>
                <w:lang w:bidi="ar"/>
                <w14:textFill>
                  <w14:solidFill>
                    <w14:schemeClr w14:val="tx1"/>
                  </w14:solidFill>
                </w14:textFill>
              </w:rPr>
              <w:t>18957683735</w:t>
            </w:r>
          </w:p>
        </w:tc>
      </w:tr>
    </w:tbl>
    <w:p>
      <w:pPr>
        <w:rPr>
          <w:color w:val="000000" w:themeColor="text1"/>
          <w:sz w:val="32"/>
          <w:szCs w:val="32"/>
          <w14:textFill>
            <w14:solidFill>
              <w14:schemeClr w14:val="tx1"/>
            </w14:solidFill>
          </w14:textFill>
        </w:rPr>
      </w:pPr>
      <w:r>
        <w:rPr>
          <w:rFonts w:hint="eastAsia" w:cs="宋体"/>
          <w:color w:val="000000" w:themeColor="text1"/>
          <w:sz w:val="32"/>
          <w:szCs w:val="32"/>
          <w:lang w:bidi="ar"/>
          <w14:textFill>
            <w14:solidFill>
              <w14:schemeClr w14:val="tx1"/>
            </w14:solidFill>
          </w14:textFill>
        </w:rPr>
        <w:t>上表利率仅供参考，以银行实际答复利率为准</w:t>
      </w:r>
    </w:p>
    <w:p>
      <w:pPr>
        <w:spacing w:line="160" w:lineRule="atLeast"/>
        <w:ind w:firstLine="640" w:firstLineChars="200"/>
        <w:rPr>
          <w:rFonts w:cs="宋体"/>
          <w:color w:val="000000" w:themeColor="text1"/>
          <w:sz w:val="32"/>
          <w:szCs w:val="32"/>
          <w:lang w:bidi="ar"/>
          <w14:textFill>
            <w14:solidFill>
              <w14:schemeClr w14:val="tx1"/>
            </w14:solidFill>
          </w14:textFill>
        </w:rPr>
      </w:pPr>
    </w:p>
    <w:p>
      <w:pPr>
        <w:spacing w:line="160" w:lineRule="atLeast"/>
        <w:rPr>
          <w:color w:val="000000" w:themeColor="text1"/>
          <w:sz w:val="32"/>
          <w:szCs w:val="32"/>
          <w14:textFill>
            <w14:solidFill>
              <w14:schemeClr w14:val="tx1"/>
            </w14:solidFill>
          </w14:textFill>
        </w:rPr>
      </w:pPr>
      <w:r>
        <w:rPr>
          <w:rFonts w:hint="eastAsia" w:cs="宋体"/>
          <w:color w:val="000000" w:themeColor="text1"/>
          <w:sz w:val="32"/>
          <w:szCs w:val="32"/>
          <w:lang w:bidi="ar"/>
          <w14:textFill>
            <w14:solidFill>
              <w14:schemeClr w14:val="tx1"/>
            </w14:solidFill>
          </w14:textFill>
        </w:rPr>
        <w:t>合同履约保函联系方式：</w:t>
      </w:r>
    </w:p>
    <w:tbl>
      <w:tblPr>
        <w:tblStyle w:val="24"/>
        <w:tblW w:w="9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gridCol w:w="2014"/>
        <w:gridCol w:w="11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保险公司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保费率</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联系人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中国人寿财产保险股份有限公司台州中心支公司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1%</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徐凌</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永诚财产保险股份有限公司台州分公司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1%</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1000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尹刚强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华泰财产保险有限公司台州中心支公司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0.5%</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1000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王灵芳</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88869818</w:t>
            </w:r>
            <w:r>
              <w:rPr>
                <w:rFonts w:hint="eastAsia" w:cs="宋体"/>
                <w:color w:val="000000" w:themeColor="text1"/>
                <w:sz w:val="24"/>
                <w:szCs w:val="32"/>
                <w:lang w:bidi="ar"/>
                <w14:textFill>
                  <w14:solidFill>
                    <w14:schemeClr w14:val="tx1"/>
                  </w14:solidFill>
                </w14:textFill>
              </w:rPr>
              <w:t>，</w:t>
            </w:r>
            <w:r>
              <w:rPr>
                <w:color w:val="000000" w:themeColor="text1"/>
                <w:sz w:val="24"/>
                <w:szCs w:val="32"/>
                <w:lang w:bidi="ar"/>
                <w14:textFill>
                  <w14:solidFill>
                    <w14:schemeClr w14:val="tx1"/>
                  </w14:solidFill>
                </w14:textFill>
              </w:rPr>
              <w:t>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中国大地财产保险股份有限公司台州中心支公司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1.5%</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徐小明</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88552788</w:t>
            </w:r>
            <w:r>
              <w:rPr>
                <w:rFonts w:hint="eastAsia" w:cs="宋体"/>
                <w:color w:val="000000" w:themeColor="text1"/>
                <w:sz w:val="24"/>
                <w:szCs w:val="32"/>
                <w:lang w:bidi="ar"/>
                <w14:textFill>
                  <w14:solidFill>
                    <w14:schemeClr w14:val="tx1"/>
                  </w14:solidFill>
                </w14:textFill>
              </w:rPr>
              <w:t>，</w:t>
            </w:r>
            <w:r>
              <w:rPr>
                <w:color w:val="000000" w:themeColor="text1"/>
                <w:sz w:val="24"/>
                <w:szCs w:val="32"/>
                <w:lang w:bidi="ar"/>
                <w14:textFill>
                  <w14:solidFill>
                    <w14:schemeClr w14:val="tx1"/>
                  </w14:solidFill>
                </w14:textFill>
              </w:rPr>
              <w:t>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阳光保险台州中心支公司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1%</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林高明</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中华联合财产保险股份有限公司台州中心支公司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2%</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王仙高</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中国人民财产保险股份有限公司台州中心支公司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0.3%</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1000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王仙春</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永安财产保险股份有限公司台州中心支公司</w:t>
            </w:r>
          </w:p>
        </w:tc>
        <w:tc>
          <w:tcPr>
            <w:tcW w:w="2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0.3%</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1000</w:t>
            </w:r>
            <w:r>
              <w:rPr>
                <w:rFonts w:hint="eastAsia" w:cs="宋体"/>
                <w:color w:val="000000" w:themeColor="text1"/>
                <w:sz w:val="24"/>
                <w:szCs w:val="32"/>
                <w:lang w:bidi="ar"/>
                <w14:textFill>
                  <w14:solidFill>
                    <w14:schemeClr w14:val="tx1"/>
                  </w14:solidFill>
                </w14:textFill>
              </w:rPr>
              <w:t>元</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王春宇</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13676675331</w:t>
            </w:r>
          </w:p>
        </w:tc>
      </w:tr>
    </w:tbl>
    <w:p>
      <w:pPr>
        <w:spacing w:line="160" w:lineRule="atLeast"/>
        <w:rPr>
          <w:color w:val="000000" w:themeColor="text1"/>
          <w:sz w:val="32"/>
          <w:szCs w:val="32"/>
          <w14:textFill>
            <w14:solidFill>
              <w14:schemeClr w14:val="tx1"/>
            </w14:solidFill>
          </w14:textFill>
        </w:rPr>
      </w:pPr>
      <w:r>
        <w:rPr>
          <w:rFonts w:hint="eastAsia" w:cs="宋体"/>
          <w:color w:val="000000" w:themeColor="text1"/>
          <w:sz w:val="32"/>
          <w:szCs w:val="32"/>
          <w:lang w:bidi="ar"/>
          <w14:textFill>
            <w14:solidFill>
              <w14:schemeClr w14:val="tx1"/>
            </w14:solidFill>
          </w14:textFill>
        </w:rPr>
        <w:t>预付款保函联系方式</w:t>
      </w:r>
    </w:p>
    <w:tbl>
      <w:tblPr>
        <w:tblStyle w:val="24"/>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8"/>
        <w:gridCol w:w="2156"/>
        <w:gridCol w:w="1473"/>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保险公司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保费率</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联系人</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中国人寿财产保险股份有限公司台州中心支公司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3%</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徐凌</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阳光保险台州中心支公司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1%</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林高明</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天安财产保险股份有限公司台州中心支公司</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年费率</w:t>
            </w:r>
            <w:r>
              <w:rPr>
                <w:color w:val="000000" w:themeColor="text1"/>
                <w:sz w:val="24"/>
                <w:szCs w:val="32"/>
                <w:lang w:bidi="ar"/>
                <w14:textFill>
                  <w14:solidFill>
                    <w14:schemeClr w14:val="tx1"/>
                  </w14:solidFill>
                </w14:textFill>
              </w:rPr>
              <w:t>1%-2%</w:t>
            </w:r>
            <w:r>
              <w:rPr>
                <w:rFonts w:hint="eastAsia" w:cs="宋体"/>
                <w:color w:val="000000" w:themeColor="text1"/>
                <w:sz w:val="24"/>
                <w:szCs w:val="32"/>
                <w:lang w:bidi="ar"/>
                <w14:textFill>
                  <w14:solidFill>
                    <w14:schemeClr w14:val="tx1"/>
                  </w14:solidFill>
                </w14:textFill>
              </w:rPr>
              <w:t>，最低保费</w:t>
            </w:r>
            <w:r>
              <w:rPr>
                <w:color w:val="000000" w:themeColor="text1"/>
                <w:sz w:val="24"/>
                <w:szCs w:val="32"/>
                <w:lang w:bidi="ar"/>
                <w14:textFill>
                  <w14:solidFill>
                    <w14:schemeClr w14:val="tx1"/>
                  </w14:solidFill>
                </w14:textFill>
              </w:rPr>
              <w:t>500</w:t>
            </w:r>
            <w:r>
              <w:rPr>
                <w:rFonts w:hint="eastAsia" w:cs="宋体"/>
                <w:color w:val="000000" w:themeColor="text1"/>
                <w:sz w:val="24"/>
                <w:szCs w:val="32"/>
                <w:lang w:bidi="ar"/>
                <w14:textFill>
                  <w14:solidFill>
                    <w14:schemeClr w14:val="tx1"/>
                  </w14:solidFill>
                </w14:textFill>
              </w:rPr>
              <w:t>元</w:t>
            </w: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rFonts w:hint="eastAsia" w:cs="宋体"/>
                <w:color w:val="000000" w:themeColor="text1"/>
                <w:sz w:val="24"/>
                <w:szCs w:val="32"/>
                <w:lang w:bidi="ar"/>
                <w14:textFill>
                  <w14:solidFill>
                    <w14:schemeClr w14:val="tx1"/>
                  </w14:solidFill>
                </w14:textFill>
              </w:rPr>
              <w:t>罗赛</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atLeast"/>
              <w:jc w:val="center"/>
              <w:rPr>
                <w:color w:val="000000" w:themeColor="text1"/>
                <w:sz w:val="24"/>
                <w:szCs w:val="32"/>
                <w14:textFill>
                  <w14:solidFill>
                    <w14:schemeClr w14:val="tx1"/>
                  </w14:solidFill>
                </w14:textFill>
              </w:rPr>
            </w:pPr>
            <w:r>
              <w:rPr>
                <w:color w:val="000000" w:themeColor="text1"/>
                <w:sz w:val="24"/>
                <w:szCs w:val="32"/>
                <w:lang w:bidi="ar"/>
                <w14:textFill>
                  <w14:solidFill>
                    <w14:schemeClr w14:val="tx1"/>
                  </w14:solidFill>
                </w14:textFill>
              </w:rPr>
              <w:t>13736605643</w:t>
            </w:r>
          </w:p>
        </w:tc>
      </w:tr>
    </w:tbl>
    <w:p>
      <w:pPr>
        <w:pStyle w:val="20"/>
        <w:widowControl w:val="0"/>
        <w:spacing w:before="0" w:beforeAutospacing="0" w:after="0" w:afterAutospacing="0"/>
        <w:jc w:val="both"/>
        <w:rPr>
          <w:rFonts w:hint="default" w:cs="宋体"/>
          <w:color w:val="000000" w:themeColor="text1"/>
          <w:sz w:val="28"/>
          <w:szCs w:val="28"/>
          <w14:textFill>
            <w14:solidFill>
              <w14:schemeClr w14:val="tx1"/>
            </w14:solidFill>
          </w14:textFill>
        </w:rPr>
      </w:pPr>
    </w:p>
    <w:p>
      <w:pPr>
        <w:pStyle w:val="40"/>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简体">
    <w:altName w:val="宋体"/>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sz w:val="10"/>
      </w:rPr>
      <mc:AlternateContent>
        <mc:Choice Requires="wps">
          <w:drawing>
            <wp:anchor distT="0" distB="0" distL="114300" distR="114300" simplePos="0" relativeHeight="251661312" behindDoc="0" locked="0" layoutInCell="1" allowOverlap="1">
              <wp:simplePos x="0" y="0"/>
              <wp:positionH relativeFrom="margin">
                <wp:posOffset>4745990</wp:posOffset>
              </wp:positionH>
              <wp:positionV relativeFrom="paragraph">
                <wp:posOffset>64135</wp:posOffset>
              </wp:positionV>
              <wp:extent cx="989965" cy="1866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89965" cy="186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3.7pt;margin-top:5.05pt;height:14.7pt;width:77.95pt;mso-position-horizontal-relative:margin;z-index:251661312;mso-width-relative:page;mso-height-relative:page;" filled="f" stroked="f" coordsize="21600,21600" o:gfxdata="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jeQPYAAAACQEAAA8AAAAA&#10;AAAAAQAgAAAAIgAAAGRycy9kb3ducmV2LnhtbFBLAQIUABQAAAAIAIdO4kDsubnBFAIAAAcEAAAO&#10;AAAAAAAAAAEAIAAAACcBAABkcnMvZTJvRG9jLnhtbFBLBQYAAAAABgAGAFkBAACtBQAAAAA=&#10;">
              <v:fill on="f" focussize="0,0"/>
              <v:stroke on="f" weight="0.5pt"/>
              <v:imagedata o:title=""/>
              <o:lock v:ext="edit" aspectratio="f"/>
              <v:textbox inset="0mm,0mm,0mm,0mm">
                <w:txbxContent>
                  <w:p>
                    <w:pPr>
                      <w:pStyle w:val="17"/>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7"/>
      <w:pBdr>
        <w:bottom w:val="single" w:color="auto" w:sz="4" w:space="1"/>
      </w:pBdr>
    </w:pPr>
    <w:r>
      <w:rPr>
        <w:rFonts w:hint="eastAsia"/>
        <w:b/>
        <w:i/>
        <w:color w:val="000000" w:themeColor="text1"/>
        <w:kern w:val="0"/>
        <w14:textFill>
          <w14:solidFill>
            <w14:schemeClr w14:val="tx1"/>
          </w14:solidFill>
        </w14:textFill>
      </w:rPr>
      <w:t>台州市政府采购招标文件--货物</w:t>
    </w:r>
    <w:r>
      <w:rPr>
        <w:rFonts w:hint="eastAsia"/>
        <w:b/>
        <w:i/>
        <w:color w:val="000000" w:themeColor="text1"/>
        <w:kern w:val="0"/>
        <w:u w:val="single"/>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sz w:val="1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7"/>
      <w:pBdr>
        <w:bottom w:val="single" w:color="auto" w:sz="4" w:space="1"/>
      </w:pBdr>
    </w:pPr>
    <w:r>
      <w:rPr>
        <w:rFonts w:hint="eastAsia"/>
        <w:b/>
        <w:i/>
        <w:color w:val="000000" w:themeColor="text1"/>
        <w:kern w:val="0"/>
        <w14:textFill>
          <w14:solidFill>
            <w14:schemeClr w14:val="tx1"/>
          </w14:solidFill>
        </w14:textFill>
      </w:rPr>
      <w:t>台州市政府采购招标文件--货物</w:t>
    </w:r>
    <w:r>
      <w:rPr>
        <w:rFonts w:hint="eastAsia"/>
        <w:b/>
        <w:i/>
        <w:color w:val="000000" w:themeColor="text1"/>
        <w:kern w:val="0"/>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BF13D"/>
    <w:multiLevelType w:val="singleLevel"/>
    <w:tmpl w:val="91EBF13D"/>
    <w:lvl w:ilvl="0" w:tentative="0">
      <w:start w:val="1"/>
      <w:numFmt w:val="decimalEnclosedCircleChinese"/>
      <w:suff w:val="nothing"/>
      <w:lvlText w:val="%1　"/>
      <w:lvlJc w:val="left"/>
      <w:pPr>
        <w:ind w:left="0" w:firstLine="400"/>
      </w:pPr>
      <w:rPr>
        <w:rFonts w:hint="eastAsia"/>
      </w:rPr>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E3A830CB"/>
    <w:multiLevelType w:val="singleLevel"/>
    <w:tmpl w:val="E3A830CB"/>
    <w:lvl w:ilvl="0" w:tentative="0">
      <w:start w:val="1"/>
      <w:numFmt w:val="decimalEnclosedCircleChinese"/>
      <w:suff w:val="nothing"/>
      <w:lvlText w:val="%1　"/>
      <w:lvlJc w:val="left"/>
      <w:pPr>
        <w:ind w:left="0" w:firstLine="400"/>
      </w:pPr>
      <w:rPr>
        <w:rFonts w:hint="eastAsia"/>
      </w:rPr>
    </w:lvl>
  </w:abstractNum>
  <w:abstractNum w:abstractNumId="4">
    <w:nsid w:val="038540CC"/>
    <w:multiLevelType w:val="singleLevel"/>
    <w:tmpl w:val="038540CC"/>
    <w:lvl w:ilvl="0" w:tentative="0">
      <w:start w:val="2"/>
      <w:numFmt w:val="chineseCounting"/>
      <w:suff w:val="nothing"/>
      <w:lvlText w:val="%1、"/>
      <w:lvlJc w:val="left"/>
      <w:rPr>
        <w:rFonts w:hint="eastAsia"/>
      </w:rPr>
    </w:lvl>
  </w:abstractNum>
  <w:abstractNum w:abstractNumId="5">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6">
    <w:nsid w:val="30BA2ABA"/>
    <w:multiLevelType w:val="singleLevel"/>
    <w:tmpl w:val="30BA2ABA"/>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68D9129"/>
    <w:multiLevelType w:val="singleLevel"/>
    <w:tmpl w:val="468D9129"/>
    <w:lvl w:ilvl="0" w:tentative="0">
      <w:start w:val="1"/>
      <w:numFmt w:val="decimal"/>
      <w:suff w:val="nothing"/>
      <w:lvlText w:val="%1、"/>
      <w:lvlJc w:val="left"/>
    </w:lvl>
  </w:abstractNum>
  <w:abstractNum w:abstractNumId="9">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26FECCE"/>
    <w:multiLevelType w:val="singleLevel"/>
    <w:tmpl w:val="726FECCE"/>
    <w:lvl w:ilvl="0" w:tentative="0">
      <w:start w:val="1"/>
      <w:numFmt w:val="decimal"/>
      <w:lvlText w:val="%1."/>
      <w:lvlJc w:val="left"/>
      <w:pPr>
        <w:tabs>
          <w:tab w:val="left" w:pos="312"/>
        </w:tabs>
      </w:pPr>
    </w:lvl>
  </w:abstractNum>
  <w:num w:numId="1">
    <w:abstractNumId w:val="10"/>
  </w:num>
  <w:num w:numId="2">
    <w:abstractNumId w:val="5"/>
  </w:num>
  <w:num w:numId="3">
    <w:abstractNumId w:val="11"/>
  </w:num>
  <w:num w:numId="4">
    <w:abstractNumId w:val="7"/>
  </w:num>
  <w:num w:numId="5">
    <w:abstractNumId w:val="9"/>
  </w:num>
  <w:num w:numId="6">
    <w:abstractNumId w:val="0"/>
  </w:num>
  <w:num w:numId="7">
    <w:abstractNumId w:val="3"/>
  </w:num>
  <w:num w:numId="8">
    <w:abstractNumId w:val="4"/>
  </w:num>
  <w:num w:numId="9">
    <w:abstractNumId w:val="6"/>
  </w:num>
  <w:num w:numId="10">
    <w:abstractNumId w:val="12"/>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YTA2ZTk1YmY4OTY0MGY4NDJkY2UzNzE3Y2U0NDEifQ=="/>
  </w:docVars>
  <w:rsids>
    <w:rsidRoot w:val="685F2B0C"/>
    <w:rsid w:val="00015C4F"/>
    <w:rsid w:val="00035CD7"/>
    <w:rsid w:val="00055826"/>
    <w:rsid w:val="0007064C"/>
    <w:rsid w:val="000743EC"/>
    <w:rsid w:val="000B3613"/>
    <w:rsid w:val="000F3EC1"/>
    <w:rsid w:val="001574D2"/>
    <w:rsid w:val="001852A2"/>
    <w:rsid w:val="001A42C7"/>
    <w:rsid w:val="001E5A88"/>
    <w:rsid w:val="001F5844"/>
    <w:rsid w:val="00284574"/>
    <w:rsid w:val="002B7D9D"/>
    <w:rsid w:val="00315916"/>
    <w:rsid w:val="00321F61"/>
    <w:rsid w:val="0036114A"/>
    <w:rsid w:val="003F362B"/>
    <w:rsid w:val="00422D19"/>
    <w:rsid w:val="004436FC"/>
    <w:rsid w:val="00447713"/>
    <w:rsid w:val="00450852"/>
    <w:rsid w:val="00451628"/>
    <w:rsid w:val="00451A10"/>
    <w:rsid w:val="00462978"/>
    <w:rsid w:val="00465D1D"/>
    <w:rsid w:val="00483668"/>
    <w:rsid w:val="004B79A9"/>
    <w:rsid w:val="004D3CE9"/>
    <w:rsid w:val="004E347F"/>
    <w:rsid w:val="004F0FA0"/>
    <w:rsid w:val="00586542"/>
    <w:rsid w:val="005D64D9"/>
    <w:rsid w:val="00620FF6"/>
    <w:rsid w:val="006836D3"/>
    <w:rsid w:val="006B4CDC"/>
    <w:rsid w:val="006E659F"/>
    <w:rsid w:val="00747C77"/>
    <w:rsid w:val="007807B6"/>
    <w:rsid w:val="007F27CB"/>
    <w:rsid w:val="008902CE"/>
    <w:rsid w:val="008B60E5"/>
    <w:rsid w:val="008F5E76"/>
    <w:rsid w:val="009068FB"/>
    <w:rsid w:val="009547D7"/>
    <w:rsid w:val="00977071"/>
    <w:rsid w:val="00987EDA"/>
    <w:rsid w:val="00A27C70"/>
    <w:rsid w:val="00A921FD"/>
    <w:rsid w:val="00AB49B7"/>
    <w:rsid w:val="00AD4E1A"/>
    <w:rsid w:val="00AF3A74"/>
    <w:rsid w:val="00B53FBA"/>
    <w:rsid w:val="00BC23A7"/>
    <w:rsid w:val="00BF52BD"/>
    <w:rsid w:val="00C833D4"/>
    <w:rsid w:val="00C96C42"/>
    <w:rsid w:val="00CE7134"/>
    <w:rsid w:val="00CF7688"/>
    <w:rsid w:val="00D35717"/>
    <w:rsid w:val="00D468CA"/>
    <w:rsid w:val="00D7566C"/>
    <w:rsid w:val="00D7665A"/>
    <w:rsid w:val="00E27E4E"/>
    <w:rsid w:val="00E51DF5"/>
    <w:rsid w:val="00E71444"/>
    <w:rsid w:val="00E767F1"/>
    <w:rsid w:val="00ED5CF6"/>
    <w:rsid w:val="00F536D6"/>
    <w:rsid w:val="00FF4B97"/>
    <w:rsid w:val="010742D5"/>
    <w:rsid w:val="012955B3"/>
    <w:rsid w:val="012C2953"/>
    <w:rsid w:val="01351803"/>
    <w:rsid w:val="01480F2E"/>
    <w:rsid w:val="014E02A6"/>
    <w:rsid w:val="015343BB"/>
    <w:rsid w:val="016928C8"/>
    <w:rsid w:val="016A786D"/>
    <w:rsid w:val="016C2D4F"/>
    <w:rsid w:val="01851778"/>
    <w:rsid w:val="019D73AC"/>
    <w:rsid w:val="01AE11E6"/>
    <w:rsid w:val="01B06B29"/>
    <w:rsid w:val="01B46F2A"/>
    <w:rsid w:val="01BA1EF8"/>
    <w:rsid w:val="01C1163C"/>
    <w:rsid w:val="01C77A3A"/>
    <w:rsid w:val="01C84DE2"/>
    <w:rsid w:val="01CA2161"/>
    <w:rsid w:val="01D92E11"/>
    <w:rsid w:val="01DF432A"/>
    <w:rsid w:val="01E76CDD"/>
    <w:rsid w:val="01F53A09"/>
    <w:rsid w:val="020119BD"/>
    <w:rsid w:val="021B6200"/>
    <w:rsid w:val="022106EC"/>
    <w:rsid w:val="02350C0E"/>
    <w:rsid w:val="023654F3"/>
    <w:rsid w:val="023E1AA3"/>
    <w:rsid w:val="024F24E2"/>
    <w:rsid w:val="025C7F22"/>
    <w:rsid w:val="02675C4E"/>
    <w:rsid w:val="027A0985"/>
    <w:rsid w:val="028E1E68"/>
    <w:rsid w:val="02971F60"/>
    <w:rsid w:val="02A76140"/>
    <w:rsid w:val="02ED5A3D"/>
    <w:rsid w:val="02EE3C38"/>
    <w:rsid w:val="02F90193"/>
    <w:rsid w:val="031342A8"/>
    <w:rsid w:val="031E276F"/>
    <w:rsid w:val="032659DC"/>
    <w:rsid w:val="032B0D28"/>
    <w:rsid w:val="034E5452"/>
    <w:rsid w:val="036356DF"/>
    <w:rsid w:val="03846C84"/>
    <w:rsid w:val="03860ECB"/>
    <w:rsid w:val="03901F7D"/>
    <w:rsid w:val="039D18E6"/>
    <w:rsid w:val="03AF7369"/>
    <w:rsid w:val="03D35307"/>
    <w:rsid w:val="03E71508"/>
    <w:rsid w:val="03EF3637"/>
    <w:rsid w:val="040F1246"/>
    <w:rsid w:val="041418C8"/>
    <w:rsid w:val="041B44D3"/>
    <w:rsid w:val="042F2ABC"/>
    <w:rsid w:val="043019CD"/>
    <w:rsid w:val="044959B6"/>
    <w:rsid w:val="044B7594"/>
    <w:rsid w:val="04604D98"/>
    <w:rsid w:val="046519BA"/>
    <w:rsid w:val="046B3792"/>
    <w:rsid w:val="04702172"/>
    <w:rsid w:val="04740392"/>
    <w:rsid w:val="0493180D"/>
    <w:rsid w:val="049E5004"/>
    <w:rsid w:val="04C920A3"/>
    <w:rsid w:val="04D84084"/>
    <w:rsid w:val="04E24466"/>
    <w:rsid w:val="04E672BC"/>
    <w:rsid w:val="04EF3793"/>
    <w:rsid w:val="04F85510"/>
    <w:rsid w:val="05022C69"/>
    <w:rsid w:val="05096B07"/>
    <w:rsid w:val="051F2AF7"/>
    <w:rsid w:val="05253BB6"/>
    <w:rsid w:val="05345C3C"/>
    <w:rsid w:val="053D3EC8"/>
    <w:rsid w:val="054C2893"/>
    <w:rsid w:val="0585150C"/>
    <w:rsid w:val="05884774"/>
    <w:rsid w:val="059E028D"/>
    <w:rsid w:val="05AC6B8E"/>
    <w:rsid w:val="05B01B1D"/>
    <w:rsid w:val="05E7663F"/>
    <w:rsid w:val="05F5164A"/>
    <w:rsid w:val="06057AD7"/>
    <w:rsid w:val="06427F03"/>
    <w:rsid w:val="064613E7"/>
    <w:rsid w:val="065F7B88"/>
    <w:rsid w:val="0661309E"/>
    <w:rsid w:val="06653EC4"/>
    <w:rsid w:val="068C5F0F"/>
    <w:rsid w:val="0690668E"/>
    <w:rsid w:val="0699402C"/>
    <w:rsid w:val="069C64C8"/>
    <w:rsid w:val="069E1194"/>
    <w:rsid w:val="06A0112C"/>
    <w:rsid w:val="06AA1921"/>
    <w:rsid w:val="06AA54D1"/>
    <w:rsid w:val="06D575E9"/>
    <w:rsid w:val="06DA367D"/>
    <w:rsid w:val="06DB3C8E"/>
    <w:rsid w:val="06E82C73"/>
    <w:rsid w:val="06E845D2"/>
    <w:rsid w:val="06EB3041"/>
    <w:rsid w:val="071F3727"/>
    <w:rsid w:val="07210BEB"/>
    <w:rsid w:val="073A2587"/>
    <w:rsid w:val="074273EB"/>
    <w:rsid w:val="075F6D7C"/>
    <w:rsid w:val="078D5769"/>
    <w:rsid w:val="079F3EE7"/>
    <w:rsid w:val="07B95281"/>
    <w:rsid w:val="07DB1801"/>
    <w:rsid w:val="07DB7626"/>
    <w:rsid w:val="07DF5164"/>
    <w:rsid w:val="07E50580"/>
    <w:rsid w:val="07F77FC2"/>
    <w:rsid w:val="07F97A25"/>
    <w:rsid w:val="08006472"/>
    <w:rsid w:val="080373F6"/>
    <w:rsid w:val="081403BB"/>
    <w:rsid w:val="08157CC6"/>
    <w:rsid w:val="081717A6"/>
    <w:rsid w:val="08264AE8"/>
    <w:rsid w:val="083D2818"/>
    <w:rsid w:val="08514A4D"/>
    <w:rsid w:val="085C7B85"/>
    <w:rsid w:val="0861508A"/>
    <w:rsid w:val="08621939"/>
    <w:rsid w:val="08663338"/>
    <w:rsid w:val="08696EDC"/>
    <w:rsid w:val="087710DF"/>
    <w:rsid w:val="0884501D"/>
    <w:rsid w:val="088B40B8"/>
    <w:rsid w:val="088F7567"/>
    <w:rsid w:val="08904AFE"/>
    <w:rsid w:val="08920BA5"/>
    <w:rsid w:val="089B216C"/>
    <w:rsid w:val="08B9738C"/>
    <w:rsid w:val="08BD1ED9"/>
    <w:rsid w:val="08CD1851"/>
    <w:rsid w:val="08DC3175"/>
    <w:rsid w:val="09173EE8"/>
    <w:rsid w:val="09175C96"/>
    <w:rsid w:val="091D0117"/>
    <w:rsid w:val="093004CF"/>
    <w:rsid w:val="093F58A1"/>
    <w:rsid w:val="094A4ABC"/>
    <w:rsid w:val="09576477"/>
    <w:rsid w:val="096179BB"/>
    <w:rsid w:val="0972361B"/>
    <w:rsid w:val="0975564E"/>
    <w:rsid w:val="09756E61"/>
    <w:rsid w:val="09960353"/>
    <w:rsid w:val="09BA00EB"/>
    <w:rsid w:val="09CE2CBD"/>
    <w:rsid w:val="09D576B0"/>
    <w:rsid w:val="09DB60EE"/>
    <w:rsid w:val="09E70122"/>
    <w:rsid w:val="09E70A54"/>
    <w:rsid w:val="0A0B7A36"/>
    <w:rsid w:val="0A0E360D"/>
    <w:rsid w:val="0A1301D3"/>
    <w:rsid w:val="0A437E58"/>
    <w:rsid w:val="0A4C5E14"/>
    <w:rsid w:val="0A5A7522"/>
    <w:rsid w:val="0A8528D5"/>
    <w:rsid w:val="0A862A0A"/>
    <w:rsid w:val="0A8A5B9F"/>
    <w:rsid w:val="0A8C398E"/>
    <w:rsid w:val="0AB01ABA"/>
    <w:rsid w:val="0AB15109"/>
    <w:rsid w:val="0ACC7DC1"/>
    <w:rsid w:val="0ACD3F95"/>
    <w:rsid w:val="0AD06002"/>
    <w:rsid w:val="0AD56F1F"/>
    <w:rsid w:val="0AEA3C8C"/>
    <w:rsid w:val="0AF0130E"/>
    <w:rsid w:val="0B100BEF"/>
    <w:rsid w:val="0B15565C"/>
    <w:rsid w:val="0B1A6AEB"/>
    <w:rsid w:val="0B1E0CF0"/>
    <w:rsid w:val="0B336D25"/>
    <w:rsid w:val="0B472390"/>
    <w:rsid w:val="0B4C5010"/>
    <w:rsid w:val="0B506729"/>
    <w:rsid w:val="0B617F61"/>
    <w:rsid w:val="0B652473"/>
    <w:rsid w:val="0B662038"/>
    <w:rsid w:val="0B7B0A12"/>
    <w:rsid w:val="0B7C73B6"/>
    <w:rsid w:val="0B8F7A05"/>
    <w:rsid w:val="0B9C78D4"/>
    <w:rsid w:val="0B9D52CE"/>
    <w:rsid w:val="0BC86665"/>
    <w:rsid w:val="0BCB55B0"/>
    <w:rsid w:val="0BE83010"/>
    <w:rsid w:val="0C054CDF"/>
    <w:rsid w:val="0C1B7D09"/>
    <w:rsid w:val="0C2332B7"/>
    <w:rsid w:val="0C3F55CB"/>
    <w:rsid w:val="0C4369A5"/>
    <w:rsid w:val="0C46431D"/>
    <w:rsid w:val="0C4A597A"/>
    <w:rsid w:val="0C4E558D"/>
    <w:rsid w:val="0C54313F"/>
    <w:rsid w:val="0C5B40EC"/>
    <w:rsid w:val="0C682B47"/>
    <w:rsid w:val="0C684A5B"/>
    <w:rsid w:val="0C765E64"/>
    <w:rsid w:val="0C7A59AB"/>
    <w:rsid w:val="0C7D4B50"/>
    <w:rsid w:val="0C7E2237"/>
    <w:rsid w:val="0C8773C6"/>
    <w:rsid w:val="0C8A3153"/>
    <w:rsid w:val="0CA22A6C"/>
    <w:rsid w:val="0CB071CB"/>
    <w:rsid w:val="0CD24D60"/>
    <w:rsid w:val="0D093B63"/>
    <w:rsid w:val="0D192688"/>
    <w:rsid w:val="0D2A4B38"/>
    <w:rsid w:val="0D2D5F16"/>
    <w:rsid w:val="0D3F7F2E"/>
    <w:rsid w:val="0D472A42"/>
    <w:rsid w:val="0D576AF6"/>
    <w:rsid w:val="0D670027"/>
    <w:rsid w:val="0D682BA3"/>
    <w:rsid w:val="0D705EC6"/>
    <w:rsid w:val="0D8E70B7"/>
    <w:rsid w:val="0D922074"/>
    <w:rsid w:val="0DB55A7E"/>
    <w:rsid w:val="0DB757B9"/>
    <w:rsid w:val="0DBE2A42"/>
    <w:rsid w:val="0DE7555E"/>
    <w:rsid w:val="0E280AF7"/>
    <w:rsid w:val="0E3948C5"/>
    <w:rsid w:val="0E455054"/>
    <w:rsid w:val="0E580534"/>
    <w:rsid w:val="0E634E64"/>
    <w:rsid w:val="0E694DA4"/>
    <w:rsid w:val="0E886814"/>
    <w:rsid w:val="0E994BEF"/>
    <w:rsid w:val="0EB74E09"/>
    <w:rsid w:val="0EED43B9"/>
    <w:rsid w:val="0EF21A59"/>
    <w:rsid w:val="0F0D7125"/>
    <w:rsid w:val="0F2122AB"/>
    <w:rsid w:val="0F43562D"/>
    <w:rsid w:val="0F4F162D"/>
    <w:rsid w:val="0F667602"/>
    <w:rsid w:val="0F757C40"/>
    <w:rsid w:val="0F824086"/>
    <w:rsid w:val="0F827279"/>
    <w:rsid w:val="0FAF60F6"/>
    <w:rsid w:val="0FB473C5"/>
    <w:rsid w:val="0FC27645"/>
    <w:rsid w:val="0FC43949"/>
    <w:rsid w:val="0FD541B5"/>
    <w:rsid w:val="0FDE5312"/>
    <w:rsid w:val="0FE801DA"/>
    <w:rsid w:val="0FEE346A"/>
    <w:rsid w:val="0FF62C9E"/>
    <w:rsid w:val="100131FC"/>
    <w:rsid w:val="10053ABA"/>
    <w:rsid w:val="101C4755"/>
    <w:rsid w:val="101E06C5"/>
    <w:rsid w:val="103F6BC1"/>
    <w:rsid w:val="10436662"/>
    <w:rsid w:val="10787C99"/>
    <w:rsid w:val="107B27F5"/>
    <w:rsid w:val="108F0B0B"/>
    <w:rsid w:val="10914D04"/>
    <w:rsid w:val="109738D6"/>
    <w:rsid w:val="10BD4744"/>
    <w:rsid w:val="10BE1B05"/>
    <w:rsid w:val="10C06570"/>
    <w:rsid w:val="10EB4EA8"/>
    <w:rsid w:val="10F32882"/>
    <w:rsid w:val="11217EB7"/>
    <w:rsid w:val="112600A1"/>
    <w:rsid w:val="11292B4D"/>
    <w:rsid w:val="114152BE"/>
    <w:rsid w:val="1161651C"/>
    <w:rsid w:val="11620605"/>
    <w:rsid w:val="11634D9B"/>
    <w:rsid w:val="118A244C"/>
    <w:rsid w:val="118E546D"/>
    <w:rsid w:val="11A2124C"/>
    <w:rsid w:val="11B113CA"/>
    <w:rsid w:val="11B35783"/>
    <w:rsid w:val="11B751CA"/>
    <w:rsid w:val="11BF2FF5"/>
    <w:rsid w:val="11C106B3"/>
    <w:rsid w:val="11C20C82"/>
    <w:rsid w:val="11C22BCD"/>
    <w:rsid w:val="11CB0E79"/>
    <w:rsid w:val="11CD2159"/>
    <w:rsid w:val="11D67AF3"/>
    <w:rsid w:val="11DB2733"/>
    <w:rsid w:val="11E53FE3"/>
    <w:rsid w:val="11E65F26"/>
    <w:rsid w:val="11E67F98"/>
    <w:rsid w:val="11E7249D"/>
    <w:rsid w:val="11EB2B56"/>
    <w:rsid w:val="11EC10FD"/>
    <w:rsid w:val="11F8786B"/>
    <w:rsid w:val="12101447"/>
    <w:rsid w:val="121F04D7"/>
    <w:rsid w:val="125137DB"/>
    <w:rsid w:val="125237DB"/>
    <w:rsid w:val="125A2E52"/>
    <w:rsid w:val="125C3F2F"/>
    <w:rsid w:val="125D4B05"/>
    <w:rsid w:val="125F1817"/>
    <w:rsid w:val="126264E7"/>
    <w:rsid w:val="12642E8C"/>
    <w:rsid w:val="12855B9F"/>
    <w:rsid w:val="12992AFA"/>
    <w:rsid w:val="129D6FDD"/>
    <w:rsid w:val="12A16193"/>
    <w:rsid w:val="12A37760"/>
    <w:rsid w:val="12C50511"/>
    <w:rsid w:val="12CC1A08"/>
    <w:rsid w:val="12CF5653"/>
    <w:rsid w:val="12D11F11"/>
    <w:rsid w:val="12DC6CC8"/>
    <w:rsid w:val="12E36BE9"/>
    <w:rsid w:val="12E75EE8"/>
    <w:rsid w:val="13043918"/>
    <w:rsid w:val="13070B2A"/>
    <w:rsid w:val="131D659F"/>
    <w:rsid w:val="13224E16"/>
    <w:rsid w:val="133F57E3"/>
    <w:rsid w:val="134C77A5"/>
    <w:rsid w:val="1350173C"/>
    <w:rsid w:val="13533D6F"/>
    <w:rsid w:val="13551FB1"/>
    <w:rsid w:val="13694D8F"/>
    <w:rsid w:val="13731B39"/>
    <w:rsid w:val="137E2472"/>
    <w:rsid w:val="139573F9"/>
    <w:rsid w:val="1398179A"/>
    <w:rsid w:val="13B66672"/>
    <w:rsid w:val="13B9781D"/>
    <w:rsid w:val="13C06F2A"/>
    <w:rsid w:val="13C30E6E"/>
    <w:rsid w:val="13D21E1A"/>
    <w:rsid w:val="13DF4882"/>
    <w:rsid w:val="13E730A4"/>
    <w:rsid w:val="13E92EF0"/>
    <w:rsid w:val="13ED42AC"/>
    <w:rsid w:val="13F1041E"/>
    <w:rsid w:val="13F41B98"/>
    <w:rsid w:val="13F731BE"/>
    <w:rsid w:val="140F0880"/>
    <w:rsid w:val="142A1D25"/>
    <w:rsid w:val="14494298"/>
    <w:rsid w:val="144E27C8"/>
    <w:rsid w:val="145E2C77"/>
    <w:rsid w:val="1472260B"/>
    <w:rsid w:val="14747B8F"/>
    <w:rsid w:val="147C0BA2"/>
    <w:rsid w:val="14983F42"/>
    <w:rsid w:val="14A625C4"/>
    <w:rsid w:val="14CE60CB"/>
    <w:rsid w:val="14D023A6"/>
    <w:rsid w:val="14D7551A"/>
    <w:rsid w:val="14EA3450"/>
    <w:rsid w:val="14ED46B4"/>
    <w:rsid w:val="14F44399"/>
    <w:rsid w:val="14F735E4"/>
    <w:rsid w:val="14F767B6"/>
    <w:rsid w:val="15057FD2"/>
    <w:rsid w:val="153068F2"/>
    <w:rsid w:val="15427C11"/>
    <w:rsid w:val="156B7B3E"/>
    <w:rsid w:val="15743F4C"/>
    <w:rsid w:val="157502EE"/>
    <w:rsid w:val="159810FE"/>
    <w:rsid w:val="15A47AE1"/>
    <w:rsid w:val="15AA5F3A"/>
    <w:rsid w:val="15AF0A7E"/>
    <w:rsid w:val="15B4151E"/>
    <w:rsid w:val="15B605E5"/>
    <w:rsid w:val="15C671FA"/>
    <w:rsid w:val="15CC7E09"/>
    <w:rsid w:val="15D50D05"/>
    <w:rsid w:val="15EF08C1"/>
    <w:rsid w:val="16031113"/>
    <w:rsid w:val="1628786A"/>
    <w:rsid w:val="1635641B"/>
    <w:rsid w:val="163B1F35"/>
    <w:rsid w:val="164F3493"/>
    <w:rsid w:val="165249F2"/>
    <w:rsid w:val="16725D01"/>
    <w:rsid w:val="16775FC6"/>
    <w:rsid w:val="167D1103"/>
    <w:rsid w:val="167E55A7"/>
    <w:rsid w:val="1686012F"/>
    <w:rsid w:val="168F227C"/>
    <w:rsid w:val="169A7A48"/>
    <w:rsid w:val="16C242B2"/>
    <w:rsid w:val="16C532A1"/>
    <w:rsid w:val="16C56270"/>
    <w:rsid w:val="16D50F3F"/>
    <w:rsid w:val="16E71981"/>
    <w:rsid w:val="16FC14B4"/>
    <w:rsid w:val="17017300"/>
    <w:rsid w:val="17054A4B"/>
    <w:rsid w:val="171F0861"/>
    <w:rsid w:val="172101C5"/>
    <w:rsid w:val="17262088"/>
    <w:rsid w:val="17311B27"/>
    <w:rsid w:val="17371249"/>
    <w:rsid w:val="173C0FBE"/>
    <w:rsid w:val="173D243C"/>
    <w:rsid w:val="174B41D2"/>
    <w:rsid w:val="17534ECF"/>
    <w:rsid w:val="17570993"/>
    <w:rsid w:val="17680D39"/>
    <w:rsid w:val="17705D8E"/>
    <w:rsid w:val="177276CE"/>
    <w:rsid w:val="1781047F"/>
    <w:rsid w:val="17920BDE"/>
    <w:rsid w:val="17991F6C"/>
    <w:rsid w:val="17A56B63"/>
    <w:rsid w:val="17B37D5D"/>
    <w:rsid w:val="17B44C4E"/>
    <w:rsid w:val="17C65C49"/>
    <w:rsid w:val="17C90AA4"/>
    <w:rsid w:val="17E4768B"/>
    <w:rsid w:val="17E9202D"/>
    <w:rsid w:val="18034494"/>
    <w:rsid w:val="180B07D7"/>
    <w:rsid w:val="181011F1"/>
    <w:rsid w:val="181D3EFA"/>
    <w:rsid w:val="1820517A"/>
    <w:rsid w:val="1827115F"/>
    <w:rsid w:val="18273A1C"/>
    <w:rsid w:val="182C2DE0"/>
    <w:rsid w:val="184045DF"/>
    <w:rsid w:val="184A37A9"/>
    <w:rsid w:val="185A794E"/>
    <w:rsid w:val="186A4851"/>
    <w:rsid w:val="18816834"/>
    <w:rsid w:val="1888450B"/>
    <w:rsid w:val="189A4826"/>
    <w:rsid w:val="18B479EE"/>
    <w:rsid w:val="18BF5BFC"/>
    <w:rsid w:val="18C760B4"/>
    <w:rsid w:val="18DF42F7"/>
    <w:rsid w:val="18EA4B9C"/>
    <w:rsid w:val="18ED25FE"/>
    <w:rsid w:val="19004EC8"/>
    <w:rsid w:val="190A35A1"/>
    <w:rsid w:val="19191CB5"/>
    <w:rsid w:val="1921193B"/>
    <w:rsid w:val="192A06DB"/>
    <w:rsid w:val="1934466C"/>
    <w:rsid w:val="193818C9"/>
    <w:rsid w:val="19410CE2"/>
    <w:rsid w:val="19461603"/>
    <w:rsid w:val="19522A1B"/>
    <w:rsid w:val="19533CC4"/>
    <w:rsid w:val="19624D0D"/>
    <w:rsid w:val="196523FB"/>
    <w:rsid w:val="198218DD"/>
    <w:rsid w:val="199A1C66"/>
    <w:rsid w:val="199E41EB"/>
    <w:rsid w:val="19AD48EF"/>
    <w:rsid w:val="19C06E4D"/>
    <w:rsid w:val="19EA58B8"/>
    <w:rsid w:val="19EE41FA"/>
    <w:rsid w:val="19FD2CFA"/>
    <w:rsid w:val="1A0631BA"/>
    <w:rsid w:val="1A26732D"/>
    <w:rsid w:val="1A2975D8"/>
    <w:rsid w:val="1A353C7B"/>
    <w:rsid w:val="1A3F2690"/>
    <w:rsid w:val="1A516943"/>
    <w:rsid w:val="1A5522C3"/>
    <w:rsid w:val="1A5A6066"/>
    <w:rsid w:val="1A6F2E5D"/>
    <w:rsid w:val="1A777345"/>
    <w:rsid w:val="1A8418E0"/>
    <w:rsid w:val="1A9048AD"/>
    <w:rsid w:val="1A98010F"/>
    <w:rsid w:val="1A9A0929"/>
    <w:rsid w:val="1A9B49BA"/>
    <w:rsid w:val="1A9C424D"/>
    <w:rsid w:val="1AA557C5"/>
    <w:rsid w:val="1AB33C07"/>
    <w:rsid w:val="1AD1379B"/>
    <w:rsid w:val="1AF64600"/>
    <w:rsid w:val="1AFF3C05"/>
    <w:rsid w:val="1B020838"/>
    <w:rsid w:val="1B0371F6"/>
    <w:rsid w:val="1B12147B"/>
    <w:rsid w:val="1B1D5567"/>
    <w:rsid w:val="1B484158"/>
    <w:rsid w:val="1B64395B"/>
    <w:rsid w:val="1B6F1727"/>
    <w:rsid w:val="1B811695"/>
    <w:rsid w:val="1B8374EB"/>
    <w:rsid w:val="1B8C6B7B"/>
    <w:rsid w:val="1B9E36ED"/>
    <w:rsid w:val="1BB66C98"/>
    <w:rsid w:val="1BB91038"/>
    <w:rsid w:val="1BBA0D00"/>
    <w:rsid w:val="1BBE1FA1"/>
    <w:rsid w:val="1BBF65FB"/>
    <w:rsid w:val="1BC31CAE"/>
    <w:rsid w:val="1BD17652"/>
    <w:rsid w:val="1BD57EC4"/>
    <w:rsid w:val="1BD71290"/>
    <w:rsid w:val="1BDA3D4E"/>
    <w:rsid w:val="1BDB6FF7"/>
    <w:rsid w:val="1BE7599C"/>
    <w:rsid w:val="1BF657FB"/>
    <w:rsid w:val="1C1A4633"/>
    <w:rsid w:val="1C2D0D45"/>
    <w:rsid w:val="1C3B283E"/>
    <w:rsid w:val="1C46619C"/>
    <w:rsid w:val="1C5B7206"/>
    <w:rsid w:val="1C6B7569"/>
    <w:rsid w:val="1C737230"/>
    <w:rsid w:val="1C7B4488"/>
    <w:rsid w:val="1C821221"/>
    <w:rsid w:val="1C8F1E0A"/>
    <w:rsid w:val="1C926E9A"/>
    <w:rsid w:val="1CA246C5"/>
    <w:rsid w:val="1CA51B98"/>
    <w:rsid w:val="1CAB4C1C"/>
    <w:rsid w:val="1CC16E7D"/>
    <w:rsid w:val="1CDA6B24"/>
    <w:rsid w:val="1CF36791"/>
    <w:rsid w:val="1CFA7EEF"/>
    <w:rsid w:val="1CFB1146"/>
    <w:rsid w:val="1CFB7432"/>
    <w:rsid w:val="1CFD19E5"/>
    <w:rsid w:val="1CFE6504"/>
    <w:rsid w:val="1D057D84"/>
    <w:rsid w:val="1D1D444D"/>
    <w:rsid w:val="1D2012A4"/>
    <w:rsid w:val="1D2812E8"/>
    <w:rsid w:val="1D37062D"/>
    <w:rsid w:val="1D3D753B"/>
    <w:rsid w:val="1D48246B"/>
    <w:rsid w:val="1D8253C4"/>
    <w:rsid w:val="1D8B05A9"/>
    <w:rsid w:val="1D9B0B7A"/>
    <w:rsid w:val="1DA1344E"/>
    <w:rsid w:val="1DB74DEB"/>
    <w:rsid w:val="1DBD46D0"/>
    <w:rsid w:val="1DD515F9"/>
    <w:rsid w:val="1DF12F0B"/>
    <w:rsid w:val="1E036392"/>
    <w:rsid w:val="1E331E3B"/>
    <w:rsid w:val="1E3C0E38"/>
    <w:rsid w:val="1E3E561C"/>
    <w:rsid w:val="1E561B49"/>
    <w:rsid w:val="1E585711"/>
    <w:rsid w:val="1E5B5B74"/>
    <w:rsid w:val="1E630A0A"/>
    <w:rsid w:val="1E6C24FF"/>
    <w:rsid w:val="1E8667CE"/>
    <w:rsid w:val="1EC77F94"/>
    <w:rsid w:val="1ED36885"/>
    <w:rsid w:val="1EDB21B2"/>
    <w:rsid w:val="1EE21D29"/>
    <w:rsid w:val="1EE44AB3"/>
    <w:rsid w:val="1EEA6F41"/>
    <w:rsid w:val="1EF16F7F"/>
    <w:rsid w:val="1EF47719"/>
    <w:rsid w:val="1F1D0128"/>
    <w:rsid w:val="1F3022FA"/>
    <w:rsid w:val="1F35157A"/>
    <w:rsid w:val="1F3553CF"/>
    <w:rsid w:val="1F3E1D5D"/>
    <w:rsid w:val="1F634978"/>
    <w:rsid w:val="1F6C007A"/>
    <w:rsid w:val="1F6E3177"/>
    <w:rsid w:val="1F6F04BA"/>
    <w:rsid w:val="1F745192"/>
    <w:rsid w:val="1F870ADE"/>
    <w:rsid w:val="1F8E296D"/>
    <w:rsid w:val="1FB41F12"/>
    <w:rsid w:val="1FB849F9"/>
    <w:rsid w:val="1FF85926"/>
    <w:rsid w:val="1FFA426C"/>
    <w:rsid w:val="20027E74"/>
    <w:rsid w:val="200A7472"/>
    <w:rsid w:val="2018775E"/>
    <w:rsid w:val="20231134"/>
    <w:rsid w:val="2024650C"/>
    <w:rsid w:val="203F0AC0"/>
    <w:rsid w:val="204C1D29"/>
    <w:rsid w:val="204F2120"/>
    <w:rsid w:val="20522D74"/>
    <w:rsid w:val="207F2647"/>
    <w:rsid w:val="207F26F9"/>
    <w:rsid w:val="20810E33"/>
    <w:rsid w:val="20835E3C"/>
    <w:rsid w:val="20A546FB"/>
    <w:rsid w:val="20AA734E"/>
    <w:rsid w:val="20BD5154"/>
    <w:rsid w:val="20CE3369"/>
    <w:rsid w:val="20E8137D"/>
    <w:rsid w:val="20E830A5"/>
    <w:rsid w:val="212703C6"/>
    <w:rsid w:val="21277874"/>
    <w:rsid w:val="212E01F5"/>
    <w:rsid w:val="2149596C"/>
    <w:rsid w:val="215C6880"/>
    <w:rsid w:val="216E4B1C"/>
    <w:rsid w:val="218C2939"/>
    <w:rsid w:val="218E7C39"/>
    <w:rsid w:val="218F0080"/>
    <w:rsid w:val="21AD5185"/>
    <w:rsid w:val="21BB6183"/>
    <w:rsid w:val="21C30DDB"/>
    <w:rsid w:val="21C55BE1"/>
    <w:rsid w:val="21CB11F3"/>
    <w:rsid w:val="21E17B80"/>
    <w:rsid w:val="21FA7AAB"/>
    <w:rsid w:val="225B2C40"/>
    <w:rsid w:val="22701A6E"/>
    <w:rsid w:val="22734646"/>
    <w:rsid w:val="228E25F9"/>
    <w:rsid w:val="22A51021"/>
    <w:rsid w:val="22C23296"/>
    <w:rsid w:val="22CC64E6"/>
    <w:rsid w:val="22D4475E"/>
    <w:rsid w:val="22D614C1"/>
    <w:rsid w:val="22FE2A3D"/>
    <w:rsid w:val="23146719"/>
    <w:rsid w:val="23666663"/>
    <w:rsid w:val="23693289"/>
    <w:rsid w:val="2386043E"/>
    <w:rsid w:val="238A7118"/>
    <w:rsid w:val="239147E1"/>
    <w:rsid w:val="23925DC8"/>
    <w:rsid w:val="23BB34F7"/>
    <w:rsid w:val="23C1671F"/>
    <w:rsid w:val="23CF4F44"/>
    <w:rsid w:val="23FB45AB"/>
    <w:rsid w:val="23FF2392"/>
    <w:rsid w:val="24050D58"/>
    <w:rsid w:val="241F0D2F"/>
    <w:rsid w:val="242343DD"/>
    <w:rsid w:val="24294C71"/>
    <w:rsid w:val="245310F2"/>
    <w:rsid w:val="245A2A83"/>
    <w:rsid w:val="24690131"/>
    <w:rsid w:val="246B6A3F"/>
    <w:rsid w:val="24737EDF"/>
    <w:rsid w:val="2475588F"/>
    <w:rsid w:val="24867DDC"/>
    <w:rsid w:val="248C5782"/>
    <w:rsid w:val="249A7C51"/>
    <w:rsid w:val="24C80E83"/>
    <w:rsid w:val="24D97FEB"/>
    <w:rsid w:val="24F46A34"/>
    <w:rsid w:val="24FD6D07"/>
    <w:rsid w:val="24FE0E05"/>
    <w:rsid w:val="24FF1810"/>
    <w:rsid w:val="251274D8"/>
    <w:rsid w:val="25342B59"/>
    <w:rsid w:val="25351FBB"/>
    <w:rsid w:val="25407D21"/>
    <w:rsid w:val="2566591A"/>
    <w:rsid w:val="256815C2"/>
    <w:rsid w:val="256A55C2"/>
    <w:rsid w:val="258343C6"/>
    <w:rsid w:val="258464A3"/>
    <w:rsid w:val="25A13DCB"/>
    <w:rsid w:val="25AC6401"/>
    <w:rsid w:val="25AF3989"/>
    <w:rsid w:val="25C73339"/>
    <w:rsid w:val="25CE57BA"/>
    <w:rsid w:val="25D62822"/>
    <w:rsid w:val="25E06FA5"/>
    <w:rsid w:val="25E26777"/>
    <w:rsid w:val="25F248AC"/>
    <w:rsid w:val="25F46702"/>
    <w:rsid w:val="25FA12B2"/>
    <w:rsid w:val="2606034A"/>
    <w:rsid w:val="261849A4"/>
    <w:rsid w:val="261D0218"/>
    <w:rsid w:val="26227891"/>
    <w:rsid w:val="26371DB0"/>
    <w:rsid w:val="263B02A5"/>
    <w:rsid w:val="26445799"/>
    <w:rsid w:val="26663961"/>
    <w:rsid w:val="26981F71"/>
    <w:rsid w:val="269B7AAF"/>
    <w:rsid w:val="26AE7CA4"/>
    <w:rsid w:val="26B424FB"/>
    <w:rsid w:val="26C24A7A"/>
    <w:rsid w:val="26C82F53"/>
    <w:rsid w:val="26CF6DC9"/>
    <w:rsid w:val="26F34F82"/>
    <w:rsid w:val="26F45411"/>
    <w:rsid w:val="27022C82"/>
    <w:rsid w:val="271E71B5"/>
    <w:rsid w:val="2725740A"/>
    <w:rsid w:val="27324713"/>
    <w:rsid w:val="27395BE5"/>
    <w:rsid w:val="274852F5"/>
    <w:rsid w:val="275E0690"/>
    <w:rsid w:val="27642A67"/>
    <w:rsid w:val="27773377"/>
    <w:rsid w:val="27802801"/>
    <w:rsid w:val="2785182E"/>
    <w:rsid w:val="27910957"/>
    <w:rsid w:val="279F6BEE"/>
    <w:rsid w:val="27A9782B"/>
    <w:rsid w:val="27C44DE4"/>
    <w:rsid w:val="27E72086"/>
    <w:rsid w:val="2803591A"/>
    <w:rsid w:val="280A3A9F"/>
    <w:rsid w:val="281F6B95"/>
    <w:rsid w:val="28405796"/>
    <w:rsid w:val="28482C7C"/>
    <w:rsid w:val="28520F35"/>
    <w:rsid w:val="28533D96"/>
    <w:rsid w:val="285A0C1F"/>
    <w:rsid w:val="288405A8"/>
    <w:rsid w:val="28891152"/>
    <w:rsid w:val="289A255F"/>
    <w:rsid w:val="289D7603"/>
    <w:rsid w:val="28BA3DA7"/>
    <w:rsid w:val="28D86187"/>
    <w:rsid w:val="28D9203E"/>
    <w:rsid w:val="28F44643"/>
    <w:rsid w:val="290E7CCD"/>
    <w:rsid w:val="291B6866"/>
    <w:rsid w:val="292E34B3"/>
    <w:rsid w:val="29435188"/>
    <w:rsid w:val="29491A44"/>
    <w:rsid w:val="29514715"/>
    <w:rsid w:val="295669E1"/>
    <w:rsid w:val="29606A91"/>
    <w:rsid w:val="29633B05"/>
    <w:rsid w:val="296946FD"/>
    <w:rsid w:val="29790D4B"/>
    <w:rsid w:val="297A0EBD"/>
    <w:rsid w:val="297A4F09"/>
    <w:rsid w:val="298A2ADF"/>
    <w:rsid w:val="29A410E7"/>
    <w:rsid w:val="29B661A7"/>
    <w:rsid w:val="29C31217"/>
    <w:rsid w:val="29C77D7E"/>
    <w:rsid w:val="29D11A3A"/>
    <w:rsid w:val="29D86924"/>
    <w:rsid w:val="29DD08B6"/>
    <w:rsid w:val="29F62B91"/>
    <w:rsid w:val="29FA460F"/>
    <w:rsid w:val="2A0C393A"/>
    <w:rsid w:val="2A117D6D"/>
    <w:rsid w:val="2A1F4553"/>
    <w:rsid w:val="2A245200"/>
    <w:rsid w:val="2A3578B6"/>
    <w:rsid w:val="2A477A60"/>
    <w:rsid w:val="2A6744A6"/>
    <w:rsid w:val="2A7259E0"/>
    <w:rsid w:val="2A7A2CF2"/>
    <w:rsid w:val="2A9F4496"/>
    <w:rsid w:val="2AC017A8"/>
    <w:rsid w:val="2AED4651"/>
    <w:rsid w:val="2B0F7802"/>
    <w:rsid w:val="2B120FC6"/>
    <w:rsid w:val="2B1335BC"/>
    <w:rsid w:val="2B195396"/>
    <w:rsid w:val="2B3C75A5"/>
    <w:rsid w:val="2B504321"/>
    <w:rsid w:val="2B726F92"/>
    <w:rsid w:val="2B7333BA"/>
    <w:rsid w:val="2B880C7D"/>
    <w:rsid w:val="2B8B2184"/>
    <w:rsid w:val="2B8B460C"/>
    <w:rsid w:val="2B8D6D40"/>
    <w:rsid w:val="2B94100A"/>
    <w:rsid w:val="2B9C78F2"/>
    <w:rsid w:val="2BB738F0"/>
    <w:rsid w:val="2BD47FA7"/>
    <w:rsid w:val="2BE401F3"/>
    <w:rsid w:val="2C081FC1"/>
    <w:rsid w:val="2C155C30"/>
    <w:rsid w:val="2C1D4255"/>
    <w:rsid w:val="2C232160"/>
    <w:rsid w:val="2C3A38C6"/>
    <w:rsid w:val="2C7101C8"/>
    <w:rsid w:val="2C8128F2"/>
    <w:rsid w:val="2C8139FE"/>
    <w:rsid w:val="2C970DD8"/>
    <w:rsid w:val="2C9B7506"/>
    <w:rsid w:val="2CA642C4"/>
    <w:rsid w:val="2CA90A4C"/>
    <w:rsid w:val="2CC52F23"/>
    <w:rsid w:val="2CDB1B96"/>
    <w:rsid w:val="2CE01EE6"/>
    <w:rsid w:val="2D096521"/>
    <w:rsid w:val="2D1A2E20"/>
    <w:rsid w:val="2D263E4A"/>
    <w:rsid w:val="2D2B2D5E"/>
    <w:rsid w:val="2D384877"/>
    <w:rsid w:val="2D431C65"/>
    <w:rsid w:val="2D476A76"/>
    <w:rsid w:val="2D5A3F6F"/>
    <w:rsid w:val="2D5A7C68"/>
    <w:rsid w:val="2D6343DA"/>
    <w:rsid w:val="2D7B7B0E"/>
    <w:rsid w:val="2D804BC8"/>
    <w:rsid w:val="2DA439FE"/>
    <w:rsid w:val="2DA52DF2"/>
    <w:rsid w:val="2DAA1EEE"/>
    <w:rsid w:val="2DAB174B"/>
    <w:rsid w:val="2DAC3053"/>
    <w:rsid w:val="2DBE22D5"/>
    <w:rsid w:val="2DCE723E"/>
    <w:rsid w:val="2DDE0C83"/>
    <w:rsid w:val="2DF0101B"/>
    <w:rsid w:val="2DFB56F7"/>
    <w:rsid w:val="2E372235"/>
    <w:rsid w:val="2E4775A3"/>
    <w:rsid w:val="2E70537D"/>
    <w:rsid w:val="2EA61C1D"/>
    <w:rsid w:val="2EB362F4"/>
    <w:rsid w:val="2EB45084"/>
    <w:rsid w:val="2EBD038A"/>
    <w:rsid w:val="2EDF69A7"/>
    <w:rsid w:val="2EE45D6B"/>
    <w:rsid w:val="2EFC5188"/>
    <w:rsid w:val="2F011E82"/>
    <w:rsid w:val="2F3F159C"/>
    <w:rsid w:val="2F5D384C"/>
    <w:rsid w:val="2F6858EF"/>
    <w:rsid w:val="2F735395"/>
    <w:rsid w:val="2F953172"/>
    <w:rsid w:val="2FDC590E"/>
    <w:rsid w:val="3002428B"/>
    <w:rsid w:val="300E6D10"/>
    <w:rsid w:val="30112B90"/>
    <w:rsid w:val="302E3742"/>
    <w:rsid w:val="303D1BD7"/>
    <w:rsid w:val="3046030C"/>
    <w:rsid w:val="305471AF"/>
    <w:rsid w:val="305807BF"/>
    <w:rsid w:val="30607673"/>
    <w:rsid w:val="307B120F"/>
    <w:rsid w:val="307E2483"/>
    <w:rsid w:val="308109CF"/>
    <w:rsid w:val="30B144B2"/>
    <w:rsid w:val="30BB10F6"/>
    <w:rsid w:val="30C03492"/>
    <w:rsid w:val="30E049F8"/>
    <w:rsid w:val="30E06A1A"/>
    <w:rsid w:val="30E11701"/>
    <w:rsid w:val="30EB2FD6"/>
    <w:rsid w:val="31002769"/>
    <w:rsid w:val="311A5440"/>
    <w:rsid w:val="31295CB7"/>
    <w:rsid w:val="31297C63"/>
    <w:rsid w:val="312A0296"/>
    <w:rsid w:val="31365A5E"/>
    <w:rsid w:val="313A1B3A"/>
    <w:rsid w:val="314D734D"/>
    <w:rsid w:val="31535D75"/>
    <w:rsid w:val="31585B86"/>
    <w:rsid w:val="31682861"/>
    <w:rsid w:val="317311E7"/>
    <w:rsid w:val="31743681"/>
    <w:rsid w:val="31A11A89"/>
    <w:rsid w:val="31AE1F4C"/>
    <w:rsid w:val="31B467A8"/>
    <w:rsid w:val="31BF4CA8"/>
    <w:rsid w:val="31C727CD"/>
    <w:rsid w:val="31D307B5"/>
    <w:rsid w:val="321C4841"/>
    <w:rsid w:val="322A6CA5"/>
    <w:rsid w:val="324C0B81"/>
    <w:rsid w:val="326D32D7"/>
    <w:rsid w:val="32700042"/>
    <w:rsid w:val="32BA34CE"/>
    <w:rsid w:val="32C5654E"/>
    <w:rsid w:val="32C83D55"/>
    <w:rsid w:val="32D85BE7"/>
    <w:rsid w:val="32F6606D"/>
    <w:rsid w:val="32FD6CBB"/>
    <w:rsid w:val="33091096"/>
    <w:rsid w:val="330C4261"/>
    <w:rsid w:val="33232830"/>
    <w:rsid w:val="33400C7A"/>
    <w:rsid w:val="33423060"/>
    <w:rsid w:val="33427161"/>
    <w:rsid w:val="33602BE2"/>
    <w:rsid w:val="33622144"/>
    <w:rsid w:val="33691A74"/>
    <w:rsid w:val="33816F02"/>
    <w:rsid w:val="33843CA1"/>
    <w:rsid w:val="338A2811"/>
    <w:rsid w:val="33A80D81"/>
    <w:rsid w:val="33AB3AE4"/>
    <w:rsid w:val="33BC627B"/>
    <w:rsid w:val="33E41108"/>
    <w:rsid w:val="33EA5BD2"/>
    <w:rsid w:val="33FA723C"/>
    <w:rsid w:val="34056568"/>
    <w:rsid w:val="34080F71"/>
    <w:rsid w:val="341D240D"/>
    <w:rsid w:val="341E7629"/>
    <w:rsid w:val="34336359"/>
    <w:rsid w:val="343B467F"/>
    <w:rsid w:val="34504E4E"/>
    <w:rsid w:val="347038AC"/>
    <w:rsid w:val="34745AE7"/>
    <w:rsid w:val="34791640"/>
    <w:rsid w:val="347C4240"/>
    <w:rsid w:val="348770E3"/>
    <w:rsid w:val="349A43F0"/>
    <w:rsid w:val="349C6F30"/>
    <w:rsid w:val="34A71D15"/>
    <w:rsid w:val="34C91C8B"/>
    <w:rsid w:val="34D5363D"/>
    <w:rsid w:val="34FC2F1F"/>
    <w:rsid w:val="34FD36E3"/>
    <w:rsid w:val="34FD3CCE"/>
    <w:rsid w:val="35013181"/>
    <w:rsid w:val="350D078A"/>
    <w:rsid w:val="351732AD"/>
    <w:rsid w:val="351A6043"/>
    <w:rsid w:val="351F2AC8"/>
    <w:rsid w:val="35202B10"/>
    <w:rsid w:val="352F4B34"/>
    <w:rsid w:val="353E5C02"/>
    <w:rsid w:val="35452ACB"/>
    <w:rsid w:val="35460DED"/>
    <w:rsid w:val="354D74BF"/>
    <w:rsid w:val="3562042D"/>
    <w:rsid w:val="35795E1D"/>
    <w:rsid w:val="35806225"/>
    <w:rsid w:val="35850AE6"/>
    <w:rsid w:val="358F6A4F"/>
    <w:rsid w:val="359A65E5"/>
    <w:rsid w:val="359D0A22"/>
    <w:rsid w:val="35BF4E3C"/>
    <w:rsid w:val="35CB1A33"/>
    <w:rsid w:val="35CB4DBD"/>
    <w:rsid w:val="35DB26B5"/>
    <w:rsid w:val="35DE1818"/>
    <w:rsid w:val="35DE6131"/>
    <w:rsid w:val="360A4401"/>
    <w:rsid w:val="36213CEA"/>
    <w:rsid w:val="36472039"/>
    <w:rsid w:val="36787E34"/>
    <w:rsid w:val="36894D46"/>
    <w:rsid w:val="36AD3FE8"/>
    <w:rsid w:val="36C63E5E"/>
    <w:rsid w:val="36E23F6C"/>
    <w:rsid w:val="36E711B0"/>
    <w:rsid w:val="36EB02F8"/>
    <w:rsid w:val="36F216B8"/>
    <w:rsid w:val="36F7526A"/>
    <w:rsid w:val="36FC06E4"/>
    <w:rsid w:val="370B04AA"/>
    <w:rsid w:val="37133B39"/>
    <w:rsid w:val="372B05B1"/>
    <w:rsid w:val="372D27B8"/>
    <w:rsid w:val="3739373D"/>
    <w:rsid w:val="373D070E"/>
    <w:rsid w:val="37460D95"/>
    <w:rsid w:val="37533A9C"/>
    <w:rsid w:val="375E1904"/>
    <w:rsid w:val="375F68D9"/>
    <w:rsid w:val="3768368A"/>
    <w:rsid w:val="376C1C6B"/>
    <w:rsid w:val="377F2241"/>
    <w:rsid w:val="378D1CDD"/>
    <w:rsid w:val="378E3EFF"/>
    <w:rsid w:val="37A334E0"/>
    <w:rsid w:val="37B40E9A"/>
    <w:rsid w:val="37BC7885"/>
    <w:rsid w:val="37EA6823"/>
    <w:rsid w:val="37F3691D"/>
    <w:rsid w:val="37F77FE4"/>
    <w:rsid w:val="37FF5FE1"/>
    <w:rsid w:val="38053C44"/>
    <w:rsid w:val="38105B60"/>
    <w:rsid w:val="3816607D"/>
    <w:rsid w:val="38207AF4"/>
    <w:rsid w:val="3828316D"/>
    <w:rsid w:val="38324C2E"/>
    <w:rsid w:val="383A7490"/>
    <w:rsid w:val="3842669F"/>
    <w:rsid w:val="38455ACD"/>
    <w:rsid w:val="38540DD6"/>
    <w:rsid w:val="386D77BF"/>
    <w:rsid w:val="38795B0F"/>
    <w:rsid w:val="387B035B"/>
    <w:rsid w:val="387C17C3"/>
    <w:rsid w:val="388A7983"/>
    <w:rsid w:val="38941765"/>
    <w:rsid w:val="38B451B6"/>
    <w:rsid w:val="38BE65D0"/>
    <w:rsid w:val="38F15F40"/>
    <w:rsid w:val="39150581"/>
    <w:rsid w:val="3920098D"/>
    <w:rsid w:val="392F5095"/>
    <w:rsid w:val="39446D1F"/>
    <w:rsid w:val="39465433"/>
    <w:rsid w:val="394C3930"/>
    <w:rsid w:val="395B6912"/>
    <w:rsid w:val="397C168C"/>
    <w:rsid w:val="39A64596"/>
    <w:rsid w:val="39A93E39"/>
    <w:rsid w:val="39B84349"/>
    <w:rsid w:val="39CE243D"/>
    <w:rsid w:val="39E96965"/>
    <w:rsid w:val="39F72F5C"/>
    <w:rsid w:val="3A0102E5"/>
    <w:rsid w:val="3A0616CA"/>
    <w:rsid w:val="3A0E1594"/>
    <w:rsid w:val="3A11234C"/>
    <w:rsid w:val="3A270325"/>
    <w:rsid w:val="3A2C4E1C"/>
    <w:rsid w:val="3A3F6C87"/>
    <w:rsid w:val="3A5749F1"/>
    <w:rsid w:val="3A6A3F34"/>
    <w:rsid w:val="3A731D7E"/>
    <w:rsid w:val="3AA60270"/>
    <w:rsid w:val="3AA815F4"/>
    <w:rsid w:val="3AAD6534"/>
    <w:rsid w:val="3AB71156"/>
    <w:rsid w:val="3AC81E50"/>
    <w:rsid w:val="3AC97DA6"/>
    <w:rsid w:val="3ACD2694"/>
    <w:rsid w:val="3AD450D9"/>
    <w:rsid w:val="3ADA6F0F"/>
    <w:rsid w:val="3AE83D6C"/>
    <w:rsid w:val="3AEC0481"/>
    <w:rsid w:val="3AF00157"/>
    <w:rsid w:val="3AFA5BC1"/>
    <w:rsid w:val="3AFE1C05"/>
    <w:rsid w:val="3B150CDB"/>
    <w:rsid w:val="3B2933AC"/>
    <w:rsid w:val="3B2F2AA8"/>
    <w:rsid w:val="3B367620"/>
    <w:rsid w:val="3B3B6468"/>
    <w:rsid w:val="3B516536"/>
    <w:rsid w:val="3BA1601A"/>
    <w:rsid w:val="3BA255ED"/>
    <w:rsid w:val="3BC12DA5"/>
    <w:rsid w:val="3BD5544C"/>
    <w:rsid w:val="3BE90506"/>
    <w:rsid w:val="3BEB6832"/>
    <w:rsid w:val="3BF36D1E"/>
    <w:rsid w:val="3C035CAA"/>
    <w:rsid w:val="3C382EB9"/>
    <w:rsid w:val="3C40766B"/>
    <w:rsid w:val="3C575DCE"/>
    <w:rsid w:val="3C6718E5"/>
    <w:rsid w:val="3C692C22"/>
    <w:rsid w:val="3C7351B6"/>
    <w:rsid w:val="3C883520"/>
    <w:rsid w:val="3C8E5615"/>
    <w:rsid w:val="3CA555DA"/>
    <w:rsid w:val="3CB2101F"/>
    <w:rsid w:val="3CBB5BE1"/>
    <w:rsid w:val="3CBD35C8"/>
    <w:rsid w:val="3CC95A26"/>
    <w:rsid w:val="3CEE3FD3"/>
    <w:rsid w:val="3CF7775F"/>
    <w:rsid w:val="3D167888"/>
    <w:rsid w:val="3D17453A"/>
    <w:rsid w:val="3D1912D6"/>
    <w:rsid w:val="3D2F6909"/>
    <w:rsid w:val="3D392A58"/>
    <w:rsid w:val="3D3B749E"/>
    <w:rsid w:val="3D605157"/>
    <w:rsid w:val="3D6427E8"/>
    <w:rsid w:val="3D670480"/>
    <w:rsid w:val="3D6D0419"/>
    <w:rsid w:val="3D7D10B9"/>
    <w:rsid w:val="3D7F28B3"/>
    <w:rsid w:val="3D932D3B"/>
    <w:rsid w:val="3DBD00E4"/>
    <w:rsid w:val="3DC10CF3"/>
    <w:rsid w:val="3DC56D68"/>
    <w:rsid w:val="3DCD690D"/>
    <w:rsid w:val="3DE113F3"/>
    <w:rsid w:val="3DF756F5"/>
    <w:rsid w:val="3E043841"/>
    <w:rsid w:val="3E1876AA"/>
    <w:rsid w:val="3E1B2F9A"/>
    <w:rsid w:val="3E2A5B04"/>
    <w:rsid w:val="3E2F7455"/>
    <w:rsid w:val="3E460818"/>
    <w:rsid w:val="3E536039"/>
    <w:rsid w:val="3E570308"/>
    <w:rsid w:val="3E5C76CC"/>
    <w:rsid w:val="3E68304D"/>
    <w:rsid w:val="3E762FF7"/>
    <w:rsid w:val="3EB40CEE"/>
    <w:rsid w:val="3EB61F57"/>
    <w:rsid w:val="3EBD28B3"/>
    <w:rsid w:val="3EC2641B"/>
    <w:rsid w:val="3ED26A13"/>
    <w:rsid w:val="3ED73FEB"/>
    <w:rsid w:val="3EE8697C"/>
    <w:rsid w:val="3EF340CC"/>
    <w:rsid w:val="3F13001A"/>
    <w:rsid w:val="3F25749A"/>
    <w:rsid w:val="3F2D73D8"/>
    <w:rsid w:val="3F3561B4"/>
    <w:rsid w:val="3F4237A1"/>
    <w:rsid w:val="3F495220"/>
    <w:rsid w:val="3F506818"/>
    <w:rsid w:val="3F651C20"/>
    <w:rsid w:val="3F67457A"/>
    <w:rsid w:val="3F6C3F7D"/>
    <w:rsid w:val="3F8424FD"/>
    <w:rsid w:val="3F855ED9"/>
    <w:rsid w:val="3F9417C7"/>
    <w:rsid w:val="3FB53BB4"/>
    <w:rsid w:val="3FBD1D06"/>
    <w:rsid w:val="3FE36C1C"/>
    <w:rsid w:val="3FE87C14"/>
    <w:rsid w:val="3FEB19D5"/>
    <w:rsid w:val="3FF04C8E"/>
    <w:rsid w:val="3FFE126A"/>
    <w:rsid w:val="3FFF6D40"/>
    <w:rsid w:val="4002756A"/>
    <w:rsid w:val="400C4E7A"/>
    <w:rsid w:val="40145621"/>
    <w:rsid w:val="40167D4F"/>
    <w:rsid w:val="401C6509"/>
    <w:rsid w:val="40377B4A"/>
    <w:rsid w:val="4053273B"/>
    <w:rsid w:val="40593466"/>
    <w:rsid w:val="406278B2"/>
    <w:rsid w:val="40694322"/>
    <w:rsid w:val="40772EDD"/>
    <w:rsid w:val="408251EC"/>
    <w:rsid w:val="40C83A3B"/>
    <w:rsid w:val="40E1278D"/>
    <w:rsid w:val="40E252DA"/>
    <w:rsid w:val="40E701AA"/>
    <w:rsid w:val="410222CF"/>
    <w:rsid w:val="41054365"/>
    <w:rsid w:val="410E5148"/>
    <w:rsid w:val="411B561D"/>
    <w:rsid w:val="4139463B"/>
    <w:rsid w:val="414C1EFF"/>
    <w:rsid w:val="414C5289"/>
    <w:rsid w:val="41552CCE"/>
    <w:rsid w:val="41574128"/>
    <w:rsid w:val="417650A8"/>
    <w:rsid w:val="41790595"/>
    <w:rsid w:val="418B250C"/>
    <w:rsid w:val="41935E0A"/>
    <w:rsid w:val="419D4283"/>
    <w:rsid w:val="419E3E89"/>
    <w:rsid w:val="41B40DA6"/>
    <w:rsid w:val="41D23F76"/>
    <w:rsid w:val="41D84509"/>
    <w:rsid w:val="41D916D8"/>
    <w:rsid w:val="41ED3AA2"/>
    <w:rsid w:val="41F10D50"/>
    <w:rsid w:val="42057EAF"/>
    <w:rsid w:val="42073C32"/>
    <w:rsid w:val="420F1D94"/>
    <w:rsid w:val="42170836"/>
    <w:rsid w:val="421B0D49"/>
    <w:rsid w:val="4231584B"/>
    <w:rsid w:val="423311D7"/>
    <w:rsid w:val="42334BE8"/>
    <w:rsid w:val="423A1733"/>
    <w:rsid w:val="423B41CE"/>
    <w:rsid w:val="4241243F"/>
    <w:rsid w:val="4241293C"/>
    <w:rsid w:val="424663B4"/>
    <w:rsid w:val="42901A54"/>
    <w:rsid w:val="42CA5391"/>
    <w:rsid w:val="42CD45BA"/>
    <w:rsid w:val="42D31F27"/>
    <w:rsid w:val="42D865DE"/>
    <w:rsid w:val="42DE76B9"/>
    <w:rsid w:val="430975A7"/>
    <w:rsid w:val="430D4AC0"/>
    <w:rsid w:val="431E047F"/>
    <w:rsid w:val="431E65EF"/>
    <w:rsid w:val="43372319"/>
    <w:rsid w:val="434314E3"/>
    <w:rsid w:val="43533B0E"/>
    <w:rsid w:val="43612CC4"/>
    <w:rsid w:val="439A5C94"/>
    <w:rsid w:val="439E1366"/>
    <w:rsid w:val="43CF2D34"/>
    <w:rsid w:val="43E323A3"/>
    <w:rsid w:val="43F81FAE"/>
    <w:rsid w:val="4400649E"/>
    <w:rsid w:val="44007A3E"/>
    <w:rsid w:val="44113AFA"/>
    <w:rsid w:val="443773EC"/>
    <w:rsid w:val="44393CD7"/>
    <w:rsid w:val="44471A64"/>
    <w:rsid w:val="44583765"/>
    <w:rsid w:val="446965EF"/>
    <w:rsid w:val="4478624B"/>
    <w:rsid w:val="4484172B"/>
    <w:rsid w:val="448A4F92"/>
    <w:rsid w:val="448B2AB9"/>
    <w:rsid w:val="4493367B"/>
    <w:rsid w:val="44A1360D"/>
    <w:rsid w:val="44A47158"/>
    <w:rsid w:val="44AB74B4"/>
    <w:rsid w:val="44BA6D1D"/>
    <w:rsid w:val="44BE6F00"/>
    <w:rsid w:val="44BF1BB1"/>
    <w:rsid w:val="44BF4F23"/>
    <w:rsid w:val="44D53D34"/>
    <w:rsid w:val="44DE708D"/>
    <w:rsid w:val="44E04496"/>
    <w:rsid w:val="45132AAF"/>
    <w:rsid w:val="452905F3"/>
    <w:rsid w:val="45321187"/>
    <w:rsid w:val="45324925"/>
    <w:rsid w:val="453C293E"/>
    <w:rsid w:val="453F27B7"/>
    <w:rsid w:val="45492371"/>
    <w:rsid w:val="4550160D"/>
    <w:rsid w:val="45544611"/>
    <w:rsid w:val="455E0543"/>
    <w:rsid w:val="456C79F9"/>
    <w:rsid w:val="45784D87"/>
    <w:rsid w:val="4579070F"/>
    <w:rsid w:val="45792890"/>
    <w:rsid w:val="45796DB6"/>
    <w:rsid w:val="45814100"/>
    <w:rsid w:val="45A906C7"/>
    <w:rsid w:val="45BB117C"/>
    <w:rsid w:val="45CA192E"/>
    <w:rsid w:val="45D84426"/>
    <w:rsid w:val="45E50B5F"/>
    <w:rsid w:val="46067FA6"/>
    <w:rsid w:val="460E0337"/>
    <w:rsid w:val="46333DFA"/>
    <w:rsid w:val="46344622"/>
    <w:rsid w:val="46367B3A"/>
    <w:rsid w:val="46386C71"/>
    <w:rsid w:val="463A4797"/>
    <w:rsid w:val="463D28A8"/>
    <w:rsid w:val="465366D4"/>
    <w:rsid w:val="465B56B4"/>
    <w:rsid w:val="46713303"/>
    <w:rsid w:val="467B6EDF"/>
    <w:rsid w:val="46835F2A"/>
    <w:rsid w:val="4685016C"/>
    <w:rsid w:val="46977D08"/>
    <w:rsid w:val="469B0FAE"/>
    <w:rsid w:val="46AA2A55"/>
    <w:rsid w:val="46B710FE"/>
    <w:rsid w:val="46BC0687"/>
    <w:rsid w:val="46BD7176"/>
    <w:rsid w:val="46C74F03"/>
    <w:rsid w:val="46C86F17"/>
    <w:rsid w:val="46D16C55"/>
    <w:rsid w:val="46D21AC8"/>
    <w:rsid w:val="46D30747"/>
    <w:rsid w:val="46ED1809"/>
    <w:rsid w:val="46F40267"/>
    <w:rsid w:val="46F6496D"/>
    <w:rsid w:val="46FE0310"/>
    <w:rsid w:val="470642E6"/>
    <w:rsid w:val="47167953"/>
    <w:rsid w:val="471A292F"/>
    <w:rsid w:val="471A5224"/>
    <w:rsid w:val="47223B98"/>
    <w:rsid w:val="4723522B"/>
    <w:rsid w:val="47247F0E"/>
    <w:rsid w:val="47267C1B"/>
    <w:rsid w:val="473E459A"/>
    <w:rsid w:val="4755124D"/>
    <w:rsid w:val="47572588"/>
    <w:rsid w:val="476A005D"/>
    <w:rsid w:val="476F12F3"/>
    <w:rsid w:val="47736E78"/>
    <w:rsid w:val="47796B36"/>
    <w:rsid w:val="478B77DC"/>
    <w:rsid w:val="47967E90"/>
    <w:rsid w:val="4797154C"/>
    <w:rsid w:val="47A9424D"/>
    <w:rsid w:val="47AE39B0"/>
    <w:rsid w:val="47B21214"/>
    <w:rsid w:val="47BB799F"/>
    <w:rsid w:val="47CE0099"/>
    <w:rsid w:val="47DE0285"/>
    <w:rsid w:val="47E57940"/>
    <w:rsid w:val="47E72A39"/>
    <w:rsid w:val="47F77566"/>
    <w:rsid w:val="47FC782A"/>
    <w:rsid w:val="480D1013"/>
    <w:rsid w:val="481B4154"/>
    <w:rsid w:val="481C1F20"/>
    <w:rsid w:val="48284AC3"/>
    <w:rsid w:val="482A4F65"/>
    <w:rsid w:val="48480992"/>
    <w:rsid w:val="484963FE"/>
    <w:rsid w:val="485B547D"/>
    <w:rsid w:val="486D6458"/>
    <w:rsid w:val="486F6225"/>
    <w:rsid w:val="48801F0A"/>
    <w:rsid w:val="488C6978"/>
    <w:rsid w:val="488D48CD"/>
    <w:rsid w:val="48944922"/>
    <w:rsid w:val="489A695D"/>
    <w:rsid w:val="489C7EA5"/>
    <w:rsid w:val="48B15A3D"/>
    <w:rsid w:val="48BA1F20"/>
    <w:rsid w:val="48C32662"/>
    <w:rsid w:val="48DC6DB3"/>
    <w:rsid w:val="48E4548A"/>
    <w:rsid w:val="48E54445"/>
    <w:rsid w:val="48EF5297"/>
    <w:rsid w:val="48EF5944"/>
    <w:rsid w:val="48FD678A"/>
    <w:rsid w:val="490902EF"/>
    <w:rsid w:val="49154451"/>
    <w:rsid w:val="491F6F58"/>
    <w:rsid w:val="4924342C"/>
    <w:rsid w:val="4928049D"/>
    <w:rsid w:val="49283B2E"/>
    <w:rsid w:val="492A4BB1"/>
    <w:rsid w:val="493111B0"/>
    <w:rsid w:val="49401FE0"/>
    <w:rsid w:val="494616A5"/>
    <w:rsid w:val="495E0001"/>
    <w:rsid w:val="49712C8E"/>
    <w:rsid w:val="497C5511"/>
    <w:rsid w:val="497E7236"/>
    <w:rsid w:val="498378F5"/>
    <w:rsid w:val="49941F07"/>
    <w:rsid w:val="49B4701F"/>
    <w:rsid w:val="49B65DC9"/>
    <w:rsid w:val="49BE3781"/>
    <w:rsid w:val="49C443DF"/>
    <w:rsid w:val="49C70E69"/>
    <w:rsid w:val="49C93E8E"/>
    <w:rsid w:val="49D942C7"/>
    <w:rsid w:val="49D946BF"/>
    <w:rsid w:val="49DC090A"/>
    <w:rsid w:val="49E82B6B"/>
    <w:rsid w:val="49EE01CE"/>
    <w:rsid w:val="49F11610"/>
    <w:rsid w:val="49FB4DA8"/>
    <w:rsid w:val="4A023127"/>
    <w:rsid w:val="4A0C033F"/>
    <w:rsid w:val="4A305D79"/>
    <w:rsid w:val="4A4E7233"/>
    <w:rsid w:val="4A511DB0"/>
    <w:rsid w:val="4A5D5BF7"/>
    <w:rsid w:val="4A66784F"/>
    <w:rsid w:val="4A736C2C"/>
    <w:rsid w:val="4A741A5F"/>
    <w:rsid w:val="4A8C1339"/>
    <w:rsid w:val="4AA26708"/>
    <w:rsid w:val="4AA30E3B"/>
    <w:rsid w:val="4AA537C5"/>
    <w:rsid w:val="4AB054CD"/>
    <w:rsid w:val="4AD30D16"/>
    <w:rsid w:val="4B036711"/>
    <w:rsid w:val="4B0A5933"/>
    <w:rsid w:val="4B1E14FF"/>
    <w:rsid w:val="4B1E57B9"/>
    <w:rsid w:val="4B2C6CED"/>
    <w:rsid w:val="4B425E9C"/>
    <w:rsid w:val="4B462466"/>
    <w:rsid w:val="4B475799"/>
    <w:rsid w:val="4B5F395F"/>
    <w:rsid w:val="4B886661"/>
    <w:rsid w:val="4B8B5936"/>
    <w:rsid w:val="4B8C32D1"/>
    <w:rsid w:val="4B8E12D6"/>
    <w:rsid w:val="4B986978"/>
    <w:rsid w:val="4BD175BE"/>
    <w:rsid w:val="4BF41951"/>
    <w:rsid w:val="4C245534"/>
    <w:rsid w:val="4C2779CF"/>
    <w:rsid w:val="4C2C2930"/>
    <w:rsid w:val="4C4E70D5"/>
    <w:rsid w:val="4C632703"/>
    <w:rsid w:val="4C672128"/>
    <w:rsid w:val="4C734F10"/>
    <w:rsid w:val="4C7621BE"/>
    <w:rsid w:val="4C7B3217"/>
    <w:rsid w:val="4C852AB6"/>
    <w:rsid w:val="4C9743B6"/>
    <w:rsid w:val="4CAA5AA7"/>
    <w:rsid w:val="4CE36FA1"/>
    <w:rsid w:val="4CEE4218"/>
    <w:rsid w:val="4CF55ED7"/>
    <w:rsid w:val="4CF71082"/>
    <w:rsid w:val="4D273649"/>
    <w:rsid w:val="4D303277"/>
    <w:rsid w:val="4D3F276A"/>
    <w:rsid w:val="4D4F0BC0"/>
    <w:rsid w:val="4D591114"/>
    <w:rsid w:val="4D670A85"/>
    <w:rsid w:val="4D6C0ACB"/>
    <w:rsid w:val="4D806473"/>
    <w:rsid w:val="4DAD774C"/>
    <w:rsid w:val="4DB87F6B"/>
    <w:rsid w:val="4DEE0130"/>
    <w:rsid w:val="4DF0398D"/>
    <w:rsid w:val="4DF85FC0"/>
    <w:rsid w:val="4DFC5A16"/>
    <w:rsid w:val="4E025656"/>
    <w:rsid w:val="4E0307D0"/>
    <w:rsid w:val="4E3F3F23"/>
    <w:rsid w:val="4E476702"/>
    <w:rsid w:val="4E4C49ED"/>
    <w:rsid w:val="4E600A4F"/>
    <w:rsid w:val="4E6B1103"/>
    <w:rsid w:val="4E7153FF"/>
    <w:rsid w:val="4E7B029B"/>
    <w:rsid w:val="4E8171D2"/>
    <w:rsid w:val="4EA92ABB"/>
    <w:rsid w:val="4EB7239C"/>
    <w:rsid w:val="4EBB21ED"/>
    <w:rsid w:val="4ED61833"/>
    <w:rsid w:val="4EDA18B9"/>
    <w:rsid w:val="4EEE25C2"/>
    <w:rsid w:val="4EF925E5"/>
    <w:rsid w:val="4F09196C"/>
    <w:rsid w:val="4F0B4347"/>
    <w:rsid w:val="4F112FA7"/>
    <w:rsid w:val="4F291E38"/>
    <w:rsid w:val="4F573543"/>
    <w:rsid w:val="4F580F26"/>
    <w:rsid w:val="4F6F3053"/>
    <w:rsid w:val="4F9864B2"/>
    <w:rsid w:val="4FAE4C09"/>
    <w:rsid w:val="4FC05E61"/>
    <w:rsid w:val="4FC337C0"/>
    <w:rsid w:val="4FE3492E"/>
    <w:rsid w:val="50050C1F"/>
    <w:rsid w:val="501C4E89"/>
    <w:rsid w:val="5030599B"/>
    <w:rsid w:val="50381FFE"/>
    <w:rsid w:val="504273C9"/>
    <w:rsid w:val="505D1D00"/>
    <w:rsid w:val="506E075B"/>
    <w:rsid w:val="50B415EA"/>
    <w:rsid w:val="50BF4DB1"/>
    <w:rsid w:val="50CA01DA"/>
    <w:rsid w:val="50CF1F9A"/>
    <w:rsid w:val="50DD3BA3"/>
    <w:rsid w:val="50DD3E3A"/>
    <w:rsid w:val="50E61CAB"/>
    <w:rsid w:val="510830D9"/>
    <w:rsid w:val="51142088"/>
    <w:rsid w:val="51165940"/>
    <w:rsid w:val="51294DD6"/>
    <w:rsid w:val="51597A9B"/>
    <w:rsid w:val="516C61A5"/>
    <w:rsid w:val="516F6379"/>
    <w:rsid w:val="51750D79"/>
    <w:rsid w:val="517C316A"/>
    <w:rsid w:val="51803658"/>
    <w:rsid w:val="5182074A"/>
    <w:rsid w:val="518A56C7"/>
    <w:rsid w:val="51A131B2"/>
    <w:rsid w:val="51BF1AEA"/>
    <w:rsid w:val="51FD0B46"/>
    <w:rsid w:val="520B13BF"/>
    <w:rsid w:val="52295D9F"/>
    <w:rsid w:val="523C1BE3"/>
    <w:rsid w:val="52563E33"/>
    <w:rsid w:val="52564E15"/>
    <w:rsid w:val="525E0416"/>
    <w:rsid w:val="527B72D6"/>
    <w:rsid w:val="52982371"/>
    <w:rsid w:val="52A97A4C"/>
    <w:rsid w:val="52AC1BCA"/>
    <w:rsid w:val="52AC6C64"/>
    <w:rsid w:val="52B416A7"/>
    <w:rsid w:val="52C13A04"/>
    <w:rsid w:val="52E83A51"/>
    <w:rsid w:val="52EC6844"/>
    <w:rsid w:val="52EE3667"/>
    <w:rsid w:val="531F4F4F"/>
    <w:rsid w:val="532C5548"/>
    <w:rsid w:val="532E1689"/>
    <w:rsid w:val="53325FAA"/>
    <w:rsid w:val="53546749"/>
    <w:rsid w:val="53597329"/>
    <w:rsid w:val="535A424D"/>
    <w:rsid w:val="5369291D"/>
    <w:rsid w:val="537E3022"/>
    <w:rsid w:val="53882361"/>
    <w:rsid w:val="538E1256"/>
    <w:rsid w:val="53970983"/>
    <w:rsid w:val="539A30E1"/>
    <w:rsid w:val="53A914DA"/>
    <w:rsid w:val="53BC34C4"/>
    <w:rsid w:val="53CE29B7"/>
    <w:rsid w:val="53DE6783"/>
    <w:rsid w:val="53EC4BF7"/>
    <w:rsid w:val="53FF3532"/>
    <w:rsid w:val="54005B2A"/>
    <w:rsid w:val="540C2117"/>
    <w:rsid w:val="542B4BB8"/>
    <w:rsid w:val="5435127D"/>
    <w:rsid w:val="54352A41"/>
    <w:rsid w:val="543D2033"/>
    <w:rsid w:val="543F0BFD"/>
    <w:rsid w:val="54433DE2"/>
    <w:rsid w:val="54451376"/>
    <w:rsid w:val="544861F2"/>
    <w:rsid w:val="546503F1"/>
    <w:rsid w:val="5480370F"/>
    <w:rsid w:val="54902752"/>
    <w:rsid w:val="54AA3C33"/>
    <w:rsid w:val="54B12D9C"/>
    <w:rsid w:val="54BB1851"/>
    <w:rsid w:val="54C808F4"/>
    <w:rsid w:val="54C85664"/>
    <w:rsid w:val="54DC7152"/>
    <w:rsid w:val="54DE257B"/>
    <w:rsid w:val="55052414"/>
    <w:rsid w:val="55237250"/>
    <w:rsid w:val="553805B0"/>
    <w:rsid w:val="553D5A1E"/>
    <w:rsid w:val="55582FF0"/>
    <w:rsid w:val="5559393E"/>
    <w:rsid w:val="556303E7"/>
    <w:rsid w:val="55670917"/>
    <w:rsid w:val="55721EDF"/>
    <w:rsid w:val="55776D00"/>
    <w:rsid w:val="55973C68"/>
    <w:rsid w:val="559D5F05"/>
    <w:rsid w:val="55A0704C"/>
    <w:rsid w:val="55A377E9"/>
    <w:rsid w:val="55A439DB"/>
    <w:rsid w:val="55AF0CE4"/>
    <w:rsid w:val="55C47D86"/>
    <w:rsid w:val="55C8256A"/>
    <w:rsid w:val="55D32512"/>
    <w:rsid w:val="55D51D4E"/>
    <w:rsid w:val="55DD38ED"/>
    <w:rsid w:val="5609115F"/>
    <w:rsid w:val="56141CC7"/>
    <w:rsid w:val="561502F5"/>
    <w:rsid w:val="561E08B1"/>
    <w:rsid w:val="562D3205"/>
    <w:rsid w:val="5632389E"/>
    <w:rsid w:val="5664227F"/>
    <w:rsid w:val="56704578"/>
    <w:rsid w:val="56B67B93"/>
    <w:rsid w:val="56B82CD0"/>
    <w:rsid w:val="56BB7F10"/>
    <w:rsid w:val="56EA1F97"/>
    <w:rsid w:val="56FD2A8F"/>
    <w:rsid w:val="57185255"/>
    <w:rsid w:val="571934ED"/>
    <w:rsid w:val="572A7BF9"/>
    <w:rsid w:val="573F5E3C"/>
    <w:rsid w:val="57403161"/>
    <w:rsid w:val="574C432A"/>
    <w:rsid w:val="575E2CCB"/>
    <w:rsid w:val="575F02DD"/>
    <w:rsid w:val="576171EA"/>
    <w:rsid w:val="57732429"/>
    <w:rsid w:val="577F5F66"/>
    <w:rsid w:val="578202D2"/>
    <w:rsid w:val="57A1459F"/>
    <w:rsid w:val="57AA5D1A"/>
    <w:rsid w:val="57AB074C"/>
    <w:rsid w:val="57B37537"/>
    <w:rsid w:val="57BF0914"/>
    <w:rsid w:val="57C0556F"/>
    <w:rsid w:val="58016AE1"/>
    <w:rsid w:val="581D4642"/>
    <w:rsid w:val="58363268"/>
    <w:rsid w:val="58372026"/>
    <w:rsid w:val="583E0664"/>
    <w:rsid w:val="58401151"/>
    <w:rsid w:val="58445001"/>
    <w:rsid w:val="585A3541"/>
    <w:rsid w:val="586274F7"/>
    <w:rsid w:val="587316C8"/>
    <w:rsid w:val="587908A8"/>
    <w:rsid w:val="587A1256"/>
    <w:rsid w:val="588B2420"/>
    <w:rsid w:val="5895337D"/>
    <w:rsid w:val="589A6E8D"/>
    <w:rsid w:val="58A60708"/>
    <w:rsid w:val="58C85DCF"/>
    <w:rsid w:val="58DD7EE3"/>
    <w:rsid w:val="58E97F2A"/>
    <w:rsid w:val="58ED12F5"/>
    <w:rsid w:val="58F935D2"/>
    <w:rsid w:val="59065EE0"/>
    <w:rsid w:val="590B3D71"/>
    <w:rsid w:val="592233B5"/>
    <w:rsid w:val="592C7E8A"/>
    <w:rsid w:val="59300FC8"/>
    <w:rsid w:val="593F31AE"/>
    <w:rsid w:val="59716306"/>
    <w:rsid w:val="597E3F8E"/>
    <w:rsid w:val="59814033"/>
    <w:rsid w:val="598B4262"/>
    <w:rsid w:val="59A71618"/>
    <w:rsid w:val="59B203FE"/>
    <w:rsid w:val="59BE6A7E"/>
    <w:rsid w:val="59C65504"/>
    <w:rsid w:val="59C80E72"/>
    <w:rsid w:val="59C90ECD"/>
    <w:rsid w:val="59E720E8"/>
    <w:rsid w:val="59FA683F"/>
    <w:rsid w:val="59FE08FA"/>
    <w:rsid w:val="5A055363"/>
    <w:rsid w:val="5A07294F"/>
    <w:rsid w:val="5A0E3B19"/>
    <w:rsid w:val="5A1D4F8C"/>
    <w:rsid w:val="5A221332"/>
    <w:rsid w:val="5A355919"/>
    <w:rsid w:val="5A3952E3"/>
    <w:rsid w:val="5A6000EC"/>
    <w:rsid w:val="5A650F37"/>
    <w:rsid w:val="5A6A0612"/>
    <w:rsid w:val="5A6B6153"/>
    <w:rsid w:val="5A6F77E0"/>
    <w:rsid w:val="5A7631EB"/>
    <w:rsid w:val="5A9F200A"/>
    <w:rsid w:val="5AA5630F"/>
    <w:rsid w:val="5AAC6D46"/>
    <w:rsid w:val="5AC80B60"/>
    <w:rsid w:val="5AC83FB2"/>
    <w:rsid w:val="5ACD78C8"/>
    <w:rsid w:val="5ACF7403"/>
    <w:rsid w:val="5AD638F6"/>
    <w:rsid w:val="5AE778FB"/>
    <w:rsid w:val="5AFC21D1"/>
    <w:rsid w:val="5B2B09B6"/>
    <w:rsid w:val="5B322B69"/>
    <w:rsid w:val="5B46719F"/>
    <w:rsid w:val="5B4929A8"/>
    <w:rsid w:val="5B5A4B3C"/>
    <w:rsid w:val="5B646ADA"/>
    <w:rsid w:val="5B667984"/>
    <w:rsid w:val="5B773940"/>
    <w:rsid w:val="5B7F1E17"/>
    <w:rsid w:val="5B8755EE"/>
    <w:rsid w:val="5B8F6FF6"/>
    <w:rsid w:val="5B965E67"/>
    <w:rsid w:val="5B993931"/>
    <w:rsid w:val="5B9B636C"/>
    <w:rsid w:val="5BA42A14"/>
    <w:rsid w:val="5BA774FC"/>
    <w:rsid w:val="5BAA161F"/>
    <w:rsid w:val="5BE63556"/>
    <w:rsid w:val="5BF04571"/>
    <w:rsid w:val="5C1165B8"/>
    <w:rsid w:val="5C1269B5"/>
    <w:rsid w:val="5C284D38"/>
    <w:rsid w:val="5C4B6C61"/>
    <w:rsid w:val="5C4D004A"/>
    <w:rsid w:val="5C527C59"/>
    <w:rsid w:val="5C5D3101"/>
    <w:rsid w:val="5C633253"/>
    <w:rsid w:val="5C6914DA"/>
    <w:rsid w:val="5C6E6E1D"/>
    <w:rsid w:val="5C9B4505"/>
    <w:rsid w:val="5CA261CF"/>
    <w:rsid w:val="5CAC70BE"/>
    <w:rsid w:val="5CBF10FA"/>
    <w:rsid w:val="5CCB328D"/>
    <w:rsid w:val="5CCF4100"/>
    <w:rsid w:val="5CD1247D"/>
    <w:rsid w:val="5CD41A66"/>
    <w:rsid w:val="5CF17ECA"/>
    <w:rsid w:val="5D0B0214"/>
    <w:rsid w:val="5D1A0A42"/>
    <w:rsid w:val="5D237B17"/>
    <w:rsid w:val="5D403E92"/>
    <w:rsid w:val="5D4F1710"/>
    <w:rsid w:val="5D601FF9"/>
    <w:rsid w:val="5D6E7DA0"/>
    <w:rsid w:val="5D6F3737"/>
    <w:rsid w:val="5D71045F"/>
    <w:rsid w:val="5D7E0FB5"/>
    <w:rsid w:val="5D975BEB"/>
    <w:rsid w:val="5DBC54F7"/>
    <w:rsid w:val="5DBE7842"/>
    <w:rsid w:val="5DCA0682"/>
    <w:rsid w:val="5DD50170"/>
    <w:rsid w:val="5DE1794B"/>
    <w:rsid w:val="5DEE54ED"/>
    <w:rsid w:val="5E017C06"/>
    <w:rsid w:val="5E0F6CAD"/>
    <w:rsid w:val="5E231C98"/>
    <w:rsid w:val="5E25510D"/>
    <w:rsid w:val="5E44324A"/>
    <w:rsid w:val="5E486B18"/>
    <w:rsid w:val="5E4A015A"/>
    <w:rsid w:val="5E596E18"/>
    <w:rsid w:val="5E5A5FDB"/>
    <w:rsid w:val="5E6E0D39"/>
    <w:rsid w:val="5E7F7EDD"/>
    <w:rsid w:val="5E803C1F"/>
    <w:rsid w:val="5E826883"/>
    <w:rsid w:val="5EA41B31"/>
    <w:rsid w:val="5EA908DF"/>
    <w:rsid w:val="5ECC09BB"/>
    <w:rsid w:val="5ED14076"/>
    <w:rsid w:val="5F060893"/>
    <w:rsid w:val="5F0B355B"/>
    <w:rsid w:val="5F196F65"/>
    <w:rsid w:val="5F1F205F"/>
    <w:rsid w:val="5F2D2E3D"/>
    <w:rsid w:val="5F315EF2"/>
    <w:rsid w:val="5F323E12"/>
    <w:rsid w:val="5F3F15BD"/>
    <w:rsid w:val="5F4F39A9"/>
    <w:rsid w:val="5F7206A6"/>
    <w:rsid w:val="5F7614D6"/>
    <w:rsid w:val="5F831334"/>
    <w:rsid w:val="5FA865A9"/>
    <w:rsid w:val="5FB4618C"/>
    <w:rsid w:val="5FBD7FF4"/>
    <w:rsid w:val="5FDA399F"/>
    <w:rsid w:val="5FDB3684"/>
    <w:rsid w:val="5FE73416"/>
    <w:rsid w:val="5FEB6673"/>
    <w:rsid w:val="5FFA79ED"/>
    <w:rsid w:val="60023913"/>
    <w:rsid w:val="6017124D"/>
    <w:rsid w:val="601A0A51"/>
    <w:rsid w:val="602D6CC3"/>
    <w:rsid w:val="6032371E"/>
    <w:rsid w:val="60474BA6"/>
    <w:rsid w:val="604D6358"/>
    <w:rsid w:val="604E1695"/>
    <w:rsid w:val="606D0EF6"/>
    <w:rsid w:val="607A7859"/>
    <w:rsid w:val="60B20EB9"/>
    <w:rsid w:val="60E47941"/>
    <w:rsid w:val="60F82E2D"/>
    <w:rsid w:val="61013040"/>
    <w:rsid w:val="61187ED8"/>
    <w:rsid w:val="611C35B8"/>
    <w:rsid w:val="611F7A18"/>
    <w:rsid w:val="613A0401"/>
    <w:rsid w:val="61446CCB"/>
    <w:rsid w:val="61473ED7"/>
    <w:rsid w:val="61583944"/>
    <w:rsid w:val="6166248C"/>
    <w:rsid w:val="616F0A87"/>
    <w:rsid w:val="617230BA"/>
    <w:rsid w:val="61740511"/>
    <w:rsid w:val="6183303E"/>
    <w:rsid w:val="619C78FD"/>
    <w:rsid w:val="61AE7556"/>
    <w:rsid w:val="61D41854"/>
    <w:rsid w:val="62051EB9"/>
    <w:rsid w:val="6206793E"/>
    <w:rsid w:val="620B6AD5"/>
    <w:rsid w:val="621F60BA"/>
    <w:rsid w:val="62282B27"/>
    <w:rsid w:val="622C1504"/>
    <w:rsid w:val="624F63B5"/>
    <w:rsid w:val="625457B2"/>
    <w:rsid w:val="625A6442"/>
    <w:rsid w:val="628D245F"/>
    <w:rsid w:val="62BA360B"/>
    <w:rsid w:val="62BE29FD"/>
    <w:rsid w:val="62C173F4"/>
    <w:rsid w:val="62E973CB"/>
    <w:rsid w:val="62F03D3C"/>
    <w:rsid w:val="62F51D1A"/>
    <w:rsid w:val="62FA00A7"/>
    <w:rsid w:val="63002653"/>
    <w:rsid w:val="630E067E"/>
    <w:rsid w:val="630F7A4D"/>
    <w:rsid w:val="631B72A6"/>
    <w:rsid w:val="63262B54"/>
    <w:rsid w:val="6330114D"/>
    <w:rsid w:val="63377DED"/>
    <w:rsid w:val="63600859"/>
    <w:rsid w:val="6375518E"/>
    <w:rsid w:val="637D4093"/>
    <w:rsid w:val="638B4892"/>
    <w:rsid w:val="639279AF"/>
    <w:rsid w:val="639C24A4"/>
    <w:rsid w:val="63B35731"/>
    <w:rsid w:val="63CD374D"/>
    <w:rsid w:val="63DE6198"/>
    <w:rsid w:val="63EE02A4"/>
    <w:rsid w:val="63F2462E"/>
    <w:rsid w:val="641222ED"/>
    <w:rsid w:val="6417337A"/>
    <w:rsid w:val="642B5582"/>
    <w:rsid w:val="645354A4"/>
    <w:rsid w:val="6463417F"/>
    <w:rsid w:val="64643953"/>
    <w:rsid w:val="64654D54"/>
    <w:rsid w:val="648F1CFA"/>
    <w:rsid w:val="64B81251"/>
    <w:rsid w:val="64DC03ED"/>
    <w:rsid w:val="64F41B5D"/>
    <w:rsid w:val="64FB2F8F"/>
    <w:rsid w:val="65144DE5"/>
    <w:rsid w:val="651924C2"/>
    <w:rsid w:val="651D2E62"/>
    <w:rsid w:val="651E2759"/>
    <w:rsid w:val="65271F32"/>
    <w:rsid w:val="6534021D"/>
    <w:rsid w:val="653C7DC4"/>
    <w:rsid w:val="65745242"/>
    <w:rsid w:val="65786BF9"/>
    <w:rsid w:val="658C66C4"/>
    <w:rsid w:val="659A3F39"/>
    <w:rsid w:val="659C290A"/>
    <w:rsid w:val="659C4499"/>
    <w:rsid w:val="65B8738C"/>
    <w:rsid w:val="65C664D3"/>
    <w:rsid w:val="65D21CDF"/>
    <w:rsid w:val="65DA2217"/>
    <w:rsid w:val="65FF30C2"/>
    <w:rsid w:val="66097698"/>
    <w:rsid w:val="66384F33"/>
    <w:rsid w:val="663A2862"/>
    <w:rsid w:val="665314E1"/>
    <w:rsid w:val="66536C43"/>
    <w:rsid w:val="6656365D"/>
    <w:rsid w:val="66634171"/>
    <w:rsid w:val="66681907"/>
    <w:rsid w:val="667746FC"/>
    <w:rsid w:val="66795682"/>
    <w:rsid w:val="66813874"/>
    <w:rsid w:val="6685004E"/>
    <w:rsid w:val="668D5944"/>
    <w:rsid w:val="66D1730C"/>
    <w:rsid w:val="66E42854"/>
    <w:rsid w:val="66EF2B5F"/>
    <w:rsid w:val="66EF31C1"/>
    <w:rsid w:val="66F22774"/>
    <w:rsid w:val="670C6E93"/>
    <w:rsid w:val="670F2C7E"/>
    <w:rsid w:val="67186538"/>
    <w:rsid w:val="671E4223"/>
    <w:rsid w:val="67277DF4"/>
    <w:rsid w:val="67340A1D"/>
    <w:rsid w:val="673B2AC0"/>
    <w:rsid w:val="674D5DCD"/>
    <w:rsid w:val="675E2F62"/>
    <w:rsid w:val="675E64C0"/>
    <w:rsid w:val="676254A4"/>
    <w:rsid w:val="676A497C"/>
    <w:rsid w:val="677D5E3A"/>
    <w:rsid w:val="678218BC"/>
    <w:rsid w:val="67950EB3"/>
    <w:rsid w:val="67994DBC"/>
    <w:rsid w:val="67AB2839"/>
    <w:rsid w:val="67B30FB4"/>
    <w:rsid w:val="67BD4963"/>
    <w:rsid w:val="67E420E9"/>
    <w:rsid w:val="681A2DC6"/>
    <w:rsid w:val="6820035E"/>
    <w:rsid w:val="6822692F"/>
    <w:rsid w:val="682D717C"/>
    <w:rsid w:val="685F2B0C"/>
    <w:rsid w:val="686B7BE2"/>
    <w:rsid w:val="686E4CA0"/>
    <w:rsid w:val="68850646"/>
    <w:rsid w:val="6885450B"/>
    <w:rsid w:val="68862C9E"/>
    <w:rsid w:val="688D02FE"/>
    <w:rsid w:val="68B631F6"/>
    <w:rsid w:val="68B73E7B"/>
    <w:rsid w:val="68BA42B2"/>
    <w:rsid w:val="68C946CE"/>
    <w:rsid w:val="68CF272B"/>
    <w:rsid w:val="69000946"/>
    <w:rsid w:val="692A0243"/>
    <w:rsid w:val="692F1F37"/>
    <w:rsid w:val="69301A27"/>
    <w:rsid w:val="693B419A"/>
    <w:rsid w:val="694339DE"/>
    <w:rsid w:val="695D5832"/>
    <w:rsid w:val="69656389"/>
    <w:rsid w:val="69732E6B"/>
    <w:rsid w:val="699D79FA"/>
    <w:rsid w:val="699E014D"/>
    <w:rsid w:val="69B31FE7"/>
    <w:rsid w:val="69B72806"/>
    <w:rsid w:val="69C21FC2"/>
    <w:rsid w:val="69CE797A"/>
    <w:rsid w:val="69D31B5E"/>
    <w:rsid w:val="69D63F27"/>
    <w:rsid w:val="69E76134"/>
    <w:rsid w:val="69E817D1"/>
    <w:rsid w:val="69F431E5"/>
    <w:rsid w:val="69FA5867"/>
    <w:rsid w:val="69FE675E"/>
    <w:rsid w:val="6A1A2049"/>
    <w:rsid w:val="6A214B73"/>
    <w:rsid w:val="6A2F2D68"/>
    <w:rsid w:val="6A366774"/>
    <w:rsid w:val="6A423BC4"/>
    <w:rsid w:val="6A45046C"/>
    <w:rsid w:val="6A5347AB"/>
    <w:rsid w:val="6A5C3F5E"/>
    <w:rsid w:val="6A7A5B8E"/>
    <w:rsid w:val="6A7E0847"/>
    <w:rsid w:val="6A837C0B"/>
    <w:rsid w:val="6A855EA5"/>
    <w:rsid w:val="6A91520C"/>
    <w:rsid w:val="6AA44F93"/>
    <w:rsid w:val="6AB71D61"/>
    <w:rsid w:val="6AB92FAF"/>
    <w:rsid w:val="6ACF19E4"/>
    <w:rsid w:val="6AD5470C"/>
    <w:rsid w:val="6ADE1CAF"/>
    <w:rsid w:val="6B0C7821"/>
    <w:rsid w:val="6B1217F9"/>
    <w:rsid w:val="6B141672"/>
    <w:rsid w:val="6B1538B3"/>
    <w:rsid w:val="6B2F1B41"/>
    <w:rsid w:val="6B3666EE"/>
    <w:rsid w:val="6B3D4671"/>
    <w:rsid w:val="6B4502B7"/>
    <w:rsid w:val="6B574BF4"/>
    <w:rsid w:val="6B6460AC"/>
    <w:rsid w:val="6B890A1C"/>
    <w:rsid w:val="6B8F5215"/>
    <w:rsid w:val="6BB43210"/>
    <w:rsid w:val="6BC85C10"/>
    <w:rsid w:val="6BDC0DC0"/>
    <w:rsid w:val="6BE07F64"/>
    <w:rsid w:val="6BFB7E42"/>
    <w:rsid w:val="6C0C3140"/>
    <w:rsid w:val="6C193FBE"/>
    <w:rsid w:val="6C1D7BEB"/>
    <w:rsid w:val="6C2343EA"/>
    <w:rsid w:val="6C253A83"/>
    <w:rsid w:val="6C4C1DDE"/>
    <w:rsid w:val="6C4D060E"/>
    <w:rsid w:val="6C526267"/>
    <w:rsid w:val="6C663C13"/>
    <w:rsid w:val="6C6967AE"/>
    <w:rsid w:val="6C7672FB"/>
    <w:rsid w:val="6C7735C7"/>
    <w:rsid w:val="6C8528D2"/>
    <w:rsid w:val="6CB23065"/>
    <w:rsid w:val="6CC0444D"/>
    <w:rsid w:val="6D10365D"/>
    <w:rsid w:val="6D266D96"/>
    <w:rsid w:val="6D272E6C"/>
    <w:rsid w:val="6D66634B"/>
    <w:rsid w:val="6D6A3304"/>
    <w:rsid w:val="6D81258C"/>
    <w:rsid w:val="6D886D51"/>
    <w:rsid w:val="6D9C39D1"/>
    <w:rsid w:val="6D9D66D7"/>
    <w:rsid w:val="6D9F30F1"/>
    <w:rsid w:val="6DB940F2"/>
    <w:rsid w:val="6DBA6634"/>
    <w:rsid w:val="6DCC4C0D"/>
    <w:rsid w:val="6DE2414D"/>
    <w:rsid w:val="6DFA089C"/>
    <w:rsid w:val="6E024E4B"/>
    <w:rsid w:val="6E1B57B2"/>
    <w:rsid w:val="6E1E6EDE"/>
    <w:rsid w:val="6E24570D"/>
    <w:rsid w:val="6E265103"/>
    <w:rsid w:val="6E2F41BA"/>
    <w:rsid w:val="6E400400"/>
    <w:rsid w:val="6E4341AC"/>
    <w:rsid w:val="6E5813AF"/>
    <w:rsid w:val="6E681587"/>
    <w:rsid w:val="6E7B0441"/>
    <w:rsid w:val="6E7F227A"/>
    <w:rsid w:val="6EA91C0A"/>
    <w:rsid w:val="6EB21400"/>
    <w:rsid w:val="6EB316B7"/>
    <w:rsid w:val="6EBE4C9B"/>
    <w:rsid w:val="6EC45C23"/>
    <w:rsid w:val="6ED22568"/>
    <w:rsid w:val="6EF530A1"/>
    <w:rsid w:val="6EF94382"/>
    <w:rsid w:val="6F0005D2"/>
    <w:rsid w:val="6F103A37"/>
    <w:rsid w:val="6F281E83"/>
    <w:rsid w:val="6F2A4225"/>
    <w:rsid w:val="6F3040D9"/>
    <w:rsid w:val="6F345CBA"/>
    <w:rsid w:val="6F3531D9"/>
    <w:rsid w:val="6F436F8F"/>
    <w:rsid w:val="6F4406CB"/>
    <w:rsid w:val="6F4B4A6F"/>
    <w:rsid w:val="6F4C1F34"/>
    <w:rsid w:val="6F5002D8"/>
    <w:rsid w:val="6F564FE8"/>
    <w:rsid w:val="6F6A10D8"/>
    <w:rsid w:val="6F6C661A"/>
    <w:rsid w:val="6F8B7942"/>
    <w:rsid w:val="6F8D6E36"/>
    <w:rsid w:val="6FAF4FFE"/>
    <w:rsid w:val="6FBC5B21"/>
    <w:rsid w:val="701D06F2"/>
    <w:rsid w:val="70251764"/>
    <w:rsid w:val="703F2689"/>
    <w:rsid w:val="70443C2F"/>
    <w:rsid w:val="705C3DFF"/>
    <w:rsid w:val="70820DC4"/>
    <w:rsid w:val="70860455"/>
    <w:rsid w:val="70976C9B"/>
    <w:rsid w:val="70D5301E"/>
    <w:rsid w:val="7100078F"/>
    <w:rsid w:val="71056E8C"/>
    <w:rsid w:val="710B44B6"/>
    <w:rsid w:val="71321C7C"/>
    <w:rsid w:val="71394D35"/>
    <w:rsid w:val="713F5E68"/>
    <w:rsid w:val="715D4400"/>
    <w:rsid w:val="716E7FA5"/>
    <w:rsid w:val="7170146E"/>
    <w:rsid w:val="717019F1"/>
    <w:rsid w:val="717268C8"/>
    <w:rsid w:val="71802D0E"/>
    <w:rsid w:val="718B5ADE"/>
    <w:rsid w:val="718D136F"/>
    <w:rsid w:val="718F5890"/>
    <w:rsid w:val="71B23002"/>
    <w:rsid w:val="71C54D64"/>
    <w:rsid w:val="71F3687B"/>
    <w:rsid w:val="720E0978"/>
    <w:rsid w:val="72194110"/>
    <w:rsid w:val="72254A30"/>
    <w:rsid w:val="7231054C"/>
    <w:rsid w:val="7235573F"/>
    <w:rsid w:val="72361A07"/>
    <w:rsid w:val="723A07AA"/>
    <w:rsid w:val="723B526F"/>
    <w:rsid w:val="723B701D"/>
    <w:rsid w:val="723D63F5"/>
    <w:rsid w:val="72513158"/>
    <w:rsid w:val="72541E8D"/>
    <w:rsid w:val="725A1BEF"/>
    <w:rsid w:val="726C56B8"/>
    <w:rsid w:val="727012A6"/>
    <w:rsid w:val="72767CBE"/>
    <w:rsid w:val="727F789D"/>
    <w:rsid w:val="7288771C"/>
    <w:rsid w:val="7293062E"/>
    <w:rsid w:val="72A458E1"/>
    <w:rsid w:val="72AF050D"/>
    <w:rsid w:val="72CB4274"/>
    <w:rsid w:val="72CE592F"/>
    <w:rsid w:val="72FD1AB3"/>
    <w:rsid w:val="72FE1BD1"/>
    <w:rsid w:val="73090EC9"/>
    <w:rsid w:val="73173D68"/>
    <w:rsid w:val="73197AE0"/>
    <w:rsid w:val="73221860"/>
    <w:rsid w:val="73232117"/>
    <w:rsid w:val="73275E34"/>
    <w:rsid w:val="73280BCA"/>
    <w:rsid w:val="732C6F90"/>
    <w:rsid w:val="73313277"/>
    <w:rsid w:val="733352BE"/>
    <w:rsid w:val="733A4EF6"/>
    <w:rsid w:val="733A72D5"/>
    <w:rsid w:val="733D0234"/>
    <w:rsid w:val="733E269A"/>
    <w:rsid w:val="735559D3"/>
    <w:rsid w:val="735675A7"/>
    <w:rsid w:val="73727279"/>
    <w:rsid w:val="7374156A"/>
    <w:rsid w:val="73773239"/>
    <w:rsid w:val="739F6AE6"/>
    <w:rsid w:val="73A40BF2"/>
    <w:rsid w:val="73B201E3"/>
    <w:rsid w:val="73B40BD5"/>
    <w:rsid w:val="73D305C8"/>
    <w:rsid w:val="73D93EF1"/>
    <w:rsid w:val="73EF7F33"/>
    <w:rsid w:val="73F30440"/>
    <w:rsid w:val="73FA14E3"/>
    <w:rsid w:val="73FE2711"/>
    <w:rsid w:val="740A7F35"/>
    <w:rsid w:val="741C42CE"/>
    <w:rsid w:val="742B455C"/>
    <w:rsid w:val="74552A1E"/>
    <w:rsid w:val="747A59D3"/>
    <w:rsid w:val="748F26FC"/>
    <w:rsid w:val="74B00A68"/>
    <w:rsid w:val="74C00161"/>
    <w:rsid w:val="74C3662A"/>
    <w:rsid w:val="74DE41DC"/>
    <w:rsid w:val="74F2020E"/>
    <w:rsid w:val="74F45B71"/>
    <w:rsid w:val="74F57957"/>
    <w:rsid w:val="74F77605"/>
    <w:rsid w:val="750671EC"/>
    <w:rsid w:val="75153C4A"/>
    <w:rsid w:val="75270466"/>
    <w:rsid w:val="75292F3F"/>
    <w:rsid w:val="753456F4"/>
    <w:rsid w:val="753A5D5C"/>
    <w:rsid w:val="755E6626"/>
    <w:rsid w:val="757062FD"/>
    <w:rsid w:val="75841DF5"/>
    <w:rsid w:val="758D233C"/>
    <w:rsid w:val="758F304E"/>
    <w:rsid w:val="75A40F6D"/>
    <w:rsid w:val="75B14D54"/>
    <w:rsid w:val="75EE4E13"/>
    <w:rsid w:val="760B0272"/>
    <w:rsid w:val="761348DE"/>
    <w:rsid w:val="76162ABE"/>
    <w:rsid w:val="763C59C7"/>
    <w:rsid w:val="763E014D"/>
    <w:rsid w:val="76456A13"/>
    <w:rsid w:val="765612DA"/>
    <w:rsid w:val="765F732E"/>
    <w:rsid w:val="76887988"/>
    <w:rsid w:val="76986891"/>
    <w:rsid w:val="769F3D71"/>
    <w:rsid w:val="76A21419"/>
    <w:rsid w:val="76B33626"/>
    <w:rsid w:val="76EC1ABC"/>
    <w:rsid w:val="76F51FB9"/>
    <w:rsid w:val="76FB601C"/>
    <w:rsid w:val="770B5CD6"/>
    <w:rsid w:val="7710200E"/>
    <w:rsid w:val="771C2422"/>
    <w:rsid w:val="771F194B"/>
    <w:rsid w:val="776706D6"/>
    <w:rsid w:val="77700134"/>
    <w:rsid w:val="778413DC"/>
    <w:rsid w:val="779D3EA8"/>
    <w:rsid w:val="77A65EF4"/>
    <w:rsid w:val="77AB57D7"/>
    <w:rsid w:val="77B0751C"/>
    <w:rsid w:val="77BF40E7"/>
    <w:rsid w:val="77CC6EC1"/>
    <w:rsid w:val="77D4061C"/>
    <w:rsid w:val="77E03037"/>
    <w:rsid w:val="77F75794"/>
    <w:rsid w:val="780776F7"/>
    <w:rsid w:val="780A371A"/>
    <w:rsid w:val="78340B49"/>
    <w:rsid w:val="78574485"/>
    <w:rsid w:val="785F6726"/>
    <w:rsid w:val="78867CFB"/>
    <w:rsid w:val="78976EF9"/>
    <w:rsid w:val="78A340A5"/>
    <w:rsid w:val="78A95614"/>
    <w:rsid w:val="78B65F6B"/>
    <w:rsid w:val="78B95E11"/>
    <w:rsid w:val="78E92D88"/>
    <w:rsid w:val="78EC2E1F"/>
    <w:rsid w:val="78F461C9"/>
    <w:rsid w:val="79124DB6"/>
    <w:rsid w:val="79125039"/>
    <w:rsid w:val="79204C41"/>
    <w:rsid w:val="79290342"/>
    <w:rsid w:val="795A4757"/>
    <w:rsid w:val="795F47C4"/>
    <w:rsid w:val="796141A4"/>
    <w:rsid w:val="79690914"/>
    <w:rsid w:val="796A125E"/>
    <w:rsid w:val="79894B12"/>
    <w:rsid w:val="79941644"/>
    <w:rsid w:val="799447B2"/>
    <w:rsid w:val="79993DEC"/>
    <w:rsid w:val="799D49BF"/>
    <w:rsid w:val="79A650E2"/>
    <w:rsid w:val="79CC2ADB"/>
    <w:rsid w:val="79CE2230"/>
    <w:rsid w:val="79D24B32"/>
    <w:rsid w:val="79DC579A"/>
    <w:rsid w:val="79E064A7"/>
    <w:rsid w:val="79E4695D"/>
    <w:rsid w:val="79E543D7"/>
    <w:rsid w:val="79F15FFB"/>
    <w:rsid w:val="79F16C5D"/>
    <w:rsid w:val="79F9227E"/>
    <w:rsid w:val="7A03141B"/>
    <w:rsid w:val="7A065A49"/>
    <w:rsid w:val="7A086377"/>
    <w:rsid w:val="7A0E36A1"/>
    <w:rsid w:val="7A242978"/>
    <w:rsid w:val="7A38580D"/>
    <w:rsid w:val="7A5B08C9"/>
    <w:rsid w:val="7A634A12"/>
    <w:rsid w:val="7A72104C"/>
    <w:rsid w:val="7A785221"/>
    <w:rsid w:val="7A7E6870"/>
    <w:rsid w:val="7A9E603E"/>
    <w:rsid w:val="7AB17FC0"/>
    <w:rsid w:val="7AC8051A"/>
    <w:rsid w:val="7AC908C2"/>
    <w:rsid w:val="7ACA385F"/>
    <w:rsid w:val="7AD44C27"/>
    <w:rsid w:val="7ADC4284"/>
    <w:rsid w:val="7AEE2E82"/>
    <w:rsid w:val="7B0C2233"/>
    <w:rsid w:val="7B1E1599"/>
    <w:rsid w:val="7B4A4326"/>
    <w:rsid w:val="7B587DD1"/>
    <w:rsid w:val="7B670E83"/>
    <w:rsid w:val="7B6C6A51"/>
    <w:rsid w:val="7B87132A"/>
    <w:rsid w:val="7B8F75C0"/>
    <w:rsid w:val="7B91553C"/>
    <w:rsid w:val="7BBC0E6E"/>
    <w:rsid w:val="7BDD499F"/>
    <w:rsid w:val="7BDF2746"/>
    <w:rsid w:val="7BEC1E4B"/>
    <w:rsid w:val="7BF240AC"/>
    <w:rsid w:val="7BF76241"/>
    <w:rsid w:val="7C0357F7"/>
    <w:rsid w:val="7C175044"/>
    <w:rsid w:val="7C2A1D4B"/>
    <w:rsid w:val="7C2F6E3B"/>
    <w:rsid w:val="7C37099C"/>
    <w:rsid w:val="7C42078B"/>
    <w:rsid w:val="7C440D7D"/>
    <w:rsid w:val="7C576DCF"/>
    <w:rsid w:val="7C6B0968"/>
    <w:rsid w:val="7C6B27C2"/>
    <w:rsid w:val="7C6F0A60"/>
    <w:rsid w:val="7C722082"/>
    <w:rsid w:val="7C7D2601"/>
    <w:rsid w:val="7C7E1515"/>
    <w:rsid w:val="7CA50B86"/>
    <w:rsid w:val="7CB246E4"/>
    <w:rsid w:val="7CBA2599"/>
    <w:rsid w:val="7CCF4F32"/>
    <w:rsid w:val="7CD254FF"/>
    <w:rsid w:val="7CD40CD3"/>
    <w:rsid w:val="7CD42C2B"/>
    <w:rsid w:val="7D0A1541"/>
    <w:rsid w:val="7D176503"/>
    <w:rsid w:val="7D431EFA"/>
    <w:rsid w:val="7D5F4763"/>
    <w:rsid w:val="7D9348E3"/>
    <w:rsid w:val="7D950543"/>
    <w:rsid w:val="7D973B95"/>
    <w:rsid w:val="7DA73A86"/>
    <w:rsid w:val="7DAE4568"/>
    <w:rsid w:val="7DB419E2"/>
    <w:rsid w:val="7DBA7E63"/>
    <w:rsid w:val="7DC75FFF"/>
    <w:rsid w:val="7DC91CBB"/>
    <w:rsid w:val="7DEE10DE"/>
    <w:rsid w:val="7E046827"/>
    <w:rsid w:val="7E0562CD"/>
    <w:rsid w:val="7E12157A"/>
    <w:rsid w:val="7E1A1323"/>
    <w:rsid w:val="7E2123E3"/>
    <w:rsid w:val="7E292EE4"/>
    <w:rsid w:val="7E2D6640"/>
    <w:rsid w:val="7E3D377F"/>
    <w:rsid w:val="7E5E0885"/>
    <w:rsid w:val="7E631DD5"/>
    <w:rsid w:val="7E6A451A"/>
    <w:rsid w:val="7E6E31E0"/>
    <w:rsid w:val="7E8A75CD"/>
    <w:rsid w:val="7E8C6D77"/>
    <w:rsid w:val="7E9D0E8E"/>
    <w:rsid w:val="7E9F0C7C"/>
    <w:rsid w:val="7EB377F4"/>
    <w:rsid w:val="7EBA5361"/>
    <w:rsid w:val="7EC54DD3"/>
    <w:rsid w:val="7EE626A2"/>
    <w:rsid w:val="7F0950A3"/>
    <w:rsid w:val="7F0C5FC9"/>
    <w:rsid w:val="7F0D2695"/>
    <w:rsid w:val="7F21600F"/>
    <w:rsid w:val="7F2675B1"/>
    <w:rsid w:val="7F5316AD"/>
    <w:rsid w:val="7F964C9A"/>
    <w:rsid w:val="7F9D0C84"/>
    <w:rsid w:val="7FA65507"/>
    <w:rsid w:val="7FAD0277"/>
    <w:rsid w:val="7FD04F19"/>
    <w:rsid w:val="7FEB39F1"/>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1"/>
    <w:qFormat/>
    <w:uiPriority w:val="0"/>
    <w:pPr>
      <w:ind w:firstLine="200" w:firstLine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ind w:firstLine="420"/>
    </w:pPr>
    <w:rPr>
      <w:szCs w:val="20"/>
    </w:rPr>
  </w:style>
  <w:style w:type="paragraph" w:styleId="8">
    <w:name w:val="Plain Text"/>
    <w:basedOn w:val="1"/>
    <w:next w:val="9"/>
    <w:qFormat/>
    <w:uiPriority w:val="0"/>
    <w:rPr>
      <w:rFonts w:ascii="宋体" w:hAnsi="Courier New" w:cstheme="minorBidi"/>
    </w:rPr>
  </w:style>
  <w:style w:type="paragraph" w:styleId="9">
    <w:name w:val="Date"/>
    <w:basedOn w:val="1"/>
    <w:next w:val="1"/>
    <w:qFormat/>
    <w:uiPriority w:val="0"/>
    <w:pPr>
      <w:ind w:left="2500" w:leftChars="2500"/>
    </w:pPr>
    <w:rPr>
      <w:rFonts w:eastAsia="楷体_GB2312" w:asciiTheme="minorHAnsi" w:hAnsiTheme="minorHAnsi" w:cstheme="minorBidi"/>
      <w:sz w:val="32"/>
      <w:szCs w:val="22"/>
    </w:rPr>
  </w:style>
  <w:style w:type="paragraph" w:styleId="10">
    <w:name w:val="annotation text"/>
    <w:basedOn w:val="1"/>
    <w:qFormat/>
    <w:uiPriority w:val="0"/>
    <w:pPr>
      <w:jc w:val="left"/>
    </w:pPr>
  </w:style>
  <w:style w:type="paragraph" w:styleId="11">
    <w:name w:val="Body Text"/>
    <w:basedOn w:val="1"/>
    <w:next w:val="1"/>
    <w:qFormat/>
    <w:uiPriority w:val="0"/>
    <w:pPr>
      <w:spacing w:line="360" w:lineRule="exact"/>
    </w:pPr>
    <w:rPr>
      <w:sz w:val="24"/>
    </w:rPr>
  </w:style>
  <w:style w:type="paragraph" w:styleId="12">
    <w:name w:val="Body Text Indent"/>
    <w:basedOn w:val="1"/>
    <w:next w:val="1"/>
    <w:qFormat/>
    <w:uiPriority w:val="0"/>
    <w:pPr>
      <w:spacing w:after="120"/>
      <w:ind w:left="420" w:leftChars="200"/>
    </w:pPr>
  </w:style>
  <w:style w:type="paragraph" w:styleId="13">
    <w:name w:val="Body Text Indent 2"/>
    <w:basedOn w:val="1"/>
    <w:qFormat/>
    <w:uiPriority w:val="0"/>
    <w:pPr>
      <w:widowControl/>
      <w:spacing w:line="480" w:lineRule="atLeast"/>
      <w:ind w:firstLine="480"/>
    </w:pPr>
    <w:rPr>
      <w:rFonts w:ascii="宋体"/>
      <w:kern w:val="0"/>
      <w:sz w:val="24"/>
      <w:szCs w:val="20"/>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Body Text First Indent 2"/>
    <w:basedOn w:val="12"/>
    <w:next w:val="1"/>
    <w:qFormat/>
    <w:uiPriority w:val="0"/>
    <w:pPr>
      <w:ind w:firstLine="420"/>
    </w:p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jc w:val="center"/>
    </w:pPr>
    <w:rPr>
      <w:rFonts w:ascii="仿宋_GB2312" w:eastAsia="仿宋_GB2312"/>
      <w:sz w:val="32"/>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spacing w:before="240" w:after="60"/>
      <w:jc w:val="center"/>
      <w:outlineLvl w:val="0"/>
    </w:pPr>
    <w:rPr>
      <w:rFonts w:ascii="Cambria" w:hAnsi="Cambria"/>
      <w:b/>
      <w:bCs/>
      <w:kern w:val="0"/>
      <w:sz w:val="32"/>
      <w:szCs w:val="32"/>
    </w:rPr>
  </w:style>
  <w:style w:type="character" w:styleId="23">
    <w:name w:val="Hyperlink"/>
    <w:basedOn w:val="22"/>
    <w:qFormat/>
    <w:uiPriority w:val="0"/>
    <w:rPr>
      <w:color w:val="0000FF"/>
      <w:u w:val="single"/>
    </w:r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列表段落1"/>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标题 1 Char Char"/>
    <w:basedOn w:val="22"/>
    <w:qFormat/>
    <w:uiPriority w:val="0"/>
    <w:rPr>
      <w:rFonts w:eastAsia="宋体"/>
      <w:b/>
      <w:spacing w:val="-2"/>
      <w:sz w:val="24"/>
      <w:lang w:val="en-US" w:eastAsia="zh-CN" w:bidi="ar-SA"/>
    </w:rPr>
  </w:style>
  <w:style w:type="character" w:customStyle="1" w:styleId="49">
    <w:name w:val="批注框文本 字符"/>
    <w:basedOn w:val="22"/>
    <w:link w:val="14"/>
    <w:qFormat/>
    <w:uiPriority w:val="0"/>
    <w:rPr>
      <w:kern w:val="2"/>
      <w:sz w:val="18"/>
      <w:szCs w:val="18"/>
    </w:rPr>
  </w:style>
  <w:style w:type="paragraph" w:customStyle="1" w:styleId="50">
    <w:name w:val="样式1"/>
    <w:basedOn w:val="1"/>
    <w:qFormat/>
    <w:uiPriority w:val="0"/>
    <w:pPr>
      <w:spacing w:line="360" w:lineRule="exact"/>
      <w:ind w:firstLine="200" w:firstLineChars="200"/>
    </w:pPr>
    <w:rPr>
      <w:rFonts w:ascii="Arial" w:hAnsi="Arial"/>
    </w:rPr>
  </w:style>
  <w:style w:type="paragraph" w:customStyle="1" w:styleId="5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2">
    <w:name w:val="内文正文"/>
    <w:basedOn w:val="8"/>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53">
    <w:name w:val="样式 表内正文 + 五号 行距: 单倍行距"/>
    <w:basedOn w:val="54"/>
    <w:qFormat/>
    <w:uiPriority w:val="0"/>
    <w:pPr>
      <w:spacing w:line="240" w:lineRule="auto"/>
      <w:ind w:firstLine="0" w:firstLineChars="0"/>
    </w:pPr>
    <w:rPr>
      <w:rFonts w:ascii="Arial" w:hAnsi="Arial" w:cs="宋体"/>
      <w:sz w:val="21"/>
    </w:rPr>
  </w:style>
  <w:style w:type="paragraph" w:customStyle="1" w:styleId="54">
    <w:name w:val="表内正文"/>
    <w:basedOn w:val="1"/>
    <w:qFormat/>
    <w:uiPriority w:val="0"/>
    <w:pPr>
      <w:adjustRightInd w:val="0"/>
      <w:snapToGrid w:val="0"/>
      <w:spacing w:line="288" w:lineRule="auto"/>
      <w:ind w:firstLine="200" w:firstLineChars="200"/>
    </w:pPr>
    <w:rPr>
      <w:rFonts w:ascii="宋体"/>
      <w:sz w:val="20"/>
      <w:szCs w:val="20"/>
    </w:rPr>
  </w:style>
  <w:style w:type="character" w:customStyle="1" w:styleId="5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4636</Words>
  <Characters>26426</Characters>
  <Lines>220</Lines>
  <Paragraphs>61</Paragraphs>
  <ScaleCrop>false</ScaleCrop>
  <LinksUpToDate>false</LinksUpToDate>
  <CharactersWithSpaces>31001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Ushop</cp:lastModifiedBy>
  <cp:lastPrinted>2022-06-10T02:20:00Z</cp:lastPrinted>
  <dcterms:modified xsi:type="dcterms:W3CDTF">2022-06-27T06:31:26Z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ICV">
    <vt:lpwstr>C538D6B2EE8E459D821DF6F65CBD48CA</vt:lpwstr>
  </property>
</Properties>
</file>