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kern w:val="0"/>
          <w:sz w:val="52"/>
          <w:szCs w:val="52"/>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kern w:val="0"/>
          <w:sz w:val="52"/>
          <w:szCs w:val="52"/>
        </w:rPr>
      </w:pPr>
      <w:r>
        <w:rPr>
          <w:rFonts w:hint="eastAsia" w:ascii="宋体"/>
          <w:b/>
          <w:kern w:val="0"/>
          <w:sz w:val="52"/>
          <w:szCs w:val="52"/>
        </w:rPr>
        <w:t>台州市政府采购招标文件</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b/>
          <w:color w:val="000000"/>
          <w:kern w:val="0"/>
          <w:sz w:val="32"/>
        </w:rPr>
      </w:pPr>
      <w:r>
        <w:rPr>
          <w:rFonts w:ascii="宋体"/>
          <w:b/>
          <w:color w:val="000000"/>
          <w:kern w:val="0"/>
          <w:sz w:val="32"/>
        </w:rPr>
        <w:t>TZCG-201</w:t>
      </w:r>
      <w:r>
        <w:rPr>
          <w:rFonts w:hint="eastAsia" w:ascii="宋体"/>
          <w:b/>
          <w:color w:val="000000"/>
          <w:kern w:val="0"/>
          <w:sz w:val="32"/>
        </w:rPr>
        <w:t>8</w:t>
      </w:r>
      <w:r>
        <w:rPr>
          <w:rFonts w:ascii="宋体"/>
          <w:b/>
          <w:color w:val="000000"/>
          <w:kern w:val="0"/>
          <w:sz w:val="32"/>
        </w:rPr>
        <w:t>-</w:t>
      </w:r>
      <w:r>
        <w:rPr>
          <w:rFonts w:hint="eastAsia" w:ascii="宋体"/>
          <w:b/>
          <w:color w:val="000000"/>
          <w:kern w:val="0"/>
          <w:sz w:val="32"/>
        </w:rPr>
        <w:t>GK0</w:t>
      </w:r>
      <w:r>
        <w:rPr>
          <w:rFonts w:hint="eastAsia" w:ascii="宋体"/>
          <w:b/>
          <w:color w:val="000000"/>
          <w:kern w:val="0"/>
          <w:sz w:val="32"/>
          <w:lang w:val="en-US" w:eastAsia="zh-CN"/>
        </w:rPr>
        <w:t>60</w:t>
      </w:r>
      <w:r>
        <w:rPr>
          <w:rFonts w:hint="eastAsia" w:ascii="宋体" w:hAnsi="宋体"/>
          <w:b/>
          <w:sz w:val="30"/>
          <w:szCs w:val="30"/>
        </w:rPr>
        <w:t>号</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24"/>
        </w:rPr>
      </w:pPr>
    </w:p>
    <w:p>
      <w:pPr>
        <w:autoSpaceDE w:val="0"/>
        <w:autoSpaceDN w:val="0"/>
        <w:adjustRightInd w:val="0"/>
        <w:spacing w:line="360" w:lineRule="auto"/>
        <w:rPr>
          <w:rFonts w:ascii="宋体"/>
          <w:b/>
          <w:color w:val="000000"/>
          <w:kern w:val="0"/>
          <w:sz w:val="52"/>
          <w:szCs w:val="52"/>
        </w:rPr>
      </w:pPr>
    </w:p>
    <w:p>
      <w:pPr>
        <w:autoSpaceDE w:val="0"/>
        <w:autoSpaceDN w:val="0"/>
        <w:adjustRightInd w:val="0"/>
        <w:spacing w:line="360" w:lineRule="auto"/>
        <w:ind w:firstLine="1797" w:firstLineChars="642"/>
        <w:jc w:val="left"/>
        <w:rPr>
          <w:rFonts w:ascii="宋体"/>
          <w:kern w:val="0"/>
          <w:sz w:val="28"/>
        </w:rPr>
      </w:pPr>
    </w:p>
    <w:p>
      <w:pPr>
        <w:autoSpaceDE w:val="0"/>
        <w:autoSpaceDN w:val="0"/>
        <w:adjustRightInd w:val="0"/>
        <w:spacing w:line="360" w:lineRule="auto"/>
        <w:ind w:left="3355" w:leftChars="931" w:hanging="1400" w:hangingChars="500"/>
        <w:jc w:val="left"/>
        <w:rPr>
          <w:rFonts w:ascii="宋体"/>
          <w:kern w:val="0"/>
          <w:sz w:val="28"/>
        </w:rPr>
      </w:pPr>
      <w:r>
        <w:rPr>
          <w:rFonts w:hint="eastAsia" w:ascii="宋体"/>
          <w:kern w:val="0"/>
          <w:sz w:val="28"/>
        </w:rPr>
        <w:t>采购项目：台州市妇幼保健院新院区（一期）医院数据中心建设项目</w:t>
      </w:r>
    </w:p>
    <w:p>
      <w:pPr>
        <w:autoSpaceDE w:val="0"/>
        <w:autoSpaceDN w:val="0"/>
        <w:adjustRightInd w:val="0"/>
        <w:spacing w:line="360" w:lineRule="auto"/>
        <w:ind w:left="3355" w:leftChars="931" w:hanging="1400" w:hangingChars="500"/>
        <w:jc w:val="left"/>
        <w:rPr>
          <w:rFonts w:ascii="宋体"/>
          <w:kern w:val="0"/>
          <w:sz w:val="28"/>
        </w:rPr>
      </w:pPr>
      <w:r>
        <w:rPr>
          <w:rFonts w:hint="eastAsia" w:ascii="宋体"/>
          <w:kern w:val="0"/>
          <w:sz w:val="28"/>
        </w:rPr>
        <w:t>采购单位：台州市妇幼保健院</w:t>
      </w:r>
    </w:p>
    <w:p>
      <w:pPr>
        <w:autoSpaceDE w:val="0"/>
        <w:autoSpaceDN w:val="0"/>
        <w:adjustRightInd w:val="0"/>
        <w:spacing w:line="360" w:lineRule="auto"/>
        <w:ind w:firstLine="1960" w:firstLineChars="700"/>
        <w:jc w:val="left"/>
        <w:rPr>
          <w:rFonts w:ascii="宋体"/>
          <w:kern w:val="0"/>
          <w:sz w:val="28"/>
        </w:rPr>
      </w:pPr>
      <w:r>
        <w:rPr>
          <w:rFonts w:hint="eastAsia" w:ascii="宋体"/>
          <w:kern w:val="0"/>
          <w:sz w:val="28"/>
        </w:rPr>
        <w:t>采购类别：货物类</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28"/>
        </w:rPr>
      </w:pPr>
      <w:r>
        <w:rPr>
          <w:rFonts w:hint="eastAsia" w:ascii="宋体"/>
          <w:kern w:val="0"/>
          <w:sz w:val="28"/>
        </w:rPr>
        <w:t>集中采购机构：台州市政府采购中心</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28"/>
        </w:rPr>
      </w:pPr>
      <w:r>
        <w:rPr>
          <w:rFonts w:hint="eastAsia" w:ascii="宋体"/>
          <w:kern w:val="0"/>
          <w:sz w:val="28"/>
        </w:rPr>
        <w:t>2018年</w:t>
      </w:r>
      <w:r>
        <w:rPr>
          <w:rFonts w:hint="eastAsia" w:ascii="宋体"/>
          <w:kern w:val="0"/>
          <w:sz w:val="28"/>
          <w:lang w:val="en-US" w:eastAsia="zh-CN"/>
        </w:rPr>
        <w:t>9</w:t>
      </w:r>
      <w:r>
        <w:rPr>
          <w:rFonts w:hint="eastAsia" w:ascii="宋体"/>
          <w:kern w:val="0"/>
          <w:sz w:val="28"/>
        </w:rPr>
        <w:t>月</w:t>
      </w:r>
      <w:r>
        <w:rPr>
          <w:rFonts w:hint="eastAsia" w:ascii="宋体"/>
          <w:kern w:val="0"/>
          <w:sz w:val="28"/>
          <w:lang w:val="en-US" w:eastAsia="zh-CN"/>
        </w:rPr>
        <w:t>30</w:t>
      </w:r>
      <w:r>
        <w:rPr>
          <w:rFonts w:hint="eastAsia" w:ascii="宋体"/>
          <w:kern w:val="0"/>
          <w:sz w:val="28"/>
        </w:rPr>
        <w:t>日</w:t>
      </w:r>
    </w:p>
    <w:p>
      <w:pPr>
        <w:spacing w:line="360" w:lineRule="auto"/>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left="3232" w:right="25" w:firstLine="6847"/>
        <w:jc w:val="left"/>
        <w:rPr>
          <w:rFonts w:ascii="宋体" w:hAnsi="宋体"/>
          <w:b/>
          <w:sz w:val="36"/>
        </w:rPr>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5"/>
        <w:jc w:val="center"/>
        <w:rPr>
          <w:rFonts w:ascii="宋体" w:hAnsi="宋体"/>
          <w:b/>
          <w:sz w:val="36"/>
        </w:rPr>
      </w:pPr>
      <w:r>
        <w:rPr>
          <w:rFonts w:hint="eastAsia" w:ascii="宋体" w:hAnsi="宋体"/>
          <w:b/>
          <w:sz w:val="36"/>
        </w:rPr>
        <w:t>招标文件目录</w:t>
      </w:r>
    </w:p>
    <w:p>
      <w:pPr>
        <w:spacing w:line="360" w:lineRule="auto"/>
        <w:rPr>
          <w:rFonts w:ascii="新宋体" w:hAnsi="新宋体" w:eastAsia="新宋体"/>
          <w:sz w:val="28"/>
          <w:szCs w:val="28"/>
        </w:rPr>
      </w:pPr>
    </w:p>
    <w:p>
      <w:pPr>
        <w:numPr>
          <w:ilvl w:val="0"/>
          <w:numId w:val="3"/>
        </w:numPr>
        <w:spacing w:line="360" w:lineRule="auto"/>
        <w:rPr>
          <w:rFonts w:asciiTheme="minorEastAsia" w:hAnsiTheme="minorEastAsia" w:eastAsiaTheme="minorEastAsia"/>
          <w:sz w:val="28"/>
          <w:szCs w:val="28"/>
        </w:rPr>
      </w:pPr>
      <w:r>
        <w:rPr>
          <w:rFonts w:hint="eastAsia" w:asciiTheme="minorEastAsia" w:hAnsiTheme="minorEastAsia" w:eastAsiaTheme="minorEastAsia"/>
          <w:b/>
          <w:sz w:val="28"/>
          <w:szCs w:val="28"/>
        </w:rPr>
        <w:t>投标邀请</w:t>
      </w:r>
    </w:p>
    <w:p>
      <w:pPr>
        <w:numPr>
          <w:ilvl w:val="0"/>
          <w:numId w:val="3"/>
        </w:numPr>
        <w:spacing w:line="360" w:lineRule="auto"/>
        <w:rPr>
          <w:rFonts w:asciiTheme="minorEastAsia" w:hAnsiTheme="minorEastAsia" w:eastAsiaTheme="minorEastAsia"/>
          <w:sz w:val="28"/>
          <w:szCs w:val="28"/>
        </w:rPr>
      </w:pPr>
      <w:r>
        <w:rPr>
          <w:rFonts w:hint="eastAsia" w:asciiTheme="minorEastAsia" w:hAnsiTheme="minorEastAsia" w:eastAsiaTheme="minorEastAsia"/>
          <w:b/>
          <w:sz w:val="28"/>
          <w:szCs w:val="28"/>
        </w:rPr>
        <w:t>招标需求</w:t>
      </w:r>
    </w:p>
    <w:p>
      <w:pPr>
        <w:numPr>
          <w:ilvl w:val="0"/>
          <w:numId w:val="3"/>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投标人须知</w:t>
      </w:r>
    </w:p>
    <w:p>
      <w:pPr>
        <w:numPr>
          <w:ilvl w:val="0"/>
          <w:numId w:val="3"/>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评标方式、评标标准</w:t>
      </w:r>
    </w:p>
    <w:p>
      <w:pPr>
        <w:numPr>
          <w:ilvl w:val="0"/>
          <w:numId w:val="3"/>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台州市政府采购合同主要条款指引</w:t>
      </w:r>
    </w:p>
    <w:p>
      <w:pPr>
        <w:numPr>
          <w:ilvl w:val="0"/>
          <w:numId w:val="3"/>
        </w:numPr>
        <w:spacing w:line="360" w:lineRule="auto"/>
        <w:rPr>
          <w:rFonts w:asciiTheme="minorEastAsia" w:hAnsiTheme="minorEastAsia" w:eastAsiaTheme="minorEastAsia"/>
          <w:b/>
          <w:sz w:val="28"/>
          <w:szCs w:val="28"/>
        </w:rPr>
      </w:pPr>
      <w:r>
        <w:rPr>
          <w:rFonts w:hint="eastAsia" w:cs="幼圆" w:asciiTheme="minorEastAsia" w:hAnsiTheme="minorEastAsia" w:eastAsiaTheme="minorEastAsia"/>
          <w:b/>
          <w:kern w:val="0"/>
          <w:sz w:val="28"/>
          <w:szCs w:val="28"/>
          <w:lang w:val="zh-CN"/>
        </w:rPr>
        <w:t>应提交的有关格式范例</w:t>
      </w:r>
    </w:p>
    <w:p>
      <w:pPr>
        <w:spacing w:line="360" w:lineRule="auto"/>
      </w:pPr>
    </w:p>
    <w:p>
      <w:pPr>
        <w:spacing w:line="360" w:lineRule="auto"/>
      </w:pPr>
    </w:p>
    <w:p>
      <w:pPr>
        <w:spacing w:line="360" w:lineRule="auto"/>
      </w:pPr>
    </w:p>
    <w:p>
      <w:pPr>
        <w:spacing w:line="360" w:lineRule="auto"/>
      </w:pPr>
    </w:p>
    <w:p>
      <w:pPr>
        <w:tabs>
          <w:tab w:val="left" w:pos="180"/>
          <w:tab w:val="left" w:pos="360"/>
          <w:tab w:val="left" w:pos="540"/>
          <w:tab w:val="left" w:pos="8280"/>
        </w:tabs>
        <w:autoSpaceDE w:val="0"/>
        <w:autoSpaceDN w:val="0"/>
        <w:adjustRightInd w:val="0"/>
        <w:spacing w:line="360" w:lineRule="auto"/>
        <w:ind w:right="23" w:firstLine="1988" w:firstLineChars="550"/>
        <w:jc w:val="left"/>
        <w:rPr>
          <w:rFonts w:asciiTheme="majorEastAsia" w:hAnsiTheme="majorEastAsia" w:eastAsiaTheme="majorEastAsia"/>
          <w:b/>
          <w:kern w:val="0"/>
          <w:sz w:val="36"/>
        </w:rPr>
      </w:pPr>
      <w:r>
        <w:rPr>
          <w:rFonts w:hint="eastAsia" w:asciiTheme="majorEastAsia" w:hAnsiTheme="majorEastAsia" w:eastAsiaTheme="majorEastAsia"/>
          <w:b/>
          <w:kern w:val="0"/>
          <w:sz w:val="36"/>
        </w:rPr>
        <w:br w:type="page"/>
      </w:r>
    </w:p>
    <w:p>
      <w:pPr>
        <w:tabs>
          <w:tab w:val="left" w:pos="180"/>
          <w:tab w:val="left" w:pos="360"/>
          <w:tab w:val="left" w:pos="540"/>
          <w:tab w:val="left" w:pos="8280"/>
        </w:tabs>
        <w:autoSpaceDE w:val="0"/>
        <w:autoSpaceDN w:val="0"/>
        <w:adjustRightInd w:val="0"/>
        <w:spacing w:line="360" w:lineRule="auto"/>
        <w:ind w:right="23"/>
        <w:jc w:val="center"/>
        <w:rPr>
          <w:rFonts w:asciiTheme="majorEastAsia" w:hAnsiTheme="majorEastAsia" w:eastAsiaTheme="majorEastAsia"/>
          <w:b/>
          <w:kern w:val="0"/>
          <w:sz w:val="36"/>
          <w:szCs w:val="36"/>
        </w:rPr>
      </w:pPr>
      <w:r>
        <w:rPr>
          <w:rFonts w:hint="eastAsia" w:asciiTheme="majorEastAsia" w:hAnsiTheme="majorEastAsia" w:eastAsiaTheme="majorEastAsia"/>
          <w:b/>
          <w:kern w:val="0"/>
          <w:sz w:val="36"/>
        </w:rPr>
        <w:t>第一部分</w:t>
      </w:r>
      <w:r>
        <w:rPr>
          <w:rFonts w:hint="eastAsia" w:asciiTheme="majorEastAsia" w:hAnsiTheme="majorEastAsia" w:eastAsiaTheme="majorEastAsia"/>
          <w:b/>
          <w:sz w:val="36"/>
          <w:szCs w:val="36"/>
        </w:rPr>
        <w:t>投标邀请</w:t>
      </w:r>
    </w:p>
    <w:p>
      <w:pPr>
        <w:tabs>
          <w:tab w:val="left" w:pos="180"/>
          <w:tab w:val="left" w:pos="360"/>
          <w:tab w:val="left" w:pos="540"/>
          <w:tab w:val="left" w:pos="8280"/>
        </w:tabs>
        <w:autoSpaceDE w:val="0"/>
        <w:autoSpaceDN w:val="0"/>
        <w:adjustRightInd w:val="0"/>
        <w:spacing w:beforeLines="100" w:line="360" w:lineRule="auto"/>
        <w:ind w:right="23" w:firstLine="539"/>
        <w:jc w:val="left"/>
        <w:rPr>
          <w:rFonts w:asciiTheme="minorEastAsia" w:hAnsiTheme="minorEastAsia" w:eastAsiaTheme="minorEastAsia"/>
          <w:kern w:val="0"/>
          <w:sz w:val="24"/>
        </w:rPr>
      </w:pPr>
      <w:r>
        <w:rPr>
          <w:rFonts w:hint="eastAsia" w:asciiTheme="minorEastAsia" w:hAnsiTheme="minorEastAsia" w:eastAsiaTheme="minorEastAsia"/>
          <w:kern w:val="0"/>
          <w:sz w:val="24"/>
        </w:rPr>
        <w:t>根据《中华人民共和国政府采购法》、《中华人民共和国政府采购法实施条例》和财政部第87号《政府采购货物和服务招标投标管理办法》等有关规定</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受采购人委托，现就台州市妇幼保健院新院区（一期）医院数据中心建设项目</w:t>
      </w:r>
      <w:r>
        <w:rPr>
          <w:rFonts w:hint="eastAsia" w:ascii="宋体"/>
          <w:kern w:val="0"/>
          <w:sz w:val="24"/>
        </w:rPr>
        <w:t>进行公开招标采购</w:t>
      </w:r>
      <w:r>
        <w:rPr>
          <w:rFonts w:ascii="宋体"/>
          <w:kern w:val="0"/>
          <w:sz w:val="24"/>
        </w:rPr>
        <w:t xml:space="preserve"> </w:t>
      </w:r>
      <w:r>
        <w:rPr>
          <w:rFonts w:hint="eastAsia" w:ascii="宋体"/>
          <w:kern w:val="0"/>
          <w:sz w:val="24"/>
        </w:rPr>
        <w:t>，欢迎具备本项目</w:t>
      </w:r>
      <w:r>
        <w:rPr>
          <w:rFonts w:hint="eastAsia" w:asciiTheme="minorEastAsia" w:hAnsiTheme="minorEastAsia" w:eastAsiaTheme="minorEastAsia"/>
          <w:kern w:val="0"/>
          <w:sz w:val="24"/>
        </w:rPr>
        <w:t>投标人的资质要求且能够及时提供相关货物及服务的供应商前来投标。</w:t>
      </w:r>
    </w:p>
    <w:p>
      <w:pPr>
        <w:tabs>
          <w:tab w:val="left" w:pos="180"/>
          <w:tab w:val="left" w:pos="360"/>
          <w:tab w:val="left" w:pos="540"/>
          <w:tab w:val="left" w:pos="8280"/>
        </w:tabs>
        <w:autoSpaceDE w:val="0"/>
        <w:autoSpaceDN w:val="0"/>
        <w:adjustRightInd w:val="0"/>
        <w:spacing w:before="100" w:line="360" w:lineRule="auto"/>
        <w:ind w:left="539" w:right="23"/>
        <w:jc w:val="left"/>
        <w:rPr>
          <w:rFonts w:asciiTheme="minorEastAsia" w:hAnsiTheme="minorEastAsia" w:eastAsiaTheme="minorEastAsia"/>
          <w:kern w:val="0"/>
          <w:sz w:val="24"/>
        </w:rPr>
      </w:pPr>
      <w:r>
        <w:rPr>
          <w:rFonts w:hint="eastAsia" w:asciiTheme="minorEastAsia" w:hAnsiTheme="minorEastAsia" w:eastAsiaTheme="minorEastAsia"/>
          <w:b/>
          <w:kern w:val="0"/>
          <w:sz w:val="24"/>
        </w:rPr>
        <w:t>一、项目编号：</w:t>
      </w:r>
      <w:r>
        <w:rPr>
          <w:rFonts w:hint="eastAsia" w:asciiTheme="minorEastAsia" w:hAnsiTheme="minorEastAsia" w:eastAsiaTheme="minorEastAsia"/>
          <w:sz w:val="24"/>
        </w:rPr>
        <w:t>TZCG-2018-GK0</w:t>
      </w:r>
      <w:r>
        <w:rPr>
          <w:rFonts w:hint="eastAsia" w:asciiTheme="minorEastAsia" w:hAnsiTheme="minorEastAsia" w:eastAsiaTheme="minorEastAsia"/>
          <w:sz w:val="24"/>
          <w:lang w:val="en-US" w:eastAsia="zh-CN"/>
        </w:rPr>
        <w:t>60</w:t>
      </w:r>
      <w:r>
        <w:rPr>
          <w:rFonts w:hint="eastAsia" w:asciiTheme="minorEastAsia" w:hAnsiTheme="minorEastAsia" w:eastAsiaTheme="minorEastAsia"/>
          <w:sz w:val="24"/>
        </w:rPr>
        <w:t>号</w:t>
      </w:r>
    </w:p>
    <w:p>
      <w:pPr>
        <w:tabs>
          <w:tab w:val="left" w:pos="180"/>
          <w:tab w:val="left" w:pos="360"/>
          <w:tab w:val="left" w:pos="540"/>
          <w:tab w:val="left" w:pos="8280"/>
        </w:tabs>
        <w:autoSpaceDE w:val="0"/>
        <w:autoSpaceDN w:val="0"/>
        <w:adjustRightInd w:val="0"/>
        <w:spacing w:before="100" w:line="360" w:lineRule="auto"/>
        <w:ind w:left="539" w:right="23"/>
        <w:jc w:val="left"/>
        <w:rPr>
          <w:rFonts w:asciiTheme="minorEastAsia" w:hAnsiTheme="minorEastAsia" w:eastAsiaTheme="minorEastAsia"/>
          <w:sz w:val="24"/>
        </w:rPr>
      </w:pPr>
      <w:r>
        <w:rPr>
          <w:rFonts w:hint="eastAsia" w:asciiTheme="minorEastAsia" w:hAnsiTheme="minorEastAsia" w:eastAsiaTheme="minorEastAsia"/>
          <w:b/>
          <w:kern w:val="0"/>
          <w:sz w:val="24"/>
        </w:rPr>
        <w:t>二、采购内容：</w:t>
      </w:r>
    </w:p>
    <w:p>
      <w:pPr>
        <w:tabs>
          <w:tab w:val="left" w:pos="180"/>
          <w:tab w:val="left" w:pos="360"/>
          <w:tab w:val="left" w:pos="540"/>
          <w:tab w:val="left" w:pos="8280"/>
        </w:tabs>
        <w:autoSpaceDE w:val="0"/>
        <w:autoSpaceDN w:val="0"/>
        <w:adjustRightInd w:val="0"/>
        <w:spacing w:before="100" w:line="360" w:lineRule="auto"/>
        <w:ind w:left="539" w:right="23"/>
        <w:jc w:val="left"/>
        <w:rPr>
          <w:rFonts w:asciiTheme="minorEastAsia" w:hAnsiTheme="minorEastAsia" w:eastAsiaTheme="minorEastAsia"/>
          <w:sz w:val="24"/>
        </w:rPr>
      </w:pPr>
      <w:r>
        <w:rPr>
          <w:rFonts w:hint="eastAsia" w:asciiTheme="minorEastAsia" w:hAnsiTheme="minorEastAsia" w:eastAsiaTheme="minorEastAsia"/>
          <w:kern w:val="0"/>
          <w:sz w:val="24"/>
        </w:rPr>
        <w:t>1、货物名称及数量：</w:t>
      </w:r>
      <w:bookmarkStart w:id="0" w:name="EBc3c9f0bc06b6413d849824fe98ba274c"/>
      <w:r>
        <w:rPr>
          <w:rFonts w:hint="eastAsia" w:asciiTheme="minorEastAsia" w:hAnsiTheme="minorEastAsia" w:eastAsiaTheme="minorEastAsia"/>
          <w:kern w:val="0"/>
          <w:sz w:val="24"/>
        </w:rPr>
        <w:t>台州市妇幼保健院 新院区（一期）医院数据中心建设项目</w:t>
      </w:r>
      <w:r>
        <w:rPr>
          <w:rFonts w:hint="eastAsia" w:asciiTheme="minorEastAsia" w:hAnsiTheme="minorEastAsia" w:eastAsiaTheme="minorEastAsia" w:cstheme="minorEastAsia"/>
          <w:kern w:val="0"/>
          <w:sz w:val="24"/>
        </w:rPr>
        <w:t xml:space="preserve"> 一批</w:t>
      </w:r>
    </w:p>
    <w:p>
      <w:pPr>
        <w:widowControl/>
        <w:spacing w:line="420" w:lineRule="atLeast"/>
        <w:jc w:val="left"/>
        <w:rPr>
          <w:rFonts w:asciiTheme="minorEastAsia" w:hAnsiTheme="minorEastAsia" w:eastAsiaTheme="minorEastAsia"/>
          <w:sz w:val="24"/>
        </w:rPr>
      </w:pPr>
      <w:r>
        <w:rPr>
          <w:rFonts w:hint="eastAsia" w:asciiTheme="minorEastAsia" w:hAnsiTheme="minorEastAsia" w:eastAsiaTheme="minorEastAsia"/>
          <w:sz w:val="24"/>
        </w:rPr>
        <w:t xml:space="preserve">    </w:t>
      </w:r>
      <w:r>
        <w:rPr>
          <w:rFonts w:hint="eastAsia" w:asciiTheme="minorEastAsia" w:hAnsiTheme="minorEastAsia" w:eastAsiaTheme="minorEastAsia"/>
          <w:kern w:val="0"/>
          <w:sz w:val="24"/>
        </w:rPr>
        <w:t>2、</w:t>
      </w:r>
      <w:r>
        <w:rPr>
          <w:rFonts w:hint="eastAsia" w:asciiTheme="minorEastAsia" w:hAnsiTheme="minorEastAsia" w:eastAsiaTheme="minorEastAsia"/>
          <w:sz w:val="24"/>
        </w:rPr>
        <w:t>本次采购不允许进口产品。</w:t>
      </w:r>
    </w:p>
    <w:bookmarkEnd w:id="0"/>
    <w:p>
      <w:pPr>
        <w:tabs>
          <w:tab w:val="left" w:pos="180"/>
          <w:tab w:val="left" w:pos="360"/>
          <w:tab w:val="left" w:pos="540"/>
          <w:tab w:val="left" w:pos="8280"/>
        </w:tabs>
        <w:autoSpaceDE w:val="0"/>
        <w:autoSpaceDN w:val="0"/>
        <w:adjustRightInd w:val="0"/>
        <w:spacing w:before="100" w:line="360" w:lineRule="auto"/>
        <w:ind w:left="539" w:right="23"/>
        <w:jc w:val="left"/>
        <w:rPr>
          <w:rFonts w:asciiTheme="minorEastAsia" w:hAnsiTheme="minorEastAsia" w:eastAsiaTheme="minorEastAsia"/>
          <w:b/>
          <w:sz w:val="24"/>
        </w:rPr>
      </w:pPr>
      <w:r>
        <w:rPr>
          <w:rFonts w:hint="eastAsia" w:asciiTheme="minorEastAsia" w:hAnsiTheme="minorEastAsia" w:eastAsiaTheme="minorEastAsia"/>
          <w:b/>
          <w:sz w:val="24"/>
        </w:rPr>
        <w:t>三、交货期及地点：</w:t>
      </w:r>
    </w:p>
    <w:p>
      <w:pPr>
        <w:tabs>
          <w:tab w:val="left" w:pos="180"/>
          <w:tab w:val="left" w:pos="360"/>
          <w:tab w:val="left" w:pos="540"/>
          <w:tab w:val="left" w:pos="8280"/>
        </w:tabs>
        <w:autoSpaceDE w:val="0"/>
        <w:autoSpaceDN w:val="0"/>
        <w:adjustRightInd w:val="0"/>
        <w:spacing w:before="100" w:line="360" w:lineRule="auto"/>
        <w:ind w:right="23" w:rightChars="11" w:firstLine="482" w:firstLineChars="200"/>
        <w:jc w:val="left"/>
        <w:rPr>
          <w:rFonts w:ascii="宋体"/>
          <w:b/>
          <w:bCs/>
          <w:kern w:val="0"/>
          <w:sz w:val="24"/>
        </w:rPr>
      </w:pPr>
      <w:r>
        <w:rPr>
          <w:rFonts w:hint="eastAsia" w:ascii="宋体"/>
          <w:b/>
          <w:bCs/>
          <w:kern w:val="0"/>
          <w:sz w:val="24"/>
        </w:rPr>
        <w:t>交货期：</w:t>
      </w:r>
      <w:r>
        <w:rPr>
          <w:rFonts w:ascii="Arial" w:hAnsi="宋体" w:cs="Arial"/>
          <w:kern w:val="0"/>
          <w:sz w:val="24"/>
        </w:rPr>
        <w:t>合同生效后</w:t>
      </w:r>
      <w:r>
        <w:rPr>
          <w:rFonts w:hint="eastAsia" w:ascii="Arial" w:hAnsi="宋体" w:cs="Arial"/>
          <w:kern w:val="0"/>
          <w:sz w:val="24"/>
        </w:rPr>
        <w:t>30天</w:t>
      </w:r>
      <w:r>
        <w:rPr>
          <w:rFonts w:ascii="Arial" w:hAnsi="宋体" w:cs="Arial"/>
          <w:kern w:val="0"/>
          <w:sz w:val="24"/>
        </w:rPr>
        <w:t>内完成供货</w:t>
      </w:r>
      <w:r>
        <w:rPr>
          <w:rFonts w:hint="eastAsia" w:ascii="Arial" w:hAnsi="宋体" w:cs="Arial"/>
          <w:kern w:val="0"/>
          <w:sz w:val="24"/>
        </w:rPr>
        <w:t>，50天内完成</w:t>
      </w:r>
      <w:r>
        <w:rPr>
          <w:rFonts w:ascii="Arial" w:hAnsi="宋体" w:cs="Arial"/>
          <w:kern w:val="0"/>
          <w:sz w:val="24"/>
        </w:rPr>
        <w:t>安装调试</w:t>
      </w:r>
      <w:r>
        <w:rPr>
          <w:rFonts w:hint="eastAsia" w:ascii="Arial" w:hAnsi="宋体" w:cs="Arial"/>
          <w:kern w:val="0"/>
          <w:sz w:val="24"/>
        </w:rPr>
        <w:t>。</w:t>
      </w:r>
    </w:p>
    <w:p>
      <w:pPr>
        <w:tabs>
          <w:tab w:val="left" w:pos="180"/>
          <w:tab w:val="left" w:pos="360"/>
          <w:tab w:val="left" w:pos="540"/>
          <w:tab w:val="left" w:pos="8280"/>
        </w:tabs>
        <w:autoSpaceDE w:val="0"/>
        <w:autoSpaceDN w:val="0"/>
        <w:adjustRightInd w:val="0"/>
        <w:spacing w:before="100" w:line="360" w:lineRule="auto"/>
        <w:ind w:right="23" w:rightChars="11" w:firstLine="482" w:firstLineChars="200"/>
        <w:jc w:val="left"/>
        <w:rPr>
          <w:rFonts w:asciiTheme="minorEastAsia" w:hAnsiTheme="minorEastAsia" w:eastAsiaTheme="minorEastAsia"/>
          <w:kern w:val="0"/>
          <w:sz w:val="24"/>
        </w:rPr>
      </w:pPr>
      <w:r>
        <w:rPr>
          <w:rFonts w:hint="eastAsia" w:ascii="宋体" w:hAnsi="宋体"/>
          <w:b/>
          <w:bCs/>
          <w:sz w:val="24"/>
        </w:rPr>
        <w:t>交货地点</w:t>
      </w:r>
      <w:r>
        <w:rPr>
          <w:rFonts w:hint="eastAsia" w:ascii="宋体" w:hAnsi="宋体"/>
          <w:sz w:val="24"/>
        </w:rPr>
        <w:t>：</w:t>
      </w:r>
      <w:r>
        <w:rPr>
          <w:rFonts w:hint="eastAsia" w:asciiTheme="minorEastAsia" w:hAnsiTheme="minorEastAsia" w:eastAsiaTheme="minorEastAsia"/>
          <w:kern w:val="0"/>
          <w:sz w:val="24"/>
        </w:rPr>
        <w:t>业主指定。</w:t>
      </w:r>
    </w:p>
    <w:p>
      <w:pPr>
        <w:tabs>
          <w:tab w:val="left" w:pos="180"/>
          <w:tab w:val="left" w:pos="360"/>
          <w:tab w:val="left" w:pos="540"/>
          <w:tab w:val="left" w:pos="8280"/>
        </w:tabs>
        <w:autoSpaceDE w:val="0"/>
        <w:autoSpaceDN w:val="0"/>
        <w:adjustRightInd w:val="0"/>
        <w:spacing w:before="100" w:line="360" w:lineRule="auto"/>
        <w:ind w:left="539" w:right="23"/>
        <w:jc w:val="left"/>
        <w:rPr>
          <w:rFonts w:asciiTheme="minorEastAsia" w:hAnsiTheme="minorEastAsia" w:eastAsiaTheme="minorEastAsia"/>
          <w:b/>
          <w:kern w:val="0"/>
          <w:sz w:val="24"/>
        </w:rPr>
      </w:pPr>
      <w:r>
        <w:rPr>
          <w:rFonts w:hint="eastAsia" w:asciiTheme="minorEastAsia" w:hAnsiTheme="minorEastAsia" w:eastAsiaTheme="minorEastAsia"/>
          <w:b/>
          <w:sz w:val="24"/>
        </w:rPr>
        <w:t>四、合格投标人的资格条件：</w:t>
      </w:r>
    </w:p>
    <w:p>
      <w:pPr>
        <w:pStyle w:val="92"/>
        <w:adjustRightInd w:val="0"/>
        <w:snapToGrid w:val="0"/>
        <w:spacing w:before="0" w:line="360" w:lineRule="auto"/>
        <w:ind w:left="101" w:leftChars="48" w:firstLine="240" w:firstLineChars="100"/>
        <w:rPr>
          <w:rFonts w:asciiTheme="minorEastAsia" w:hAnsiTheme="minorEastAsia" w:eastAsiaTheme="minorEastAsia"/>
          <w:sz w:val="24"/>
        </w:rPr>
      </w:pPr>
      <w:r>
        <w:rPr>
          <w:rFonts w:hint="eastAsia" w:asciiTheme="minorEastAsia" w:hAnsiTheme="minorEastAsia" w:eastAsiaTheme="minorEastAsia"/>
          <w:sz w:val="24"/>
        </w:rPr>
        <w:t>（一）符合《中华人民共和国政府采购法》第二十二条规定的投标人资格条件:</w:t>
      </w:r>
    </w:p>
    <w:p>
      <w:pPr>
        <w:pStyle w:val="92"/>
        <w:adjustRightInd w:val="0"/>
        <w:snapToGrid w:val="0"/>
        <w:spacing w:before="0" w:line="360" w:lineRule="auto"/>
        <w:ind w:left="102" w:right="102" w:firstLine="480"/>
        <w:rPr>
          <w:rFonts w:asciiTheme="minorEastAsia" w:hAnsiTheme="minorEastAsia" w:eastAsiaTheme="minorEastAsia"/>
          <w:sz w:val="24"/>
          <w:szCs w:val="24"/>
        </w:rPr>
      </w:pPr>
      <w:r>
        <w:rPr>
          <w:rFonts w:hint="eastAsia" w:asciiTheme="minorEastAsia" w:hAnsiTheme="minorEastAsia" w:eastAsiaTheme="minorEastAsia"/>
          <w:sz w:val="24"/>
          <w:szCs w:val="24"/>
        </w:rPr>
        <w:t>1、具有独立承担民事责任的能力；</w:t>
      </w:r>
    </w:p>
    <w:p>
      <w:pPr>
        <w:pStyle w:val="92"/>
        <w:adjustRightInd w:val="0"/>
        <w:snapToGrid w:val="0"/>
        <w:spacing w:before="0" w:line="360" w:lineRule="auto"/>
        <w:ind w:left="102" w:right="102"/>
        <w:rPr>
          <w:rFonts w:asciiTheme="minorEastAsia" w:hAnsiTheme="minorEastAsia" w:eastAsiaTheme="minorEastAsia"/>
          <w:sz w:val="24"/>
          <w:szCs w:val="24"/>
        </w:rPr>
      </w:pPr>
      <w:r>
        <w:rPr>
          <w:rFonts w:hint="eastAsia" w:asciiTheme="minorEastAsia" w:hAnsiTheme="minorEastAsia" w:eastAsiaTheme="minorEastAsia"/>
          <w:sz w:val="24"/>
          <w:szCs w:val="24"/>
        </w:rPr>
        <w:t>　　2、具有良好的商业信誉和健全的财务会计制度；</w:t>
      </w:r>
    </w:p>
    <w:p>
      <w:pPr>
        <w:pStyle w:val="92"/>
        <w:adjustRightInd w:val="0"/>
        <w:snapToGrid w:val="0"/>
        <w:spacing w:before="0" w:line="360" w:lineRule="auto"/>
        <w:ind w:left="102" w:right="102"/>
        <w:rPr>
          <w:rFonts w:asciiTheme="minorEastAsia" w:hAnsiTheme="minorEastAsia" w:eastAsiaTheme="minorEastAsia"/>
          <w:sz w:val="24"/>
          <w:szCs w:val="24"/>
        </w:rPr>
      </w:pPr>
      <w:r>
        <w:rPr>
          <w:rFonts w:hint="eastAsia" w:asciiTheme="minorEastAsia" w:hAnsiTheme="minorEastAsia" w:eastAsiaTheme="minorEastAsia"/>
          <w:sz w:val="24"/>
          <w:szCs w:val="24"/>
        </w:rPr>
        <w:t>　　3、具有履行合同所必需的设备和专业技术能力；</w:t>
      </w:r>
    </w:p>
    <w:p>
      <w:pPr>
        <w:pStyle w:val="92"/>
        <w:adjustRightInd w:val="0"/>
        <w:snapToGrid w:val="0"/>
        <w:spacing w:before="0" w:line="360" w:lineRule="auto"/>
        <w:ind w:left="102" w:right="102"/>
        <w:rPr>
          <w:rFonts w:asciiTheme="minorEastAsia" w:hAnsiTheme="minorEastAsia" w:eastAsiaTheme="minorEastAsia"/>
          <w:sz w:val="24"/>
          <w:szCs w:val="24"/>
        </w:rPr>
      </w:pPr>
      <w:r>
        <w:rPr>
          <w:rFonts w:hint="eastAsia" w:asciiTheme="minorEastAsia" w:hAnsiTheme="minorEastAsia" w:eastAsiaTheme="minorEastAsia"/>
          <w:sz w:val="24"/>
          <w:szCs w:val="24"/>
        </w:rPr>
        <w:t>　　4、有依法缴纳税收和社会保障资金的良好记录；</w:t>
      </w:r>
    </w:p>
    <w:p>
      <w:pPr>
        <w:pStyle w:val="92"/>
        <w:adjustRightInd w:val="0"/>
        <w:snapToGrid w:val="0"/>
        <w:spacing w:before="0" w:line="360" w:lineRule="auto"/>
        <w:ind w:left="102" w:right="102"/>
        <w:rPr>
          <w:rFonts w:asciiTheme="minorEastAsia" w:hAnsiTheme="minorEastAsia" w:eastAsiaTheme="minorEastAsia"/>
          <w:sz w:val="24"/>
          <w:szCs w:val="24"/>
        </w:rPr>
      </w:pPr>
      <w:r>
        <w:rPr>
          <w:rFonts w:hint="eastAsia" w:asciiTheme="minorEastAsia" w:hAnsiTheme="minorEastAsia" w:eastAsiaTheme="minorEastAsia"/>
          <w:sz w:val="24"/>
          <w:szCs w:val="24"/>
        </w:rPr>
        <w:t>　　5、参加政府采购活动前三年内，在经营活动中没有重大违法记录；</w:t>
      </w:r>
    </w:p>
    <w:p>
      <w:pPr>
        <w:pStyle w:val="92"/>
        <w:adjustRightInd w:val="0"/>
        <w:snapToGrid w:val="0"/>
        <w:spacing w:before="0" w:line="360" w:lineRule="auto"/>
        <w:ind w:left="102" w:right="102"/>
        <w:rPr>
          <w:rFonts w:asciiTheme="minorEastAsia" w:hAnsiTheme="minorEastAsia" w:eastAsiaTheme="minorEastAsia"/>
          <w:sz w:val="24"/>
          <w:szCs w:val="24"/>
        </w:rPr>
      </w:pPr>
      <w:r>
        <w:rPr>
          <w:rFonts w:hint="eastAsia" w:asciiTheme="minorEastAsia" w:hAnsiTheme="minorEastAsia" w:eastAsiaTheme="minorEastAsia"/>
          <w:sz w:val="24"/>
          <w:szCs w:val="24"/>
        </w:rPr>
        <w:t>　　6、法律、行政法规规定的其他条件。</w:t>
      </w:r>
    </w:p>
    <w:p>
      <w:pPr>
        <w:tabs>
          <w:tab w:val="left" w:pos="180"/>
          <w:tab w:val="left" w:pos="360"/>
          <w:tab w:val="left" w:pos="540"/>
          <w:tab w:val="left" w:pos="8280"/>
        </w:tabs>
        <w:autoSpaceDE w:val="0"/>
        <w:autoSpaceDN w:val="0"/>
        <w:adjustRightInd w:val="0"/>
        <w:spacing w:before="100" w:line="360" w:lineRule="auto"/>
        <w:ind w:right="23"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（二）本项目供应商特定条件：</w:t>
      </w:r>
    </w:p>
    <w:p>
      <w:pPr>
        <w:tabs>
          <w:tab w:val="left" w:pos="180"/>
          <w:tab w:val="left" w:pos="360"/>
          <w:tab w:val="left" w:pos="540"/>
          <w:tab w:val="left" w:pos="8280"/>
        </w:tabs>
        <w:autoSpaceDE w:val="0"/>
        <w:autoSpaceDN w:val="0"/>
        <w:adjustRightInd w:val="0"/>
        <w:spacing w:before="100" w:line="360" w:lineRule="auto"/>
        <w:ind w:right="23"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1、不接受联合体投标；</w:t>
      </w:r>
    </w:p>
    <w:p>
      <w:pPr>
        <w:tabs>
          <w:tab w:val="left" w:pos="180"/>
          <w:tab w:val="left" w:pos="360"/>
          <w:tab w:val="left" w:pos="540"/>
          <w:tab w:val="left" w:pos="8280"/>
        </w:tabs>
        <w:autoSpaceDE w:val="0"/>
        <w:autoSpaceDN w:val="0"/>
        <w:adjustRightInd w:val="0"/>
        <w:spacing w:before="100" w:line="360" w:lineRule="auto"/>
        <w:ind w:right="23"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五、招标文件获取的方式、时间：</w:t>
      </w:r>
    </w:p>
    <w:p>
      <w:pPr>
        <w:snapToGrid w:val="0"/>
        <w:spacing w:line="360" w:lineRule="auto"/>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1、获取方式：网上免费下载，下载地址为</w:t>
      </w:r>
      <w:r>
        <w:rPr>
          <w:rFonts w:cs="Arial" w:asciiTheme="minorEastAsia" w:hAnsiTheme="minorEastAsia" w:eastAsiaTheme="minorEastAsia"/>
          <w:color w:val="000000"/>
          <w:sz w:val="24"/>
        </w:rPr>
        <w:t>http://www.zjzfcg.gov.cn</w:t>
      </w:r>
      <w:r>
        <w:rPr>
          <w:rFonts w:hint="eastAsia" w:cs="Arial" w:asciiTheme="minorEastAsia" w:hAnsiTheme="minorEastAsia" w:eastAsiaTheme="minorEastAsia"/>
          <w:sz w:val="24"/>
        </w:rPr>
        <w:t>或</w:t>
      </w:r>
      <w:r>
        <w:fldChar w:fldCharType="begin"/>
      </w:r>
      <w:r>
        <w:instrText xml:space="preserve"> HYPERLINK "http://www.tzztb.com/tzcms/zfcg.jhtml" </w:instrText>
      </w:r>
      <w:r>
        <w:fldChar w:fldCharType="separate"/>
      </w:r>
      <w:r>
        <w:rPr>
          <w:rStyle w:val="33"/>
          <w:rFonts w:cs="Arial" w:asciiTheme="minorEastAsia" w:hAnsiTheme="minorEastAsia" w:eastAsiaTheme="minorEastAsia"/>
          <w:sz w:val="24"/>
        </w:rPr>
        <w:t>http://www.tzztb.com/tzcms/zfcg.jhtml</w:t>
      </w:r>
      <w:r>
        <w:rPr>
          <w:rStyle w:val="33"/>
          <w:rFonts w:cs="Arial" w:asciiTheme="minorEastAsia" w:hAnsiTheme="minorEastAsia" w:eastAsiaTheme="minorEastAsia"/>
          <w:sz w:val="24"/>
        </w:rPr>
        <w:fldChar w:fldCharType="end"/>
      </w:r>
    </w:p>
    <w:p>
      <w:pPr>
        <w:spacing w:line="360" w:lineRule="auto"/>
        <w:ind w:firstLine="600" w:firstLineChars="250"/>
        <w:rPr>
          <w:rFonts w:asciiTheme="minorEastAsia" w:hAnsiTheme="minorEastAsia" w:eastAsiaTheme="minorEastAsia"/>
        </w:rPr>
      </w:pPr>
      <w:r>
        <w:rPr>
          <w:rFonts w:hint="eastAsia" w:cs="Arial" w:asciiTheme="minorEastAsia" w:hAnsiTheme="minorEastAsia" w:eastAsiaTheme="minorEastAsia"/>
          <w:sz w:val="24"/>
        </w:rPr>
        <w:t>2、获取（公告）时间：2018年</w:t>
      </w:r>
      <w:r>
        <w:rPr>
          <w:rFonts w:hint="eastAsia" w:cs="Arial" w:asciiTheme="minorEastAsia" w:hAnsiTheme="minorEastAsia" w:eastAsiaTheme="minorEastAsia"/>
          <w:sz w:val="24"/>
          <w:lang w:val="en-US" w:eastAsia="zh-CN"/>
        </w:rPr>
        <w:t>9</w:t>
      </w:r>
      <w:r>
        <w:rPr>
          <w:rFonts w:hint="eastAsia" w:cs="Arial" w:asciiTheme="minorEastAsia" w:hAnsiTheme="minorEastAsia" w:eastAsiaTheme="minorEastAsia"/>
          <w:sz w:val="24"/>
        </w:rPr>
        <w:t>月</w:t>
      </w:r>
      <w:r>
        <w:rPr>
          <w:rFonts w:hint="eastAsia" w:cs="Arial" w:asciiTheme="minorEastAsia" w:hAnsiTheme="minorEastAsia" w:eastAsiaTheme="minorEastAsia"/>
          <w:sz w:val="24"/>
          <w:lang w:val="en-US" w:eastAsia="zh-CN"/>
        </w:rPr>
        <w:t>30</w:t>
      </w:r>
      <w:r>
        <w:rPr>
          <w:rFonts w:hint="eastAsia" w:cs="Arial" w:asciiTheme="minorEastAsia" w:hAnsiTheme="minorEastAsia" w:eastAsiaTheme="minorEastAsia"/>
          <w:sz w:val="24"/>
        </w:rPr>
        <w:t>日至2018年</w:t>
      </w:r>
      <w:r>
        <w:rPr>
          <w:rFonts w:hint="eastAsia" w:cs="Arial" w:asciiTheme="minorEastAsia" w:hAnsiTheme="minorEastAsia" w:eastAsiaTheme="minorEastAsia"/>
          <w:sz w:val="24"/>
          <w:lang w:val="en-US" w:eastAsia="zh-CN"/>
        </w:rPr>
        <w:t>10</w:t>
      </w:r>
      <w:r>
        <w:rPr>
          <w:rFonts w:hint="eastAsia" w:cs="Arial" w:asciiTheme="minorEastAsia" w:hAnsiTheme="minorEastAsia" w:eastAsiaTheme="minorEastAsia"/>
          <w:sz w:val="24"/>
        </w:rPr>
        <w:t>月</w:t>
      </w:r>
      <w:r>
        <w:rPr>
          <w:rFonts w:hint="eastAsia" w:cs="Arial" w:asciiTheme="minorEastAsia" w:hAnsiTheme="minorEastAsia" w:eastAsiaTheme="minorEastAsia"/>
          <w:sz w:val="24"/>
          <w:lang w:val="en-US" w:eastAsia="zh-CN"/>
        </w:rPr>
        <w:t>12</w:t>
      </w:r>
      <w:r>
        <w:rPr>
          <w:rFonts w:hint="eastAsia" w:cs="Arial" w:asciiTheme="minorEastAsia" w:hAnsiTheme="minorEastAsia" w:eastAsiaTheme="minorEastAsia"/>
          <w:sz w:val="24"/>
        </w:rPr>
        <w:t>日。</w:t>
      </w:r>
    </w:p>
    <w:p>
      <w:pPr>
        <w:spacing w:line="360" w:lineRule="auto"/>
        <w:ind w:firstLine="600" w:firstLineChars="250"/>
        <w:rPr>
          <w:rFonts w:asciiTheme="minorEastAsia" w:hAnsiTheme="minorEastAsia" w:eastAsiaTheme="minorEastAsia"/>
        </w:rPr>
      </w:pPr>
      <w:r>
        <w:rPr>
          <w:rFonts w:cs="Arial" w:asciiTheme="minorEastAsia" w:hAnsiTheme="minorEastAsia" w:eastAsiaTheme="minorEastAsia"/>
          <w:sz w:val="24"/>
        </w:rPr>
        <w:t>注：投标人如认为招标文件存在歧视性条款的，应在获取招标文件之日起7个工作日内提出</w:t>
      </w:r>
      <w:r>
        <w:rPr>
          <w:rFonts w:hint="eastAsia" w:cs="Arial" w:asciiTheme="minorEastAsia" w:hAnsiTheme="minorEastAsia" w:eastAsiaTheme="minorEastAsia"/>
          <w:sz w:val="24"/>
        </w:rPr>
        <w:t>。</w:t>
      </w:r>
    </w:p>
    <w:p>
      <w:pPr>
        <w:tabs>
          <w:tab w:val="left" w:pos="180"/>
          <w:tab w:val="left" w:pos="360"/>
          <w:tab w:val="left" w:pos="540"/>
          <w:tab w:val="left" w:pos="8280"/>
        </w:tabs>
        <w:autoSpaceDE w:val="0"/>
        <w:autoSpaceDN w:val="0"/>
        <w:adjustRightInd w:val="0"/>
        <w:spacing w:before="100" w:line="360" w:lineRule="auto"/>
        <w:ind w:right="23"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六、招标答疑会</w:t>
      </w:r>
    </w:p>
    <w:p>
      <w:pPr>
        <w:tabs>
          <w:tab w:val="left" w:pos="180"/>
          <w:tab w:val="left" w:pos="360"/>
          <w:tab w:val="left" w:pos="540"/>
          <w:tab w:val="left" w:pos="8280"/>
        </w:tabs>
        <w:autoSpaceDE w:val="0"/>
        <w:autoSpaceDN w:val="0"/>
        <w:adjustRightInd w:val="0"/>
        <w:spacing w:before="100" w:line="360" w:lineRule="auto"/>
        <w:ind w:right="23"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本项目不需要现场招标答疑会</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left"/>
        <w:rPr>
          <w:rFonts w:asciiTheme="minorEastAsia" w:hAnsiTheme="minorEastAsia" w:eastAsiaTheme="minorEastAsia"/>
          <w:b/>
          <w:kern w:val="0"/>
          <w:sz w:val="24"/>
        </w:rPr>
      </w:pPr>
      <w:r>
        <w:rPr>
          <w:rFonts w:hint="eastAsia" w:cs="Arial" w:asciiTheme="minorEastAsia" w:hAnsiTheme="minorEastAsia" w:eastAsiaTheme="minorEastAsia"/>
          <w:b/>
          <w:color w:val="000000"/>
          <w:sz w:val="24"/>
        </w:rPr>
        <w:t>七、</w:t>
      </w:r>
      <w:r>
        <w:rPr>
          <w:rFonts w:hint="eastAsia" w:asciiTheme="minorEastAsia" w:hAnsiTheme="minorEastAsia" w:eastAsiaTheme="minorEastAsia"/>
          <w:b/>
          <w:kern w:val="0"/>
          <w:sz w:val="24"/>
        </w:rPr>
        <w:t>投标截止及开标时间、地点：</w:t>
      </w:r>
    </w:p>
    <w:p>
      <w:pPr>
        <w:snapToGrid w:val="0"/>
        <w:spacing w:line="360" w:lineRule="auto"/>
        <w:ind w:firstLine="480" w:firstLineChars="200"/>
        <w:rPr>
          <w:rFonts w:cs="Arial" w:asciiTheme="minorEastAsia" w:hAnsiTheme="minorEastAsia" w:eastAsiaTheme="minorEastAsia"/>
          <w:color w:val="000000"/>
          <w:sz w:val="24"/>
        </w:rPr>
      </w:pPr>
      <w:r>
        <w:rPr>
          <w:rFonts w:hint="eastAsia" w:cs="Arial" w:asciiTheme="minorEastAsia" w:hAnsiTheme="minorEastAsia" w:eastAsiaTheme="minorEastAsia"/>
          <w:color w:val="000000"/>
          <w:sz w:val="24"/>
        </w:rPr>
        <w:t>本次招标将于</w:t>
      </w:r>
      <w:r>
        <w:rPr>
          <w:rFonts w:hint="eastAsia" w:asciiTheme="minorEastAsia" w:hAnsiTheme="minorEastAsia" w:eastAsiaTheme="minorEastAsia"/>
          <w:kern w:val="0"/>
          <w:sz w:val="24"/>
        </w:rPr>
        <w:t>：</w:t>
      </w:r>
      <w:r>
        <w:rPr>
          <w:rFonts w:hint="eastAsia" w:cs="Arial" w:asciiTheme="minorEastAsia" w:hAnsiTheme="minorEastAsia" w:eastAsiaTheme="minorEastAsia"/>
          <w:sz w:val="24"/>
        </w:rPr>
        <w:t>2018</w:t>
      </w:r>
      <w:r>
        <w:rPr>
          <w:rFonts w:hint="eastAsia" w:asciiTheme="minorEastAsia" w:hAnsiTheme="minorEastAsia" w:eastAsiaTheme="minorEastAsia"/>
          <w:kern w:val="0"/>
          <w:sz w:val="24"/>
        </w:rPr>
        <w:t>年</w:t>
      </w:r>
      <w:r>
        <w:rPr>
          <w:rFonts w:hint="eastAsia" w:asciiTheme="minorEastAsia" w:hAnsiTheme="minorEastAsia" w:eastAsiaTheme="minorEastAsia"/>
          <w:kern w:val="0"/>
          <w:sz w:val="24"/>
          <w:lang w:val="en-US" w:eastAsia="zh-CN"/>
        </w:rPr>
        <w:t>10</w:t>
      </w:r>
      <w:r>
        <w:rPr>
          <w:rFonts w:hint="eastAsia" w:asciiTheme="minorEastAsia" w:hAnsiTheme="minorEastAsia" w:eastAsiaTheme="minorEastAsia"/>
          <w:kern w:val="0"/>
          <w:sz w:val="24"/>
        </w:rPr>
        <w:t>月</w:t>
      </w:r>
      <w:r>
        <w:rPr>
          <w:rFonts w:hint="eastAsia" w:cs="Arial" w:asciiTheme="minorEastAsia" w:hAnsiTheme="minorEastAsia" w:eastAsiaTheme="minorEastAsia"/>
          <w:sz w:val="24"/>
          <w:lang w:val="en-US" w:eastAsia="zh-CN"/>
        </w:rPr>
        <w:t>30</w:t>
      </w:r>
      <w:r>
        <w:rPr>
          <w:rFonts w:hint="eastAsia" w:asciiTheme="minorEastAsia" w:hAnsiTheme="minorEastAsia" w:eastAsiaTheme="minorEastAsia"/>
          <w:kern w:val="0"/>
          <w:sz w:val="24"/>
        </w:rPr>
        <w:t>日星期</w:t>
      </w:r>
      <w:r>
        <w:rPr>
          <w:rFonts w:hint="eastAsia" w:asciiTheme="minorEastAsia" w:hAnsiTheme="minorEastAsia" w:eastAsiaTheme="minorEastAsia"/>
          <w:kern w:val="0"/>
          <w:sz w:val="24"/>
          <w:lang w:val="en-US" w:eastAsia="zh-CN"/>
        </w:rPr>
        <w:t>二</w:t>
      </w:r>
      <w:r>
        <w:rPr>
          <w:rFonts w:hint="eastAsia" w:asciiTheme="minorEastAsia" w:hAnsiTheme="minorEastAsia" w:eastAsiaTheme="minorEastAsia"/>
          <w:kern w:val="0"/>
          <w:sz w:val="24"/>
        </w:rPr>
        <w:t xml:space="preserve"> </w:t>
      </w:r>
      <w:r>
        <w:rPr>
          <w:rFonts w:hint="eastAsia" w:cs="Arial" w:asciiTheme="minorEastAsia" w:hAnsiTheme="minorEastAsia" w:eastAsiaTheme="minorEastAsia"/>
          <w:sz w:val="24"/>
        </w:rPr>
        <w:t>上</w:t>
      </w:r>
      <w:r>
        <w:rPr>
          <w:rFonts w:hint="eastAsia" w:asciiTheme="minorEastAsia" w:hAnsiTheme="minorEastAsia" w:eastAsiaTheme="minorEastAsia"/>
          <w:kern w:val="0"/>
          <w:sz w:val="24"/>
        </w:rPr>
        <w:t>午</w:t>
      </w:r>
      <w:r>
        <w:rPr>
          <w:rFonts w:hint="eastAsia" w:cs="Arial" w:asciiTheme="minorEastAsia" w:hAnsiTheme="minorEastAsia" w:eastAsiaTheme="minorEastAsia"/>
          <w:sz w:val="24"/>
        </w:rPr>
        <w:t>9:30</w:t>
      </w:r>
      <w:r>
        <w:rPr>
          <w:rFonts w:hint="eastAsia" w:asciiTheme="minorEastAsia" w:hAnsiTheme="minorEastAsia" w:eastAsiaTheme="minorEastAsia"/>
          <w:kern w:val="0"/>
          <w:sz w:val="24"/>
        </w:rPr>
        <w:t>时整</w:t>
      </w:r>
      <w:r>
        <w:rPr>
          <w:rFonts w:hint="eastAsia" w:cs="Arial" w:asciiTheme="minorEastAsia" w:hAnsiTheme="minorEastAsia" w:eastAsiaTheme="minorEastAsia"/>
          <w:sz w:val="24"/>
        </w:rPr>
        <w:t>在</w:t>
      </w:r>
      <w:r>
        <w:rPr>
          <w:rFonts w:hint="eastAsia" w:asciiTheme="minorEastAsia" w:hAnsiTheme="minorEastAsia" w:eastAsiaTheme="minorEastAsia"/>
          <w:kern w:val="0"/>
          <w:sz w:val="24"/>
        </w:rPr>
        <w:t>台州市市府大道777号台州市公共资源交易中心(电信大楼南面)三楼306室</w:t>
      </w:r>
      <w:r>
        <w:rPr>
          <w:rFonts w:hint="eastAsia" w:asciiTheme="minorEastAsia" w:hAnsiTheme="minorEastAsia" w:eastAsiaTheme="minorEastAsia"/>
          <w:sz w:val="24"/>
        </w:rPr>
        <w:t>开</w:t>
      </w:r>
      <w:r>
        <w:rPr>
          <w:rFonts w:hint="eastAsia" w:cs="Arial" w:asciiTheme="minorEastAsia" w:hAnsiTheme="minorEastAsia" w:eastAsiaTheme="minorEastAsia"/>
          <w:sz w:val="24"/>
        </w:rPr>
        <w:t>标，</w:t>
      </w:r>
      <w:r>
        <w:rPr>
          <w:rFonts w:hint="eastAsia" w:asciiTheme="minorEastAsia" w:hAnsiTheme="minorEastAsia" w:eastAsiaTheme="minorEastAsia"/>
          <w:kern w:val="0"/>
          <w:sz w:val="24"/>
        </w:rPr>
        <w:t>请在此时间前将投标文件送达开标地点，逾期或不符合规定的投标文件恕不接受。</w:t>
      </w:r>
    </w:p>
    <w:p>
      <w:pPr>
        <w:snapToGrid w:val="0"/>
        <w:spacing w:line="360" w:lineRule="auto"/>
        <w:ind w:firstLine="482" w:firstLineChars="200"/>
        <w:rPr>
          <w:rFonts w:cs="Arial" w:asciiTheme="minorEastAsia" w:hAnsiTheme="minorEastAsia" w:eastAsiaTheme="minorEastAsia"/>
          <w:b/>
          <w:color w:val="000000"/>
          <w:sz w:val="24"/>
          <w:szCs w:val="20"/>
        </w:rPr>
      </w:pPr>
      <w:r>
        <w:rPr>
          <w:rFonts w:hint="eastAsia" w:cs="Arial" w:asciiTheme="minorEastAsia" w:hAnsiTheme="minorEastAsia" w:eastAsiaTheme="minorEastAsia"/>
          <w:b/>
          <w:bCs/>
          <w:color w:val="000000"/>
          <w:sz w:val="24"/>
        </w:rPr>
        <w:t>八、投标保证金</w:t>
      </w:r>
      <w:r>
        <w:rPr>
          <w:rFonts w:hint="eastAsia" w:cs="Arial" w:asciiTheme="minorEastAsia" w:hAnsiTheme="minorEastAsia" w:eastAsiaTheme="minorEastAsia"/>
          <w:b/>
          <w:color w:val="000000"/>
          <w:sz w:val="24"/>
        </w:rPr>
        <w:t>：</w:t>
      </w:r>
    </w:p>
    <w:p>
      <w:pPr>
        <w:snapToGrid w:val="0"/>
        <w:spacing w:line="360" w:lineRule="auto"/>
        <w:ind w:firstLine="480" w:firstLineChars="200"/>
        <w:rPr>
          <w:rFonts w:asciiTheme="minorEastAsia" w:hAnsiTheme="minorEastAsia" w:eastAsiaTheme="minorEastAsia"/>
          <w:kern w:val="0"/>
          <w:sz w:val="24"/>
        </w:rPr>
      </w:pPr>
      <w:r>
        <w:rPr>
          <w:rFonts w:hint="eastAsia" w:cs="Arial" w:asciiTheme="minorEastAsia" w:hAnsiTheme="minorEastAsia" w:eastAsiaTheme="minorEastAsia"/>
          <w:color w:val="000000"/>
          <w:sz w:val="24"/>
        </w:rPr>
        <w:t>1、</w:t>
      </w:r>
      <w:r>
        <w:rPr>
          <w:rFonts w:hint="eastAsia" w:ascii="宋体" w:hAnsi="宋体" w:cs="Arial"/>
          <w:bCs/>
          <w:sz w:val="24"/>
        </w:rPr>
        <w:t>投标保证金为</w:t>
      </w:r>
      <w:r>
        <w:rPr>
          <w:rFonts w:hint="eastAsia" w:ascii="宋体" w:hAnsi="宋体" w:cs="Arial"/>
          <w:b/>
          <w:sz w:val="24"/>
        </w:rPr>
        <w:t>人民币200000元</w:t>
      </w:r>
      <w:r>
        <w:rPr>
          <w:rFonts w:hint="eastAsia" w:ascii="宋体" w:hAnsi="宋体" w:cs="Arial"/>
          <w:color w:val="000000"/>
          <w:sz w:val="24"/>
        </w:rPr>
        <w:t>。</w:t>
      </w:r>
      <w:r>
        <w:rPr>
          <w:rFonts w:hint="eastAsia" w:asciiTheme="minorEastAsia" w:hAnsiTheme="minorEastAsia" w:eastAsiaTheme="minorEastAsia"/>
          <w:kern w:val="0"/>
          <w:sz w:val="24"/>
        </w:rPr>
        <w:t>投标人应于网上报名的同时根据网上自动生成的帐号（帐号随机产生，每个项目、每个供应商的帐号都会不一样）进行缴纳，未按上述要求报名缴纳的作无效处理， 财务联系电话：0576-88685133。</w:t>
      </w:r>
    </w:p>
    <w:p>
      <w:pPr>
        <w:snapToGrid w:val="0"/>
        <w:spacing w:line="360" w:lineRule="auto"/>
        <w:ind w:firstLine="482" w:firstLineChars="200"/>
        <w:rPr>
          <w:rFonts w:cs="Arial" w:asciiTheme="minorEastAsia" w:hAnsiTheme="minorEastAsia" w:eastAsiaTheme="minorEastAsia"/>
          <w:b/>
          <w:color w:val="000000"/>
          <w:sz w:val="24"/>
        </w:rPr>
      </w:pPr>
      <w:r>
        <w:rPr>
          <w:rFonts w:hint="eastAsia" w:cs="Arial" w:asciiTheme="minorEastAsia" w:hAnsiTheme="minorEastAsia" w:eastAsiaTheme="minorEastAsia"/>
          <w:b/>
          <w:bCs/>
          <w:color w:val="000000"/>
          <w:sz w:val="24"/>
        </w:rPr>
        <w:t>九、</w:t>
      </w:r>
      <w:r>
        <w:rPr>
          <w:rFonts w:hint="eastAsia" w:cs="Arial" w:asciiTheme="minorEastAsia" w:hAnsiTheme="minorEastAsia" w:eastAsiaTheme="minorEastAsia"/>
          <w:b/>
          <w:color w:val="000000"/>
          <w:sz w:val="24"/>
        </w:rPr>
        <w:t>办理供应商网上注册登记：</w:t>
      </w:r>
    </w:p>
    <w:p>
      <w:pPr>
        <w:snapToGrid w:val="0"/>
        <w:spacing w:line="360" w:lineRule="auto"/>
        <w:ind w:firstLine="480" w:firstLineChars="200"/>
        <w:rPr>
          <w:rFonts w:cs="Arial" w:asciiTheme="minorEastAsia" w:hAnsiTheme="minorEastAsia" w:eastAsiaTheme="minorEastAsia"/>
          <w:sz w:val="24"/>
          <w:szCs w:val="20"/>
        </w:rPr>
      </w:pPr>
      <w:r>
        <w:rPr>
          <w:rFonts w:hint="eastAsia" w:cs="Arial" w:asciiTheme="minorEastAsia" w:hAnsiTheme="minorEastAsia" w:eastAsiaTheme="minorEastAsia"/>
          <w:color w:val="000000"/>
          <w:sz w:val="24"/>
        </w:rPr>
        <w:t>所有参与政府采购项目的供应商，均</w:t>
      </w:r>
      <w:r>
        <w:rPr>
          <w:rFonts w:hint="eastAsia" w:cs="Arial" w:asciiTheme="minorEastAsia" w:hAnsiTheme="minorEastAsia" w:eastAsiaTheme="minorEastAsia"/>
          <w:sz w:val="24"/>
        </w:rPr>
        <w:t>需在浙江政府采购网上</w:t>
      </w:r>
      <w:r>
        <w:rPr>
          <w:rFonts w:hint="eastAsia" w:cs="Arial" w:asciiTheme="minorEastAsia" w:hAnsiTheme="minorEastAsia" w:eastAsiaTheme="minorEastAsia"/>
          <w:color w:val="000000"/>
          <w:sz w:val="24"/>
        </w:rPr>
        <w:t>进行供应商注册登记</w:t>
      </w:r>
      <w:r>
        <w:rPr>
          <w:rFonts w:cs="Arial" w:asciiTheme="minorEastAsia" w:hAnsiTheme="minorEastAsia" w:eastAsiaTheme="minorEastAsia"/>
          <w:color w:val="000000"/>
          <w:sz w:val="24"/>
        </w:rPr>
        <w:t>(</w:t>
      </w:r>
      <w:r>
        <w:rPr>
          <w:rFonts w:hint="eastAsia" w:cs="Arial" w:asciiTheme="minorEastAsia" w:hAnsiTheme="minorEastAsia" w:eastAsiaTheme="minorEastAsia"/>
          <w:color w:val="000000"/>
          <w:sz w:val="24"/>
        </w:rPr>
        <w:t>网址：</w:t>
      </w:r>
      <w:r>
        <w:rPr>
          <w:rFonts w:cs="Arial" w:asciiTheme="minorEastAsia" w:hAnsiTheme="minorEastAsia" w:eastAsiaTheme="minorEastAsia"/>
          <w:color w:val="000000"/>
          <w:sz w:val="24"/>
        </w:rPr>
        <w:t>http://www.zjzfcg.gov.cn)</w:t>
      </w:r>
      <w:r>
        <w:rPr>
          <w:rFonts w:hint="eastAsia" w:cs="Arial" w:asciiTheme="minorEastAsia" w:hAnsiTheme="minorEastAsia" w:eastAsiaTheme="minorEastAsia"/>
          <w:color w:val="000000"/>
          <w:sz w:val="24"/>
        </w:rPr>
        <w:t>，并通过审核及公示合格后加入“浙江省政府采购供应商库”，成为注册供应商</w:t>
      </w:r>
      <w:r>
        <w:rPr>
          <w:rFonts w:hint="eastAsia" w:asciiTheme="minorEastAsia" w:hAnsiTheme="minorEastAsia" w:eastAsiaTheme="minorEastAsia"/>
          <w:kern w:val="0"/>
          <w:sz w:val="24"/>
        </w:rPr>
        <w:t>。</w:t>
      </w:r>
    </w:p>
    <w:p>
      <w:pPr>
        <w:snapToGrid w:val="0"/>
        <w:spacing w:line="360" w:lineRule="auto"/>
        <w:ind w:firstLine="482" w:firstLineChars="200"/>
        <w:rPr>
          <w:rFonts w:cs="Arial" w:asciiTheme="minorEastAsia" w:hAnsiTheme="minorEastAsia" w:eastAsiaTheme="minorEastAsia"/>
          <w:b/>
          <w:bCs/>
          <w:sz w:val="24"/>
        </w:rPr>
      </w:pPr>
      <w:r>
        <w:rPr>
          <w:rFonts w:hint="eastAsia" w:cs="Arial" w:asciiTheme="minorEastAsia" w:hAnsiTheme="minorEastAsia" w:eastAsiaTheme="minorEastAsia"/>
          <w:b/>
          <w:bCs/>
          <w:sz w:val="24"/>
        </w:rPr>
        <w:t>十、网上投标报名：</w:t>
      </w:r>
    </w:p>
    <w:p>
      <w:pPr>
        <w:snapToGrid w:val="0"/>
        <w:spacing w:line="360" w:lineRule="auto"/>
        <w:ind w:firstLine="480" w:firstLineChars="200"/>
        <w:rPr>
          <w:rFonts w:cs="Arial" w:asciiTheme="minorEastAsia" w:hAnsiTheme="minorEastAsia" w:eastAsiaTheme="minorEastAsia"/>
          <w:color w:val="000000"/>
          <w:sz w:val="24"/>
          <w:szCs w:val="20"/>
        </w:rPr>
      </w:pPr>
      <w:r>
        <w:rPr>
          <w:rFonts w:cs="Arial" w:asciiTheme="minorEastAsia" w:hAnsiTheme="minorEastAsia" w:eastAsiaTheme="minorEastAsia"/>
          <w:color w:val="000000"/>
          <w:sz w:val="24"/>
        </w:rPr>
        <w:t> 凡是参与政府采购项目的注册供应商，</w:t>
      </w:r>
      <w:r>
        <w:rPr>
          <w:rFonts w:hint="eastAsia" w:cs="Arial" w:asciiTheme="minorEastAsia" w:hAnsiTheme="minorEastAsia" w:eastAsiaTheme="minorEastAsia"/>
          <w:color w:val="000000"/>
          <w:sz w:val="24"/>
        </w:rPr>
        <w:t>均需登录</w:t>
      </w:r>
      <w:r>
        <w:rPr>
          <w:rFonts w:hint="eastAsia" w:asciiTheme="minorEastAsia" w:hAnsiTheme="minorEastAsia" w:eastAsiaTheme="minorEastAsia"/>
          <w:b/>
          <w:kern w:val="0"/>
          <w:sz w:val="24"/>
        </w:rPr>
        <w:t>台州市公共资源交易网</w:t>
      </w:r>
      <w:r>
        <w:rPr>
          <w:rFonts w:hint="eastAsia" w:cs="Arial" w:asciiTheme="minorEastAsia" w:hAnsiTheme="minorEastAsia" w:eastAsiaTheme="minorEastAsia"/>
          <w:b/>
          <w:sz w:val="24"/>
        </w:rPr>
        <w:t>政府采购页面（</w:t>
      </w:r>
      <w:r>
        <w:fldChar w:fldCharType="begin"/>
      </w:r>
      <w:r>
        <w:instrText xml:space="preserve"> HYPERLINK "http://www.tzztb.com/tzcms/zfcg.jhtml" </w:instrText>
      </w:r>
      <w:r>
        <w:fldChar w:fldCharType="separate"/>
      </w:r>
      <w:r>
        <w:rPr>
          <w:rStyle w:val="33"/>
          <w:rFonts w:asciiTheme="minorEastAsia" w:hAnsiTheme="minorEastAsia" w:eastAsiaTheme="minorEastAsia"/>
          <w:b/>
          <w:kern w:val="0"/>
          <w:sz w:val="24"/>
        </w:rPr>
        <w:t>http://www.tzztb.com/tzcms/zfcg.jhtml</w:t>
      </w:r>
      <w:r>
        <w:rPr>
          <w:rStyle w:val="33"/>
          <w:rFonts w:asciiTheme="minorEastAsia" w:hAnsiTheme="minorEastAsia" w:eastAsiaTheme="minorEastAsia"/>
          <w:b/>
          <w:kern w:val="0"/>
          <w:sz w:val="24"/>
        </w:rPr>
        <w:fldChar w:fldCharType="end"/>
      </w:r>
      <w:r>
        <w:rPr>
          <w:rFonts w:hint="eastAsia" w:asciiTheme="minorEastAsia" w:hAnsiTheme="minorEastAsia" w:eastAsiaTheme="minorEastAsia"/>
          <w:b/>
          <w:kern w:val="0"/>
          <w:sz w:val="24"/>
        </w:rPr>
        <w:t>）</w:t>
      </w:r>
      <w:r>
        <w:rPr>
          <w:rFonts w:hint="eastAsia" w:cs="Arial" w:asciiTheme="minorEastAsia" w:hAnsiTheme="minorEastAsia" w:eastAsiaTheme="minorEastAsia"/>
          <w:sz w:val="24"/>
        </w:rPr>
        <w:t>进行</w:t>
      </w:r>
      <w:r>
        <w:rPr>
          <w:rFonts w:cs="Arial" w:asciiTheme="minorEastAsia" w:hAnsiTheme="minorEastAsia" w:eastAsiaTheme="minorEastAsia"/>
          <w:sz w:val="24"/>
        </w:rPr>
        <w:t>网上报名；尚未</w:t>
      </w:r>
      <w:r>
        <w:rPr>
          <w:rFonts w:cs="Arial" w:asciiTheme="minorEastAsia" w:hAnsiTheme="minorEastAsia" w:eastAsiaTheme="minorEastAsia"/>
          <w:color w:val="000000"/>
          <w:sz w:val="24"/>
        </w:rPr>
        <w:t>注册的供应商应当先在</w:t>
      </w:r>
      <w:r>
        <w:rPr>
          <w:rFonts w:hint="eastAsia" w:cs="Arial" w:asciiTheme="minorEastAsia" w:hAnsiTheme="minorEastAsia" w:eastAsiaTheme="minorEastAsia"/>
          <w:color w:val="000000"/>
          <w:sz w:val="24"/>
        </w:rPr>
        <w:t>浙江政府采购网</w:t>
      </w:r>
      <w:r>
        <w:rPr>
          <w:rFonts w:cs="Arial" w:asciiTheme="minorEastAsia" w:hAnsiTheme="minorEastAsia" w:eastAsiaTheme="minorEastAsia"/>
          <w:color w:val="000000"/>
          <w:sz w:val="24"/>
        </w:rPr>
        <w:t>上申请注册，</w:t>
      </w:r>
      <w:r>
        <w:rPr>
          <w:rFonts w:cs="Arial" w:asciiTheme="minorEastAsia" w:hAnsiTheme="minorEastAsia" w:eastAsiaTheme="minorEastAsia"/>
          <w:b/>
          <w:color w:val="000000"/>
          <w:sz w:val="24"/>
        </w:rPr>
        <w:t>注册终审通过后</w:t>
      </w:r>
      <w:r>
        <w:rPr>
          <w:rFonts w:cs="Arial" w:asciiTheme="minorEastAsia" w:hAnsiTheme="minorEastAsia" w:eastAsiaTheme="minorEastAsia"/>
          <w:color w:val="000000"/>
          <w:sz w:val="24"/>
        </w:rPr>
        <w:t>再进行网上报名</w:t>
      </w:r>
      <w:r>
        <w:rPr>
          <w:rFonts w:hint="eastAsia" w:cs="Arial" w:asciiTheme="minorEastAsia" w:hAnsiTheme="minorEastAsia" w:eastAsiaTheme="minorEastAsia"/>
          <w:color w:val="000000"/>
          <w:sz w:val="24"/>
          <w:szCs w:val="20"/>
        </w:rPr>
        <w:t>。</w:t>
      </w:r>
    </w:p>
    <w:p>
      <w:pPr>
        <w:snapToGrid w:val="0"/>
        <w:spacing w:line="360" w:lineRule="auto"/>
        <w:ind w:firstLine="482" w:firstLineChars="200"/>
        <w:rPr>
          <w:rFonts w:cs="Arial" w:asciiTheme="minorEastAsia" w:hAnsiTheme="minorEastAsia" w:eastAsiaTheme="minorEastAsia"/>
          <w:b/>
          <w:color w:val="000000"/>
          <w:sz w:val="24"/>
        </w:rPr>
      </w:pPr>
      <w:r>
        <w:rPr>
          <w:rFonts w:cs="Arial" w:asciiTheme="minorEastAsia" w:hAnsiTheme="minorEastAsia" w:eastAsiaTheme="minorEastAsia"/>
          <w:b/>
          <w:color w:val="000000"/>
          <w:sz w:val="24"/>
        </w:rPr>
        <w:t>十一、投标人信用信息查询渠道及截止时点、信用信息查询记录和证据留存的具体方式、信用信息的使用规则</w:t>
      </w:r>
      <w:r>
        <w:rPr>
          <w:rFonts w:hint="eastAsia" w:cs="Arial" w:asciiTheme="minorEastAsia" w:hAnsiTheme="minorEastAsia" w:eastAsiaTheme="minorEastAsia"/>
          <w:b/>
          <w:color w:val="000000"/>
          <w:sz w:val="24"/>
        </w:rPr>
        <w:t>：</w:t>
      </w:r>
    </w:p>
    <w:p>
      <w:pPr>
        <w:snapToGrid w:val="0"/>
        <w:spacing w:line="360" w:lineRule="auto"/>
        <w:ind w:firstLine="480" w:firstLineChars="200"/>
        <w:rPr>
          <w:rFonts w:cs="Arial" w:asciiTheme="minorEastAsia" w:hAnsiTheme="minorEastAsia" w:eastAsiaTheme="minorEastAsia"/>
          <w:color w:val="000000"/>
          <w:sz w:val="24"/>
        </w:rPr>
      </w:pPr>
      <w:r>
        <w:rPr>
          <w:rFonts w:hint="eastAsia" w:cs="Arial" w:asciiTheme="minorEastAsia" w:hAnsiTheme="minorEastAsia" w:eastAsiaTheme="minorEastAsia"/>
          <w:color w:val="000000"/>
          <w:sz w:val="24"/>
        </w:rPr>
        <w:t>1、查询渠道：中华人民共和国最高法院（网址：</w:t>
      </w:r>
      <w:bookmarkStart w:id="1" w:name="OLE_LINK1"/>
      <w:r>
        <w:rPr>
          <w:rFonts w:cs="Arial" w:asciiTheme="minorEastAsia" w:hAnsiTheme="minorEastAsia" w:eastAsiaTheme="minorEastAsia"/>
          <w:color w:val="000000"/>
          <w:sz w:val="24"/>
        </w:rPr>
        <w:t>http://zhixing.court.gov.cn/search</w:t>
      </w:r>
      <w:bookmarkEnd w:id="1"/>
      <w:r>
        <w:rPr>
          <w:rFonts w:hint="eastAsia" w:cs="Arial" w:asciiTheme="minorEastAsia" w:hAnsiTheme="minorEastAsia" w:eastAsiaTheme="minorEastAsia"/>
          <w:color w:val="000000"/>
          <w:sz w:val="24"/>
        </w:rPr>
        <w:t>）、中国政府采购网（网址：</w:t>
      </w:r>
      <w:bookmarkStart w:id="2" w:name="OLE_LINK2"/>
      <w:r>
        <w:rPr>
          <w:rFonts w:cs="Arial" w:asciiTheme="minorEastAsia" w:hAnsiTheme="minorEastAsia" w:eastAsiaTheme="minorEastAsia"/>
          <w:color w:val="000000"/>
          <w:sz w:val="24"/>
        </w:rPr>
        <w:t>http://www.ccgp.gov.cn</w:t>
      </w:r>
      <w:bookmarkEnd w:id="2"/>
      <w:r>
        <w:rPr>
          <w:rFonts w:hint="eastAsia" w:cs="Arial" w:asciiTheme="minorEastAsia" w:hAnsiTheme="minorEastAsia" w:eastAsiaTheme="minorEastAsia"/>
          <w:color w:val="000000"/>
          <w:sz w:val="24"/>
        </w:rPr>
        <w:t>）、信用中国（网址：</w:t>
      </w:r>
      <w:bookmarkStart w:id="3" w:name="OLE_LINK3"/>
      <w:r>
        <w:fldChar w:fldCharType="begin"/>
      </w:r>
      <w:r>
        <w:instrText xml:space="preserve"> HYPERLINK "http://www.creditchina.gov.cn" </w:instrText>
      </w:r>
      <w:r>
        <w:fldChar w:fldCharType="separate"/>
      </w:r>
      <w:r>
        <w:rPr>
          <w:rFonts w:cs="Arial" w:asciiTheme="minorEastAsia" w:hAnsiTheme="minorEastAsia" w:eastAsiaTheme="minorEastAsia"/>
          <w:color w:val="000000"/>
          <w:sz w:val="24"/>
        </w:rPr>
        <w:t>http://www.creditchina.gov.cn</w:t>
      </w:r>
      <w:r>
        <w:rPr>
          <w:rFonts w:cs="Arial" w:asciiTheme="minorEastAsia" w:hAnsiTheme="minorEastAsia" w:eastAsiaTheme="minorEastAsia"/>
          <w:color w:val="000000"/>
          <w:sz w:val="24"/>
        </w:rPr>
        <w:fldChar w:fldCharType="end"/>
      </w:r>
      <w:bookmarkEnd w:id="3"/>
      <w:r>
        <w:rPr>
          <w:rFonts w:hint="eastAsia" w:cs="Arial" w:asciiTheme="minorEastAsia" w:hAnsiTheme="minorEastAsia" w:eastAsiaTheme="minorEastAsia"/>
          <w:color w:val="000000"/>
          <w:sz w:val="24"/>
        </w:rPr>
        <w:t>。</w:t>
      </w:r>
    </w:p>
    <w:p>
      <w:pPr>
        <w:snapToGrid w:val="0"/>
        <w:spacing w:line="360" w:lineRule="auto"/>
        <w:ind w:firstLine="480" w:firstLineChars="200"/>
        <w:rPr>
          <w:rFonts w:cs="Arial" w:asciiTheme="minorEastAsia" w:hAnsiTheme="minorEastAsia" w:eastAsiaTheme="minorEastAsia"/>
          <w:color w:val="000000"/>
          <w:sz w:val="24"/>
        </w:rPr>
      </w:pPr>
      <w:r>
        <w:rPr>
          <w:rFonts w:hint="eastAsia" w:cs="Arial" w:asciiTheme="minorEastAsia" w:hAnsiTheme="minorEastAsia" w:eastAsiaTheme="minorEastAsia"/>
          <w:color w:val="000000"/>
          <w:sz w:val="24"/>
        </w:rPr>
        <w:t>2、截止时间为开标后评标前。</w:t>
      </w:r>
    </w:p>
    <w:p>
      <w:pPr>
        <w:snapToGrid w:val="0"/>
        <w:spacing w:line="360" w:lineRule="auto"/>
        <w:ind w:firstLine="480" w:firstLineChars="200"/>
        <w:rPr>
          <w:rFonts w:cs="Arial" w:asciiTheme="minorEastAsia" w:hAnsiTheme="minorEastAsia" w:eastAsiaTheme="minorEastAsia"/>
          <w:color w:val="000000"/>
          <w:sz w:val="24"/>
        </w:rPr>
      </w:pPr>
      <w:r>
        <w:rPr>
          <w:rFonts w:hint="eastAsia" w:cs="Arial" w:asciiTheme="minorEastAsia" w:hAnsiTheme="minorEastAsia" w:eastAsiaTheme="minorEastAsia"/>
          <w:color w:val="000000"/>
          <w:sz w:val="24"/>
        </w:rPr>
        <w:t>3、</w:t>
      </w:r>
      <w:r>
        <w:rPr>
          <w:rFonts w:cs="Arial" w:asciiTheme="minorEastAsia" w:hAnsiTheme="minorEastAsia" w:eastAsiaTheme="minorEastAsia"/>
          <w:color w:val="000000"/>
          <w:sz w:val="24"/>
        </w:rPr>
        <w:t>信用信息查询记录和证据留存的具体方式</w:t>
      </w:r>
      <w:r>
        <w:rPr>
          <w:rFonts w:hint="eastAsia" w:cs="Arial" w:asciiTheme="minorEastAsia" w:hAnsiTheme="minorEastAsia" w:eastAsiaTheme="minorEastAsia"/>
          <w:color w:val="000000"/>
          <w:sz w:val="24"/>
        </w:rPr>
        <w:t>：将在规定查询时间内打印信用信息查询记录及相关证据，并将与其他采购文件一并保存。</w:t>
      </w:r>
    </w:p>
    <w:p>
      <w:pPr>
        <w:snapToGrid w:val="0"/>
        <w:spacing w:line="360" w:lineRule="auto"/>
        <w:ind w:firstLine="480" w:firstLineChars="200"/>
        <w:rPr>
          <w:rFonts w:cs="Arial" w:asciiTheme="minorEastAsia" w:hAnsiTheme="minorEastAsia" w:eastAsiaTheme="minorEastAsia"/>
          <w:color w:val="000000"/>
          <w:sz w:val="24"/>
        </w:rPr>
      </w:pPr>
      <w:r>
        <w:rPr>
          <w:rFonts w:hint="eastAsia" w:cs="Arial" w:asciiTheme="minorEastAsia" w:hAnsiTheme="minorEastAsia" w:eastAsiaTheme="minorEastAsia"/>
          <w:color w:val="000000"/>
          <w:sz w:val="24"/>
        </w:rPr>
        <w:t>4、使用规则：对列入失信被执行人、重大税收违法案件当事人名单、政府采购严重违法失信行为记录名单及其他不符合《中华人民共和国政府采购法》第二十二条规定条件的供应商，</w:t>
      </w:r>
      <w:r>
        <w:rPr>
          <w:rFonts w:cs="Arial" w:asciiTheme="minorEastAsia" w:hAnsiTheme="minorEastAsia" w:eastAsiaTheme="minorEastAsia"/>
          <w:color w:val="000000"/>
          <w:sz w:val="24"/>
        </w:rPr>
        <w:t>将被</w:t>
      </w:r>
      <w:r>
        <w:rPr>
          <w:rFonts w:hint="eastAsia" w:cs="Arial" w:asciiTheme="minorEastAsia" w:hAnsiTheme="minorEastAsia" w:eastAsiaTheme="minorEastAsia"/>
          <w:color w:val="000000"/>
          <w:sz w:val="24"/>
        </w:rPr>
        <w:t>拒绝其参与政府采购活动。</w:t>
      </w:r>
    </w:p>
    <w:p>
      <w:pPr>
        <w:snapToGrid w:val="0"/>
        <w:spacing w:line="360" w:lineRule="auto"/>
        <w:ind w:firstLine="482" w:firstLineChars="200"/>
        <w:rPr>
          <w:rFonts w:cs="Arial" w:asciiTheme="minorEastAsia" w:hAnsiTheme="minorEastAsia" w:eastAsiaTheme="minorEastAsia"/>
          <w:b/>
          <w:bCs/>
          <w:sz w:val="24"/>
        </w:rPr>
      </w:pPr>
      <w:r>
        <w:rPr>
          <w:rFonts w:cs="Arial" w:asciiTheme="minorEastAsia" w:hAnsiTheme="minorEastAsia" w:eastAsiaTheme="minorEastAsia"/>
          <w:b/>
          <w:bCs/>
          <w:sz w:val="24"/>
        </w:rPr>
        <w:t>十二、资格审查方式：</w:t>
      </w:r>
      <w:r>
        <w:rPr>
          <w:rFonts w:cs="Arial" w:asciiTheme="minorEastAsia" w:hAnsiTheme="minorEastAsia" w:eastAsiaTheme="minorEastAsia"/>
          <w:bCs/>
          <w:sz w:val="24"/>
        </w:rPr>
        <w:t>资格后审。</w:t>
      </w:r>
    </w:p>
    <w:p>
      <w:pPr>
        <w:spacing w:line="360" w:lineRule="auto"/>
        <w:ind w:firstLine="590" w:firstLineChars="245"/>
        <w:rPr>
          <w:rFonts w:asciiTheme="minorEastAsia" w:hAnsiTheme="minorEastAsia" w:eastAsiaTheme="minorEastAsia"/>
          <w:b/>
          <w:sz w:val="24"/>
        </w:rPr>
      </w:pPr>
      <w:r>
        <w:rPr>
          <w:rFonts w:hint="eastAsia" w:asciiTheme="minorEastAsia" w:hAnsiTheme="minorEastAsia" w:eastAsiaTheme="minorEastAsia"/>
          <w:b/>
          <w:sz w:val="24"/>
        </w:rPr>
        <w:t>十三、联系方式：</w:t>
      </w:r>
    </w:p>
    <w:p>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（一）采购人</w:t>
      </w:r>
      <w:r>
        <w:rPr>
          <w:rFonts w:hint="eastAsia" w:asciiTheme="minorEastAsia" w:hAnsiTheme="minorEastAsia" w:eastAsiaTheme="minorEastAsia"/>
          <w:bCs/>
          <w:sz w:val="24"/>
        </w:rPr>
        <w:t>（</w:t>
      </w:r>
      <w:r>
        <w:rPr>
          <w:rFonts w:hint="eastAsia" w:cs="Arial" w:asciiTheme="minorEastAsia" w:hAnsiTheme="minorEastAsia" w:eastAsiaTheme="minorEastAsia"/>
          <w:color w:val="000000"/>
          <w:sz w:val="24"/>
        </w:rPr>
        <w:t>受理招标文件质疑及回复事项</w:t>
      </w:r>
      <w:r>
        <w:rPr>
          <w:rFonts w:hint="eastAsia" w:asciiTheme="minorEastAsia" w:hAnsiTheme="minorEastAsia" w:eastAsiaTheme="minorEastAsia"/>
          <w:bCs/>
          <w:sz w:val="24"/>
        </w:rPr>
        <w:t>）</w:t>
      </w:r>
    </w:p>
    <w:p>
      <w:pPr>
        <w:snapToGrid w:val="0"/>
        <w:spacing w:line="360" w:lineRule="auto"/>
        <w:ind w:firstLine="600" w:firstLineChars="250"/>
        <w:rPr>
          <w:rFonts w:ascii="Arial" w:hAnsi="Arial" w:cs="Arial"/>
          <w:color w:val="000000"/>
          <w:sz w:val="24"/>
        </w:rPr>
      </w:pPr>
      <w:r>
        <w:rPr>
          <w:rFonts w:ascii="Arial" w:hAnsi="Arial" w:cs="Arial"/>
          <w:color w:val="000000"/>
          <w:sz w:val="24"/>
        </w:rPr>
        <w:t>采购</w:t>
      </w:r>
      <w:r>
        <w:rPr>
          <w:rFonts w:hint="eastAsia" w:ascii="Arial" w:hAnsi="Arial" w:cs="Arial"/>
          <w:color w:val="000000"/>
          <w:sz w:val="24"/>
        </w:rPr>
        <w:t>人</w:t>
      </w:r>
      <w:r>
        <w:rPr>
          <w:rFonts w:ascii="Arial" w:hAnsi="Arial" w:cs="Arial"/>
          <w:color w:val="000000"/>
          <w:sz w:val="24"/>
        </w:rPr>
        <w:t>名称：</w:t>
      </w:r>
      <w:r>
        <w:rPr>
          <w:rFonts w:hint="eastAsia" w:ascii="宋体" w:hAnsi="宋体"/>
          <w:sz w:val="24"/>
        </w:rPr>
        <w:t>台州市妇幼保健院</w:t>
      </w:r>
    </w:p>
    <w:p>
      <w:pPr>
        <w:snapToGrid w:val="0"/>
        <w:spacing w:line="360" w:lineRule="auto"/>
        <w:ind w:firstLine="600" w:firstLineChars="250"/>
        <w:rPr>
          <w:rFonts w:cs="Arial" w:asciiTheme="minorEastAsia" w:hAnsiTheme="minorEastAsia"/>
          <w:color w:val="FF0000"/>
          <w:sz w:val="24"/>
        </w:rPr>
      </w:pPr>
      <w:r>
        <w:rPr>
          <w:rFonts w:hint="eastAsia" w:ascii="宋体" w:hAnsi="宋体"/>
          <w:sz w:val="24"/>
        </w:rPr>
        <w:t>联系人：</w:t>
      </w:r>
      <w:r>
        <w:rPr>
          <w:rFonts w:hint="eastAsia" w:ascii="宋体" w:hAnsi="宋体"/>
          <w:sz w:val="24"/>
          <w:lang w:eastAsia="zh-CN"/>
        </w:rPr>
        <w:t>李</w:t>
      </w:r>
      <w:r>
        <w:rPr>
          <w:rFonts w:hint="eastAsia" w:ascii="宋体" w:hAnsi="宋体"/>
          <w:sz w:val="24"/>
        </w:rPr>
        <w:t>老师       联系电话：0576-88228865</w:t>
      </w:r>
    </w:p>
    <w:p>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（二）集中采购机构</w:t>
      </w:r>
    </w:p>
    <w:p>
      <w:pPr>
        <w:snapToGrid w:val="0"/>
        <w:spacing w:line="360" w:lineRule="auto"/>
        <w:ind w:firstLine="600" w:firstLineChars="250"/>
        <w:rPr>
          <w:rFonts w:cs="Arial" w:asciiTheme="minorEastAsia" w:hAnsiTheme="minorEastAsia" w:eastAsiaTheme="minorEastAsia"/>
          <w:color w:val="000000"/>
          <w:sz w:val="24"/>
        </w:rPr>
      </w:pPr>
      <w:r>
        <w:rPr>
          <w:rFonts w:hint="eastAsia" w:cs="Arial" w:asciiTheme="minorEastAsia" w:hAnsiTheme="minorEastAsia" w:eastAsiaTheme="minorEastAsia"/>
          <w:color w:val="000000"/>
          <w:sz w:val="24"/>
        </w:rPr>
        <w:t>项目联系人：陶先生　</w:t>
      </w:r>
    </w:p>
    <w:p>
      <w:pPr>
        <w:snapToGrid w:val="0"/>
        <w:spacing w:line="360" w:lineRule="auto"/>
        <w:ind w:firstLine="600" w:firstLineChars="250"/>
        <w:rPr>
          <w:rFonts w:cs="Arial" w:asciiTheme="minorEastAsia" w:hAnsiTheme="minorEastAsia" w:eastAsiaTheme="minorEastAsia"/>
          <w:color w:val="000000"/>
          <w:sz w:val="24"/>
        </w:rPr>
      </w:pPr>
      <w:r>
        <w:rPr>
          <w:rFonts w:hint="eastAsia" w:cs="Arial" w:asciiTheme="minorEastAsia" w:hAnsiTheme="minorEastAsia" w:eastAsiaTheme="minorEastAsia"/>
          <w:color w:val="000000"/>
          <w:sz w:val="24"/>
        </w:rPr>
        <w:t>联系电话：0576-88685172     传真：0576-88685061</w:t>
      </w:r>
    </w:p>
    <w:p>
      <w:pPr>
        <w:snapToGrid w:val="0"/>
        <w:spacing w:line="360" w:lineRule="auto"/>
        <w:ind w:firstLine="600" w:firstLineChars="250"/>
        <w:rPr>
          <w:rFonts w:cs="Arial" w:asciiTheme="minorEastAsia" w:hAnsiTheme="minorEastAsia" w:eastAsiaTheme="minorEastAsia"/>
          <w:color w:val="000000"/>
          <w:sz w:val="24"/>
        </w:rPr>
      </w:pPr>
      <w:r>
        <w:rPr>
          <w:rFonts w:hint="eastAsia" w:cs="Arial" w:asciiTheme="minorEastAsia" w:hAnsiTheme="minorEastAsia" w:eastAsiaTheme="minorEastAsia"/>
          <w:color w:val="000000"/>
          <w:sz w:val="24"/>
        </w:rPr>
        <w:t>窗口联系人：阮女士</w:t>
      </w:r>
    </w:p>
    <w:p>
      <w:pPr>
        <w:snapToGrid w:val="0"/>
        <w:spacing w:line="360" w:lineRule="auto"/>
        <w:ind w:firstLine="600" w:firstLineChars="250"/>
        <w:rPr>
          <w:rFonts w:cs="Arial" w:asciiTheme="minorEastAsia" w:hAnsiTheme="minorEastAsia" w:eastAsiaTheme="minorEastAsia"/>
          <w:color w:val="000000"/>
          <w:sz w:val="24"/>
        </w:rPr>
      </w:pPr>
      <w:r>
        <w:rPr>
          <w:rFonts w:hint="eastAsia" w:cs="Arial" w:asciiTheme="minorEastAsia" w:hAnsiTheme="minorEastAsia" w:eastAsiaTheme="minorEastAsia"/>
          <w:color w:val="000000"/>
          <w:sz w:val="24"/>
        </w:rPr>
        <w:t>联系电话：0576－88685121（受理供应商注册及中标结果相关质疑）</w:t>
      </w:r>
    </w:p>
    <w:p>
      <w:pPr>
        <w:spacing w:line="360" w:lineRule="auto"/>
        <w:ind w:firstLine="600" w:firstLineChars="250"/>
        <w:rPr>
          <w:rFonts w:cs="Arial" w:asciiTheme="minorEastAsia" w:hAnsiTheme="minorEastAsia" w:eastAsiaTheme="minorEastAsia"/>
          <w:color w:val="000000"/>
          <w:sz w:val="24"/>
        </w:rPr>
      </w:pPr>
      <w:r>
        <w:rPr>
          <w:rFonts w:hint="eastAsia" w:cs="Arial" w:asciiTheme="minorEastAsia" w:hAnsiTheme="minorEastAsia" w:eastAsiaTheme="minorEastAsia"/>
          <w:color w:val="000000"/>
          <w:sz w:val="24"/>
        </w:rPr>
        <w:t>地址：</w:t>
      </w:r>
      <w:r>
        <w:rPr>
          <w:rFonts w:hint="eastAsia" w:asciiTheme="minorEastAsia" w:hAnsiTheme="minorEastAsia" w:eastAsiaTheme="minorEastAsia"/>
          <w:kern w:val="0"/>
          <w:sz w:val="24"/>
        </w:rPr>
        <w:t>台州市市府大道777号</w:t>
      </w:r>
    </w:p>
    <w:p>
      <w:pPr>
        <w:spacing w:line="360" w:lineRule="auto"/>
        <w:ind w:firstLine="600" w:firstLineChars="250"/>
        <w:rPr>
          <w:rFonts w:cs="Arial" w:asciiTheme="minorEastAsia" w:hAnsiTheme="minorEastAsia" w:eastAsiaTheme="minorEastAsia"/>
          <w:color w:val="000000"/>
          <w:sz w:val="24"/>
        </w:rPr>
      </w:pPr>
    </w:p>
    <w:p>
      <w:pPr>
        <w:spacing w:line="360" w:lineRule="auto"/>
        <w:ind w:firstLine="600" w:firstLineChars="250"/>
        <w:rPr>
          <w:rFonts w:cs="Arial" w:asciiTheme="minorEastAsia" w:hAnsiTheme="minorEastAsia" w:eastAsiaTheme="minorEastAsia"/>
          <w:color w:val="000000"/>
          <w:sz w:val="24"/>
        </w:rPr>
      </w:pPr>
    </w:p>
    <w:p>
      <w:pPr>
        <w:spacing w:line="360" w:lineRule="auto"/>
        <w:ind w:firstLine="600" w:firstLineChars="250"/>
        <w:rPr>
          <w:rFonts w:cs="Arial" w:asciiTheme="minorEastAsia" w:hAnsiTheme="minorEastAsia" w:eastAsiaTheme="minorEastAsia"/>
          <w:color w:val="000000"/>
          <w:sz w:val="24"/>
        </w:rPr>
      </w:pPr>
    </w:p>
    <w:p>
      <w:pPr>
        <w:spacing w:line="360" w:lineRule="auto"/>
        <w:ind w:firstLine="6120" w:firstLineChars="2550"/>
        <w:rPr>
          <w:rFonts w:asciiTheme="minorEastAsia" w:hAnsiTheme="minorEastAsia" w:eastAsiaTheme="minorEastAsia"/>
          <w:kern w:val="0"/>
          <w:sz w:val="24"/>
        </w:rPr>
      </w:pPr>
      <w:r>
        <w:rPr>
          <w:rFonts w:hint="eastAsia" w:asciiTheme="minorEastAsia" w:hAnsiTheme="minorEastAsia" w:eastAsiaTheme="minorEastAsia"/>
          <w:kern w:val="0"/>
          <w:sz w:val="24"/>
        </w:rPr>
        <w:t>台州市政府采购中心</w:t>
      </w:r>
    </w:p>
    <w:p>
      <w:pPr>
        <w:spacing w:line="360" w:lineRule="auto"/>
        <w:jc w:val="right"/>
        <w:rPr>
          <w:rFonts w:asciiTheme="minorEastAsia" w:hAnsiTheme="minorEastAsia" w:eastAsiaTheme="minorEastAsia"/>
          <w:sz w:val="24"/>
        </w:rPr>
      </w:pPr>
      <w:r>
        <w:rPr>
          <w:rFonts w:hint="eastAsia" w:asciiTheme="minorEastAsia" w:hAnsiTheme="minorEastAsia" w:eastAsiaTheme="minorEastAsia"/>
          <w:kern w:val="0"/>
          <w:sz w:val="24"/>
        </w:rPr>
        <w:t>2018年</w:t>
      </w:r>
      <w:r>
        <w:rPr>
          <w:rFonts w:hint="eastAsia" w:asciiTheme="minorEastAsia" w:hAnsiTheme="minorEastAsia" w:eastAsiaTheme="minorEastAsia"/>
          <w:kern w:val="0"/>
          <w:sz w:val="24"/>
          <w:lang w:val="en-US" w:eastAsia="zh-CN"/>
        </w:rPr>
        <w:t>9</w:t>
      </w:r>
      <w:r>
        <w:rPr>
          <w:rFonts w:hint="eastAsia" w:asciiTheme="minorEastAsia" w:hAnsiTheme="minorEastAsia" w:eastAsiaTheme="minorEastAsia"/>
          <w:kern w:val="0"/>
          <w:sz w:val="24"/>
        </w:rPr>
        <w:t>月</w:t>
      </w:r>
      <w:r>
        <w:rPr>
          <w:rFonts w:hint="eastAsia" w:asciiTheme="minorEastAsia" w:hAnsiTheme="minorEastAsia" w:eastAsiaTheme="minorEastAsia"/>
          <w:kern w:val="0"/>
          <w:sz w:val="24"/>
          <w:lang w:val="en-US" w:eastAsia="zh-CN"/>
        </w:rPr>
        <w:t>30</w:t>
      </w:r>
      <w:r>
        <w:rPr>
          <w:rFonts w:hint="eastAsia" w:asciiTheme="minorEastAsia" w:hAnsiTheme="minorEastAsia" w:eastAsiaTheme="minorEastAsia"/>
          <w:kern w:val="0"/>
          <w:sz w:val="24"/>
        </w:rPr>
        <w:t>日</w:t>
      </w:r>
    </w:p>
    <w:p>
      <w:pPr>
        <w:spacing w:line="360" w:lineRule="auto"/>
        <w:rPr>
          <w:rFonts w:asciiTheme="minorEastAsia" w:hAnsiTheme="minorEastAsia" w:eastAsiaTheme="minorEastAsia"/>
          <w:sz w:val="24"/>
        </w:rPr>
      </w:pPr>
    </w:p>
    <w:p>
      <w:pPr>
        <w:snapToGrid w:val="0"/>
        <w:spacing w:beforeLines="50" w:afterLines="50" w:line="360" w:lineRule="auto"/>
        <w:ind w:firstLine="2168" w:firstLineChars="600"/>
        <w:rPr>
          <w:rFonts w:asciiTheme="majorEastAsia" w:hAnsiTheme="majorEastAsia" w:eastAsiaTheme="majorEastAsia"/>
          <w:b/>
          <w:sz w:val="36"/>
          <w:szCs w:val="36"/>
        </w:rPr>
      </w:pPr>
      <w:r>
        <w:rPr>
          <w:rFonts w:hint="eastAsia" w:asciiTheme="majorEastAsia" w:hAnsiTheme="majorEastAsia" w:eastAsiaTheme="majorEastAsia"/>
          <w:b/>
          <w:sz w:val="36"/>
          <w:szCs w:val="36"/>
        </w:rPr>
        <w:br w:type="page"/>
      </w:r>
      <w:r>
        <w:rPr>
          <w:rFonts w:hint="eastAsia" w:asciiTheme="majorEastAsia" w:hAnsiTheme="majorEastAsia" w:eastAsiaTheme="majorEastAsia"/>
          <w:b/>
          <w:sz w:val="36"/>
          <w:szCs w:val="36"/>
        </w:rPr>
        <w:t xml:space="preserve">第二部分  </w:t>
      </w:r>
      <w:r>
        <w:rPr>
          <w:rFonts w:hint="eastAsia" w:asciiTheme="majorEastAsia" w:hAnsiTheme="majorEastAsia" w:eastAsiaTheme="majorEastAsia"/>
          <w:b/>
          <w:bCs/>
          <w:sz w:val="36"/>
          <w:szCs w:val="36"/>
        </w:rPr>
        <w:t>招</w:t>
      </w:r>
      <w:r>
        <w:rPr>
          <w:rFonts w:hint="eastAsia" w:asciiTheme="majorEastAsia" w:hAnsiTheme="majorEastAsia" w:eastAsiaTheme="majorEastAsia"/>
          <w:b/>
          <w:sz w:val="36"/>
          <w:szCs w:val="36"/>
        </w:rPr>
        <w:t>标需求</w:t>
      </w:r>
    </w:p>
    <w:p>
      <w:pPr>
        <w:tabs>
          <w:tab w:val="left" w:pos="8280"/>
        </w:tabs>
        <w:autoSpaceDE w:val="0"/>
        <w:autoSpaceDN w:val="0"/>
        <w:adjustRightInd w:val="0"/>
        <w:spacing w:line="360" w:lineRule="auto"/>
        <w:ind w:right="25"/>
        <w:rPr>
          <w:rFonts w:asciiTheme="minorEastAsia" w:hAnsiTheme="minorEastAsia" w:eastAsiaTheme="minorEastAsia"/>
          <w:sz w:val="28"/>
        </w:rPr>
      </w:pPr>
      <w:r>
        <w:rPr>
          <w:rFonts w:hint="eastAsia" w:asciiTheme="minorEastAsia" w:hAnsiTheme="minorEastAsia" w:eastAsiaTheme="minorEastAsia"/>
          <w:b/>
          <w:sz w:val="28"/>
        </w:rPr>
        <w:t>一、招标项目一览表</w:t>
      </w:r>
    </w:p>
    <w:p>
      <w:pPr>
        <w:tabs>
          <w:tab w:val="left" w:pos="8280"/>
        </w:tabs>
        <w:autoSpaceDE w:val="0"/>
        <w:autoSpaceDN w:val="0"/>
        <w:adjustRightInd w:val="0"/>
        <w:spacing w:line="360" w:lineRule="auto"/>
        <w:ind w:right="25" w:firstLine="280"/>
        <w:rPr>
          <w:rFonts w:asciiTheme="minorEastAsia" w:hAnsiTheme="minorEastAsia" w:eastAsiaTheme="minorEastAsia"/>
          <w:color w:val="33CCCC"/>
          <w:szCs w:val="21"/>
        </w:rPr>
      </w:pPr>
      <w:r>
        <w:rPr>
          <w:rFonts w:hint="eastAsia" w:asciiTheme="minorEastAsia" w:hAnsiTheme="minorEastAsia" w:eastAsiaTheme="minorEastAsia"/>
          <w:sz w:val="24"/>
        </w:rPr>
        <w:t>本次招标共</w:t>
      </w:r>
      <w:r>
        <w:rPr>
          <w:rFonts w:hint="eastAsia" w:asciiTheme="minorEastAsia" w:hAnsiTheme="minorEastAsia" w:eastAsiaTheme="minorEastAsia"/>
          <w:sz w:val="24"/>
          <w:u w:val="single"/>
        </w:rPr>
        <w:t xml:space="preserve"> 1 </w:t>
      </w:r>
      <w:r>
        <w:rPr>
          <w:rFonts w:hint="eastAsia" w:asciiTheme="minorEastAsia" w:hAnsiTheme="minorEastAsia" w:eastAsiaTheme="minorEastAsia"/>
          <w:sz w:val="24"/>
        </w:rPr>
        <w:t>个标段，具体内容如下表</w:t>
      </w:r>
      <w:r>
        <w:rPr>
          <w:rFonts w:hint="eastAsia" w:asciiTheme="minorEastAsia" w:hAnsiTheme="minorEastAsia" w:eastAsiaTheme="minorEastAsia"/>
          <w:sz w:val="28"/>
        </w:rPr>
        <w:t>：</w:t>
      </w:r>
    </w:p>
    <w:tbl>
      <w:tblPr>
        <w:tblStyle w:val="35"/>
        <w:tblW w:w="8915" w:type="dxa"/>
        <w:jc w:val="center"/>
        <w:tblInd w:w="-4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90"/>
        <w:gridCol w:w="1020"/>
        <w:gridCol w:w="630"/>
        <w:gridCol w:w="630"/>
        <w:gridCol w:w="900"/>
        <w:gridCol w:w="2010"/>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5" w:hRule="atLeast"/>
          <w:jc w:val="center"/>
        </w:trPr>
        <w:tc>
          <w:tcPr>
            <w:tcW w:w="675"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标段号</w:t>
            </w:r>
          </w:p>
        </w:tc>
        <w:tc>
          <w:tcPr>
            <w:tcW w:w="1190" w:type="dxa"/>
            <w:vAlign w:val="center"/>
          </w:tcPr>
          <w:p>
            <w:pPr>
              <w:tabs>
                <w:tab w:val="left" w:pos="8280"/>
              </w:tabs>
              <w:autoSpaceDE w:val="0"/>
              <w:autoSpaceDN w:val="0"/>
              <w:adjustRightInd w:val="0"/>
              <w:spacing w:line="360" w:lineRule="auto"/>
              <w:ind w:right="25" w:firstLine="105" w:firstLineChars="50"/>
              <w:jc w:val="center"/>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顶目名称</w:t>
            </w:r>
          </w:p>
        </w:tc>
        <w:tc>
          <w:tcPr>
            <w:tcW w:w="1020" w:type="dxa"/>
            <w:vAlign w:val="center"/>
          </w:tcPr>
          <w:p>
            <w:pPr>
              <w:tabs>
                <w:tab w:val="left" w:pos="8280"/>
              </w:tabs>
              <w:autoSpaceDE w:val="0"/>
              <w:autoSpaceDN w:val="0"/>
              <w:adjustRightInd w:val="0"/>
              <w:spacing w:line="360" w:lineRule="auto"/>
              <w:ind w:right="25"/>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规格型号</w:t>
            </w:r>
          </w:p>
        </w:tc>
        <w:tc>
          <w:tcPr>
            <w:tcW w:w="630"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数量</w:t>
            </w:r>
          </w:p>
        </w:tc>
        <w:tc>
          <w:tcPr>
            <w:tcW w:w="630"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单位</w:t>
            </w:r>
          </w:p>
        </w:tc>
        <w:tc>
          <w:tcPr>
            <w:tcW w:w="900"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b/>
                <w:szCs w:val="21"/>
              </w:rPr>
            </w:pPr>
            <w:r>
              <w:rPr>
                <w:rFonts w:hint="eastAsia" w:asciiTheme="minorEastAsia" w:hAnsiTheme="minorEastAsia" w:eastAsiaTheme="minorEastAsia"/>
                <w:b/>
                <w:szCs w:val="21"/>
              </w:rPr>
              <w:t>预算（万元）</w:t>
            </w:r>
          </w:p>
        </w:tc>
        <w:tc>
          <w:tcPr>
            <w:tcW w:w="2010" w:type="dxa"/>
            <w:vAlign w:val="center"/>
          </w:tcPr>
          <w:p>
            <w:pPr>
              <w:tabs>
                <w:tab w:val="left" w:pos="8280"/>
              </w:tabs>
              <w:autoSpaceDE w:val="0"/>
              <w:autoSpaceDN w:val="0"/>
              <w:adjustRightInd w:val="0"/>
              <w:spacing w:line="360" w:lineRule="auto"/>
              <w:ind w:right="25" w:firstLine="240"/>
              <w:jc w:val="center"/>
              <w:rPr>
                <w:rFonts w:asciiTheme="minorEastAsia" w:hAnsiTheme="minorEastAsia" w:eastAsiaTheme="minorEastAsia"/>
                <w:b/>
                <w:szCs w:val="21"/>
              </w:rPr>
            </w:pPr>
            <w:r>
              <w:rPr>
                <w:rFonts w:hint="eastAsia" w:asciiTheme="minorEastAsia" w:hAnsiTheme="minorEastAsia" w:eastAsiaTheme="minorEastAsia"/>
                <w:b/>
                <w:szCs w:val="21"/>
              </w:rPr>
              <w:t>交货期</w:t>
            </w:r>
          </w:p>
          <w:p>
            <w:pPr>
              <w:tabs>
                <w:tab w:val="left" w:pos="8280"/>
              </w:tabs>
              <w:autoSpaceDE w:val="0"/>
              <w:autoSpaceDN w:val="0"/>
              <w:adjustRightInd w:val="0"/>
              <w:spacing w:line="360" w:lineRule="auto"/>
              <w:ind w:right="25"/>
              <w:jc w:val="center"/>
              <w:rPr>
                <w:rFonts w:asciiTheme="minorEastAsia" w:hAnsiTheme="minorEastAsia" w:eastAsiaTheme="minorEastAsia"/>
                <w:b/>
                <w:szCs w:val="21"/>
              </w:rPr>
            </w:pPr>
            <w:r>
              <w:rPr>
                <w:rFonts w:hint="eastAsia" w:asciiTheme="minorEastAsia" w:hAnsiTheme="minorEastAsia" w:eastAsiaTheme="minorEastAsia"/>
                <w:b/>
                <w:szCs w:val="21"/>
              </w:rPr>
              <w:t>合同签订后几天内</w:t>
            </w:r>
          </w:p>
        </w:tc>
        <w:tc>
          <w:tcPr>
            <w:tcW w:w="1860"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b/>
                <w:szCs w:val="21"/>
              </w:rPr>
            </w:pPr>
            <w:r>
              <w:rPr>
                <w:rFonts w:hint="eastAsia" w:asciiTheme="minorEastAsia" w:hAnsiTheme="minorEastAsia" w:eastAsiaTheme="minorEastAsia"/>
                <w:b/>
                <w:szCs w:val="21"/>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675" w:type="dxa"/>
            <w:vAlign w:val="center"/>
          </w:tcPr>
          <w:p>
            <w:pPr>
              <w:tabs>
                <w:tab w:val="left" w:pos="8280"/>
              </w:tabs>
              <w:autoSpaceDE w:val="0"/>
              <w:autoSpaceDN w:val="0"/>
              <w:adjustRightInd w:val="0"/>
              <w:spacing w:line="360" w:lineRule="auto"/>
              <w:ind w:right="25"/>
              <w:rPr>
                <w:rFonts w:asciiTheme="minorEastAsia" w:hAnsiTheme="minorEastAsia" w:eastAsiaTheme="minorEastAsia"/>
                <w:szCs w:val="21"/>
              </w:rPr>
            </w:pPr>
            <w:r>
              <w:rPr>
                <w:rFonts w:hint="eastAsia" w:asciiTheme="minorEastAsia" w:hAnsiTheme="minorEastAsia" w:eastAsiaTheme="minorEastAsia"/>
                <w:szCs w:val="21"/>
              </w:rPr>
              <w:t>1</w:t>
            </w:r>
          </w:p>
        </w:tc>
        <w:tc>
          <w:tcPr>
            <w:tcW w:w="1190" w:type="dxa"/>
            <w:vAlign w:val="center"/>
          </w:tcPr>
          <w:p>
            <w:pPr>
              <w:spacing w:line="360" w:lineRule="auto"/>
              <w:ind w:right="-107" w:rightChars="-51"/>
              <w:jc w:val="left"/>
              <w:rPr>
                <w:rFonts w:ascii="宋体" w:hAnsi="宋体" w:cs="宋体"/>
                <w:szCs w:val="21"/>
              </w:rPr>
            </w:pPr>
            <w:r>
              <w:rPr>
                <w:rFonts w:hint="eastAsia" w:ascii="宋体" w:hAnsi="宋体" w:cs="宋体"/>
                <w:szCs w:val="21"/>
              </w:rPr>
              <w:t>新院区（一期）医院数据中心建设项目</w:t>
            </w:r>
          </w:p>
        </w:tc>
        <w:tc>
          <w:tcPr>
            <w:tcW w:w="1020" w:type="dxa"/>
            <w:vAlign w:val="center"/>
          </w:tcPr>
          <w:p>
            <w:pPr>
              <w:spacing w:line="360" w:lineRule="auto"/>
              <w:jc w:val="center"/>
              <w:rPr>
                <w:rFonts w:ascii="宋体" w:hAnsi="宋体"/>
                <w:color w:val="000000"/>
                <w:kern w:val="0"/>
                <w:szCs w:val="21"/>
              </w:rPr>
            </w:pPr>
            <w:r>
              <w:rPr>
                <w:rFonts w:hint="eastAsia" w:ascii="宋体" w:hAnsi="宋体"/>
                <w:color w:val="000000"/>
                <w:kern w:val="0"/>
                <w:szCs w:val="21"/>
              </w:rPr>
              <w:t>详见技术参数</w:t>
            </w:r>
          </w:p>
        </w:tc>
        <w:tc>
          <w:tcPr>
            <w:tcW w:w="630" w:type="dxa"/>
            <w:vAlign w:val="center"/>
          </w:tcPr>
          <w:p>
            <w:pPr>
              <w:spacing w:line="360" w:lineRule="auto"/>
              <w:jc w:val="center"/>
              <w:rPr>
                <w:rFonts w:ascii="宋体" w:hAnsi="宋体"/>
                <w:color w:val="000000"/>
                <w:kern w:val="0"/>
                <w:szCs w:val="21"/>
              </w:rPr>
            </w:pPr>
            <w:r>
              <w:rPr>
                <w:rFonts w:hint="eastAsia" w:ascii="宋体" w:hAnsi="宋体"/>
                <w:color w:val="000000"/>
                <w:kern w:val="0"/>
                <w:szCs w:val="21"/>
              </w:rPr>
              <w:t>1</w:t>
            </w:r>
          </w:p>
        </w:tc>
        <w:tc>
          <w:tcPr>
            <w:tcW w:w="630" w:type="dxa"/>
            <w:vAlign w:val="center"/>
          </w:tcPr>
          <w:p>
            <w:pPr>
              <w:spacing w:line="360" w:lineRule="auto"/>
              <w:jc w:val="center"/>
              <w:rPr>
                <w:rFonts w:ascii="宋体" w:hAnsi="宋体"/>
                <w:color w:val="000000"/>
                <w:kern w:val="0"/>
                <w:szCs w:val="21"/>
              </w:rPr>
            </w:pPr>
            <w:r>
              <w:rPr>
                <w:rFonts w:hint="eastAsia" w:ascii="宋体" w:hAnsi="宋体"/>
                <w:color w:val="000000"/>
                <w:kern w:val="0"/>
                <w:szCs w:val="21"/>
              </w:rPr>
              <w:t>批</w:t>
            </w:r>
          </w:p>
        </w:tc>
        <w:tc>
          <w:tcPr>
            <w:tcW w:w="900" w:type="dxa"/>
            <w:vAlign w:val="center"/>
          </w:tcPr>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jc w:val="center"/>
              <w:rPr>
                <w:rFonts w:ascii="宋体" w:hAnsi="宋体" w:eastAsiaTheme="minorEastAsia"/>
                <w:color w:val="000000"/>
                <w:kern w:val="0"/>
                <w:szCs w:val="21"/>
              </w:rPr>
            </w:pPr>
            <w:r>
              <w:rPr>
                <w:rFonts w:hint="eastAsia" w:ascii="宋体" w:hAnsi="宋体" w:eastAsiaTheme="minorEastAsia"/>
                <w:color w:val="000000"/>
                <w:kern w:val="0"/>
                <w:szCs w:val="21"/>
              </w:rPr>
              <w:t>1300</w:t>
            </w:r>
          </w:p>
        </w:tc>
        <w:tc>
          <w:tcPr>
            <w:tcW w:w="2010" w:type="dxa"/>
            <w:vAlign w:val="center"/>
          </w:tcPr>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jc w:val="center"/>
              <w:rPr>
                <w:rFonts w:ascii="宋体" w:hAnsi="宋体"/>
                <w:color w:val="000000"/>
                <w:kern w:val="0"/>
                <w:szCs w:val="21"/>
              </w:rPr>
            </w:pPr>
            <w:r>
              <w:rPr>
                <w:rFonts w:ascii="Arial" w:hAnsi="宋体" w:cs="Arial"/>
                <w:kern w:val="0"/>
                <w:szCs w:val="21"/>
              </w:rPr>
              <w:t>合同生效后</w:t>
            </w:r>
            <w:r>
              <w:rPr>
                <w:rFonts w:hint="eastAsia" w:ascii="Arial" w:hAnsi="宋体" w:cs="Arial"/>
                <w:kern w:val="0"/>
                <w:szCs w:val="21"/>
              </w:rPr>
              <w:t>30天</w:t>
            </w:r>
            <w:r>
              <w:rPr>
                <w:rFonts w:ascii="Arial" w:hAnsi="宋体" w:cs="Arial"/>
                <w:kern w:val="0"/>
                <w:szCs w:val="21"/>
              </w:rPr>
              <w:t>内完成供货</w:t>
            </w:r>
            <w:r>
              <w:rPr>
                <w:rFonts w:hint="eastAsia" w:ascii="Arial" w:hAnsi="宋体" w:cs="Arial"/>
                <w:kern w:val="0"/>
                <w:szCs w:val="21"/>
              </w:rPr>
              <w:t>，50天内完成</w:t>
            </w:r>
            <w:r>
              <w:rPr>
                <w:rFonts w:ascii="Arial" w:hAnsi="宋体" w:cs="Arial"/>
                <w:kern w:val="0"/>
                <w:szCs w:val="21"/>
              </w:rPr>
              <w:t>安装调试</w:t>
            </w:r>
            <w:r>
              <w:rPr>
                <w:rFonts w:hint="eastAsia" w:ascii="Arial" w:hAnsi="宋体" w:cs="Arial"/>
                <w:kern w:val="0"/>
                <w:szCs w:val="21"/>
              </w:rPr>
              <w:t>。</w:t>
            </w:r>
          </w:p>
        </w:tc>
        <w:tc>
          <w:tcPr>
            <w:tcW w:w="1860" w:type="dxa"/>
            <w:vAlign w:val="center"/>
          </w:tcPr>
          <w:p>
            <w:pPr>
              <w:tabs>
                <w:tab w:val="left" w:pos="180"/>
                <w:tab w:val="left" w:pos="360"/>
                <w:tab w:val="left" w:pos="540"/>
                <w:tab w:val="left" w:pos="8280"/>
              </w:tabs>
              <w:autoSpaceDE w:val="0"/>
              <w:autoSpaceDN w:val="0"/>
              <w:adjustRightInd w:val="0"/>
              <w:spacing w:line="360" w:lineRule="auto"/>
              <w:ind w:right="23"/>
              <w:jc w:val="center"/>
              <w:rPr>
                <w:rFonts w:hint="eastAsia" w:ascii="宋体" w:hAnsi="宋体" w:eastAsia="宋体"/>
                <w:color w:val="000000"/>
                <w:kern w:val="0"/>
                <w:szCs w:val="21"/>
                <w:lang w:eastAsia="zh-CN"/>
              </w:rPr>
            </w:pPr>
            <w:r>
              <w:rPr>
                <w:rFonts w:hint="eastAsia" w:ascii="宋体" w:hAnsi="宋体"/>
                <w:color w:val="000000"/>
                <w:kern w:val="0"/>
                <w:szCs w:val="21"/>
              </w:rPr>
              <w:t>台州市妇幼保健院</w:t>
            </w:r>
            <w:r>
              <w:rPr>
                <w:rFonts w:hint="eastAsia" w:ascii="宋体" w:hAnsi="宋体"/>
                <w:color w:val="000000"/>
                <w:kern w:val="0"/>
                <w:szCs w:val="21"/>
                <w:lang w:eastAsia="zh-CN"/>
              </w:rPr>
              <w:t>指定地点</w:t>
            </w:r>
          </w:p>
        </w:tc>
      </w:tr>
    </w:tbl>
    <w:p>
      <w:pPr>
        <w:numPr>
          <w:ilvl w:val="0"/>
          <w:numId w:val="4"/>
        </w:numPr>
        <w:tabs>
          <w:tab w:val="left" w:pos="8280"/>
        </w:tabs>
        <w:autoSpaceDE w:val="0"/>
        <w:autoSpaceDN w:val="0"/>
        <w:adjustRightInd w:val="0"/>
        <w:spacing w:line="360" w:lineRule="auto"/>
        <w:ind w:right="25"/>
        <w:rPr>
          <w:rFonts w:asciiTheme="minorEastAsia" w:hAnsiTheme="minorEastAsia" w:eastAsiaTheme="minorEastAsia"/>
          <w:b/>
          <w:sz w:val="24"/>
        </w:rPr>
      </w:pPr>
      <w:r>
        <w:rPr>
          <w:rFonts w:hint="eastAsia" w:asciiTheme="minorEastAsia" w:hAnsiTheme="minorEastAsia" w:eastAsiaTheme="minorEastAsia"/>
          <w:b/>
          <w:sz w:val="28"/>
        </w:rPr>
        <w:t>技术需求</w:t>
      </w:r>
    </w:p>
    <w:p>
      <w:pPr>
        <w:pStyle w:val="27"/>
        <w:tabs>
          <w:tab w:val="left" w:pos="1260"/>
          <w:tab w:val="right" w:leader="dot" w:pos="8296"/>
        </w:tabs>
        <w:ind w:left="480"/>
        <w:sectPr>
          <w:footerReference r:id="rId3" w:type="default"/>
          <w:pgSz w:w="11906" w:h="16838"/>
          <w:pgMar w:top="1440" w:right="1800" w:bottom="1440" w:left="1800" w:header="851" w:footer="992" w:gutter="0"/>
          <w:pgNumType w:start="1"/>
          <w:cols w:space="720" w:num="1"/>
          <w:docGrid w:type="lines" w:linePitch="312" w:charSpace="0"/>
        </w:sectPr>
      </w:pPr>
    </w:p>
    <w:p>
      <w:pPr>
        <w:pStyle w:val="118"/>
        <w:ind w:left="0" w:firstLine="0"/>
        <w:rPr>
          <w:sz w:val="24"/>
          <w:szCs w:val="24"/>
        </w:rPr>
      </w:pPr>
      <w:bookmarkStart w:id="4" w:name="_Toc16627"/>
      <w:bookmarkStart w:id="5" w:name="_Toc388256906"/>
      <w:r>
        <w:rPr>
          <w:rFonts w:hint="eastAsia"/>
          <w:sz w:val="24"/>
          <w:szCs w:val="24"/>
        </w:rPr>
        <w:t>1 建设背景</w:t>
      </w:r>
      <w:bookmarkEnd w:id="4"/>
      <w:bookmarkEnd w:id="5"/>
    </w:p>
    <w:p>
      <w:pPr>
        <w:pStyle w:val="119"/>
        <w:tabs>
          <w:tab w:val="clear" w:pos="576"/>
        </w:tabs>
        <w:rPr>
          <w:sz w:val="24"/>
        </w:rPr>
      </w:pPr>
      <w:bookmarkStart w:id="6" w:name="_Toc388256907"/>
      <w:bookmarkStart w:id="7" w:name="_Toc13134"/>
      <w:r>
        <w:rPr>
          <w:rFonts w:hint="eastAsia"/>
          <w:sz w:val="24"/>
        </w:rPr>
        <w:t>1.1 项目整体概述</w:t>
      </w:r>
      <w:bookmarkEnd w:id="6"/>
      <w:bookmarkEnd w:id="7"/>
    </w:p>
    <w:p>
      <w:pPr>
        <w:pStyle w:val="4"/>
        <w:tabs>
          <w:tab w:val="left" w:pos="432"/>
        </w:tabs>
        <w:rPr>
          <w:sz w:val="24"/>
          <w:szCs w:val="24"/>
        </w:rPr>
      </w:pPr>
      <w:bookmarkStart w:id="8" w:name="_Toc388256908"/>
      <w:r>
        <w:rPr>
          <w:rFonts w:hint="eastAsia"/>
          <w:sz w:val="24"/>
          <w:szCs w:val="24"/>
        </w:rPr>
        <w:t>1.1.1 台州市妇女儿童医院整体</w:t>
      </w:r>
      <w:bookmarkEnd w:id="8"/>
      <w:r>
        <w:rPr>
          <w:rFonts w:hint="eastAsia"/>
          <w:sz w:val="24"/>
          <w:szCs w:val="24"/>
        </w:rPr>
        <w:t>需求概述</w:t>
      </w:r>
    </w:p>
    <w:p>
      <w:pPr>
        <w:ind w:firstLine="420" w:firstLineChars="200"/>
      </w:pPr>
      <w:r>
        <w:rPr>
          <w:rFonts w:hint="eastAsia" w:ascii="宋体" w:hAnsi="宋体"/>
        </w:rPr>
        <w:t>台州市妇女儿童医院（温州医科大学附属第二医院台州院区）的数字化医院建设，以满足区域医疗中心的建设目标、达到国内领先的智慧医院建设标准，因而核心网络及数据中心的规划与建设将要确保在未来</w:t>
      </w:r>
      <w:r>
        <w:rPr>
          <w:rFonts w:hint="eastAsia" w:ascii="宋体" w:hAnsi="宋体"/>
          <w:b/>
        </w:rPr>
        <w:t>五年至十年</w:t>
      </w:r>
      <w:r>
        <w:rPr>
          <w:rFonts w:hint="eastAsia" w:ascii="宋体" w:hAnsi="宋体"/>
        </w:rPr>
        <w:t>依然处于一个主流技术的管理运维水平，为建设区域运营管理中心、临床数据中心、影像智能中心、科研数据中心、患者随访数据中心，实现医院整体全面的移动化、无纸化、物联网化、互联网化、智能化，从而奠定一个坚实的成熟的基础架构平台。</w:t>
      </w:r>
    </w:p>
    <w:p>
      <w:pPr>
        <w:pStyle w:val="4"/>
        <w:tabs>
          <w:tab w:val="left" w:pos="432"/>
        </w:tabs>
        <w:rPr>
          <w:sz w:val="24"/>
          <w:szCs w:val="24"/>
        </w:rPr>
      </w:pPr>
      <w:bookmarkStart w:id="9" w:name="_Toc388256909"/>
      <w:r>
        <w:rPr>
          <w:rFonts w:hint="eastAsia"/>
          <w:sz w:val="24"/>
          <w:szCs w:val="24"/>
        </w:rPr>
        <w:t>1.1.2 网络及数据中心建设功能</w:t>
      </w:r>
      <w:bookmarkEnd w:id="9"/>
      <w:r>
        <w:rPr>
          <w:rFonts w:hint="eastAsia"/>
          <w:sz w:val="24"/>
          <w:szCs w:val="24"/>
        </w:rPr>
        <w:t>需求分析</w:t>
      </w:r>
    </w:p>
    <w:p>
      <w:pPr>
        <w:numPr>
          <w:ilvl w:val="0"/>
          <w:numId w:val="5"/>
        </w:numPr>
      </w:pPr>
      <w:bookmarkStart w:id="10" w:name="_Toc26521"/>
      <w:r>
        <w:rPr>
          <w:rFonts w:hint="eastAsia"/>
        </w:rPr>
        <w:t>满足多网融合的业务需要</w:t>
      </w:r>
      <w:bookmarkEnd w:id="10"/>
    </w:p>
    <w:p>
      <w:pPr>
        <w:ind w:firstLine="420" w:firstLineChars="200"/>
      </w:pPr>
      <w:r>
        <w:rPr>
          <w:rFonts w:hint="eastAsia"/>
        </w:rPr>
        <w:t>为便于管理、减少浪费、提升安全等级，要求员工</w:t>
      </w:r>
      <w:r>
        <w:rPr>
          <w:rFonts w:hint="eastAsia"/>
          <w:b/>
        </w:rPr>
        <w:t>内网、员工外网、医院设备网、数字电视网、病员外网wifi</w:t>
      </w:r>
      <w:r>
        <w:rPr>
          <w:rFonts w:hint="eastAsia"/>
        </w:rPr>
        <w:t>实现</w:t>
      </w:r>
      <w:r>
        <w:rPr>
          <w:rFonts w:hint="eastAsia"/>
          <w:b/>
        </w:rPr>
        <w:t>五网合一</w:t>
      </w:r>
      <w:r>
        <w:rPr>
          <w:rFonts w:hint="eastAsia"/>
        </w:rPr>
        <w:t>、</w:t>
      </w:r>
      <w:r>
        <w:rPr>
          <w:rFonts w:hint="eastAsia"/>
          <w:b/>
        </w:rPr>
        <w:t>逻辑隔离</w:t>
      </w:r>
      <w:r>
        <w:rPr>
          <w:rFonts w:hint="eastAsia"/>
        </w:rPr>
        <w:t>。所有核心服务器、网络均需实现冗余备份建设，保证单个设备故障后，1分钟内恢复业务故障。</w:t>
      </w:r>
    </w:p>
    <w:p>
      <w:pPr>
        <w:numPr>
          <w:ilvl w:val="0"/>
          <w:numId w:val="5"/>
        </w:numPr>
      </w:pPr>
      <w:bookmarkStart w:id="11" w:name="_Toc8097"/>
      <w:bookmarkStart w:id="12" w:name="_Toc472409395"/>
      <w:bookmarkStart w:id="13" w:name="_Toc480901492"/>
      <w:bookmarkStart w:id="14" w:name="_Toc472415149"/>
      <w:r>
        <w:rPr>
          <w:rFonts w:hint="eastAsia"/>
        </w:rPr>
        <w:t>多业务的安全需求</w:t>
      </w:r>
      <w:bookmarkEnd w:id="11"/>
      <w:bookmarkEnd w:id="12"/>
      <w:bookmarkEnd w:id="13"/>
      <w:bookmarkEnd w:id="14"/>
    </w:p>
    <w:p>
      <w:pPr>
        <w:ind w:firstLine="420" w:firstLineChars="200"/>
      </w:pPr>
      <w:r>
        <w:rPr>
          <w:rFonts w:hint="eastAsia"/>
        </w:rPr>
        <w:t>避免非授权的人员使用终端（如收费系统、医生工作站）接入网络，防止信息泄露，如医院的关键资产</w:t>
      </w:r>
      <w:r>
        <w:rPr>
          <w:rFonts w:hint="eastAsia"/>
          <w:b/>
        </w:rPr>
        <w:t>（统方数据）</w:t>
      </w:r>
      <w:r>
        <w:rPr>
          <w:rFonts w:hint="eastAsia"/>
        </w:rPr>
        <w:t>及</w:t>
      </w:r>
      <w:r>
        <w:rPr>
          <w:rFonts w:hint="eastAsia"/>
          <w:b/>
        </w:rPr>
        <w:t>病人隐私数据</w:t>
      </w:r>
      <w:r>
        <w:rPr>
          <w:rFonts w:hint="eastAsia"/>
        </w:rPr>
        <w:t>。确保网络能避免来自网络的各种攻击，如黑客、病毒等。整体满足</w:t>
      </w:r>
      <w:r>
        <w:rPr>
          <w:rFonts w:hint="eastAsia"/>
          <w:b/>
        </w:rPr>
        <w:t>等保三级</w:t>
      </w:r>
      <w:r>
        <w:rPr>
          <w:rFonts w:hint="eastAsia"/>
        </w:rPr>
        <w:t>的安全防护技术要求，包括</w:t>
      </w:r>
      <w:r>
        <w:rPr>
          <w:rFonts w:hint="eastAsia"/>
          <w:b/>
        </w:rPr>
        <w:t>网络结构安全、访问控制、安全审计、边界完整性检查、入侵防范、恶意代码方法、网络设备防护、主机安全、数据库安全</w:t>
      </w:r>
      <w:r>
        <w:rPr>
          <w:rFonts w:hint="eastAsia"/>
        </w:rPr>
        <w:t>等内容。</w:t>
      </w:r>
    </w:p>
    <w:p>
      <w:pPr>
        <w:numPr>
          <w:ilvl w:val="0"/>
          <w:numId w:val="5"/>
        </w:numPr>
      </w:pPr>
      <w:bookmarkStart w:id="15" w:name="_Toc480901493"/>
      <w:bookmarkStart w:id="16" w:name="_Toc472409396"/>
      <w:bookmarkStart w:id="17" w:name="_Toc472415150"/>
      <w:bookmarkStart w:id="18" w:name="_Toc23787"/>
      <w:r>
        <w:rPr>
          <w:rFonts w:hint="eastAsia"/>
        </w:rPr>
        <w:t>可管理、易维护的运维需求</w:t>
      </w:r>
      <w:bookmarkEnd w:id="15"/>
      <w:bookmarkEnd w:id="16"/>
      <w:bookmarkEnd w:id="17"/>
      <w:bookmarkEnd w:id="18"/>
    </w:p>
    <w:p>
      <w:pPr>
        <w:ind w:firstLine="420" w:firstLineChars="200"/>
        <w:rPr>
          <w:rFonts w:ascii="宋体" w:hAnsi="宋体"/>
        </w:rPr>
      </w:pPr>
      <w:r>
        <w:rPr>
          <w:rFonts w:hint="eastAsia" w:ascii="宋体" w:hAnsi="宋体"/>
        </w:rPr>
        <w:t>医院的IT人员编制较少，常常是几个人就需要维持几千人的医院信息网络7×24小时正常运行，因此网络的</w:t>
      </w:r>
      <w:r>
        <w:rPr>
          <w:rFonts w:hint="eastAsia" w:ascii="宋体" w:hAnsi="宋体"/>
          <w:b/>
        </w:rPr>
        <w:t>可管理、易维护</w:t>
      </w:r>
      <w:r>
        <w:rPr>
          <w:rFonts w:hint="eastAsia" w:ascii="宋体" w:hAnsi="宋体"/>
        </w:rPr>
        <w:t>非常重要；不仅是减轻运维人员压力，更重要的是保障网络及各应用系统的稳定可靠、安全的运行。</w:t>
      </w:r>
    </w:p>
    <w:p>
      <w:pPr>
        <w:ind w:firstLine="420" w:firstLineChars="200"/>
      </w:pPr>
      <w:r>
        <w:rPr>
          <w:rFonts w:hint="eastAsia" w:ascii="宋体" w:hAnsi="宋体"/>
        </w:rPr>
        <w:t>同时，能实现所有网络设备节点的自动化上线，用户接入灵活管理，用户组/策略管理，业务配置管理，网络运维等一体化管理，并能摒弃传统的命令行维护方式，能通过直观的图形化界面完成。</w:t>
      </w:r>
    </w:p>
    <w:p>
      <w:pPr>
        <w:pStyle w:val="119"/>
        <w:tabs>
          <w:tab w:val="clear" w:pos="576"/>
        </w:tabs>
        <w:rPr>
          <w:sz w:val="24"/>
        </w:rPr>
      </w:pPr>
      <w:bookmarkStart w:id="19" w:name="_Toc388256910"/>
      <w:bookmarkStart w:id="20" w:name="_Toc9593"/>
      <w:r>
        <w:rPr>
          <w:rFonts w:hint="eastAsia"/>
          <w:sz w:val="24"/>
        </w:rPr>
        <w:t>1.2 台州市妇女儿童医院的建设</w:t>
      </w:r>
      <w:bookmarkEnd w:id="19"/>
      <w:r>
        <w:rPr>
          <w:rFonts w:hint="eastAsia"/>
          <w:sz w:val="24"/>
        </w:rPr>
        <w:t>内容</w:t>
      </w:r>
      <w:bookmarkEnd w:id="20"/>
    </w:p>
    <w:p>
      <w:pPr>
        <w:ind w:firstLine="420" w:firstLineChars="200"/>
        <w:rPr>
          <w:color w:val="000000"/>
        </w:rPr>
      </w:pPr>
      <w:r>
        <w:rPr>
          <w:rFonts w:hint="eastAsia" w:ascii="宋体" w:hAnsi="宋体"/>
        </w:rPr>
        <w:t>台州市妇女儿童医院（温州医科大学附属第二医院台州院区）数据中心建设包括网络及信息安全系统、数据中心服务器与存储等</w:t>
      </w:r>
      <w:r>
        <w:rPr>
          <w:rFonts w:hint="eastAsia" w:ascii="宋体" w:hAnsi="宋体"/>
          <w:color w:val="000000"/>
        </w:rPr>
        <w:t>数字化信息系统建设，</w:t>
      </w:r>
      <w:r>
        <w:rPr>
          <w:rFonts w:hint="eastAsia"/>
          <w:color w:val="000000"/>
        </w:rPr>
        <w:t>建设一个技术先进、经济实用、安全可靠的数据中心硬件支撑平台，满足医院业务信息系统的应用要求。</w:t>
      </w:r>
    </w:p>
    <w:p>
      <w:pPr>
        <w:ind w:firstLine="420" w:firstLineChars="200"/>
      </w:pPr>
      <w:r>
        <w:rPr>
          <w:rFonts w:hint="eastAsia" w:ascii="宋体" w:hAnsi="宋体"/>
          <w:color w:val="000000"/>
        </w:rPr>
        <w:t>本次招标内容主要为：硬件及基础软件的采购、安装调试、系统集成、运行维护以及技术培训和售后现场技术服务等。投标人需按本招标文件的要求完成系统的设计、产品购买、运输、装卸、现场安装、调试及试运行，并完成系统集成、培训及售后服务等工作。本项目为交钥匙工程，项目涉及的软件系统安装实施、硬件设备系统集成以及其他相关项目实施工作均需在移交前完成。系统安全性须符合有关部门要求。</w:t>
      </w:r>
    </w:p>
    <w:p>
      <w:pPr>
        <w:pStyle w:val="118"/>
        <w:spacing w:beforeLines="50" w:afterLines="50"/>
        <w:ind w:left="0" w:firstLine="0"/>
        <w:rPr>
          <w:sz w:val="24"/>
          <w:szCs w:val="24"/>
        </w:rPr>
      </w:pPr>
      <w:bookmarkStart w:id="21" w:name="_Toc438225842"/>
      <w:bookmarkStart w:id="22" w:name="_Toc480901507"/>
      <w:bookmarkStart w:id="23" w:name="_Toc481151174"/>
      <w:bookmarkStart w:id="24" w:name="_Toc4663"/>
      <w:r>
        <w:rPr>
          <w:rFonts w:hint="eastAsia"/>
          <w:sz w:val="24"/>
          <w:szCs w:val="24"/>
        </w:rPr>
        <w:t xml:space="preserve">2 </w:t>
      </w:r>
      <w:r>
        <w:rPr>
          <w:sz w:val="24"/>
          <w:szCs w:val="24"/>
        </w:rPr>
        <w:t>有线网络</w:t>
      </w:r>
      <w:r>
        <w:rPr>
          <w:rFonts w:hint="eastAsia"/>
          <w:sz w:val="24"/>
          <w:szCs w:val="24"/>
        </w:rPr>
        <w:t>架构</w:t>
      </w:r>
      <w:bookmarkEnd w:id="21"/>
      <w:bookmarkEnd w:id="22"/>
      <w:r>
        <w:rPr>
          <w:rFonts w:hint="eastAsia"/>
          <w:sz w:val="24"/>
          <w:szCs w:val="24"/>
        </w:rPr>
        <w:t>设计</w:t>
      </w:r>
      <w:bookmarkEnd w:id="23"/>
      <w:bookmarkEnd w:id="24"/>
    </w:p>
    <w:p>
      <w:pPr>
        <w:pStyle w:val="119"/>
        <w:tabs>
          <w:tab w:val="clear" w:pos="576"/>
        </w:tabs>
        <w:spacing w:before="0" w:after="0"/>
        <w:rPr>
          <w:sz w:val="24"/>
        </w:rPr>
      </w:pPr>
      <w:bookmarkStart w:id="25" w:name="_Toc25966"/>
      <w:bookmarkStart w:id="26" w:name="_Toc481151175"/>
      <w:r>
        <w:rPr>
          <w:rFonts w:hint="eastAsia"/>
          <w:sz w:val="24"/>
        </w:rPr>
        <w:t xml:space="preserve">2.1 </w:t>
      </w:r>
      <w:r>
        <w:rPr>
          <w:sz w:val="24"/>
        </w:rPr>
        <w:t>架构总体设计</w:t>
      </w:r>
      <w:bookmarkEnd w:id="25"/>
      <w:bookmarkEnd w:id="26"/>
    </w:p>
    <w:p>
      <w:pPr>
        <w:ind w:firstLine="560"/>
        <w:rPr>
          <w:rFonts w:ascii="宋体" w:hAnsi="宋体"/>
        </w:rPr>
      </w:pPr>
      <w:r>
        <w:rPr>
          <w:rFonts w:hint="eastAsia" w:ascii="宋体" w:hAnsi="宋体"/>
        </w:rPr>
        <w:t>整合吸纳当前较为成熟先进技术，建设稳定、高效、安全的综合性基础支撑平台。</w:t>
      </w:r>
      <w:r>
        <w:rPr>
          <w:rFonts w:ascii="宋体" w:hAnsi="宋体"/>
        </w:rPr>
        <w:t>其物理架构如下</w:t>
      </w:r>
      <w:r>
        <w:rPr>
          <w:rFonts w:hint="eastAsia" w:ascii="宋体" w:hAnsi="宋体"/>
        </w:rPr>
        <w:t>：</w:t>
      </w:r>
    </w:p>
    <w:p>
      <w:pPr>
        <w:jc w:val="center"/>
        <w:rPr>
          <w:rFonts w:ascii="宋体" w:hAnsi="宋体"/>
        </w:rPr>
      </w:pPr>
      <w:r>
        <w:rPr>
          <w:rFonts w:ascii="宋体" w:hAnsi="宋体"/>
        </w:rPr>
        <w:drawing>
          <wp:inline distT="0" distB="0" distL="114300" distR="114300">
            <wp:extent cx="5283200" cy="3391535"/>
            <wp:effectExtent l="0" t="0" r="12700" b="1841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8" cstate="print"/>
                    <a:stretch>
                      <a:fillRect/>
                    </a:stretch>
                  </pic:blipFill>
                  <pic:spPr>
                    <a:xfrm>
                      <a:off x="0" y="0"/>
                      <a:ext cx="5283200" cy="3391535"/>
                    </a:xfrm>
                    <a:prstGeom prst="rect">
                      <a:avLst/>
                    </a:prstGeom>
                    <a:noFill/>
                    <a:ln w="9525">
                      <a:noFill/>
                    </a:ln>
                  </pic:spPr>
                </pic:pic>
              </a:graphicData>
            </a:graphic>
          </wp:inline>
        </w:drawing>
      </w:r>
    </w:p>
    <w:p>
      <w:pPr>
        <w:ind w:firstLine="560"/>
        <w:rPr>
          <w:rFonts w:ascii="宋体" w:hAnsi="宋体"/>
        </w:rPr>
      </w:pPr>
      <w:r>
        <w:rPr>
          <w:rFonts w:hint="eastAsia" w:ascii="宋体" w:hAnsi="宋体"/>
        </w:rPr>
        <w:t>首先，整个架构底层使用较目前成熟的网络架构和技术，包括设备横向虚拟化技术、高密万兆骨干设备等，实现一张高可用的医疗级网络。整个网络划分为物理上的三层架构（即核心层、汇聚层和接入层），内外网通过一套物理设备进行逻辑上的隔离，汇聚层和核心层分别通过横向虚拟化技术，使两台设备虚拟化为一台，提高汇聚层、核心层的可靠性以及安全性。</w:t>
      </w:r>
    </w:p>
    <w:p>
      <w:pPr>
        <w:ind w:firstLine="560"/>
        <w:rPr>
          <w:rFonts w:ascii="宋体" w:hAnsi="宋体"/>
        </w:rPr>
      </w:pPr>
      <w:r>
        <w:rPr>
          <w:rFonts w:hint="eastAsia" w:ascii="宋体" w:hAnsi="宋体"/>
        </w:rPr>
        <w:t>其次，在物理架构的基础上构建overlay网络，构建一个无状态的SDN网络架构，采用分布式L3网关并通过可靠的机制有效地抑制广播风暴，接入层设备采用动态VLAN接入，通过TRUNK的方式上行到汇聚层，汇聚层完成VLAN到VXLAN的映射。</w:t>
      </w:r>
    </w:p>
    <w:p>
      <w:pPr>
        <w:ind w:firstLine="560"/>
        <w:jc w:val="center"/>
        <w:rPr>
          <w:rFonts w:ascii="宋体" w:hAnsi="宋体"/>
        </w:rPr>
      </w:pPr>
      <w:r>
        <w:rPr>
          <w:rFonts w:cs="Arial"/>
        </w:rPr>
        <w:drawing>
          <wp:inline distT="0" distB="0" distL="114300" distR="114300">
            <wp:extent cx="4514850" cy="2523490"/>
            <wp:effectExtent l="0" t="0" r="0" b="1016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9" cstate="print"/>
                    <a:stretch>
                      <a:fillRect/>
                    </a:stretch>
                  </pic:blipFill>
                  <pic:spPr>
                    <a:xfrm>
                      <a:off x="0" y="0"/>
                      <a:ext cx="4514850" cy="2523490"/>
                    </a:xfrm>
                    <a:prstGeom prst="rect">
                      <a:avLst/>
                    </a:prstGeom>
                    <a:noFill/>
                    <a:ln w="9525">
                      <a:noFill/>
                    </a:ln>
                  </pic:spPr>
                </pic:pic>
              </a:graphicData>
            </a:graphic>
          </wp:inline>
        </w:drawing>
      </w:r>
    </w:p>
    <w:p>
      <w:pPr>
        <w:ind w:firstLine="560"/>
        <w:rPr>
          <w:rFonts w:ascii="宋体" w:hAnsi="宋体"/>
        </w:rPr>
      </w:pPr>
      <w:r>
        <w:rPr>
          <w:rFonts w:hint="eastAsia" w:ascii="宋体" w:hAnsi="宋体"/>
        </w:rPr>
        <w:t>采用SDN架构的最大优势主要体现在策略管理上，首先采用了面向用户的分组模式，将属性或者访问权限相近的用户分到一个用户组中，同时也将服务器侧的资源划分到相应的用户组进行统一管理。其次是，策略定义时，基于矩阵表格的方式简单直观。具体策略的定义可简单可复杂，以实现各种高级复杂的策略控制功能。</w:t>
      </w:r>
    </w:p>
    <w:p>
      <w:pPr>
        <w:ind w:firstLine="560"/>
        <w:rPr>
          <w:rFonts w:ascii="宋体" w:hAnsi="宋体"/>
        </w:rPr>
      </w:pPr>
      <w:r>
        <w:rPr>
          <w:rFonts w:hint="eastAsia" w:ascii="宋体" w:hAnsi="宋体"/>
        </w:rPr>
        <w:t>网络访问策略可以基于5W1H的灵活的用户认证接入机制，根据who（谁），whose（谁的设备），what（什么设备），when（什么时间），where（什么地点），how（什么方式）多个维度覆盖各种接入场景。用户可根据自己的需求，灵活定制场景，满足自己个性化的需求。</w:t>
      </w:r>
    </w:p>
    <w:p>
      <w:pPr>
        <w:ind w:firstLine="560"/>
        <w:rPr>
          <w:rFonts w:ascii="宋体" w:hAnsi="宋体"/>
        </w:rPr>
      </w:pPr>
      <w:r>
        <w:rPr>
          <w:rFonts w:hint="eastAsia" w:ascii="宋体" w:hAnsi="宋体"/>
        </w:rPr>
        <w:t>支持用户终端在整个生命周期中MAC和IP一对一的需求（如基于安全性需要可与端口进行绑定），终端不管移动到哪里，可以做到终端始终获取唯一固定的IP，简化后期的运维。</w:t>
      </w:r>
    </w:p>
    <w:p>
      <w:pPr>
        <w:ind w:firstLine="560"/>
        <w:rPr>
          <w:rFonts w:ascii="宋体" w:hAnsi="宋体"/>
        </w:rPr>
      </w:pPr>
      <w:r>
        <w:rPr>
          <w:rFonts w:hint="eastAsia" w:ascii="宋体" w:hAnsi="宋体"/>
        </w:rPr>
        <w:t>相比传统网络架构，SDN网络架构的核心为SDN控制器，其主要实现网络设备的自动化上线，用户接入管理，用户组/策略管理，业务配置管理，网络运维管理等功能，同时以上所有功能均能通过直观的图形化界面完成。S</w:t>
      </w:r>
      <w:r>
        <w:rPr>
          <w:rFonts w:ascii="宋体" w:hAnsi="宋体"/>
        </w:rPr>
        <w:t>DN控制器</w:t>
      </w:r>
      <w:r>
        <w:rPr>
          <w:rFonts w:hint="eastAsia" w:ascii="宋体" w:hAnsi="宋体"/>
        </w:rPr>
        <w:t>将管理员的操作在后台转化为网络设备的具体命令进行下发给设备执行。</w:t>
      </w:r>
    </w:p>
    <w:p>
      <w:pPr>
        <w:ind w:firstLine="560"/>
        <w:rPr>
          <w:rFonts w:ascii="宋体" w:hAnsi="宋体"/>
        </w:rPr>
      </w:pPr>
      <w:r>
        <w:rPr>
          <w:rFonts w:hint="eastAsia" w:ascii="宋体" w:hAnsi="宋体"/>
        </w:rPr>
        <w:t>在整个网络架构设计中，以核心区为中心，其它区域模块化处理。这样设计是由应用的特点决定的，因为几乎所有的应用都需要与其他区域的应用进行通讯，所以需要在网络中设计一个核心交换区，这个区域作为其它区域的交换中心。为了保证更好的网络性能，核心交换区只提供实现高速转发功能，安全控制在各边缘区域中实现。</w:t>
      </w:r>
    </w:p>
    <w:p>
      <w:pPr>
        <w:ind w:firstLine="560"/>
        <w:rPr>
          <w:rFonts w:ascii="宋体" w:hAnsi="宋体"/>
        </w:rPr>
      </w:pPr>
      <w:r>
        <w:rPr>
          <w:rFonts w:hint="eastAsia" w:ascii="宋体" w:hAnsi="宋体"/>
        </w:rPr>
        <w:t>最后，结合建设需求，整体架构采用模块化的设计方法，清晰定义和区分不同的功能区域，将基础网络平台划分为不同的功能区域，部署不同的应用。能够</w:t>
      </w:r>
      <w:r>
        <w:rPr>
          <w:rFonts w:ascii="宋体" w:hAnsi="宋体"/>
        </w:rPr>
        <w:t>有足够的稳定性和</w:t>
      </w:r>
      <w:r>
        <w:rPr>
          <w:rFonts w:hint="eastAsia" w:ascii="宋体" w:hAnsi="宋体"/>
        </w:rPr>
        <w:t>高</w:t>
      </w:r>
      <w:r>
        <w:rPr>
          <w:rFonts w:ascii="宋体" w:hAnsi="宋体"/>
        </w:rPr>
        <w:t>性能</w:t>
      </w:r>
      <w:r>
        <w:rPr>
          <w:rFonts w:hint="eastAsia" w:ascii="宋体" w:hAnsi="宋体"/>
        </w:rPr>
        <w:t>承载</w:t>
      </w:r>
      <w:r>
        <w:rPr>
          <w:rFonts w:ascii="宋体" w:hAnsi="宋体"/>
        </w:rPr>
        <w:t>医院</w:t>
      </w:r>
      <w:r>
        <w:rPr>
          <w:rFonts w:hint="eastAsia" w:ascii="宋体" w:hAnsi="宋体"/>
        </w:rPr>
        <w:t>医疗</w:t>
      </w:r>
      <w:r>
        <w:rPr>
          <w:rFonts w:ascii="宋体" w:hAnsi="宋体"/>
        </w:rPr>
        <w:t>业务，并</w:t>
      </w:r>
      <w:r>
        <w:rPr>
          <w:rFonts w:hint="eastAsia" w:ascii="宋体" w:hAnsi="宋体"/>
        </w:rPr>
        <w:t>充分</w:t>
      </w:r>
      <w:r>
        <w:rPr>
          <w:rFonts w:ascii="宋体" w:hAnsi="宋体"/>
        </w:rPr>
        <w:t>考虑网络的扩展性，</w:t>
      </w:r>
      <w:r>
        <w:rPr>
          <w:rFonts w:hint="eastAsia" w:ascii="宋体" w:hAnsi="宋体"/>
        </w:rPr>
        <w:t>为</w:t>
      </w:r>
      <w:r>
        <w:rPr>
          <w:rFonts w:ascii="宋体" w:hAnsi="宋体"/>
        </w:rPr>
        <w:t>医院的</w:t>
      </w:r>
      <w:r>
        <w:rPr>
          <w:rFonts w:hint="eastAsia" w:ascii="宋体" w:hAnsi="宋体"/>
        </w:rPr>
        <w:t>语音</w:t>
      </w:r>
      <w:r>
        <w:rPr>
          <w:rFonts w:ascii="宋体" w:hAnsi="宋体"/>
        </w:rPr>
        <w:t>业务、视频业务、</w:t>
      </w:r>
      <w:r>
        <w:rPr>
          <w:rFonts w:hint="eastAsia" w:ascii="宋体" w:hAnsi="宋体"/>
        </w:rPr>
        <w:t>移动</w:t>
      </w:r>
      <w:r>
        <w:rPr>
          <w:rFonts w:ascii="宋体" w:hAnsi="宋体"/>
        </w:rPr>
        <w:t>医疗、物联网等应用</w:t>
      </w:r>
      <w:r>
        <w:rPr>
          <w:rFonts w:hint="eastAsia" w:ascii="宋体" w:hAnsi="宋体"/>
        </w:rPr>
        <w:t>留有</w:t>
      </w:r>
      <w:r>
        <w:rPr>
          <w:rFonts w:ascii="宋体" w:hAnsi="宋体"/>
        </w:rPr>
        <w:t>足够的升级空间。</w:t>
      </w:r>
      <w:r>
        <w:rPr>
          <w:rFonts w:hint="eastAsia" w:ascii="宋体" w:hAnsi="宋体"/>
        </w:rPr>
        <w:t>网络</w:t>
      </w:r>
      <w:r>
        <w:rPr>
          <w:rFonts w:ascii="宋体" w:hAnsi="宋体"/>
        </w:rPr>
        <w:t>采用万兆主干，千兆到</w:t>
      </w:r>
      <w:r>
        <w:rPr>
          <w:rFonts w:hint="eastAsia" w:ascii="宋体" w:hAnsi="宋体"/>
        </w:rPr>
        <w:t>桌面</w:t>
      </w:r>
      <w:r>
        <w:rPr>
          <w:rFonts w:ascii="宋体" w:hAnsi="宋体"/>
        </w:rPr>
        <w:t>的</w:t>
      </w:r>
      <w:r>
        <w:rPr>
          <w:rFonts w:hint="eastAsia" w:ascii="宋体" w:hAnsi="宋体"/>
        </w:rPr>
        <w:t>设计</w:t>
      </w:r>
      <w:r>
        <w:rPr>
          <w:rFonts w:ascii="宋体" w:hAnsi="宋体"/>
        </w:rPr>
        <w:t>原则</w:t>
      </w:r>
      <w:r>
        <w:rPr>
          <w:rFonts w:hint="eastAsia" w:ascii="宋体" w:hAnsi="宋体"/>
        </w:rPr>
        <w:t>。整个网络架构满足高扩展性、灵活性、高可用性和高安全性。</w:t>
      </w:r>
    </w:p>
    <w:p>
      <w:pPr>
        <w:jc w:val="center"/>
      </w:pPr>
      <w:r>
        <w:drawing>
          <wp:inline distT="0" distB="0" distL="114300" distR="114300">
            <wp:extent cx="5209540" cy="3745230"/>
            <wp:effectExtent l="0" t="0" r="0" b="762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10" cstate="print"/>
                    <a:stretch>
                      <a:fillRect/>
                    </a:stretch>
                  </pic:blipFill>
                  <pic:spPr>
                    <a:xfrm>
                      <a:off x="0" y="0"/>
                      <a:ext cx="5209540" cy="3745230"/>
                    </a:xfrm>
                    <a:prstGeom prst="rect">
                      <a:avLst/>
                    </a:prstGeom>
                    <a:noFill/>
                    <a:ln w="9525">
                      <a:noFill/>
                    </a:ln>
                  </pic:spPr>
                </pic:pic>
              </a:graphicData>
            </a:graphic>
          </wp:inline>
        </w:drawing>
      </w:r>
    </w:p>
    <w:p>
      <w:pPr>
        <w:pStyle w:val="119"/>
        <w:tabs>
          <w:tab w:val="clear" w:pos="576"/>
        </w:tabs>
        <w:spacing w:before="0" w:after="0"/>
        <w:rPr>
          <w:sz w:val="24"/>
        </w:rPr>
      </w:pPr>
      <w:bookmarkStart w:id="27" w:name="_Toc13793"/>
      <w:bookmarkStart w:id="28" w:name="_Toc481151176"/>
      <w:r>
        <w:rPr>
          <w:rFonts w:hint="eastAsia"/>
          <w:sz w:val="24"/>
        </w:rPr>
        <w:t xml:space="preserve">2.2 </w:t>
      </w:r>
      <w:r>
        <w:rPr>
          <w:sz w:val="24"/>
        </w:rPr>
        <w:t>核心层设计</w:t>
      </w:r>
      <w:bookmarkEnd w:id="27"/>
      <w:bookmarkEnd w:id="28"/>
    </w:p>
    <w:p>
      <w:pPr>
        <w:ind w:firstLine="420" w:firstLineChars="200"/>
        <w:rPr>
          <w:rFonts w:ascii="宋体" w:hAnsi="宋体"/>
        </w:rPr>
      </w:pPr>
      <w:r>
        <w:rPr>
          <w:rFonts w:hint="eastAsia" w:ascii="宋体" w:hAnsi="宋体"/>
        </w:rPr>
        <w:t>核心层是整个医院IT架构的运转大脑，因此重要性不言而喻。在核心机房内部署部署两台高性能核心交换机，两台核心交换机之间通过万兆捆绑实现虚拟化，从而实现两台核心设备逻辑上虚拟化为一台，</w:t>
      </w:r>
      <w:r>
        <w:t>以</w:t>
      </w:r>
      <w:r>
        <w:rPr>
          <w:rFonts w:hint="eastAsia" w:ascii="宋体" w:hAnsi="宋体"/>
        </w:rPr>
        <w:t>增强核心区域的可靠性，同时提升核心区域的性能和设备的利用率，核心交换机支持扩展IPS、LB、防火墙、流量分析等业务插卡增加整个网络的安全性。</w:t>
      </w:r>
    </w:p>
    <w:p>
      <w:pPr>
        <w:ind w:firstLine="420" w:firstLineChars="200"/>
        <w:rPr>
          <w:rFonts w:ascii="宋体" w:hAnsi="宋体"/>
        </w:rPr>
      </w:pPr>
      <w:r>
        <w:rPr>
          <w:rFonts w:ascii="宋体" w:hAnsi="宋体"/>
        </w:rPr>
        <w:t>核心层交换机虚拟化后通过四万兆单模与汇聚交换机互联，并利用链路聚合功能提升链路带宽和实现链路冗余。</w:t>
      </w:r>
    </w:p>
    <w:p>
      <w:pPr>
        <w:pStyle w:val="119"/>
        <w:tabs>
          <w:tab w:val="clear" w:pos="576"/>
        </w:tabs>
        <w:spacing w:before="0" w:after="0"/>
        <w:rPr>
          <w:sz w:val="24"/>
        </w:rPr>
      </w:pPr>
      <w:bookmarkStart w:id="29" w:name="_Toc25330"/>
      <w:bookmarkStart w:id="30" w:name="_Toc481151177"/>
      <w:r>
        <w:rPr>
          <w:rFonts w:hint="eastAsia"/>
          <w:sz w:val="24"/>
        </w:rPr>
        <w:t xml:space="preserve">2.3 </w:t>
      </w:r>
      <w:r>
        <w:rPr>
          <w:sz w:val="24"/>
        </w:rPr>
        <w:t>汇聚层设计</w:t>
      </w:r>
      <w:bookmarkEnd w:id="29"/>
    </w:p>
    <w:p>
      <w:r>
        <w:t>在门诊楼、</w:t>
      </w:r>
      <w:r>
        <w:rPr>
          <w:rFonts w:hint="eastAsia"/>
        </w:rPr>
        <w:t>医技楼、住院楼内各部署两台高性能汇聚交换机，两台汇聚交换机之间通过4</w:t>
      </w:r>
      <w:r>
        <w:t>0G捆绑实现虚拟化，从而实现两台汇聚交换机设备逻辑上虚拟化为一台设备</w:t>
      </w:r>
      <w:r>
        <w:rPr>
          <w:rFonts w:hint="eastAsia"/>
        </w:rPr>
        <w:t>，以增强核心区域的可靠性，同时提升区域的性能和设备的利用率，汇聚交换机支持扩展防火墙、流量分析等业务插卡便于后期提升整个网络的安全性控制能力。</w:t>
      </w:r>
    </w:p>
    <w:p>
      <w:pPr>
        <w:rPr>
          <w:rFonts w:ascii="宋体" w:hAnsi="宋体"/>
        </w:rPr>
      </w:pPr>
      <w:r>
        <w:t>汇聚交换机</w:t>
      </w:r>
      <w:r>
        <w:rPr>
          <w:rFonts w:ascii="宋体" w:hAnsi="宋体"/>
        </w:rPr>
        <w:t>虚拟化后通过四万兆单模与核心交换机互联，并利用链路聚合功能提升链路带宽和实现链路冗余。通过万兆多模与接入交换机互联，并利用链路聚合功能提升链路带宽和实现链路冗余。</w:t>
      </w:r>
    </w:p>
    <w:p>
      <w:pPr>
        <w:pStyle w:val="119"/>
        <w:tabs>
          <w:tab w:val="clear" w:pos="576"/>
        </w:tabs>
        <w:rPr>
          <w:sz w:val="24"/>
        </w:rPr>
      </w:pPr>
      <w:bookmarkStart w:id="31" w:name="_Toc19057"/>
      <w:bookmarkStart w:id="32" w:name="_Toc481151181"/>
      <w:r>
        <w:rPr>
          <w:rFonts w:hint="eastAsia"/>
          <w:sz w:val="24"/>
        </w:rPr>
        <w:t xml:space="preserve">2.4 </w:t>
      </w:r>
      <w:r>
        <w:rPr>
          <w:sz w:val="24"/>
        </w:rPr>
        <w:t>综合接入层设计</w:t>
      </w:r>
      <w:bookmarkEnd w:id="31"/>
      <w:bookmarkEnd w:id="32"/>
    </w:p>
    <w:p>
      <w:pPr>
        <w:ind w:firstLine="420" w:firstLineChars="200"/>
        <w:rPr>
          <w:rFonts w:ascii="宋体" w:hAnsi="宋体"/>
        </w:rPr>
      </w:pPr>
      <w:r>
        <w:rPr>
          <w:rFonts w:hint="eastAsia" w:ascii="宋体" w:hAnsi="宋体"/>
        </w:rPr>
        <w:t>综合接入区主要为各类终端提供接入，例如pc、打印机、自助机、IP摄像头、IP电话、无线接入点等以IP网络传输数据的终端，因此接入交换机包含POE和非POE接入交换机。接入交换机以IDF为单位，IDF内的多台交换机通过虚拟化技术实现多虚一形成堆叠组，堆叠组</w:t>
      </w:r>
      <w:r>
        <w:rPr>
          <w:rFonts w:ascii="宋体" w:hAnsi="宋体"/>
        </w:rPr>
        <w:t>通过万兆多模与汇聚交换机互联，并利用链路聚合功能提升链路带宽和实现链路冗余。</w:t>
      </w:r>
    </w:p>
    <w:p>
      <w:pPr>
        <w:ind w:firstLine="420" w:firstLineChars="200"/>
        <w:rPr>
          <w:rFonts w:ascii="宋体" w:hAnsi="宋体"/>
        </w:rPr>
      </w:pPr>
      <w:r>
        <w:rPr>
          <w:rFonts w:ascii="宋体" w:hAnsi="宋体"/>
        </w:rPr>
        <w:t>说明：其中由于</w:t>
      </w:r>
      <w:r>
        <w:rPr>
          <w:rFonts w:hint="eastAsia" w:ascii="宋体" w:hAnsi="宋体"/>
        </w:rPr>
        <w:t>POE和非POE交换机无法堆叠，因此POE交换机单独双上联汇聚交换机。</w:t>
      </w:r>
      <w:bookmarkStart w:id="33" w:name="_Toc10766"/>
    </w:p>
    <w:p>
      <w:pPr>
        <w:pStyle w:val="119"/>
        <w:tabs>
          <w:tab w:val="clear" w:pos="576"/>
        </w:tabs>
        <w:rPr>
          <w:sz w:val="24"/>
        </w:rPr>
      </w:pPr>
      <w:r>
        <w:rPr>
          <w:rFonts w:hint="eastAsia"/>
          <w:sz w:val="24"/>
        </w:rPr>
        <w:t>2.5 数据中心层设计</w:t>
      </w:r>
      <w:bookmarkEnd w:id="30"/>
      <w:bookmarkEnd w:id="33"/>
    </w:p>
    <w:p>
      <w:pPr>
        <w:ind w:firstLine="420" w:firstLineChars="200"/>
        <w:rPr>
          <w:rFonts w:ascii="宋体" w:hAnsi="宋体"/>
        </w:rPr>
      </w:pPr>
      <w:r>
        <w:rPr>
          <w:rFonts w:ascii="宋体" w:hAnsi="宋体"/>
        </w:rPr>
        <w:t>数据中心区域主要承载医院各个业务系统，例如HIS、PACS系统、EMR、LIS等，单独划分数据中心区域可保证各个业务系统的可靠性和安全性，在区域里设置两台万兆汇聚交换机，通过万兆连接各个业务系统服务器。同时通过四万兆多模连接核心交换机。</w:t>
      </w:r>
    </w:p>
    <w:p>
      <w:pPr>
        <w:ind w:firstLine="420" w:firstLineChars="200"/>
        <w:rPr>
          <w:rFonts w:ascii="宋体" w:hAnsi="宋体"/>
        </w:rPr>
      </w:pPr>
      <w:r>
        <w:rPr>
          <w:rFonts w:ascii="宋体" w:hAnsi="宋体"/>
        </w:rPr>
        <w:t>为优化各业务系统的响应效率以及提升业务端查询速度，在数据中心区域内部署应用负载均衡设备实现业务系统集群间的负载均衡，同时为保护应用系统的安全，配备高性能的下一代防火墙实现业务系统的安全防护。</w:t>
      </w:r>
    </w:p>
    <w:p>
      <w:pPr>
        <w:pStyle w:val="119"/>
        <w:tabs>
          <w:tab w:val="clear" w:pos="576"/>
        </w:tabs>
        <w:rPr>
          <w:sz w:val="24"/>
        </w:rPr>
      </w:pPr>
      <w:bookmarkStart w:id="34" w:name="_Toc481151178"/>
      <w:bookmarkStart w:id="35" w:name="_Toc25183"/>
      <w:r>
        <w:rPr>
          <w:rFonts w:hint="eastAsia"/>
          <w:sz w:val="24"/>
        </w:rPr>
        <w:t>2.6 外联层设计</w:t>
      </w:r>
      <w:bookmarkEnd w:id="34"/>
      <w:bookmarkEnd w:id="35"/>
    </w:p>
    <w:p>
      <w:pPr>
        <w:ind w:firstLine="420" w:firstLineChars="200"/>
        <w:rPr>
          <w:rFonts w:ascii="宋体" w:hAnsi="宋体"/>
        </w:rPr>
      </w:pPr>
      <w:r>
        <w:rPr>
          <w:rFonts w:hint="eastAsia" w:ascii="宋体" w:hAnsi="宋体"/>
        </w:rPr>
        <w:t>外联层主要承担医院内网信息系统与医保、市民卡、银联、银行等机构互联互通，为满足等级保护的边界安全防护要求，在外联区域部署高性能的下一代防火墙设备实现安全互联，控制出口区域的流量，进一步增强安全的防护，对整个网络起到保驾护航的作用。</w:t>
      </w:r>
    </w:p>
    <w:p>
      <w:pPr>
        <w:pStyle w:val="119"/>
        <w:tabs>
          <w:tab w:val="clear" w:pos="576"/>
        </w:tabs>
        <w:rPr>
          <w:sz w:val="24"/>
        </w:rPr>
      </w:pPr>
      <w:bookmarkStart w:id="36" w:name="_Toc10145"/>
      <w:bookmarkStart w:id="37" w:name="_Toc481151179"/>
      <w:r>
        <w:rPr>
          <w:rFonts w:hint="eastAsia"/>
          <w:sz w:val="24"/>
        </w:rPr>
        <w:t>2.7 互联网层设计</w:t>
      </w:r>
      <w:bookmarkEnd w:id="36"/>
      <w:bookmarkEnd w:id="37"/>
    </w:p>
    <w:p>
      <w:pPr>
        <w:ind w:firstLine="420" w:firstLineChars="200"/>
        <w:rPr>
          <w:rFonts w:ascii="宋体" w:hAnsi="宋体"/>
        </w:rPr>
      </w:pPr>
      <w:r>
        <w:rPr>
          <w:rFonts w:hint="eastAsia" w:ascii="宋体" w:hAnsi="宋体"/>
        </w:rPr>
        <w:t>互联网区主要是为了工作人员方便访问互联网以及提供掌上医院等业务，通过下一代防火墙实现与互联网的联通，在防火墙上设置DMZ区域，主要部署对外提供服务的前置机，例如在线挂号等，保证数据安全性，同时通过上网行为管理有效的记录每个访问网络的行为。</w:t>
      </w:r>
    </w:p>
    <w:p>
      <w:pPr>
        <w:pStyle w:val="119"/>
        <w:tabs>
          <w:tab w:val="clear" w:pos="576"/>
        </w:tabs>
        <w:rPr>
          <w:sz w:val="24"/>
        </w:rPr>
      </w:pPr>
      <w:bookmarkStart w:id="38" w:name="_Toc481151180"/>
      <w:bookmarkStart w:id="39" w:name="_Toc29228"/>
      <w:r>
        <w:rPr>
          <w:rFonts w:hint="eastAsia"/>
          <w:sz w:val="24"/>
        </w:rPr>
        <w:t>2.8 安全管控层设计</w:t>
      </w:r>
      <w:bookmarkEnd w:id="38"/>
      <w:bookmarkEnd w:id="39"/>
    </w:p>
    <w:p>
      <w:pPr>
        <w:ind w:firstLine="420" w:firstLineChars="200"/>
        <w:rPr>
          <w:rFonts w:ascii="宋体" w:hAnsi="宋体"/>
        </w:rPr>
      </w:pPr>
      <w:r>
        <w:rPr>
          <w:rFonts w:hint="eastAsia" w:ascii="宋体" w:hAnsi="宋体"/>
        </w:rPr>
        <w:t>设立网络安全管控区并旁挂核心交换区域，在该区域内部署一系列安全设备，如内网入侵防御、数据库审计、堡垒机；入侵防御有效的对内外数据进行检测和清除有害数据，数据库审计则实时监控着谁操作了数据，堡垒机则实时检测谁对网络中的设备进行了相关的操作，通过这一系列的安全的设备的部署有效的对整个网络的进行防护。</w:t>
      </w:r>
    </w:p>
    <w:p>
      <w:pPr>
        <w:pStyle w:val="118"/>
        <w:spacing w:beforeLines="50" w:afterLines="50"/>
        <w:ind w:left="0" w:firstLine="0"/>
        <w:rPr>
          <w:sz w:val="24"/>
          <w:szCs w:val="24"/>
        </w:rPr>
      </w:pPr>
      <w:bookmarkStart w:id="40" w:name="_Toc480901519"/>
      <w:bookmarkStart w:id="41" w:name="_Toc438225857"/>
      <w:bookmarkStart w:id="42" w:name="_Toc433311329"/>
      <w:bookmarkStart w:id="43" w:name="_Toc434309141"/>
      <w:bookmarkStart w:id="44" w:name="_Toc21699"/>
      <w:bookmarkStart w:id="45" w:name="_Toc481151182"/>
      <w:r>
        <w:rPr>
          <w:rFonts w:hint="eastAsia"/>
          <w:sz w:val="24"/>
          <w:szCs w:val="24"/>
        </w:rPr>
        <w:t>3 无线网络架构</w:t>
      </w:r>
      <w:bookmarkEnd w:id="40"/>
      <w:bookmarkEnd w:id="41"/>
      <w:bookmarkEnd w:id="42"/>
      <w:bookmarkEnd w:id="43"/>
      <w:r>
        <w:rPr>
          <w:rFonts w:hint="eastAsia"/>
          <w:sz w:val="24"/>
          <w:szCs w:val="24"/>
        </w:rPr>
        <w:t>设计</w:t>
      </w:r>
      <w:bookmarkEnd w:id="44"/>
      <w:bookmarkEnd w:id="45"/>
    </w:p>
    <w:p>
      <w:pPr>
        <w:ind w:firstLine="420" w:firstLineChars="200"/>
        <w:rPr>
          <w:rFonts w:ascii="宋体" w:hAnsi="宋体"/>
        </w:rPr>
      </w:pPr>
      <w:r>
        <w:rPr>
          <w:rFonts w:hint="eastAsia" w:ascii="宋体" w:hAnsi="宋体"/>
        </w:rPr>
        <w:t>采用“瘦AP＋控制器”的集中式管理架构，该无线架构具有简单而强大的无线局域网集中式管理功能，AP本身并不存放任何的配置文件，AP的配置是从AC上获取的，通过AC就可以统一管理整个无线网络的AP。网管人员只需简单地配置无线交换机，即可实现开通、管理和维护所有AP设备以及移动终端，包括无线电波频谱、无线安全、接入认证、移动漫游以及接入用户。</w:t>
      </w:r>
    </w:p>
    <w:p>
      <w:pPr>
        <w:ind w:firstLine="560"/>
        <w:rPr>
          <w:rFonts w:ascii="宋体" w:hAnsi="宋体"/>
        </w:rPr>
      </w:pPr>
      <w:r>
        <w:rPr>
          <w:rFonts w:hint="eastAsia" w:ascii="宋体" w:hAnsi="宋体"/>
        </w:rPr>
        <w:t>具体的逻辑组网图如下图所示：</w:t>
      </w:r>
    </w:p>
    <w:p>
      <w:pPr>
        <w:ind w:left="295" w:hanging="115"/>
        <w:jc w:val="center"/>
        <w:rPr>
          <w:rFonts w:hAnsi="宋体"/>
          <w:kern w:val="0"/>
        </w:rPr>
      </w:pPr>
      <w:r>
        <w:rPr>
          <w:rFonts w:hAnsi="宋体"/>
          <w:kern w:val="0"/>
        </w:rPr>
        <w:drawing>
          <wp:inline distT="0" distB="0" distL="114300" distR="114300">
            <wp:extent cx="4464685" cy="3068955"/>
            <wp:effectExtent l="0" t="0" r="12065" b="17145"/>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11" cstate="print"/>
                    <a:stretch>
                      <a:fillRect/>
                    </a:stretch>
                  </pic:blipFill>
                  <pic:spPr>
                    <a:xfrm>
                      <a:off x="0" y="0"/>
                      <a:ext cx="4464685" cy="3068955"/>
                    </a:xfrm>
                    <a:prstGeom prst="rect">
                      <a:avLst/>
                    </a:prstGeom>
                    <a:noFill/>
                    <a:ln w="9525">
                      <a:noFill/>
                    </a:ln>
                  </pic:spPr>
                </pic:pic>
              </a:graphicData>
            </a:graphic>
          </wp:inline>
        </w:drawing>
      </w:r>
    </w:p>
    <w:p>
      <w:pPr>
        <w:ind w:firstLine="476" w:firstLineChars="227"/>
        <w:rPr>
          <w:rFonts w:ascii="宋体" w:hAnsi="宋体"/>
        </w:rPr>
      </w:pPr>
      <w:r>
        <w:rPr>
          <w:rFonts w:hint="eastAsia" w:ascii="宋体" w:hAnsi="宋体"/>
        </w:rPr>
        <w:t>无线控制器+瘦无线AP的架构,在实现对医院进行无缝覆盖的同时,又能够实现对无线网络的灵活管理配置,提高网络维护效率。</w:t>
      </w:r>
    </w:p>
    <w:p>
      <w:pPr>
        <w:pStyle w:val="118"/>
        <w:spacing w:beforeLines="50" w:afterLines="50"/>
        <w:ind w:left="0" w:firstLine="0"/>
        <w:rPr>
          <w:sz w:val="24"/>
          <w:szCs w:val="24"/>
        </w:rPr>
      </w:pPr>
      <w:bookmarkStart w:id="46" w:name="_Toc29381"/>
      <w:bookmarkStart w:id="47" w:name="_Toc481151183"/>
      <w:r>
        <w:rPr>
          <w:rFonts w:hint="eastAsia"/>
          <w:sz w:val="24"/>
          <w:szCs w:val="24"/>
        </w:rPr>
        <w:t>3.1 无线控制器部署设计</w:t>
      </w:r>
      <w:bookmarkEnd w:id="46"/>
      <w:bookmarkEnd w:id="47"/>
    </w:p>
    <w:p>
      <w:pPr>
        <w:ind w:firstLine="476" w:firstLineChars="227"/>
        <w:rPr>
          <w:rFonts w:ascii="宋体" w:hAnsi="宋体"/>
        </w:rPr>
      </w:pPr>
      <w:r>
        <w:rPr>
          <w:rFonts w:hint="eastAsia" w:ascii="宋体" w:hAnsi="宋体"/>
        </w:rPr>
        <w:t>本次方案采用在核心交换机上旁挂高性能无线控制器的方式。有以下几点优势：</w:t>
      </w:r>
    </w:p>
    <w:p>
      <w:pPr>
        <w:pStyle w:val="42"/>
        <w:numPr>
          <w:ilvl w:val="0"/>
          <w:numId w:val="6"/>
        </w:numPr>
        <w:spacing w:line="360" w:lineRule="auto"/>
        <w:ind w:firstLineChars="0"/>
        <w:rPr>
          <w:rFonts w:ascii="宋体" w:hAnsi="宋体"/>
          <w:sz w:val="24"/>
          <w:szCs w:val="24"/>
        </w:rPr>
      </w:pPr>
      <w:r>
        <w:rPr>
          <w:rFonts w:hint="eastAsia" w:ascii="宋体" w:hAnsi="宋体"/>
          <w:sz w:val="24"/>
          <w:szCs w:val="24"/>
        </w:rPr>
        <w:t>统一配置</w:t>
      </w:r>
    </w:p>
    <w:p>
      <w:pPr>
        <w:ind w:firstLine="476" w:firstLineChars="227"/>
        <w:rPr>
          <w:rFonts w:ascii="宋体" w:hAnsi="宋体"/>
        </w:rPr>
      </w:pPr>
      <w:r>
        <w:rPr>
          <w:rFonts w:hint="eastAsia" w:ascii="宋体" w:hAnsi="宋体"/>
        </w:rPr>
        <w:t>医院内所有无线控制器的配置需要进行统一，当为一台主无线控制器对无线网络系统进行配置后，其他所有从控制器都从主控制器进行同步配置，降低无线网络的维护管理成本，提高效率。</w:t>
      </w:r>
    </w:p>
    <w:p>
      <w:pPr>
        <w:pStyle w:val="42"/>
        <w:numPr>
          <w:ilvl w:val="0"/>
          <w:numId w:val="6"/>
        </w:numPr>
        <w:spacing w:line="360" w:lineRule="auto"/>
        <w:ind w:firstLineChars="0"/>
        <w:rPr>
          <w:rFonts w:ascii="宋体" w:hAnsi="宋体"/>
          <w:sz w:val="24"/>
          <w:szCs w:val="24"/>
        </w:rPr>
      </w:pPr>
      <w:r>
        <w:rPr>
          <w:rFonts w:hint="eastAsia" w:ascii="宋体" w:hAnsi="宋体"/>
          <w:sz w:val="24"/>
          <w:szCs w:val="24"/>
        </w:rPr>
        <w:t>Portal 热备</w:t>
      </w:r>
    </w:p>
    <w:p>
      <w:pPr>
        <w:ind w:firstLine="476" w:firstLineChars="227"/>
        <w:rPr>
          <w:rFonts w:ascii="宋体" w:hAnsi="宋体"/>
        </w:rPr>
      </w:pPr>
      <w:r>
        <w:rPr>
          <w:rFonts w:hint="eastAsia" w:ascii="宋体" w:hAnsi="宋体"/>
        </w:rPr>
        <w:t>当多台无线控制器工作在双机模式时，可以实现Portal认证高可靠。用户通过其中一台AC完成Portal认证。双机将相互同步用户的认证状态等数据。任何一台AC down时，由于另台AC已经预同步了用户的认证数据，所以可以避免Portal重认证和用户业务中断，满足了电信级可靠性需求。</w:t>
      </w:r>
    </w:p>
    <w:p>
      <w:pPr>
        <w:pStyle w:val="42"/>
        <w:numPr>
          <w:ilvl w:val="0"/>
          <w:numId w:val="6"/>
        </w:numPr>
        <w:spacing w:line="360" w:lineRule="auto"/>
        <w:ind w:firstLineChars="0"/>
        <w:rPr>
          <w:rFonts w:ascii="宋体" w:hAnsi="宋体"/>
          <w:sz w:val="24"/>
          <w:szCs w:val="24"/>
        </w:rPr>
      </w:pPr>
      <w:r>
        <w:rPr>
          <w:rFonts w:hint="eastAsia" w:ascii="宋体" w:hAnsi="宋体"/>
          <w:sz w:val="24"/>
          <w:szCs w:val="24"/>
        </w:rPr>
        <w:t>DHCP Server热备</w:t>
      </w:r>
    </w:p>
    <w:p>
      <w:pPr>
        <w:ind w:firstLine="476" w:firstLineChars="227"/>
        <w:rPr>
          <w:rFonts w:ascii="宋体" w:hAnsi="宋体"/>
        </w:rPr>
      </w:pPr>
      <w:r>
        <w:rPr>
          <w:rFonts w:hint="eastAsia" w:ascii="宋体" w:hAnsi="宋体"/>
        </w:rPr>
        <w:t>当2台无线控制器工作在双机模式时，用户通过其中一台AC获得DHCP地址分配后，AC间将同步地址池信息。一台AC down机后，当用户IP地址租约到期时，将发起DHCP请求续约。另一台AC用预备份的地址池数据回应续约，避免了为用户重新分配地址和用户业务中断。</w:t>
      </w:r>
    </w:p>
    <w:p>
      <w:pPr>
        <w:pStyle w:val="119"/>
        <w:tabs>
          <w:tab w:val="clear" w:pos="576"/>
        </w:tabs>
        <w:spacing w:before="0" w:after="0"/>
        <w:rPr>
          <w:sz w:val="24"/>
        </w:rPr>
      </w:pPr>
      <w:bookmarkStart w:id="48" w:name="_Toc481151184"/>
      <w:bookmarkStart w:id="49" w:name="_Toc25115"/>
      <w:r>
        <w:rPr>
          <w:rFonts w:hint="eastAsia"/>
          <w:sz w:val="24"/>
        </w:rPr>
        <w:t xml:space="preserve">3.2 </w:t>
      </w:r>
      <w:r>
        <w:rPr>
          <w:sz w:val="24"/>
        </w:rPr>
        <w:t>无线AP部署设计</w:t>
      </w:r>
      <w:bookmarkEnd w:id="48"/>
      <w:bookmarkEnd w:id="49"/>
    </w:p>
    <w:p>
      <w:pPr>
        <w:ind w:firstLine="476" w:firstLineChars="227"/>
        <w:rPr>
          <w:rFonts w:ascii="宋体" w:hAnsi="宋体"/>
        </w:rPr>
      </w:pPr>
      <w:r>
        <w:rPr>
          <w:rFonts w:hint="eastAsia" w:ascii="宋体" w:hAnsi="宋体"/>
        </w:rPr>
        <w:t>无线网络在医院的主要作用包括为移动查房提供网络、为医疗物理网应用提供接入、为患者以及内部职工提供网络访问等。按照医院内部区域以及结合区域上的应用需求，可以划分以下几种覆盖场景：</w:t>
      </w:r>
    </w:p>
    <w:p>
      <w:pPr>
        <w:pStyle w:val="120"/>
        <w:ind w:firstLine="0" w:firstLineChars="0"/>
        <w:jc w:val="both"/>
        <w:rPr>
          <w:rFonts w:ascii="宋体" w:hAnsi="宋体"/>
          <w:sz w:val="24"/>
          <w:szCs w:val="24"/>
        </w:rPr>
      </w:pPr>
      <w:r>
        <w:rPr>
          <w:rFonts w:hint="eastAsia" w:ascii="宋体" w:hAnsi="宋体"/>
          <w:b/>
          <w:sz w:val="24"/>
          <w:szCs w:val="24"/>
        </w:rPr>
        <w:t>3.2.1 高密度接入场景</w:t>
      </w:r>
    </w:p>
    <w:p>
      <w:pPr>
        <w:ind w:firstLine="476" w:firstLineChars="227"/>
        <w:rPr>
          <w:rFonts w:ascii="宋体" w:hAnsi="宋体"/>
        </w:rPr>
      </w:pPr>
      <w:r>
        <w:rPr>
          <w:rFonts w:hint="eastAsia" w:ascii="宋体" w:hAnsi="宋体"/>
        </w:rPr>
        <w:t>这类场景以覆盖行政楼、会议室、候诊区等人流量密集为主，这类场景主要以上网需求为主，对无线网络的接入能力要求高并发、高带宽、高稳定。</w:t>
      </w:r>
    </w:p>
    <w:p>
      <w:pPr>
        <w:ind w:firstLine="476" w:firstLineChars="227"/>
        <w:rPr>
          <w:rFonts w:ascii="宋体" w:hAnsi="宋体"/>
        </w:rPr>
      </w:pPr>
      <w:r>
        <w:rPr>
          <w:rFonts w:hint="eastAsia" w:ascii="宋体" w:hAnsi="宋体"/>
        </w:rPr>
        <w:t>针对这类场景，采用接入性能高的AP</w:t>
      </w:r>
      <w:r>
        <w:rPr>
          <w:rFonts w:ascii="宋体" w:hAnsi="宋体"/>
        </w:rPr>
        <w:t>放装部署方案，AP根据实际区域环境吸顶部署，实际数量根据覆盖面积和人数进行规划设计。</w:t>
      </w:r>
    </w:p>
    <w:p>
      <w:pPr>
        <w:pStyle w:val="120"/>
        <w:ind w:firstLine="0" w:firstLineChars="0"/>
        <w:jc w:val="both"/>
        <w:rPr>
          <w:rFonts w:ascii="宋体" w:hAnsi="宋体"/>
          <w:b/>
          <w:sz w:val="24"/>
          <w:szCs w:val="24"/>
        </w:rPr>
      </w:pPr>
      <w:r>
        <w:rPr>
          <w:rFonts w:hint="eastAsia" w:ascii="宋体" w:hAnsi="宋体"/>
          <w:b/>
          <w:sz w:val="24"/>
          <w:szCs w:val="24"/>
        </w:rPr>
        <w:t>3.2.2 病房场景</w:t>
      </w:r>
    </w:p>
    <w:p>
      <w:pPr>
        <w:ind w:firstLine="476" w:firstLineChars="227"/>
        <w:rPr>
          <w:rFonts w:ascii="宋体" w:hAnsi="宋体"/>
        </w:rPr>
      </w:pPr>
      <w:r>
        <w:rPr>
          <w:rFonts w:hint="eastAsia" w:ascii="宋体" w:hAnsi="宋体"/>
        </w:rPr>
        <w:t>以覆盖病区病房为主，这类场景主要为移动查房、移动护理等应用提供网络接入，对无线网络的接入能力要求无缝漫游、高稳定、抗干扰能力；</w:t>
      </w:r>
    </w:p>
    <w:p>
      <w:pPr>
        <w:ind w:firstLine="476" w:firstLineChars="227"/>
        <w:rPr>
          <w:rFonts w:ascii="宋体" w:hAnsi="宋体"/>
          <w:bCs/>
        </w:rPr>
      </w:pPr>
      <w:r>
        <w:rPr>
          <w:rFonts w:hint="eastAsia" w:ascii="宋体" w:hAnsi="宋体"/>
        </w:rPr>
        <w:t>针对这类场景，</w:t>
      </w:r>
      <w:r>
        <w:rPr>
          <w:rFonts w:hint="eastAsia" w:ascii="宋体" w:hAnsi="宋体"/>
          <w:bCs/>
        </w:rPr>
        <w:t>采用分体式方案，即“母AP+子AP”，其中“母AP”部署在楼层弱电间内，通过网线连接“子AP”，“子AP”部署在每个病房内，同时“子AP”可以集成医疗物联网读卡器模块，采用WIFI</w:t>
      </w:r>
      <w:r>
        <w:rPr>
          <w:rFonts w:ascii="宋体" w:hAnsi="宋体"/>
          <w:bCs/>
        </w:rPr>
        <w:t>+RFID</w:t>
      </w:r>
      <w:r>
        <w:rPr>
          <w:rFonts w:hint="eastAsia" w:ascii="宋体" w:hAnsi="宋体"/>
          <w:bCs/>
        </w:rPr>
        <w:t>模块方式，集成的</w:t>
      </w:r>
      <w:r>
        <w:rPr>
          <w:rFonts w:ascii="宋体" w:hAnsi="宋体"/>
          <w:bCs/>
        </w:rPr>
        <w:t>RFID</w:t>
      </w:r>
      <w:r>
        <w:rPr>
          <w:rFonts w:hint="eastAsia" w:ascii="宋体" w:hAnsi="宋体"/>
          <w:bCs/>
        </w:rPr>
        <w:t>模块支持</w:t>
      </w:r>
      <w:r>
        <w:rPr>
          <w:rFonts w:ascii="宋体" w:hAnsi="宋体"/>
          <w:bCs/>
        </w:rPr>
        <w:t>433M</w:t>
      </w:r>
      <w:r>
        <w:rPr>
          <w:rFonts w:hint="eastAsia" w:ascii="宋体" w:hAnsi="宋体"/>
          <w:bCs/>
        </w:rPr>
        <w:t>，还支持</w:t>
      </w:r>
      <w:r>
        <w:rPr>
          <w:rFonts w:ascii="宋体" w:hAnsi="宋体"/>
          <w:bCs/>
        </w:rPr>
        <w:t>2</w:t>
      </w:r>
      <w:r>
        <w:rPr>
          <w:rFonts w:hint="eastAsia" w:ascii="宋体" w:hAnsi="宋体"/>
          <w:bCs/>
        </w:rPr>
        <w:t>路</w:t>
      </w:r>
      <w:r>
        <w:rPr>
          <w:rFonts w:ascii="宋体" w:hAnsi="宋体"/>
          <w:bCs/>
        </w:rPr>
        <w:t>RFID</w:t>
      </w:r>
      <w:r>
        <w:rPr>
          <w:rFonts w:hint="eastAsia" w:ascii="宋体" w:hAnsi="宋体"/>
          <w:bCs/>
        </w:rPr>
        <w:t>模块扩展，</w:t>
      </w:r>
      <w:r>
        <w:rPr>
          <w:rFonts w:ascii="宋体" w:hAnsi="宋体"/>
          <w:bCs/>
        </w:rPr>
        <w:t>RFID</w:t>
      </w:r>
      <w:r>
        <w:rPr>
          <w:rFonts w:hint="eastAsia" w:ascii="宋体" w:hAnsi="宋体"/>
          <w:bCs/>
        </w:rPr>
        <w:t>模块天线采用功分器</w:t>
      </w:r>
      <w:r>
        <w:rPr>
          <w:rFonts w:ascii="宋体" w:hAnsi="宋体"/>
          <w:bCs/>
        </w:rPr>
        <w:t>+</w:t>
      </w:r>
      <w:r>
        <w:rPr>
          <w:rFonts w:hint="eastAsia" w:ascii="宋体" w:hAnsi="宋体"/>
          <w:bCs/>
        </w:rPr>
        <w:t>馈线方式。具体馈线数量根据实际楼层情况而定。</w:t>
      </w:r>
      <w:r>
        <w:rPr>
          <w:rFonts w:hint="eastAsia" w:ascii="宋体" w:hAnsi="宋体"/>
        </w:rPr>
        <w:t>在WiFi信号进入病房的同时，通过集成在AP内部的RFID读卡器，读卡器上的RFID馈线也进入病房和走廊，实现对房间内部和走廊的物联网业务的接入。同时，</w:t>
      </w:r>
      <w:r>
        <w:rPr>
          <w:rFonts w:hint="eastAsia" w:ascii="宋体" w:hAnsi="宋体"/>
          <w:bCs/>
        </w:rPr>
        <w:t>该款AP同时还支持Zigbee和蓝牙标准，可以实现扩展支持未来医院的物联网业务。</w:t>
      </w:r>
    </w:p>
    <w:p>
      <w:pPr>
        <w:pStyle w:val="120"/>
        <w:ind w:firstLine="0" w:firstLineChars="0"/>
        <w:jc w:val="both"/>
        <w:rPr>
          <w:rFonts w:ascii="宋体" w:hAnsi="宋体"/>
          <w:b/>
          <w:sz w:val="24"/>
          <w:szCs w:val="24"/>
        </w:rPr>
      </w:pPr>
      <w:r>
        <w:rPr>
          <w:rFonts w:hint="eastAsia" w:ascii="宋体" w:hAnsi="宋体"/>
          <w:b/>
          <w:sz w:val="24"/>
          <w:szCs w:val="24"/>
        </w:rPr>
        <w:t xml:space="preserve">3.2.3 </w:t>
      </w:r>
      <w:r>
        <w:rPr>
          <w:rFonts w:ascii="宋体" w:hAnsi="宋体"/>
          <w:b/>
          <w:sz w:val="24"/>
          <w:szCs w:val="24"/>
        </w:rPr>
        <w:t>公共区域</w:t>
      </w:r>
    </w:p>
    <w:p>
      <w:pPr>
        <w:ind w:firstLine="476" w:firstLineChars="227"/>
        <w:rPr>
          <w:rFonts w:ascii="宋体" w:hAnsi="宋体"/>
        </w:rPr>
      </w:pPr>
      <w:r>
        <w:rPr>
          <w:rFonts w:ascii="宋体" w:hAnsi="宋体"/>
        </w:rPr>
        <w:t>以病房走廊过道等公共区域为主，这类场景主要实现为无线全覆盖，对无线网络的接入能力要求稳定、抗干扰能力。</w:t>
      </w:r>
    </w:p>
    <w:p>
      <w:pPr>
        <w:ind w:firstLine="476" w:firstLineChars="227"/>
        <w:rPr>
          <w:rFonts w:ascii="宋体" w:hAnsi="宋体"/>
        </w:rPr>
      </w:pPr>
      <w:r>
        <w:rPr>
          <w:rFonts w:hint="eastAsia" w:ascii="宋体" w:hAnsi="宋体"/>
        </w:rPr>
        <w:t>针对这类场景，采用标准性能AP</w:t>
      </w:r>
      <w:r>
        <w:rPr>
          <w:rFonts w:ascii="宋体" w:hAnsi="宋体"/>
        </w:rPr>
        <w:t>放装部署方案，AP根据实际区域环境吸顶部署，实际数量根据覆盖面积和人数进行规划设计。</w:t>
      </w:r>
    </w:p>
    <w:p>
      <w:pPr>
        <w:pStyle w:val="119"/>
        <w:tabs>
          <w:tab w:val="clear" w:pos="576"/>
        </w:tabs>
        <w:spacing w:before="0" w:after="0"/>
        <w:rPr>
          <w:sz w:val="24"/>
        </w:rPr>
      </w:pPr>
      <w:bookmarkStart w:id="50" w:name="_Toc438225871"/>
      <w:bookmarkStart w:id="51" w:name="_Toc434309142"/>
      <w:bookmarkStart w:id="52" w:name="_Toc480901524"/>
      <w:bookmarkStart w:id="53" w:name="_Toc433311330"/>
      <w:bookmarkStart w:id="54" w:name="_Toc10232"/>
      <w:bookmarkStart w:id="55" w:name="_Toc481151185"/>
      <w:bookmarkStart w:id="56" w:name="_Toc365798923"/>
      <w:bookmarkStart w:id="57" w:name="_Toc358802861"/>
      <w:r>
        <w:rPr>
          <w:rFonts w:hint="eastAsia"/>
          <w:sz w:val="24"/>
        </w:rPr>
        <w:t>3.3 无线物联网</w:t>
      </w:r>
      <w:bookmarkEnd w:id="50"/>
      <w:bookmarkEnd w:id="51"/>
      <w:bookmarkEnd w:id="52"/>
      <w:bookmarkEnd w:id="53"/>
      <w:r>
        <w:rPr>
          <w:rFonts w:hint="eastAsia"/>
          <w:sz w:val="24"/>
        </w:rPr>
        <w:t>设计</w:t>
      </w:r>
      <w:bookmarkEnd w:id="54"/>
      <w:bookmarkEnd w:id="55"/>
    </w:p>
    <w:p>
      <w:pPr>
        <w:ind w:firstLine="476" w:firstLineChars="227"/>
        <w:rPr>
          <w:rFonts w:ascii="宋体" w:hAnsi="宋体"/>
        </w:rPr>
      </w:pPr>
      <w:r>
        <w:rPr>
          <w:rFonts w:hint="eastAsia" w:ascii="宋体" w:hAnsi="宋体"/>
        </w:rPr>
        <w:t>物联网技术包括WLAN、RFID、蓝牙、zigbee等多种通信技术标准，其中WLAN和RFID技术最为成熟稳定，应用最广，也是本次项目物联网建设采用的主要技术。</w:t>
      </w:r>
    </w:p>
    <w:p>
      <w:pPr>
        <w:ind w:firstLine="476" w:firstLineChars="227"/>
        <w:rPr>
          <w:rFonts w:ascii="宋体" w:hAnsi="宋体"/>
        </w:rPr>
      </w:pPr>
      <w:r>
        <w:rPr>
          <w:rFonts w:hint="eastAsia" w:ascii="宋体" w:hAnsi="宋体"/>
        </w:rPr>
        <w:t>本次项目医疗物联网硬件架构采用三层结构设计，分别是感知层、接入层和管理层；感知层实现对各类终端和标签的探知，接入层是AP和RFID阅读器层，实现对数据的接入，管理层是包括物联网AC、物联网中间件MC和网管系统，实现对全部终端和标签集中管理。</w:t>
      </w:r>
    </w:p>
    <w:p>
      <w:pPr>
        <w:ind w:firstLine="476" w:firstLineChars="227"/>
        <w:rPr>
          <w:rFonts w:ascii="宋体" w:hAnsi="宋体"/>
        </w:rPr>
      </w:pPr>
      <w:r>
        <w:rPr>
          <w:rFonts w:hint="eastAsia" w:ascii="宋体" w:hAnsi="宋体"/>
        </w:rPr>
        <w:t>本次医疗物联网架构如下：</w:t>
      </w:r>
    </w:p>
    <w:p>
      <w:pPr>
        <w:ind w:firstLine="424" w:firstLineChars="202"/>
        <w:jc w:val="left"/>
        <w:rPr>
          <w:rFonts w:cs="Arial"/>
          <w:kern w:val="0"/>
        </w:rPr>
      </w:pPr>
      <w:r>
        <w:rPr>
          <w:rFonts w:ascii="宋体" w:hAnsi="宋体"/>
        </w:rPr>
        <w:drawing>
          <wp:inline distT="0" distB="0" distL="114300" distR="114300">
            <wp:extent cx="4735195" cy="3885565"/>
            <wp:effectExtent l="0" t="0" r="8255" b="63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2" cstate="print"/>
                    <a:stretch>
                      <a:fillRect/>
                    </a:stretch>
                  </pic:blipFill>
                  <pic:spPr>
                    <a:xfrm>
                      <a:off x="0" y="0"/>
                      <a:ext cx="4735195" cy="3885565"/>
                    </a:xfrm>
                    <a:prstGeom prst="rect">
                      <a:avLst/>
                    </a:prstGeom>
                    <a:noFill/>
                    <a:ln w="9525">
                      <a:noFill/>
                    </a:ln>
                  </pic:spPr>
                </pic:pic>
              </a:graphicData>
            </a:graphic>
          </wp:inline>
        </w:drawing>
      </w:r>
    </w:p>
    <w:p>
      <w:pPr>
        <w:pStyle w:val="42"/>
        <w:numPr>
          <w:ilvl w:val="0"/>
          <w:numId w:val="6"/>
        </w:numPr>
        <w:spacing w:line="360" w:lineRule="auto"/>
        <w:ind w:firstLineChars="0"/>
        <w:rPr>
          <w:rFonts w:ascii="宋体" w:hAnsi="宋体"/>
          <w:sz w:val="24"/>
          <w:szCs w:val="24"/>
        </w:rPr>
      </w:pPr>
      <w:r>
        <w:rPr>
          <w:rFonts w:hint="eastAsia" w:ascii="宋体" w:hAnsi="宋体"/>
          <w:sz w:val="24"/>
          <w:szCs w:val="24"/>
        </w:rPr>
        <w:t>物联网AP：整合了</w:t>
      </w:r>
      <w:r>
        <w:rPr>
          <w:rFonts w:ascii="宋体" w:hAnsi="宋体"/>
          <w:sz w:val="24"/>
          <w:szCs w:val="24"/>
        </w:rPr>
        <w:t>WIFI</w:t>
      </w:r>
      <w:r>
        <w:rPr>
          <w:rFonts w:hint="eastAsia" w:ascii="宋体" w:hAnsi="宋体"/>
          <w:sz w:val="24"/>
          <w:szCs w:val="24"/>
        </w:rPr>
        <w:t>和RFID、</w:t>
      </w:r>
      <w:r>
        <w:rPr>
          <w:rFonts w:ascii="宋体" w:hAnsi="宋体"/>
          <w:sz w:val="24"/>
          <w:szCs w:val="24"/>
        </w:rPr>
        <w:t>ZigBee、</w:t>
      </w:r>
      <w:r>
        <w:rPr>
          <w:rFonts w:hint="eastAsia" w:ascii="宋体" w:hAnsi="宋体"/>
          <w:sz w:val="24"/>
          <w:szCs w:val="24"/>
        </w:rPr>
        <w:t>蓝牙阅读器功能，可以实现信息多频道的发送和接收，物联网AP既可以接收物联网标签的返回信息，也可以接收支持WIFI的移动终端返回信息，实现前段感知的融合。</w:t>
      </w:r>
    </w:p>
    <w:p>
      <w:pPr>
        <w:pStyle w:val="42"/>
        <w:numPr>
          <w:ilvl w:val="0"/>
          <w:numId w:val="6"/>
        </w:numPr>
        <w:spacing w:line="360" w:lineRule="auto"/>
        <w:ind w:firstLineChars="0"/>
        <w:rPr>
          <w:rFonts w:ascii="宋体" w:hAnsi="宋体"/>
          <w:sz w:val="24"/>
          <w:szCs w:val="24"/>
        </w:rPr>
      </w:pPr>
      <w:r>
        <w:rPr>
          <w:rFonts w:hint="eastAsia" w:ascii="宋体" w:hAnsi="宋体"/>
          <w:sz w:val="24"/>
          <w:szCs w:val="24"/>
        </w:rPr>
        <w:t>物联网AC：能够对物联网AP进行统一的管理配置，达到安全、高效的目的。</w:t>
      </w:r>
    </w:p>
    <w:p>
      <w:pPr>
        <w:ind w:firstLine="476" w:firstLineChars="227"/>
        <w:rPr>
          <w:rFonts w:ascii="宋体" w:hAnsi="宋体"/>
        </w:rPr>
      </w:pPr>
      <w:r>
        <w:rPr>
          <w:rFonts w:hint="eastAsia" w:ascii="宋体" w:hAnsi="宋体"/>
        </w:rPr>
        <w:t>本次在病房区域采用的AP是可以集成医疗物联网读卡器模块的AP，集成的</w:t>
      </w:r>
      <w:r>
        <w:rPr>
          <w:rFonts w:ascii="宋体" w:hAnsi="宋体"/>
        </w:rPr>
        <w:t>RFID</w:t>
      </w:r>
      <w:r>
        <w:rPr>
          <w:rFonts w:hint="eastAsia" w:ascii="宋体" w:hAnsi="宋体"/>
        </w:rPr>
        <w:t>模块支持</w:t>
      </w:r>
      <w:r>
        <w:rPr>
          <w:rFonts w:ascii="宋体" w:hAnsi="宋体"/>
        </w:rPr>
        <w:t>433M</w:t>
      </w:r>
      <w:r>
        <w:rPr>
          <w:rFonts w:hint="eastAsia" w:ascii="宋体" w:hAnsi="宋体"/>
        </w:rPr>
        <w:t>，支持现有物联网业务，</w:t>
      </w:r>
      <w:r>
        <w:rPr>
          <w:rFonts w:ascii="宋体" w:hAnsi="宋体"/>
        </w:rPr>
        <w:t>RFID</w:t>
      </w:r>
      <w:r>
        <w:rPr>
          <w:rFonts w:hint="eastAsia" w:ascii="宋体" w:hAnsi="宋体"/>
        </w:rPr>
        <w:t>模块天线采用功分器</w:t>
      </w:r>
      <w:r>
        <w:rPr>
          <w:rFonts w:ascii="宋体" w:hAnsi="宋体"/>
        </w:rPr>
        <w:t>+</w:t>
      </w:r>
      <w:r>
        <w:rPr>
          <w:rFonts w:hint="eastAsia" w:ascii="宋体" w:hAnsi="宋体"/>
        </w:rPr>
        <w:t>馈线方式， 医疗物联网AP要求做到如下所示：</w:t>
      </w:r>
    </w:p>
    <w:p>
      <w:pPr>
        <w:jc w:val="center"/>
      </w:pPr>
      <w:r>
        <w:rPr>
          <w:rFonts w:ascii="宋体" w:hAnsi="宋体"/>
        </w:rPr>
        <w:drawing>
          <wp:inline distT="0" distB="0" distL="114300" distR="114300">
            <wp:extent cx="4669790" cy="2536190"/>
            <wp:effectExtent l="0" t="0" r="16510" b="16510"/>
            <wp:docPr id="11" name="图片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12"/>
                    <pic:cNvPicPr>
                      <a:picLocks noChangeAspect="1"/>
                    </pic:cNvPicPr>
                  </pic:nvPicPr>
                  <pic:blipFill>
                    <a:blip r:embed="rId13" cstate="print"/>
                    <a:stretch>
                      <a:fillRect/>
                    </a:stretch>
                  </pic:blipFill>
                  <pic:spPr>
                    <a:xfrm>
                      <a:off x="0" y="0"/>
                      <a:ext cx="4669790" cy="2536190"/>
                    </a:xfrm>
                    <a:prstGeom prst="rect">
                      <a:avLst/>
                    </a:prstGeom>
                    <a:noFill/>
                    <a:ln w="9525">
                      <a:noFill/>
                    </a:ln>
                  </pic:spPr>
                </pic:pic>
              </a:graphicData>
            </a:graphic>
          </wp:inline>
        </w:drawing>
      </w:r>
    </w:p>
    <w:p>
      <w:pPr>
        <w:ind w:firstLine="476" w:firstLineChars="227"/>
      </w:pPr>
      <w:r>
        <w:rPr>
          <w:rFonts w:hint="eastAsia" w:ascii="宋体" w:hAnsi="宋体"/>
        </w:rPr>
        <w:t>需实现的数据处理如下：</w:t>
      </w:r>
    </w:p>
    <w:p>
      <w:pPr>
        <w:jc w:val="center"/>
      </w:pPr>
      <w:r>
        <w:drawing>
          <wp:inline distT="0" distB="0" distL="114300" distR="114300">
            <wp:extent cx="5150485" cy="2589530"/>
            <wp:effectExtent l="0" t="0" r="12065" b="1270"/>
            <wp:docPr id="13" name="图片 1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12"/>
                    <pic:cNvPicPr>
                      <a:picLocks noChangeAspect="1"/>
                    </pic:cNvPicPr>
                  </pic:nvPicPr>
                  <pic:blipFill>
                    <a:blip r:embed="rId14" cstate="print"/>
                    <a:stretch>
                      <a:fillRect/>
                    </a:stretch>
                  </pic:blipFill>
                  <pic:spPr>
                    <a:xfrm>
                      <a:off x="0" y="0"/>
                      <a:ext cx="5150485" cy="2589530"/>
                    </a:xfrm>
                    <a:prstGeom prst="rect">
                      <a:avLst/>
                    </a:prstGeom>
                    <a:noFill/>
                    <a:ln w="9525">
                      <a:noFill/>
                    </a:ln>
                  </pic:spPr>
                </pic:pic>
              </a:graphicData>
            </a:graphic>
          </wp:inline>
        </w:drawing>
      </w:r>
    </w:p>
    <w:bookmarkEnd w:id="56"/>
    <w:bookmarkEnd w:id="57"/>
    <w:p>
      <w:pPr>
        <w:pStyle w:val="119"/>
        <w:tabs>
          <w:tab w:val="clear" w:pos="576"/>
        </w:tabs>
        <w:spacing w:before="0" w:after="0"/>
        <w:rPr>
          <w:sz w:val="24"/>
        </w:rPr>
      </w:pPr>
      <w:bookmarkStart w:id="58" w:name="_Toc481151186"/>
      <w:bookmarkStart w:id="59" w:name="_Toc2807"/>
      <w:r>
        <w:rPr>
          <w:rFonts w:hint="eastAsia"/>
          <w:sz w:val="24"/>
        </w:rPr>
        <w:t xml:space="preserve">3.4 </w:t>
      </w:r>
      <w:r>
        <w:rPr>
          <w:sz w:val="24"/>
        </w:rPr>
        <w:t>无线AP供电设计</w:t>
      </w:r>
      <w:bookmarkEnd w:id="58"/>
      <w:bookmarkEnd w:id="59"/>
    </w:p>
    <w:p>
      <w:pPr>
        <w:ind w:firstLine="476" w:firstLineChars="227"/>
        <w:rPr>
          <w:rFonts w:ascii="宋体" w:hAnsi="宋体"/>
        </w:rPr>
      </w:pPr>
      <w:r>
        <w:rPr>
          <w:rFonts w:hint="eastAsia" w:ascii="宋体" w:hAnsi="宋体"/>
        </w:rPr>
        <w:t>为方便统一管理，提高设备的安全性，本次无线供电设计采用POE供电的方式对无线AP进行远程供电。采用POE方式即通过网线对AP进行供电，POE供电方式具备以下几点优势：首先，安全性更高，通过网线进行供电可以避免本地电源的使用，有效减少强电部署，提高大楼的用电安全；另外，通过POE供电可以实现对AP供电的管理，实现AP的定时开关，一方面提高无线网络的安全性（不必要使用时可关闭无线网络），另一方面，还可以日常费用（不必要使用时，关闭AP节省用电）。</w:t>
      </w:r>
    </w:p>
    <w:p>
      <w:pPr>
        <w:pStyle w:val="118"/>
        <w:spacing w:beforeLines="50" w:afterLines="50"/>
        <w:ind w:left="0" w:firstLine="0"/>
        <w:rPr>
          <w:sz w:val="24"/>
          <w:szCs w:val="24"/>
        </w:rPr>
      </w:pPr>
      <w:bookmarkStart w:id="60" w:name="_Toc480901528"/>
      <w:bookmarkStart w:id="61" w:name="_Toc438225877"/>
      <w:bookmarkStart w:id="62" w:name="_Toc437004173"/>
      <w:bookmarkStart w:id="63" w:name="_Toc481151187"/>
      <w:bookmarkStart w:id="64" w:name="_Toc13225"/>
      <w:bookmarkStart w:id="65" w:name="_Toc358802864"/>
      <w:bookmarkStart w:id="66" w:name="_Toc365798926"/>
      <w:bookmarkStart w:id="67" w:name="_Toc480925963"/>
      <w:bookmarkStart w:id="68" w:name="_Toc438225883"/>
      <w:bookmarkStart w:id="69" w:name="_Toc433311331"/>
      <w:bookmarkStart w:id="70" w:name="_Toc434309143"/>
      <w:bookmarkStart w:id="71" w:name="_Toc480901532"/>
      <w:r>
        <w:rPr>
          <w:rFonts w:hint="eastAsia"/>
          <w:sz w:val="24"/>
          <w:szCs w:val="24"/>
        </w:rPr>
        <w:t>4 网络安全</w:t>
      </w:r>
      <w:bookmarkEnd w:id="60"/>
      <w:bookmarkEnd w:id="61"/>
      <w:bookmarkEnd w:id="62"/>
      <w:r>
        <w:rPr>
          <w:rFonts w:hint="eastAsia"/>
          <w:sz w:val="24"/>
          <w:szCs w:val="24"/>
        </w:rPr>
        <w:t>架构设计</w:t>
      </w:r>
      <w:bookmarkEnd w:id="63"/>
      <w:bookmarkEnd w:id="64"/>
    </w:p>
    <w:bookmarkEnd w:id="65"/>
    <w:bookmarkEnd w:id="66"/>
    <w:p>
      <w:pPr>
        <w:pStyle w:val="119"/>
        <w:tabs>
          <w:tab w:val="clear" w:pos="576"/>
        </w:tabs>
        <w:spacing w:before="0" w:after="0"/>
        <w:rPr>
          <w:sz w:val="24"/>
        </w:rPr>
      </w:pPr>
      <w:bookmarkStart w:id="72" w:name="_Toc13873"/>
      <w:bookmarkStart w:id="73" w:name="_Toc481151188"/>
      <w:r>
        <w:rPr>
          <w:rFonts w:hint="eastAsia"/>
          <w:sz w:val="24"/>
        </w:rPr>
        <w:t>4.1系统概述</w:t>
      </w:r>
      <w:bookmarkEnd w:id="67"/>
      <w:bookmarkEnd w:id="72"/>
      <w:bookmarkEnd w:id="73"/>
    </w:p>
    <w:p>
      <w:pPr>
        <w:pStyle w:val="114"/>
        <w:ind w:firstLine="420"/>
      </w:pPr>
      <w:r>
        <w:rPr>
          <w:rFonts w:hint="eastAsia"/>
        </w:rPr>
        <w:t>在医疗行业的信息化建设过程中，信息安全的建设虽然只是一个很小的部分，但其重要性不容忽视。便捷、开放的网络环境，是医疗行业信息化建设的基础，在数据传递和共享的过程当中，数据的安全性要切实地得到保障，才能保障医疗信息化业务的正常运行。</w:t>
      </w:r>
    </w:p>
    <w:p>
      <w:pPr>
        <w:pStyle w:val="114"/>
        <w:ind w:firstLine="420"/>
      </w:pPr>
      <w:r>
        <w:rPr>
          <w:rFonts w:hint="eastAsia"/>
        </w:rPr>
        <w:t>国家公安部、保密局、国家密码管理局、国务院信息化领导小组办公室于2007年联合颁布了861号文件《关于开展全国重要信息系统安全等级保护定级工作的通知》和《信息安全等级保护管理办法》，要求涉及国计民生的信息系统应达到一定的安全等级，根据文件精神和等级划分的原则，医疗信息系统构筑至少应达到二级或以上防护要求。</w:t>
      </w:r>
    </w:p>
    <w:p>
      <w:pPr>
        <w:pStyle w:val="114"/>
        <w:ind w:firstLine="420"/>
      </w:pPr>
      <w:r>
        <w:rPr>
          <w:rFonts w:hint="eastAsia"/>
        </w:rPr>
        <w:t>针对《信息系统安全等级保护基本要求》，部署相应的网络安全防护设备，能够基本满足医院信息安全建设的需求以及通过等级保护测评。</w:t>
      </w:r>
    </w:p>
    <w:p>
      <w:pPr>
        <w:pStyle w:val="119"/>
        <w:tabs>
          <w:tab w:val="clear" w:pos="576"/>
        </w:tabs>
        <w:spacing w:before="0" w:after="0"/>
        <w:rPr>
          <w:sz w:val="24"/>
        </w:rPr>
      </w:pPr>
      <w:bookmarkStart w:id="74" w:name="_Toc481151189"/>
      <w:bookmarkStart w:id="75" w:name="_Toc9137"/>
      <w:r>
        <w:rPr>
          <w:rFonts w:hint="eastAsia"/>
          <w:sz w:val="24"/>
        </w:rPr>
        <w:t>4.2 安全防护设计原则</w:t>
      </w:r>
      <w:bookmarkEnd w:id="74"/>
      <w:bookmarkEnd w:id="75"/>
    </w:p>
    <w:p>
      <w:pPr>
        <w:pStyle w:val="114"/>
        <w:ind w:firstLine="420"/>
      </w:pPr>
      <w:r>
        <w:t>按照功能区域划分安全域，通过对不同的安全域设置安全防护级别，形成安全域之间互访的控制。</w:t>
      </w:r>
    </w:p>
    <w:p>
      <w:pPr>
        <w:pStyle w:val="120"/>
        <w:numPr>
          <w:ilvl w:val="0"/>
          <w:numId w:val="7"/>
        </w:numPr>
        <w:ind w:firstLineChars="0"/>
        <w:jc w:val="both"/>
        <w:rPr>
          <w:b/>
          <w:sz w:val="24"/>
          <w:szCs w:val="24"/>
        </w:rPr>
      </w:pPr>
      <w:r>
        <w:rPr>
          <w:rFonts w:hint="eastAsia"/>
          <w:b/>
          <w:sz w:val="24"/>
          <w:szCs w:val="24"/>
        </w:rPr>
        <w:t>核心安全域：</w:t>
      </w:r>
    </w:p>
    <w:p>
      <w:pPr>
        <w:pStyle w:val="114"/>
        <w:ind w:firstLine="420"/>
      </w:pPr>
      <w:r>
        <w:rPr>
          <w:rFonts w:hint="eastAsia"/>
        </w:rPr>
        <w:t>核心安全域需要对由外向内的数据进行严格控制，所有的流量必须在明确的策略允许下才可以进入，默认拒绝所有不确定的流量；核心安全域同时需要对由内向外的数据进行严格控制，原则上不允许任何主动发起的由内向外的数据流，以避免安全域的主机单点失效后，主动向外发送数据泄漏机密，有需要对外主动发起的通信，必须进行最严格的控制措施。同时，核心安全域需要完善的网络流量记录和审计能力，为网络流量监管提供足够的依据。</w:t>
      </w:r>
    </w:p>
    <w:p>
      <w:pPr>
        <w:pStyle w:val="114"/>
        <w:ind w:firstLine="420"/>
      </w:pPr>
      <w:r>
        <w:rPr>
          <w:rFonts w:hint="eastAsia"/>
        </w:rPr>
        <w:t>在本次方案中，数据中心区、安全管理中心区建议设定为核心安全域。</w:t>
      </w:r>
    </w:p>
    <w:p>
      <w:pPr>
        <w:pStyle w:val="120"/>
        <w:numPr>
          <w:ilvl w:val="0"/>
          <w:numId w:val="7"/>
        </w:numPr>
        <w:ind w:firstLineChars="0"/>
        <w:jc w:val="both"/>
        <w:rPr>
          <w:b/>
          <w:sz w:val="24"/>
          <w:szCs w:val="24"/>
        </w:rPr>
      </w:pPr>
      <w:r>
        <w:rPr>
          <w:rFonts w:hint="eastAsia"/>
          <w:b/>
          <w:sz w:val="24"/>
          <w:szCs w:val="24"/>
        </w:rPr>
        <w:t>接入安全域：</w:t>
      </w:r>
    </w:p>
    <w:p>
      <w:pPr>
        <w:pStyle w:val="114"/>
        <w:ind w:firstLine="420"/>
      </w:pPr>
      <w:r>
        <w:rPr>
          <w:rFonts w:hint="eastAsia"/>
        </w:rPr>
        <w:t>接入安全域需要对由外向内的数据进行严格控制，所有的流量必须在明确的策略允许下才可以进入，默认拒绝所有不确定的流量；接入安全域同时需要考虑对由内向外的数据进行精细的控制，根据应用模式的需求，明确的定制有内向外的数据流动策略，否则不允许任何主动发起的由内向外的数据流。同时，接入安全域需要考虑一定网络流量记录和审计能力，为网络流量监管提供足够的依据。</w:t>
      </w:r>
    </w:p>
    <w:p>
      <w:pPr>
        <w:pStyle w:val="114"/>
        <w:ind w:firstLine="420"/>
      </w:pPr>
      <w:r>
        <w:rPr>
          <w:rFonts w:hint="eastAsia"/>
        </w:rPr>
        <w:t>在本次方案中，各局域网区建议设定为接入安全域。</w:t>
      </w:r>
    </w:p>
    <w:p>
      <w:pPr>
        <w:pStyle w:val="120"/>
        <w:numPr>
          <w:ilvl w:val="0"/>
          <w:numId w:val="7"/>
        </w:numPr>
        <w:ind w:firstLineChars="0"/>
        <w:jc w:val="both"/>
        <w:rPr>
          <w:b/>
          <w:sz w:val="24"/>
          <w:szCs w:val="24"/>
        </w:rPr>
      </w:pPr>
      <w:r>
        <w:rPr>
          <w:rFonts w:hint="eastAsia"/>
          <w:b/>
          <w:sz w:val="24"/>
          <w:szCs w:val="24"/>
        </w:rPr>
        <w:t>边界安全域：</w:t>
      </w:r>
    </w:p>
    <w:p>
      <w:pPr>
        <w:pStyle w:val="114"/>
        <w:ind w:firstLine="420"/>
      </w:pPr>
      <w:r>
        <w:rPr>
          <w:rFonts w:hint="eastAsia"/>
        </w:rPr>
        <w:t>边界安全域需要对由外向内的数据进行严格控制，所有的流量必须在明确的策略允许下才可以进入，默认拒绝所有不确定的流量；接入安全域需要考虑对由内向外的数据进行精细的控制，根据应用模式的需求，明确的定制有内向外的数据流动策略，否则不允许任何主动发起的由内向外的数据流。</w:t>
      </w:r>
    </w:p>
    <w:p>
      <w:pPr>
        <w:pStyle w:val="114"/>
        <w:ind w:firstLine="420"/>
      </w:pPr>
      <w:r>
        <w:rPr>
          <w:rFonts w:hint="eastAsia"/>
        </w:rPr>
        <w:t>在本次方案中，内网外联区和互联网区建议设定为边界安全域。</w:t>
      </w:r>
    </w:p>
    <w:bookmarkEnd w:id="68"/>
    <w:bookmarkEnd w:id="69"/>
    <w:bookmarkEnd w:id="70"/>
    <w:bookmarkEnd w:id="71"/>
    <w:p>
      <w:pPr>
        <w:pStyle w:val="119"/>
        <w:tabs>
          <w:tab w:val="clear" w:pos="576"/>
        </w:tabs>
        <w:spacing w:before="0" w:after="0"/>
        <w:rPr>
          <w:sz w:val="24"/>
        </w:rPr>
      </w:pPr>
      <w:bookmarkStart w:id="76" w:name="_Toc470104688"/>
      <w:bookmarkStart w:id="77" w:name="_Toc481151190"/>
      <w:bookmarkStart w:id="78" w:name="_Toc31518"/>
      <w:bookmarkStart w:id="79" w:name="_Toc472415166"/>
      <w:bookmarkStart w:id="80" w:name="_Toc472409412"/>
      <w:r>
        <w:rPr>
          <w:rFonts w:hint="eastAsia"/>
          <w:sz w:val="24"/>
        </w:rPr>
        <w:t>4.3 网络安全防护设计</w:t>
      </w:r>
      <w:bookmarkEnd w:id="76"/>
      <w:bookmarkEnd w:id="77"/>
      <w:bookmarkEnd w:id="78"/>
    </w:p>
    <w:p>
      <w:pPr>
        <w:pStyle w:val="4"/>
        <w:spacing w:before="0" w:after="0"/>
        <w:rPr>
          <w:sz w:val="24"/>
          <w:szCs w:val="24"/>
        </w:rPr>
      </w:pPr>
      <w:bookmarkStart w:id="81" w:name="_Toc470031552"/>
      <w:bookmarkEnd w:id="81"/>
      <w:bookmarkStart w:id="82" w:name="_Toc470035050"/>
      <w:bookmarkEnd w:id="82"/>
      <w:bookmarkStart w:id="83" w:name="_Toc470035082"/>
      <w:bookmarkEnd w:id="83"/>
      <w:bookmarkStart w:id="84" w:name="_Toc470035152"/>
      <w:bookmarkEnd w:id="84"/>
      <w:bookmarkStart w:id="85" w:name="_Toc470035204"/>
      <w:bookmarkEnd w:id="85"/>
      <w:bookmarkStart w:id="86" w:name="_Toc470035242"/>
      <w:bookmarkEnd w:id="86"/>
      <w:bookmarkStart w:id="87" w:name="_Toc481151191"/>
      <w:bookmarkStart w:id="88" w:name="_Toc302395961"/>
      <w:bookmarkStart w:id="89" w:name="_Toc470035057"/>
      <w:bookmarkStart w:id="90" w:name="_Toc470104689"/>
      <w:bookmarkStart w:id="91" w:name="_Toc302395960"/>
      <w:bookmarkStart w:id="92" w:name="_Toc470035056"/>
      <w:r>
        <w:rPr>
          <w:rFonts w:hint="eastAsia"/>
          <w:sz w:val="24"/>
          <w:szCs w:val="24"/>
        </w:rPr>
        <w:t xml:space="preserve">4.3.1 </w:t>
      </w:r>
      <w:r>
        <w:rPr>
          <w:sz w:val="24"/>
          <w:szCs w:val="24"/>
        </w:rPr>
        <w:t>结构安全设计</w:t>
      </w:r>
      <w:bookmarkEnd w:id="87"/>
    </w:p>
    <w:p>
      <w:pPr>
        <w:pStyle w:val="114"/>
        <w:ind w:firstLine="420"/>
        <w:jc w:val="center"/>
      </w:pPr>
      <w:bookmarkStart w:id="93" w:name="_Toc438225878"/>
      <w:bookmarkStart w:id="94" w:name="_Toc480901529"/>
      <w:r>
        <w:rPr>
          <w:rFonts w:hint="eastAsia"/>
        </w:rPr>
        <w:t>由于SDN架构整网采用overlay的技术，所以架构天然具备网络逻辑隔离能力，相比MPLS的隔离方式，VXLAN的隔离只需要在端点（VTEP）做隔离，不需要全网隔离，端点之间只需要IP互通既可。一方面让整个运维节点大幅减少，另一方面端点之间支持多链路连接，负载均衡可以直接通过ECMP来实现，让整个组网清晰、运维更简单。</w:t>
      </w:r>
      <w:bookmarkStart w:id="95" w:name="_Toc478400138"/>
      <w:r>
        <w:pict>
          <v:rect id="_x0000_s1027" o:spid="_x0000_s1027" o:spt="1" style="position:absolute;left:0pt;margin-left:86.4pt;margin-top:151.2pt;height:14.25pt;width:38.25pt;z-index:251659264;v-text-anchor:middle;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">
            <v:path arrowok="t"/>
            <v:fill focussize="0,0"/>
            <v:stroke weight="2pt" color="#FFFFFF"/>
            <v:imagedata o:title=""/>
            <o:lock v:ext="edit"/>
          </v:rect>
        </w:pict>
      </w:r>
      <w:bookmarkEnd w:id="93"/>
      <w:bookmarkEnd w:id="94"/>
      <w:bookmarkEnd w:id="95"/>
      <w:r>
        <w:drawing>
          <wp:inline distT="0" distB="0" distL="114300" distR="114300">
            <wp:extent cx="3698875" cy="4182110"/>
            <wp:effectExtent l="0" t="0" r="15875" b="8890"/>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15" cstate="print"/>
                    <a:stretch>
                      <a:fillRect/>
                    </a:stretch>
                  </pic:blipFill>
                  <pic:spPr>
                    <a:xfrm>
                      <a:off x="0" y="0"/>
                      <a:ext cx="3698875" cy="4182110"/>
                    </a:xfrm>
                    <a:prstGeom prst="rect">
                      <a:avLst/>
                    </a:prstGeom>
                    <a:noFill/>
                    <a:ln w="9525">
                      <a:noFill/>
                    </a:ln>
                  </pic:spPr>
                </pic:pic>
              </a:graphicData>
            </a:graphic>
          </wp:inline>
        </w:drawing>
      </w:r>
    </w:p>
    <w:p>
      <w:pPr>
        <w:pStyle w:val="4"/>
        <w:spacing w:before="0" w:after="0"/>
        <w:rPr>
          <w:sz w:val="24"/>
          <w:szCs w:val="24"/>
        </w:rPr>
      </w:pPr>
      <w:bookmarkStart w:id="96" w:name="_Toc481151192"/>
      <w:r>
        <w:rPr>
          <w:rFonts w:hint="eastAsia"/>
          <w:sz w:val="24"/>
          <w:szCs w:val="24"/>
        </w:rPr>
        <w:t xml:space="preserve">4.3.2 </w:t>
      </w:r>
      <w:r>
        <w:rPr>
          <w:sz w:val="24"/>
          <w:szCs w:val="24"/>
        </w:rPr>
        <w:t>网络边界安全设计</w:t>
      </w:r>
      <w:bookmarkEnd w:id="88"/>
      <w:bookmarkEnd w:id="89"/>
      <w:bookmarkEnd w:id="90"/>
      <w:bookmarkEnd w:id="96"/>
    </w:p>
    <w:p>
      <w:pPr>
        <w:pStyle w:val="120"/>
        <w:spacing w:beforeLines="50" w:afterLines="50"/>
        <w:ind w:firstLine="0" w:firstLineChars="0"/>
        <w:jc w:val="both"/>
        <w:rPr>
          <w:b/>
          <w:sz w:val="24"/>
          <w:szCs w:val="24"/>
        </w:rPr>
      </w:pPr>
      <w:r>
        <w:rPr>
          <w:rFonts w:hint="eastAsia"/>
          <w:b/>
          <w:sz w:val="24"/>
          <w:szCs w:val="24"/>
        </w:rPr>
        <w:t>(1)</w:t>
      </w:r>
      <w:r>
        <w:rPr>
          <w:b/>
          <w:sz w:val="24"/>
          <w:szCs w:val="24"/>
        </w:rPr>
        <w:t>外联区域边界安全防护</w:t>
      </w:r>
    </w:p>
    <w:p>
      <w:pPr>
        <w:pStyle w:val="117"/>
        <w:ind w:firstLine="420" w:firstLineChars="0"/>
      </w:pPr>
      <w:r>
        <w:rPr>
          <w:rFonts w:hint="eastAsia"/>
        </w:rPr>
        <w:t>外联区域主要包含与市民卡、医保专网、异地医保、银行等业务的互联，由于专网属于不同单位的核心网络，其安全级别和安全防护要求不一样，所以在外联区域出口部署高性能的防火墙进行流量的检测和隔离，通过将专网的专线接入到外联区域的边界防火墙上，通过防火墙的路由及NAT功能，实现内部系统与医保、市民卡等专网系统的互联互通。并通过在防火墙配置严格的访问控制措施，只允许授权用户及IP地址访问专网，同样只允许授权的用户及IP地址访问我院信息网络，其他未经授权的用户不得相互访问。</w:t>
      </w:r>
    </w:p>
    <w:p>
      <w:pPr>
        <w:pStyle w:val="117"/>
        <w:ind w:firstLine="420" w:firstLineChars="0"/>
      </w:pPr>
      <w:r>
        <w:rPr>
          <w:rFonts w:hint="eastAsia"/>
        </w:rPr>
        <w:t>由于传统防火墙只能提供ISO三至四层的访问控制和过滤，无法做到应用层的安全防护。同时，由于医院内部网络部署了大量的应用服务器，有些服务器需要对互联网用户提供访问，为了保证应用服务器在被专网访问过程中的更高层次的安全防护，因此在外联区域部署入侵防御系统，对进出入侵防御系统的流量和会话进行过滤，通过入侵防御系统强大的特征库和入侵行为防御能力，有效的缓冲溢出攻击、WEB服务的注入、XSS跨站攻击、DDOS攻击、蠕虫、木马扫描等攻击行为进行有效的拦截，使得有效地过滤掉进出网络中的非法流量及入侵行为，确保我院内网服务器的安全。</w:t>
      </w:r>
    </w:p>
    <w:p>
      <w:pPr>
        <w:pStyle w:val="117"/>
        <w:ind w:firstLine="420" w:firstLineChars="0"/>
      </w:pPr>
      <w:r>
        <w:rPr>
          <w:rFonts w:hint="eastAsia"/>
        </w:rPr>
        <w:t>通过入侵防御系统与防火墙协同配合，针对外联区域构建一道二至七层的安全防护体系，保证内网应用服务器和计算终端的安全，免遭黑客和非法访问者的攻击、蠕虫木马的危害，确保我院整体网络安全。</w:t>
      </w:r>
    </w:p>
    <w:p>
      <w:pPr>
        <w:pStyle w:val="120"/>
        <w:spacing w:beforeLines="50" w:afterLines="50"/>
        <w:ind w:firstLine="0" w:firstLineChars="0"/>
        <w:jc w:val="both"/>
        <w:rPr>
          <w:b/>
          <w:sz w:val="24"/>
          <w:szCs w:val="24"/>
        </w:rPr>
      </w:pPr>
      <w:r>
        <w:rPr>
          <w:rFonts w:hint="eastAsia"/>
          <w:b/>
          <w:sz w:val="24"/>
          <w:szCs w:val="24"/>
        </w:rPr>
        <w:t>(2)</w:t>
      </w:r>
      <w:r>
        <w:rPr>
          <w:b/>
          <w:sz w:val="24"/>
          <w:szCs w:val="24"/>
        </w:rPr>
        <w:t>互联网出口边界防护设计</w:t>
      </w:r>
    </w:p>
    <w:p>
      <w:pPr>
        <w:pStyle w:val="117"/>
        <w:ind w:firstLine="420" w:firstLineChars="0"/>
      </w:pPr>
      <w:r>
        <w:rPr>
          <w:rFonts w:hint="eastAsia"/>
        </w:rPr>
        <w:t>通过在互联网出口部署防火墙设备，通过独立硬件式防火墙实现内网安全防护，并通过互联网边界的防火墙设备设立一个独立的</w:t>
      </w:r>
      <w:r>
        <w:t>DMZ</w:t>
      </w:r>
      <w:r>
        <w:rPr>
          <w:rFonts w:hint="eastAsia"/>
        </w:rPr>
        <w:t>区域，用来部署医院的</w:t>
      </w:r>
      <w:r>
        <w:t>WEB</w:t>
      </w:r>
      <w:r>
        <w:rPr>
          <w:rFonts w:hint="eastAsia"/>
        </w:rPr>
        <w:t>、网上挂号等对外提供访问的应用系统。</w:t>
      </w:r>
    </w:p>
    <w:p>
      <w:pPr>
        <w:pStyle w:val="117"/>
        <w:ind w:firstLine="420" w:firstLineChars="0"/>
      </w:pPr>
      <w:r>
        <w:rPr>
          <w:rFonts w:hint="eastAsia"/>
        </w:rPr>
        <w:t>利用防火墙的</w:t>
      </w:r>
      <w:r>
        <w:t>NAT</w:t>
      </w:r>
      <w:r>
        <w:rPr>
          <w:rFonts w:hint="eastAsia"/>
        </w:rPr>
        <w:t>和路由功能，配置</w:t>
      </w:r>
      <w:r>
        <w:t>NAT</w:t>
      </w:r>
      <w:r>
        <w:rPr>
          <w:rFonts w:hint="eastAsia"/>
        </w:rPr>
        <w:t>地址转换策略，使用户能够通过防火墙访问互联网、浏览网页、邮件收发等。同时，通过在防火墙设备配置端口映射及</w:t>
      </w:r>
      <w:r>
        <w:t>IP</w:t>
      </w:r>
      <w:r>
        <w:rPr>
          <w:rFonts w:hint="eastAsia"/>
        </w:rPr>
        <w:t>地址映射策略，将</w:t>
      </w:r>
      <w:r>
        <w:t>DMZ</w:t>
      </w:r>
      <w:r>
        <w:rPr>
          <w:rFonts w:hint="eastAsia"/>
        </w:rPr>
        <w:t>区域的应用系统发布到互联网。如对外医院网站、办公系统、网上挂号、远程医疗协助等。</w:t>
      </w:r>
    </w:p>
    <w:p>
      <w:pPr>
        <w:pStyle w:val="117"/>
        <w:ind w:firstLine="420" w:firstLineChars="0"/>
      </w:pPr>
      <w:r>
        <w:rPr>
          <w:rFonts w:hint="eastAsia"/>
        </w:rPr>
        <w:t>通过在防火墙配置严格的基于源</w:t>
      </w:r>
      <w:r>
        <w:t>IP</w:t>
      </w:r>
      <w:r>
        <w:rPr>
          <w:rFonts w:hint="eastAsia"/>
        </w:rPr>
        <w:t>、目的</w:t>
      </w:r>
      <w:r>
        <w:t>IP</w:t>
      </w:r>
      <w:r>
        <w:rPr>
          <w:rFonts w:hint="eastAsia"/>
        </w:rPr>
        <w:t>、源端口、目的端口、时间等五元组的访问控制策略，对内部上网用户进行严格控制，只有被允许的用户和</w:t>
      </w:r>
      <w:r>
        <w:t>IP</w:t>
      </w:r>
      <w:r>
        <w:rPr>
          <w:rFonts w:hint="eastAsia"/>
        </w:rPr>
        <w:t>地址才能访问互联网，未经授权的用户及</w:t>
      </w:r>
      <w:r>
        <w:t>IP</w:t>
      </w:r>
      <w:r>
        <w:rPr>
          <w:rFonts w:hint="eastAsia"/>
        </w:rPr>
        <w:t>严格控制其访问互联网。严格禁止互联网用户访问医院的内部网络，通过配置针对端口的访问策略只允许互联网用户访问</w:t>
      </w:r>
      <w:r>
        <w:t>DMZ</w:t>
      </w:r>
      <w:r>
        <w:rPr>
          <w:rFonts w:hint="eastAsia"/>
        </w:rPr>
        <w:t>区域应用服务器所允许访问的端口和服务，确保医院内网的安全。</w:t>
      </w:r>
    </w:p>
    <w:p>
      <w:pPr>
        <w:pStyle w:val="117"/>
        <w:ind w:firstLine="420" w:firstLineChars="0"/>
      </w:pPr>
      <w:r>
        <w:rPr>
          <w:rFonts w:hint="eastAsia"/>
        </w:rPr>
        <w:t>利用防火墙的访问控制可以很好的过滤掉来自互联网威胁访问，但是由于防火墙只能提供ISO三至四层的访问控制和过滤，无法做到应用层的安全防护。同时，由于医院内部网络部署了大量的应用服务器，有些服务器需要对互联网用户提供访问，为了保证应用服务器在被外网用户访问过程中的安全，在互联网的出口部署入侵防御系统，对进出入侵防御系统的流量和会话进行过滤，通过入侵防御系统强大的特征库和入侵行为防御能力，实现缓冲溢出攻击、WEB服务的注入、XSS跨站攻击、DDOS攻击、蠕虫、木马扫描等攻击行为进行有效的拦截。入侵防御系统通过与防火墙协同配合，在互联网出口构建一道二至七层的安全防护体系，保证内网应用服务器和计算终端的安全，免遭黑客和非法访问者的攻击、蠕虫木马的危害。确保我院整体网络安全。</w:t>
      </w:r>
    </w:p>
    <w:p>
      <w:pPr>
        <w:pStyle w:val="117"/>
        <w:ind w:firstLine="420" w:firstLineChars="0"/>
      </w:pPr>
      <w:r>
        <w:rPr>
          <w:rFonts w:hint="eastAsia"/>
        </w:rPr>
        <w:t>另外，通过部署上网行为管理设备，针对内部上网用户行为的管理和流量进行控制，能够有效对P2P下载、P2P视频、在线游戏、网络电视、视频网站、炒股软件、即时通讯攻击进行控制和过滤，同时可以实现用户上网行为的追溯，以满足公安部对互联网的82号令的政策要求。</w:t>
      </w:r>
    </w:p>
    <w:p>
      <w:pPr>
        <w:pStyle w:val="4"/>
        <w:spacing w:before="0" w:after="0"/>
        <w:rPr>
          <w:sz w:val="24"/>
          <w:szCs w:val="24"/>
        </w:rPr>
      </w:pPr>
      <w:bookmarkStart w:id="97" w:name="_Toc470104690"/>
      <w:bookmarkStart w:id="98" w:name="_Toc481151193"/>
      <w:r>
        <w:rPr>
          <w:rFonts w:hint="eastAsia"/>
          <w:sz w:val="24"/>
          <w:szCs w:val="24"/>
        </w:rPr>
        <w:t xml:space="preserve">4.3.3 </w:t>
      </w:r>
      <w:r>
        <w:rPr>
          <w:sz w:val="24"/>
          <w:szCs w:val="24"/>
        </w:rPr>
        <w:t>内网网络安全设计</w:t>
      </w:r>
      <w:bookmarkEnd w:id="91"/>
      <w:bookmarkEnd w:id="92"/>
      <w:bookmarkEnd w:id="97"/>
      <w:bookmarkEnd w:id="98"/>
    </w:p>
    <w:p>
      <w:pPr>
        <w:pStyle w:val="120"/>
        <w:spacing w:beforeLines="50" w:afterLines="50"/>
        <w:ind w:firstLine="0" w:firstLineChars="0"/>
        <w:jc w:val="both"/>
        <w:rPr>
          <w:b/>
          <w:sz w:val="24"/>
          <w:szCs w:val="24"/>
        </w:rPr>
      </w:pPr>
      <w:r>
        <w:rPr>
          <w:rFonts w:hint="eastAsia"/>
          <w:b/>
          <w:sz w:val="24"/>
          <w:szCs w:val="24"/>
        </w:rPr>
        <w:t>(1) 入侵检测防护</w:t>
      </w:r>
    </w:p>
    <w:p>
      <w:pPr>
        <w:pStyle w:val="117"/>
        <w:ind w:firstLine="420" w:firstLineChars="0"/>
      </w:pPr>
      <w:r>
        <w:rPr>
          <w:rFonts w:hint="eastAsia"/>
        </w:rPr>
        <w:t>通过在安全管控区部署一台入侵检测系统，对核心数据区域及应用服务器区域的访问等内部全局流量进行检测，全局型入侵检测防护策略如下：</w:t>
      </w:r>
    </w:p>
    <w:p>
      <w:pPr>
        <w:numPr>
          <w:ilvl w:val="0"/>
          <w:numId w:val="8"/>
        </w:numPr>
      </w:pPr>
      <w:r>
        <w:rPr>
          <w:rFonts w:hint="eastAsia"/>
        </w:rPr>
        <w:t>网络检测策略：在检测过程中入侵检测系统综合运用多种检测手段，在检测的各个部分使用合适的检测方式，综合采用误用检测技术和异常行为检测技术，能够有效发现网络中异常的访问行为和数据包；</w:t>
      </w:r>
    </w:p>
    <w:p>
      <w:pPr>
        <w:numPr>
          <w:ilvl w:val="0"/>
          <w:numId w:val="8"/>
        </w:numPr>
      </w:pPr>
      <w:r>
        <w:rPr>
          <w:rFonts w:hint="eastAsia"/>
        </w:rPr>
        <w:t>协议检测策略：我院业务网底层协议为</w:t>
      </w:r>
      <w:r>
        <w:t>TCP/IP</w:t>
      </w:r>
      <w:r>
        <w:rPr>
          <w:rFonts w:hint="eastAsia"/>
        </w:rPr>
        <w:t>，入侵检测系统采用细粒度检测技术，协议分析技术，误用检测技术，协议异常检测，可有效防止各种攻击和欺骗。并且还能够通过策略编辑器中的用户自定义功能定制针对网络中各种</w:t>
      </w:r>
      <w:r>
        <w:t>TCP/IP</w:t>
      </w:r>
      <w:r>
        <w:rPr>
          <w:rFonts w:hint="eastAsia"/>
        </w:rPr>
        <w:t>协议的网络事件监控；</w:t>
      </w:r>
    </w:p>
    <w:p>
      <w:pPr>
        <w:numPr>
          <w:ilvl w:val="0"/>
          <w:numId w:val="8"/>
        </w:numPr>
      </w:pPr>
      <w:r>
        <w:rPr>
          <w:rFonts w:hint="eastAsia"/>
        </w:rPr>
        <w:t>协议解码策略：部署的入侵检测系统通过对应用服务器区内、以及数据中心区域内采用基于</w:t>
      </w:r>
      <w:r>
        <w:t>TCP/IP</w:t>
      </w:r>
      <w:r>
        <w:rPr>
          <w:rFonts w:hint="eastAsia"/>
        </w:rPr>
        <w:t>的各种协议分析事件技术</w:t>
      </w:r>
      <w:r>
        <w:t>,</w:t>
      </w:r>
      <w:r>
        <w:rPr>
          <w:rFonts w:hint="eastAsia"/>
        </w:rPr>
        <w:t>如：</w:t>
      </w:r>
      <w:r>
        <w:t>HTTP</w:t>
      </w:r>
      <w:r>
        <w:rPr>
          <w:rFonts w:hint="eastAsia"/>
        </w:rPr>
        <w:t>、</w:t>
      </w:r>
      <w:r>
        <w:t>SMTP</w:t>
      </w:r>
      <w:r>
        <w:rPr>
          <w:rFonts w:hint="eastAsia"/>
        </w:rPr>
        <w:t>、</w:t>
      </w:r>
      <w:r>
        <w:t>FTP</w:t>
      </w:r>
      <w:r>
        <w:rPr>
          <w:rFonts w:hint="eastAsia"/>
        </w:rPr>
        <w:t>、</w:t>
      </w:r>
      <w:r>
        <w:t>TELNET</w:t>
      </w:r>
      <w:r>
        <w:rPr>
          <w:rFonts w:hint="eastAsia"/>
        </w:rPr>
        <w:t>等应用层协议连接、关闭，</w:t>
      </w:r>
      <w:r>
        <w:t>Pop3</w:t>
      </w:r>
      <w:r>
        <w:rPr>
          <w:rFonts w:hint="eastAsia"/>
        </w:rPr>
        <w:t>命令连接请求、应答，各种应用层协议的关键字解码等，保护服务的持续性；</w:t>
      </w:r>
    </w:p>
    <w:p>
      <w:pPr>
        <w:numPr>
          <w:ilvl w:val="0"/>
          <w:numId w:val="8"/>
        </w:numPr>
      </w:pPr>
      <w:r>
        <w:rPr>
          <w:rFonts w:hint="eastAsia"/>
        </w:rPr>
        <w:t>智能</w:t>
      </w:r>
      <w:r>
        <w:t>IP</w:t>
      </w:r>
      <w:r>
        <w:rPr>
          <w:rFonts w:hint="eastAsia"/>
        </w:rPr>
        <w:t>碎片重组策略：对所监视网络中的</w:t>
      </w:r>
      <w:r>
        <w:t>IP</w:t>
      </w:r>
      <w:r>
        <w:rPr>
          <w:rFonts w:hint="eastAsia"/>
        </w:rPr>
        <w:t>碎片报文重组后进行分析，防止</w:t>
      </w:r>
      <w:r>
        <w:t>IP</w:t>
      </w:r>
      <w:r>
        <w:rPr>
          <w:rFonts w:hint="eastAsia"/>
        </w:rPr>
        <w:t>碎片欺骗，在业务网边界部署的防火墙进行访问控制基础上，进一步提高系统的抗攻击能力；</w:t>
      </w:r>
    </w:p>
    <w:p>
      <w:pPr>
        <w:numPr>
          <w:ilvl w:val="0"/>
          <w:numId w:val="8"/>
        </w:numPr>
      </w:pPr>
      <w:r>
        <w:rPr>
          <w:rFonts w:hint="eastAsia"/>
        </w:rPr>
        <w:t>事件风暴处理策略：可将一定时间范围内的同种攻击类型事件合并成同一条在控制台进行显示并记录攻击次数，从而达到防止控制台被报警事件洪水淹没屏幕的目的；</w:t>
      </w:r>
    </w:p>
    <w:p>
      <w:pPr>
        <w:numPr>
          <w:ilvl w:val="0"/>
          <w:numId w:val="8"/>
        </w:numPr>
      </w:pPr>
      <w:r>
        <w:rPr>
          <w:rFonts w:hint="eastAsia"/>
        </w:rPr>
        <w:t>安全联动策略：与防火墙安全联动策略类似，通过安全联动策略，使防火墙能够与入侵检测系统进行联动，当入侵检测系统发现攻击行为时，及时通知防火墙，防火墙在接收到信息后动态生成安全规则，将攻击来源进行阻断，从而形成动态的防护体系；</w:t>
      </w:r>
    </w:p>
    <w:p>
      <w:pPr>
        <w:numPr>
          <w:ilvl w:val="0"/>
          <w:numId w:val="8"/>
        </w:numPr>
      </w:pPr>
      <w:r>
        <w:rPr>
          <w:rFonts w:hint="eastAsia"/>
        </w:rPr>
        <w:t>监控管理策略：入侵检测系统提供人性化的控制台，提供初次安装探测器向导、探测器高级配置向导、报表定制向导等，易于用户使用。一站式管理结构，简化了配置流程。强大的日志报表功能，用户可定制查询和报表。</w:t>
      </w:r>
    </w:p>
    <w:p>
      <w:pPr>
        <w:numPr>
          <w:ilvl w:val="0"/>
          <w:numId w:val="8"/>
        </w:numPr>
      </w:pPr>
      <w:r>
        <w:rPr>
          <w:rFonts w:hint="eastAsia"/>
        </w:rPr>
        <w:t>异常报警策略：入侵检测系统通过报警类型的制定，明确哪类事件，通过什么样的方式，进行报警，可以选择的包括声音、电子邮件、消息以及与防火墙联动。</w:t>
      </w:r>
    </w:p>
    <w:p>
      <w:pPr>
        <w:pStyle w:val="120"/>
        <w:spacing w:beforeLines="50" w:afterLines="50"/>
        <w:ind w:firstLine="0" w:firstLineChars="0"/>
        <w:jc w:val="both"/>
        <w:rPr>
          <w:b/>
          <w:sz w:val="24"/>
          <w:szCs w:val="24"/>
        </w:rPr>
      </w:pPr>
      <w:r>
        <w:rPr>
          <w:rFonts w:hint="eastAsia"/>
          <w:b/>
          <w:sz w:val="24"/>
          <w:szCs w:val="24"/>
        </w:rPr>
        <w:t>(2)日志事件审计</w:t>
      </w:r>
    </w:p>
    <w:p>
      <w:pPr>
        <w:pStyle w:val="117"/>
        <w:ind w:firstLine="420" w:firstLineChars="0"/>
      </w:pPr>
      <w:r>
        <w:rPr>
          <w:rFonts w:hint="eastAsia"/>
        </w:rPr>
        <w:t>通过在安全管控区部署一台日志审计系统，对医院信息网络中有大量的访问和数据包进行安全审计并将审计日志存在本地磁盘，通过安全审计系统发现网络中存在的安全隐患，并可以对访问过程进行还原，在发生安全事故时，通过对访问过程的还原，即能有效发现系统中可能存在的安全隐患，还为安全事故的事后处理提供证据。</w:t>
      </w:r>
    </w:p>
    <w:p>
      <w:pPr>
        <w:pStyle w:val="117"/>
        <w:ind w:firstLine="420" w:firstLineChars="0"/>
      </w:pPr>
      <w:r>
        <w:rPr>
          <w:rFonts w:hint="eastAsia"/>
        </w:rPr>
        <w:t>通过日志审计系统可以分析、判断特定行为或者事件是否为违反安全策略的异常行为，主要有如下四个步骤：</w:t>
      </w:r>
    </w:p>
    <w:p>
      <w:pPr>
        <w:numPr>
          <w:ilvl w:val="0"/>
          <w:numId w:val="8"/>
        </w:numPr>
      </w:pPr>
      <w:r>
        <w:rPr>
          <w:rFonts w:hint="eastAsia"/>
        </w:rPr>
        <w:t>数据采集：网络安全审计系统需要采集必要的数据用于审计分析。</w:t>
      </w:r>
    </w:p>
    <w:p>
      <w:pPr>
        <w:numPr>
          <w:ilvl w:val="0"/>
          <w:numId w:val="8"/>
        </w:numPr>
      </w:pPr>
      <w:r>
        <w:rPr>
          <w:rFonts w:hint="eastAsia"/>
        </w:rPr>
        <w:t>数据过滤</w:t>
      </w:r>
      <w:r>
        <w:t>/</w:t>
      </w:r>
      <w:r>
        <w:rPr>
          <w:rFonts w:hint="eastAsia"/>
        </w:rPr>
        <w:t>协议还原：根据预定义的设置，进行必要的数据过滤及缩略，从而提高检测、分析的效率。同时对数据进行协议还原，提取用户关心的内容数据。</w:t>
      </w:r>
    </w:p>
    <w:p>
      <w:pPr>
        <w:numPr>
          <w:ilvl w:val="0"/>
          <w:numId w:val="8"/>
        </w:numPr>
      </w:pPr>
      <w:r>
        <w:rPr>
          <w:rFonts w:hint="eastAsia"/>
        </w:rPr>
        <w:t>数据存储：将内容数据按一定的策略进行本地或远程存储。</w:t>
      </w:r>
    </w:p>
    <w:p>
      <w:pPr>
        <w:numPr>
          <w:ilvl w:val="0"/>
          <w:numId w:val="8"/>
        </w:numPr>
      </w:pPr>
      <w:r>
        <w:rPr>
          <w:rFonts w:hint="eastAsia"/>
        </w:rPr>
        <w:t>数据分析</w:t>
      </w:r>
      <w:r>
        <w:t>/</w:t>
      </w:r>
      <w:r>
        <w:rPr>
          <w:rFonts w:hint="eastAsia"/>
        </w:rPr>
        <w:t>审计</w:t>
      </w:r>
      <w:r>
        <w:t>/</w:t>
      </w:r>
      <w:r>
        <w:rPr>
          <w:rFonts w:hint="eastAsia"/>
        </w:rPr>
        <w:t>报警：根据定义的安全策略，进行审计</w:t>
      </w:r>
      <w:r>
        <w:t>/</w:t>
      </w:r>
      <w:r>
        <w:rPr>
          <w:rFonts w:hint="eastAsia"/>
        </w:rPr>
        <w:t>分析。一旦检测到违反安全策略的行为或者事件，进行报警。</w:t>
      </w:r>
    </w:p>
    <w:p>
      <w:pPr>
        <w:pStyle w:val="120"/>
        <w:spacing w:beforeLines="50" w:afterLines="50"/>
        <w:ind w:firstLine="0" w:firstLineChars="0"/>
        <w:jc w:val="both"/>
        <w:rPr>
          <w:b/>
          <w:sz w:val="24"/>
          <w:szCs w:val="24"/>
        </w:rPr>
      </w:pPr>
      <w:r>
        <w:rPr>
          <w:rFonts w:hint="eastAsia"/>
          <w:b/>
          <w:sz w:val="24"/>
          <w:szCs w:val="24"/>
        </w:rPr>
        <w:t>(3)访问控制设计</w:t>
      </w:r>
    </w:p>
    <w:p>
      <w:pPr>
        <w:pStyle w:val="117"/>
        <w:ind w:firstLine="420" w:firstLineChars="0"/>
      </w:pPr>
      <w:r>
        <w:rPr>
          <w:rFonts w:hint="eastAsia"/>
        </w:rPr>
        <w:t>在信息网络中全网实施VLAN与ACL访问控制列表，针对办公区域、业务办公等按照不同部门、不同科室等实施VLAN技术进行隔离，并采用ACL访问控制列表进行不同VLAN相互之间的访问控制。</w:t>
      </w:r>
    </w:p>
    <w:p>
      <w:pPr>
        <w:pStyle w:val="117"/>
        <w:ind w:firstLine="420" w:firstLineChars="0"/>
      </w:pPr>
      <w:r>
        <w:rPr>
          <w:rFonts w:hint="eastAsia"/>
        </w:rPr>
        <w:t>VLAN技术是近年来在计算机网络领域使用广泛一种局域网技术。虚拟网在逻辑上等于OSI七层模型上第二层的广播域，它与具体的物理网及地理位置无关</w:t>
      </w:r>
    </w:p>
    <w:p>
      <w:pPr>
        <w:pStyle w:val="117"/>
        <w:ind w:firstLine="420" w:firstLineChars="0"/>
      </w:pPr>
      <w:r>
        <w:rPr>
          <w:rFonts w:hint="eastAsia"/>
        </w:rPr>
        <w:t>在传统的网络技术中，同一物理网段中的用户在网络层上很难实施安全措施，而在虚拟网络环境中，不同的虚拟网络间用户之间的通信控制则可以做到。虚拟网间的安全与虚拟网间的通信方式有关，由于虚拟网间通信是通过第三层交换功能实现的，第三层交换功能使得通信双方不能直接连接，而第三层交换模块的ACL功能可被用来对不同虚拟网间用户的通信做逐项检查，通信可以按照网络管理人员的要求被允许或禁止，从而实现不同部门或不同应用系统间的访问控制，从而提高了网络的安全性。</w:t>
      </w:r>
    </w:p>
    <w:p>
      <w:pPr>
        <w:pStyle w:val="120"/>
        <w:spacing w:beforeLines="50" w:afterLines="50"/>
        <w:ind w:firstLine="0" w:firstLineChars="0"/>
        <w:jc w:val="both"/>
        <w:rPr>
          <w:b/>
          <w:sz w:val="24"/>
          <w:szCs w:val="24"/>
        </w:rPr>
      </w:pPr>
      <w:r>
        <w:rPr>
          <w:rFonts w:hint="eastAsia"/>
          <w:b/>
          <w:sz w:val="24"/>
          <w:szCs w:val="24"/>
        </w:rPr>
        <w:t>(4)准入控制防护</w:t>
      </w:r>
    </w:p>
    <w:p>
      <w:pPr>
        <w:pStyle w:val="117"/>
        <w:ind w:firstLine="420" w:firstLineChars="0"/>
      </w:pPr>
      <w:r>
        <w:t>通过准入控制实现网络入口的管控，将非信任的终端拒之门外，为网络安全把好第一道关。</w:t>
      </w:r>
    </w:p>
    <w:p>
      <w:pPr>
        <w:pStyle w:val="117"/>
        <w:ind w:firstLine="420" w:firstLineChars="0"/>
      </w:pPr>
      <w:r>
        <w:rPr>
          <w:rFonts w:hint="eastAsia"/>
        </w:rPr>
        <w:t>传统解决方案，直接在接入交换机开启基于端口或基于MAC的802.1x协议实现准入认证。在本次方案中利用SDN架构自带的认证功能即能够实现不同终端的接入认证，比如摄像头等哑终端，通过MAC地址认证的方式接入，</w:t>
      </w:r>
      <w:r>
        <w:t>办公电脑通过</w:t>
      </w:r>
      <w:r>
        <w:rPr>
          <w:rFonts w:hint="eastAsia"/>
        </w:rPr>
        <w:t>域账户或者用户名和密码进行认证，无线终端可通过portal方式认证等</w:t>
      </w:r>
    </w:p>
    <w:p>
      <w:pPr>
        <w:pStyle w:val="120"/>
        <w:spacing w:beforeLines="50" w:afterLines="50"/>
        <w:ind w:firstLine="0" w:firstLineChars="0"/>
        <w:jc w:val="both"/>
        <w:rPr>
          <w:b/>
          <w:sz w:val="24"/>
          <w:szCs w:val="24"/>
        </w:rPr>
      </w:pPr>
      <w:r>
        <w:rPr>
          <w:rFonts w:hint="eastAsia"/>
          <w:b/>
          <w:sz w:val="24"/>
          <w:szCs w:val="24"/>
        </w:rPr>
        <w:t>(5)终端安全管理防护</w:t>
      </w:r>
    </w:p>
    <w:p>
      <w:pPr>
        <w:pStyle w:val="117"/>
        <w:ind w:firstLine="420" w:firstLineChars="0"/>
      </w:pPr>
      <w:r>
        <w:rPr>
          <w:rFonts w:hint="eastAsia"/>
        </w:rPr>
        <w:t>通过在安全管控区部署部署终端安全管理系统对终端主机实现桌面行为监管、外设和接口管理、非法外联监控和终端资产管理功能。通过它以强制执行统一安全策略为核心，实现从“自主安全”到“强制安全”。</w:t>
      </w:r>
    </w:p>
    <w:p>
      <w:pPr>
        <w:pStyle w:val="117"/>
        <w:ind w:firstLine="420" w:firstLineChars="0"/>
      </w:pPr>
      <w:r>
        <w:rPr>
          <w:rFonts w:hint="eastAsia"/>
        </w:rPr>
        <w:t>通过终端安全管理系统可实现集中下发统一的安全策略，同时实现以下主要安全目标：</w:t>
      </w:r>
    </w:p>
    <w:p>
      <w:pPr>
        <w:numPr>
          <w:ilvl w:val="0"/>
          <w:numId w:val="9"/>
        </w:numPr>
        <w:rPr>
          <w:rFonts w:ascii="宋体" w:hAnsi="宋体"/>
        </w:rPr>
      </w:pPr>
      <w:r>
        <w:rPr>
          <w:rFonts w:hint="eastAsia" w:ascii="宋体" w:hAnsi="宋体"/>
        </w:rPr>
        <w:t>通过进程管理，采用黑白名单方式，约束终端只能运行经过允许的应用程序，禁止用户使用违规软件，防止病毒进程在系统中潜伏。</w:t>
      </w:r>
    </w:p>
    <w:p>
      <w:pPr>
        <w:numPr>
          <w:ilvl w:val="0"/>
          <w:numId w:val="9"/>
        </w:numPr>
        <w:rPr>
          <w:rFonts w:ascii="Calibri" w:hAnsi="Calibri"/>
        </w:rPr>
      </w:pPr>
      <w:r>
        <w:rPr>
          <w:rFonts w:hint="eastAsia"/>
        </w:rPr>
        <w:t>通过对终端的外设与接口管理，可以控制各种外设和接口的使用，防止通过这些接口进行文件拷贝、数据读取等操作行为带来各种潜在安全风险。</w:t>
      </w:r>
    </w:p>
    <w:p>
      <w:pPr>
        <w:numPr>
          <w:ilvl w:val="0"/>
          <w:numId w:val="9"/>
        </w:numPr>
        <w:rPr>
          <w:rFonts w:ascii="宋体" w:hAnsi="宋体"/>
        </w:rPr>
      </w:pPr>
      <w:r>
        <w:rPr>
          <w:rFonts w:hint="eastAsia" w:ascii="宋体" w:hAnsi="宋体"/>
        </w:rPr>
        <w:t>对接入办公网的计算机进行检查，必须符合相应的安全要求，如防病毒安装、运行情况，主机补丁安装情况。只有符合安全策略检查的终端，才可以接入网络。</w:t>
      </w:r>
    </w:p>
    <w:p>
      <w:pPr>
        <w:numPr>
          <w:ilvl w:val="0"/>
          <w:numId w:val="9"/>
        </w:numPr>
        <w:rPr>
          <w:rFonts w:ascii="宋体" w:hAnsi="宋体"/>
        </w:rPr>
      </w:pPr>
      <w:r>
        <w:rPr>
          <w:rFonts w:hint="eastAsia" w:ascii="宋体" w:hAnsi="宋体"/>
        </w:rPr>
        <w:t>对终端的非法外联行为进行监控，主要用于发现和管理内网非法建立通路连接互联网或其它网络的行为。通过对非法外联的监控管理，可以防止外联行为引入安全风险或导致信息泄密。</w:t>
      </w:r>
    </w:p>
    <w:p>
      <w:pPr>
        <w:numPr>
          <w:ilvl w:val="0"/>
          <w:numId w:val="9"/>
        </w:numPr>
        <w:rPr>
          <w:rFonts w:ascii="宋体" w:hAnsi="宋体"/>
        </w:rPr>
      </w:pPr>
      <w:r>
        <w:rPr>
          <w:rFonts w:hint="eastAsia" w:ascii="宋体" w:hAnsi="宋体"/>
        </w:rPr>
        <w:t>与边界安全设备进行联动，一旦发现终端上有不安全行为，立即通知边界安全设备，阻断相应终端的网络访问行为。</w:t>
      </w:r>
    </w:p>
    <w:p>
      <w:pPr>
        <w:pStyle w:val="117"/>
        <w:ind w:firstLine="420" w:firstLineChars="0"/>
      </w:pPr>
      <w:r>
        <w:rPr>
          <w:rFonts w:hint="eastAsia"/>
        </w:rPr>
        <w:t>通过强化终端操作行为的管理，一方面，可以加强网络管理中心管理员对终端系统的控制；另一方面，减少终端引入各种攻击、木马、病毒、蠕虫等风险源，降低对办公网的安全威胁。</w:t>
      </w:r>
    </w:p>
    <w:p>
      <w:pPr>
        <w:pStyle w:val="4"/>
        <w:spacing w:before="0" w:after="0"/>
        <w:rPr>
          <w:sz w:val="24"/>
          <w:szCs w:val="24"/>
        </w:rPr>
      </w:pPr>
      <w:bookmarkStart w:id="99" w:name="_Toc470104691"/>
      <w:bookmarkStart w:id="100" w:name="_Toc481151194"/>
      <w:bookmarkStart w:id="101" w:name="_Toc470035059"/>
      <w:bookmarkStart w:id="102" w:name="_Toc302395963"/>
      <w:r>
        <w:rPr>
          <w:rFonts w:hint="eastAsia"/>
          <w:sz w:val="24"/>
          <w:szCs w:val="24"/>
        </w:rPr>
        <w:t xml:space="preserve">4.3.4 </w:t>
      </w:r>
      <w:r>
        <w:rPr>
          <w:sz w:val="24"/>
          <w:szCs w:val="24"/>
        </w:rPr>
        <w:t>外网网络安全设计</w:t>
      </w:r>
      <w:bookmarkEnd w:id="99"/>
      <w:bookmarkEnd w:id="100"/>
    </w:p>
    <w:bookmarkEnd w:id="101"/>
    <w:bookmarkEnd w:id="102"/>
    <w:p>
      <w:pPr>
        <w:pStyle w:val="120"/>
        <w:spacing w:beforeLines="50" w:afterLines="50"/>
        <w:ind w:firstLine="0" w:firstLineChars="0"/>
        <w:jc w:val="both"/>
        <w:rPr>
          <w:b/>
          <w:sz w:val="24"/>
          <w:szCs w:val="24"/>
        </w:rPr>
      </w:pPr>
      <w:r>
        <w:rPr>
          <w:rFonts w:hint="eastAsia"/>
          <w:b/>
          <w:sz w:val="24"/>
          <w:szCs w:val="24"/>
        </w:rPr>
        <w:t>(1)</w:t>
      </w:r>
      <w:r>
        <w:rPr>
          <w:b/>
          <w:sz w:val="24"/>
          <w:szCs w:val="24"/>
        </w:rPr>
        <w:t>WEB</w:t>
      </w:r>
      <w:r>
        <w:rPr>
          <w:rFonts w:hint="eastAsia"/>
          <w:b/>
          <w:sz w:val="24"/>
          <w:szCs w:val="24"/>
        </w:rPr>
        <w:t>应用安全防护</w:t>
      </w:r>
    </w:p>
    <w:p>
      <w:pPr>
        <w:pStyle w:val="117"/>
        <w:ind w:firstLine="420" w:firstLineChars="0"/>
      </w:pPr>
      <w:r>
        <w:rPr>
          <w:rFonts w:hint="eastAsia"/>
        </w:rPr>
        <w:t>在互联网出口区域部署一台</w:t>
      </w:r>
      <w:r>
        <w:t>WEB</w:t>
      </w:r>
      <w:r>
        <w:rPr>
          <w:rFonts w:hint="eastAsia"/>
        </w:rPr>
        <w:t>安全防火墙，建议采用策略路由的方式连接。主要对进入内网服务器的Web流量进行检测，对由外部到内部核心应用发起的</w:t>
      </w:r>
      <w:r>
        <w:t>SQL</w:t>
      </w:r>
      <w:r>
        <w:rPr>
          <w:rFonts w:hint="eastAsia"/>
        </w:rPr>
        <w:t>注入、</w:t>
      </w:r>
      <w:r>
        <w:t>XXS</w:t>
      </w:r>
      <w:r>
        <w:rPr>
          <w:rFonts w:hint="eastAsia"/>
        </w:rPr>
        <w:t>跨站、网页篡改、</w:t>
      </w:r>
      <w:r>
        <w:t>CC</w:t>
      </w:r>
      <w:r>
        <w:rPr>
          <w:rFonts w:hint="eastAsia"/>
        </w:rPr>
        <w:t>等攻击进行有效的拦截。</w:t>
      </w:r>
    </w:p>
    <w:p>
      <w:pPr>
        <w:pStyle w:val="117"/>
        <w:ind w:firstLine="420" w:firstLineChars="0"/>
      </w:pPr>
      <w:r>
        <w:rPr>
          <w:rFonts w:hint="eastAsia"/>
        </w:rPr>
        <w:t>以下</w:t>
      </w:r>
      <w:r>
        <w:t>WEB</w:t>
      </w:r>
      <w:r>
        <w:rPr>
          <w:rFonts w:hint="eastAsia"/>
        </w:rPr>
        <w:t>防火墙安主要功能：</w:t>
      </w:r>
    </w:p>
    <w:p>
      <w:pPr>
        <w:numPr>
          <w:ilvl w:val="1"/>
          <w:numId w:val="10"/>
        </w:numPr>
        <w:rPr>
          <w:rFonts w:ascii="宋体" w:hAnsi="宋体"/>
        </w:rPr>
      </w:pPr>
      <w:r>
        <w:rPr>
          <w:rFonts w:hint="eastAsia" w:ascii="宋体" w:hAnsi="宋体"/>
        </w:rPr>
        <w:t>Web应用安全防护</w:t>
      </w:r>
    </w:p>
    <w:p>
      <w:pPr>
        <w:pStyle w:val="117"/>
        <w:ind w:firstLine="420" w:firstLineChars="0"/>
      </w:pPr>
      <w:r>
        <w:rPr>
          <w:rFonts w:hint="eastAsia"/>
        </w:rPr>
        <w:t>WAF需要防护基于HTTP/HTTPS/FTP协议的蠕虫攻击、木马后门、CGI扫描、间谍软件、灰色软件、网络钓鱼、漏洞扫描、SQL注入攻击及XSS攻击等常见的Web攻击；</w:t>
      </w:r>
    </w:p>
    <w:p>
      <w:pPr>
        <w:numPr>
          <w:ilvl w:val="1"/>
          <w:numId w:val="10"/>
        </w:numPr>
        <w:rPr>
          <w:rFonts w:ascii="宋体" w:hAnsi="宋体"/>
        </w:rPr>
      </w:pPr>
      <w:r>
        <w:rPr>
          <w:rFonts w:hint="eastAsia" w:ascii="宋体" w:hAnsi="宋体"/>
        </w:rPr>
        <w:t>应用层DOS攻击防护</w:t>
      </w:r>
    </w:p>
    <w:p>
      <w:pPr>
        <w:pStyle w:val="117"/>
        <w:ind w:firstLine="420" w:firstLineChars="0"/>
      </w:pPr>
      <w:r>
        <w:rPr>
          <w:rFonts w:hint="eastAsia"/>
        </w:rPr>
        <w:t>WAF需要防护带宽及资源耗尽型拒绝服务攻击。 XML DoS攻击防护是对HTTP请求中的XML数据流进行合规检查，防止非法用户通过构造异常的XML文档对Web服务器进行DoS攻击；</w:t>
      </w:r>
    </w:p>
    <w:p>
      <w:pPr>
        <w:numPr>
          <w:ilvl w:val="1"/>
          <w:numId w:val="10"/>
        </w:numPr>
        <w:rPr>
          <w:rFonts w:ascii="宋体" w:hAnsi="宋体"/>
        </w:rPr>
      </w:pPr>
      <w:r>
        <w:rPr>
          <w:rFonts w:hint="eastAsia" w:ascii="宋体" w:hAnsi="宋体"/>
        </w:rPr>
        <w:t>Web虚拟服务</w:t>
      </w:r>
    </w:p>
    <w:p>
      <w:pPr>
        <w:pStyle w:val="117"/>
        <w:ind w:firstLine="420" w:firstLineChars="0"/>
      </w:pPr>
      <w:r>
        <w:rPr>
          <w:rFonts w:hint="eastAsia"/>
        </w:rPr>
        <w:t>通过部署WAF来管理多个独立的Web应用，各Web应用可采用不同的安全策略，可在不修改用户网络架构的情况下增加新的应用，为多元化的Web业务运营机构提供显著的运营优势与便利条件；</w:t>
      </w:r>
    </w:p>
    <w:p>
      <w:pPr>
        <w:numPr>
          <w:ilvl w:val="1"/>
          <w:numId w:val="10"/>
        </w:numPr>
        <w:rPr>
          <w:rFonts w:ascii="宋体" w:hAnsi="宋体"/>
        </w:rPr>
      </w:pPr>
      <w:r>
        <w:rPr>
          <w:rFonts w:hint="eastAsia" w:ascii="宋体" w:hAnsi="宋体"/>
        </w:rPr>
        <w:t>Web请求信息的安全过滤</w:t>
      </w:r>
    </w:p>
    <w:p>
      <w:pPr>
        <w:pStyle w:val="117"/>
        <w:ind w:firstLine="420" w:firstLineChars="0"/>
      </w:pPr>
      <w:r>
        <w:rPr>
          <w:rFonts w:hint="eastAsia"/>
        </w:rPr>
        <w:t xml:space="preserve">针对HTTP请求，WAF能够针对请求信息中的请求头长度、Cookie个数、HTTP协议参数个数、协议参数值长度、协议参数名长度等进行限制。对于检测出的不合规请求，允许进行丢弃或返回错误页面处理； </w:t>
      </w:r>
    </w:p>
    <w:p>
      <w:pPr>
        <w:numPr>
          <w:ilvl w:val="1"/>
          <w:numId w:val="10"/>
        </w:numPr>
        <w:rPr>
          <w:rFonts w:ascii="宋体" w:hAnsi="宋体"/>
        </w:rPr>
      </w:pPr>
      <w:r>
        <w:rPr>
          <w:rFonts w:hint="eastAsia" w:ascii="宋体" w:hAnsi="宋体"/>
        </w:rPr>
        <w:t>Web敏感信息防泄露</w:t>
      </w:r>
    </w:p>
    <w:p>
      <w:pPr>
        <w:pStyle w:val="117"/>
        <w:ind w:firstLine="420" w:firstLineChars="0"/>
      </w:pPr>
      <w:r>
        <w:rPr>
          <w:rFonts w:hint="eastAsia"/>
        </w:rPr>
        <w:t>WAF应内置敏感信息泄露防护策略，可以灵活定义HTTP错误时返回的默认页面，避免因为Web服务异常，而导致的敏感信息（如：Web服务器操作系统类型、Web服务器类型、Web错误页面信息、银行卡卡号等）的泄露；</w:t>
      </w:r>
    </w:p>
    <w:p>
      <w:pPr>
        <w:numPr>
          <w:ilvl w:val="1"/>
          <w:numId w:val="10"/>
        </w:numPr>
        <w:rPr>
          <w:rFonts w:ascii="宋体" w:hAnsi="宋体"/>
        </w:rPr>
      </w:pPr>
      <w:r>
        <w:rPr>
          <w:rFonts w:hint="eastAsia" w:ascii="宋体" w:hAnsi="宋体"/>
        </w:rPr>
        <w:t>Cookie防篡改</w:t>
      </w:r>
    </w:p>
    <w:p>
      <w:pPr>
        <w:pStyle w:val="117"/>
        <w:ind w:firstLine="420" w:firstLineChars="0"/>
      </w:pPr>
      <w:r>
        <w:rPr>
          <w:rFonts w:hint="eastAsia"/>
        </w:rPr>
        <w:t>WAF产品能够针对Cookie进行签名保护，避免Cookie在明文传输过程中被篡改。用户可指定需要重点保护的Cookie，对于检测出的不符合签名的请求，允许进行丢弃或删除Cookie处理，同时记录相应日志；</w:t>
      </w:r>
    </w:p>
    <w:p>
      <w:pPr>
        <w:numPr>
          <w:ilvl w:val="1"/>
          <w:numId w:val="10"/>
        </w:numPr>
        <w:rPr>
          <w:rFonts w:ascii="宋体" w:hAnsi="宋体"/>
        </w:rPr>
      </w:pPr>
      <w:r>
        <w:rPr>
          <w:rFonts w:hint="eastAsia" w:ascii="宋体" w:hAnsi="宋体"/>
        </w:rPr>
        <w:t>网页防篡改</w:t>
      </w:r>
    </w:p>
    <w:p>
      <w:pPr>
        <w:pStyle w:val="117"/>
        <w:ind w:firstLine="420" w:firstLineChars="0"/>
      </w:pPr>
      <w:r>
        <w:rPr>
          <w:rFonts w:hint="eastAsia"/>
        </w:rPr>
        <w:t>WAF产品可按照网页篡改事件发生的时序，事中，实时过滤HTTP请求中混杂的网页篡改攻击流量（如SQL注入、XSS攻击等）；事后，自动监控网站所有需保护页面的完整性，检测到网页被篡改，第一时间对管理员进行告警，对外仍显示篡改前的正常页面，用户可正常访问网站；</w:t>
      </w:r>
    </w:p>
    <w:p>
      <w:pPr>
        <w:numPr>
          <w:ilvl w:val="1"/>
          <w:numId w:val="10"/>
        </w:numPr>
        <w:rPr>
          <w:rFonts w:ascii="宋体" w:hAnsi="宋体"/>
        </w:rPr>
      </w:pPr>
      <w:r>
        <w:rPr>
          <w:rFonts w:hint="eastAsia" w:ascii="宋体" w:hAnsi="宋体"/>
        </w:rPr>
        <w:t>Web业务的连续性</w:t>
      </w:r>
    </w:p>
    <w:p>
      <w:pPr>
        <w:pStyle w:val="117"/>
        <w:ind w:firstLine="420" w:firstLineChars="0"/>
      </w:pPr>
      <w:r>
        <w:rPr>
          <w:rFonts w:hint="eastAsia"/>
        </w:rPr>
        <w:t>作为串行安全防护设备，WAF需要考虑了Web系统业务连续性保障措施，以有效避免单点故障；</w:t>
      </w:r>
    </w:p>
    <w:p>
      <w:pPr>
        <w:pStyle w:val="4"/>
        <w:spacing w:before="0" w:after="0"/>
        <w:rPr>
          <w:sz w:val="24"/>
          <w:szCs w:val="24"/>
        </w:rPr>
      </w:pPr>
      <w:bookmarkStart w:id="103" w:name="_Toc470104692"/>
      <w:bookmarkStart w:id="104" w:name="_Toc481151195"/>
      <w:bookmarkStart w:id="105" w:name="_Toc302395962"/>
      <w:r>
        <w:rPr>
          <w:rFonts w:hint="eastAsia"/>
          <w:sz w:val="24"/>
          <w:szCs w:val="24"/>
        </w:rPr>
        <w:t xml:space="preserve">4.3.5 </w:t>
      </w:r>
      <w:r>
        <w:rPr>
          <w:sz w:val="24"/>
          <w:szCs w:val="24"/>
        </w:rPr>
        <w:t>应用安全防护</w:t>
      </w:r>
      <w:bookmarkEnd w:id="103"/>
      <w:bookmarkEnd w:id="104"/>
    </w:p>
    <w:p>
      <w:pPr>
        <w:pStyle w:val="120"/>
        <w:spacing w:beforeLines="50" w:afterLines="50"/>
        <w:ind w:firstLine="0" w:firstLineChars="0"/>
        <w:jc w:val="both"/>
        <w:rPr>
          <w:b/>
          <w:sz w:val="24"/>
          <w:szCs w:val="24"/>
        </w:rPr>
      </w:pPr>
      <w:r>
        <w:rPr>
          <w:rFonts w:hint="eastAsia"/>
          <w:b/>
          <w:sz w:val="24"/>
          <w:szCs w:val="24"/>
        </w:rPr>
        <w:t>(1)</w:t>
      </w:r>
      <w:r>
        <w:rPr>
          <w:b/>
          <w:sz w:val="24"/>
          <w:szCs w:val="24"/>
        </w:rPr>
        <w:t>核心系统安全防护</w:t>
      </w:r>
    </w:p>
    <w:p>
      <w:pPr>
        <w:pStyle w:val="117"/>
        <w:ind w:firstLine="420" w:firstLineChars="0"/>
      </w:pPr>
      <w:r>
        <w:rPr>
          <w:rFonts w:hint="eastAsia"/>
        </w:rPr>
        <w:t>通过在数据中心区域内部署部署高性能的下一代防火墙，考虑防火墙对数据转发造成的影响以及未来的扩展，建议通过策略的方式连接核心交换机。</w:t>
      </w:r>
    </w:p>
    <w:p>
      <w:pPr>
        <w:pStyle w:val="117"/>
        <w:ind w:firstLine="420" w:firstLineChars="0"/>
      </w:pPr>
      <w:r>
        <w:t>防火墙主要针对进出关键核心系统的流量进行检测，该防火墙在选型时必须考虑满足防火墙、入侵检测、WEB防护等能力。</w:t>
      </w:r>
    </w:p>
    <w:p>
      <w:pPr>
        <w:pStyle w:val="120"/>
        <w:spacing w:beforeLines="50" w:afterLines="50"/>
        <w:ind w:firstLine="0" w:firstLineChars="0"/>
        <w:jc w:val="both"/>
        <w:rPr>
          <w:b/>
          <w:sz w:val="24"/>
          <w:szCs w:val="24"/>
        </w:rPr>
      </w:pPr>
      <w:r>
        <w:rPr>
          <w:rFonts w:hint="eastAsia"/>
          <w:b/>
          <w:sz w:val="24"/>
          <w:szCs w:val="24"/>
        </w:rPr>
        <w:t>(2)</w:t>
      </w:r>
      <w:r>
        <w:rPr>
          <w:b/>
          <w:sz w:val="24"/>
          <w:szCs w:val="24"/>
        </w:rPr>
        <w:t>虚拟化安全防护</w:t>
      </w:r>
    </w:p>
    <w:p>
      <w:pPr>
        <w:pStyle w:val="117"/>
        <w:ind w:firstLine="420" w:firstLineChars="0"/>
      </w:pPr>
      <w:r>
        <w:rPr>
          <w:rFonts w:hint="eastAsia"/>
        </w:rPr>
        <w:t>数据中心已经从物理架构演进到大规模虚拟和云的架构，服务器和存储被虚拟化成为很多数据中心的标准。虚拟数据中心在效率、业务敏捷性，以及快速的产品上市时间上有明显的优势。然而针对虚拟化系统的安全防护，传统安全解决方案和策略还没有足够的准备和定位来为新型虚拟化数据中心提供高效的安全层，这是有很多原因的。</w:t>
      </w:r>
    </w:p>
    <w:p>
      <w:pPr>
        <w:pStyle w:val="117"/>
        <w:ind w:firstLine="420" w:firstLineChars="0"/>
      </w:pPr>
      <w:r>
        <w:rPr>
          <w:rFonts w:hint="eastAsia"/>
        </w:rPr>
        <w:t>这是因为传统安全解决方案是专为物理环境设计的，不能将各类产品有效地插入东西向流量的环境中，往往需要将东西向流量重定向到物理防火墙、深度报文检测、入侵防御，以及防病毒等服务链中去。这种流量重定向和静态安全服务链的方案对于保护东西向流量是效率很低的，因为它会增加网络的延迟和制造性能瓶颈，从而导致应用响应时间的缓慢和网络掉线。</w:t>
      </w:r>
    </w:p>
    <w:p>
      <w:pPr>
        <w:pStyle w:val="117"/>
        <w:ind w:firstLine="420"/>
      </w:pPr>
      <w:r>
        <w:rPr>
          <w:rFonts w:hint="eastAsia"/>
        </w:rPr>
        <w:t>例如在私有云环境中，某虚机由于某种原因中了病毒，从内部向其它虚机和外部网络发起端口扫描和DoS等攻击，缺少识控方案的情况下，只能将有问题的虚机从网络中移除，让问题虚机的管理员线下解决问题后，才允许连接回网络，这样的处理方案简单粗暴，虽然隔离了攻击，但也同时断掉了问题虚机的对外服务。所以一定程度上造成了虚拟化环境成为信息安全的一个黑洞。</w:t>
      </w:r>
    </w:p>
    <w:p>
      <w:pPr>
        <w:pStyle w:val="117"/>
        <w:ind w:firstLine="420" w:firstLineChars="0"/>
      </w:pPr>
      <w:r>
        <w:rPr>
          <w:rFonts w:hint="eastAsia"/>
        </w:rPr>
        <w:t>对于云环境，虽然外部可能部署入侵防御设施，但可能存在这样的情况，某虚机由于弱口令之类的漏洞被远程控制，然后黑客以此虚机为跳板，再对其它虚机进行漏洞扫描和利用入侵，DoS攻击会产生大量的会话，可能通过云管理平台发现，然而从内部发起的漏洞入侵的过程在网络层面上与正常访问无异，无法被发现，因此需要识控的方案。</w:t>
      </w:r>
    </w:p>
    <w:p>
      <w:pPr>
        <w:pStyle w:val="117"/>
        <w:ind w:firstLine="420" w:firstLineChars="0"/>
      </w:pPr>
      <w:r>
        <w:rPr>
          <w:rFonts w:hint="eastAsia"/>
        </w:rPr>
        <w:t>针对虚拟化环境的安全防护解决方案需要把防火墙等功能插入到虚拟机管理程序层中，从而实现每一个虚拟机跟外部网络或内部其它虚拟机之间通信的精细监控。这样的方案才能够完全解决解决虚拟化内部的安全风险，阻断从内部向其它虚机和外部网络发起的端口扫描和DoS等攻击，而仍然保持问题虚机的对外服务；监控到绕过外部防护、以被控制虚拟机为跳板的内部入侵，为每一台业务虚拟机都提供最贴身的安全防护力度。</w:t>
      </w:r>
    </w:p>
    <w:p>
      <w:pPr>
        <w:pStyle w:val="120"/>
        <w:spacing w:beforeLines="50" w:afterLines="50"/>
        <w:ind w:firstLine="0" w:firstLineChars="0"/>
        <w:jc w:val="both"/>
        <w:rPr>
          <w:b/>
          <w:sz w:val="24"/>
          <w:szCs w:val="24"/>
        </w:rPr>
      </w:pPr>
      <w:r>
        <w:rPr>
          <w:rFonts w:hint="eastAsia"/>
          <w:b/>
          <w:sz w:val="24"/>
          <w:szCs w:val="24"/>
        </w:rPr>
        <w:t>(3)</w:t>
      </w:r>
      <w:r>
        <w:rPr>
          <w:b/>
          <w:sz w:val="24"/>
          <w:szCs w:val="24"/>
        </w:rPr>
        <w:t>系统运维防护</w:t>
      </w:r>
    </w:p>
    <w:p>
      <w:pPr>
        <w:pStyle w:val="117"/>
        <w:ind w:firstLine="420" w:firstLineChars="0"/>
      </w:pPr>
      <w:r>
        <w:rPr>
          <w:rFonts w:hint="eastAsia"/>
        </w:rPr>
        <w:t>通过在安全管控区部署一台堡垒机降低人为事故的发生，通过交换机的访问控制策略限定只能由堡垒主机内控管理平台直接访问服务器的远程维护端口。当维护人员对网络设备、安全设备和服务器系统进行远程维护时，首先以 WEB 方式登录堡垒主机，然后通过堡垒主机上展现的访问资源列表直接访问授权资源。</w:t>
      </w:r>
    </w:p>
    <w:p>
      <w:pPr>
        <w:pStyle w:val="117"/>
        <w:ind w:firstLine="420" w:firstLineChars="0"/>
      </w:pPr>
      <w:r>
        <w:rPr>
          <w:rFonts w:hint="eastAsia"/>
        </w:rPr>
        <w:t>堡垒主机一般使用应用代理的方式旁路部署在网络上，用户通过本系统访问被管资源，用户的所有访问行为都在监视和控制之下，访问记录经过规范化、过滤、归并和告警分析等处理后，以统一格式的日志形式进行集中存储和管理，结合丰富的日志统计汇总及关联分析功能，实现对信息系统整体安全状况的全面审计。</w:t>
      </w:r>
    </w:p>
    <w:p>
      <w:pPr>
        <w:pStyle w:val="120"/>
        <w:spacing w:beforeLines="50" w:afterLines="50"/>
        <w:ind w:firstLine="0" w:firstLineChars="0"/>
        <w:jc w:val="both"/>
        <w:rPr>
          <w:b/>
          <w:sz w:val="24"/>
          <w:szCs w:val="24"/>
        </w:rPr>
      </w:pPr>
      <w:r>
        <w:rPr>
          <w:rFonts w:hint="eastAsia"/>
          <w:b/>
          <w:sz w:val="24"/>
          <w:szCs w:val="24"/>
        </w:rPr>
        <w:t>(4)数据库审计防护</w:t>
      </w:r>
    </w:p>
    <w:p>
      <w:pPr>
        <w:pStyle w:val="117"/>
        <w:ind w:firstLine="420" w:firstLineChars="0"/>
      </w:pPr>
      <w:r>
        <w:rPr>
          <w:rFonts w:hint="eastAsia"/>
        </w:rPr>
        <w:t>在数据中心区域内部署数据库审计系统，实现三级系统的数据库库表的全面审计，未出现的数据库事件追溯提供证据。</w:t>
      </w:r>
    </w:p>
    <w:p>
      <w:pPr>
        <w:pStyle w:val="117"/>
        <w:ind w:firstLine="420" w:firstLineChars="0"/>
      </w:pPr>
      <w:r>
        <w:rPr>
          <w:rFonts w:hint="eastAsia"/>
        </w:rPr>
        <w:t>实现功能：</w:t>
      </w:r>
    </w:p>
    <w:p>
      <w:pPr>
        <w:numPr>
          <w:ilvl w:val="1"/>
          <w:numId w:val="10"/>
        </w:numPr>
      </w:pPr>
      <w:r>
        <w:rPr>
          <w:rFonts w:hint="eastAsia"/>
        </w:rPr>
        <w:t>统一日志监控</w:t>
      </w:r>
    </w:p>
    <w:p>
      <w:pPr>
        <w:pStyle w:val="117"/>
        <w:ind w:firstLine="420" w:firstLineChars="0"/>
      </w:pPr>
      <w:r>
        <w:rPr>
          <w:rFonts w:hint="eastAsia"/>
        </w:rPr>
        <w:t>将企业和组织的IT计算环境中部署的各类网络或安全设备、安全系统、主机操作系统、数据库以及各种应用系统的日志、事件、告警全部汇集起来，使得用户通过单一的管理控制台对IT计算环境的安全信息（日志）进行统一监控。</w:t>
      </w:r>
    </w:p>
    <w:p>
      <w:pPr>
        <w:pStyle w:val="117"/>
        <w:ind w:firstLine="420" w:firstLineChars="0"/>
      </w:pPr>
      <w:r>
        <w:rPr>
          <w:rFonts w:hint="eastAsia"/>
        </w:rPr>
        <w:t>用户不必时常在多个控制台软件之间来回切换、浪费宝贵的时间。与此同时，由于企业和组织的所有安全信息都汇聚到一起，使得用户可以全面掌控IT计算环境的安全状况，对安全威胁做出更加准确的判断。</w:t>
      </w:r>
    </w:p>
    <w:p>
      <w:pPr>
        <w:numPr>
          <w:ilvl w:val="1"/>
          <w:numId w:val="10"/>
        </w:numPr>
      </w:pPr>
      <w:r>
        <w:rPr>
          <w:rFonts w:hint="eastAsia"/>
        </w:rPr>
        <w:t>日志归一化与实时关联分析</w:t>
      </w:r>
    </w:p>
    <w:p>
      <w:pPr>
        <w:pStyle w:val="117"/>
        <w:ind w:firstLine="420" w:firstLineChars="0"/>
      </w:pPr>
      <w:r>
        <w:rPr>
          <w:rFonts w:hint="eastAsia"/>
        </w:rPr>
        <w:t>收集并归一化的所有安全日志和告警信息，然后通过智能事件关联分析引擎，帮助安全管理员实时进行日志分析，迅速识别安全事故，从而及时做出响应。</w:t>
      </w:r>
    </w:p>
    <w:p>
      <w:pPr>
        <w:numPr>
          <w:ilvl w:val="1"/>
          <w:numId w:val="10"/>
        </w:numPr>
      </w:pPr>
      <w:r>
        <w:rPr>
          <w:rFonts w:hint="eastAsia"/>
        </w:rPr>
        <w:t>集中日志存储</w:t>
      </w:r>
    </w:p>
    <w:p>
      <w:pPr>
        <w:pStyle w:val="117"/>
        <w:ind w:firstLine="420" w:firstLineChars="0"/>
      </w:pPr>
      <w:r>
        <w:rPr>
          <w:rFonts w:hint="eastAsia"/>
        </w:rPr>
        <w:t>可以将采集来的所有日志、事件和告警信息统一存储起来，建立一个的集中日志存储系统，实现了国家标准和法律法规中对于日志存储的强制性要求，降低了日志分散存储的管理成本，提高了日志管理的可靠性，消除了本地日志存储情况下可能被抹掉的危险，也为日后出现安全事故的时候增加了一个追查取证的信息来源和依据。</w:t>
      </w:r>
    </w:p>
    <w:p>
      <w:pPr>
        <w:numPr>
          <w:ilvl w:val="1"/>
          <w:numId w:val="10"/>
        </w:numPr>
      </w:pPr>
      <w:r>
        <w:rPr>
          <w:rFonts w:hint="eastAsia"/>
        </w:rPr>
        <w:t>灵活的部署方式</w:t>
      </w:r>
    </w:p>
    <w:p>
      <w:pPr>
        <w:pStyle w:val="117"/>
        <w:ind w:firstLine="420" w:firstLineChars="0"/>
      </w:pPr>
      <w:r>
        <w:rPr>
          <w:rFonts w:hint="eastAsia"/>
        </w:rPr>
        <w:t>部署方式十分灵活，对网络环境的适应性极强，既能够支持单一的中小型网络，也支持跨区域、分级分层、物理/逻辑隔离的大规模网络。产品分为软件形态和硬件形态两种，用户可以根据自身需要选择。系统采用旁路部署，对现有网络结构不做任何改动，支持多端口日志采集，支持通过硬件探针采集日志，支持级联部署。</w:t>
      </w:r>
    </w:p>
    <w:p>
      <w:pPr>
        <w:numPr>
          <w:ilvl w:val="1"/>
          <w:numId w:val="10"/>
        </w:numPr>
      </w:pPr>
      <w:r>
        <w:rPr>
          <w:rFonts w:hint="eastAsia"/>
        </w:rPr>
        <w:t>可视化日志分析</w:t>
      </w:r>
    </w:p>
    <w:p>
      <w:pPr>
        <w:pStyle w:val="117"/>
        <w:ind w:firstLine="420" w:firstLineChars="0"/>
      </w:pPr>
      <w:r>
        <w:rPr>
          <w:rFonts w:hint="eastAsia"/>
        </w:rPr>
        <w:t>具备强大的事件可视化能力，方便用户日常安全管理的认知为感知。事件可视化不是简单的柱图、饼图、曲线图等统计趋势图表的展示，必须反映出大量事件之间的相互作用关系。可视化功能包括：</w:t>
      </w:r>
    </w:p>
    <w:p>
      <w:pPr>
        <w:pStyle w:val="121"/>
        <w:spacing w:line="360" w:lineRule="auto"/>
        <w:ind w:firstLine="480"/>
        <w:rPr>
          <w:sz w:val="24"/>
          <w:szCs w:val="24"/>
        </w:rPr>
      </w:pPr>
      <w:r>
        <w:rPr>
          <w:rFonts w:hint="eastAsia"/>
          <w:sz w:val="24"/>
          <w:szCs w:val="24"/>
        </w:rPr>
        <w:t>1)事件全球定位系统</w:t>
      </w:r>
    </w:p>
    <w:p>
      <w:pPr>
        <w:pStyle w:val="121"/>
        <w:spacing w:line="360" w:lineRule="auto"/>
        <w:ind w:firstLine="480"/>
        <w:rPr>
          <w:sz w:val="24"/>
          <w:szCs w:val="24"/>
        </w:rPr>
      </w:pPr>
      <w:r>
        <w:rPr>
          <w:rFonts w:hint="eastAsia"/>
          <w:sz w:val="24"/>
          <w:szCs w:val="24"/>
        </w:rPr>
        <w:t>2)主动事件图</w:t>
      </w:r>
    </w:p>
    <w:p>
      <w:pPr>
        <w:pStyle w:val="121"/>
        <w:spacing w:line="360" w:lineRule="auto"/>
        <w:ind w:firstLine="480"/>
        <w:rPr>
          <w:sz w:val="24"/>
          <w:szCs w:val="24"/>
        </w:rPr>
      </w:pPr>
      <w:r>
        <w:rPr>
          <w:rFonts w:hint="eastAsia"/>
          <w:sz w:val="24"/>
          <w:szCs w:val="24"/>
        </w:rPr>
        <w:t>3)事件行为分析</w:t>
      </w:r>
    </w:p>
    <w:p>
      <w:pPr>
        <w:pStyle w:val="121"/>
        <w:spacing w:line="360" w:lineRule="auto"/>
        <w:ind w:firstLine="480"/>
        <w:rPr>
          <w:sz w:val="24"/>
          <w:szCs w:val="24"/>
        </w:rPr>
      </w:pPr>
      <w:r>
        <w:rPr>
          <w:rFonts w:hint="eastAsia"/>
          <w:sz w:val="24"/>
          <w:szCs w:val="24"/>
        </w:rPr>
        <w:t>4)动态雷达图</w:t>
      </w:r>
    </w:p>
    <w:p>
      <w:pPr>
        <w:numPr>
          <w:ilvl w:val="1"/>
          <w:numId w:val="10"/>
        </w:numPr>
      </w:pPr>
      <w:r>
        <w:rPr>
          <w:rFonts w:hint="eastAsia"/>
        </w:rPr>
        <w:t>快速响应</w:t>
      </w:r>
    </w:p>
    <w:p>
      <w:pPr>
        <w:pStyle w:val="121"/>
        <w:spacing w:line="360" w:lineRule="auto"/>
        <w:ind w:firstLine="480"/>
        <w:rPr>
          <w:sz w:val="24"/>
          <w:szCs w:val="24"/>
        </w:rPr>
      </w:pPr>
      <w:r>
        <w:rPr>
          <w:rFonts w:hint="eastAsia"/>
          <w:sz w:val="24"/>
          <w:szCs w:val="24"/>
        </w:rPr>
        <w:t>识别出安全事故后，能够自动或者用户手工的对威胁进行响应，采取安全对策，从而形成安全审计的闭环。</w:t>
      </w:r>
    </w:p>
    <w:p>
      <w:pPr>
        <w:pStyle w:val="121"/>
        <w:spacing w:line="360" w:lineRule="auto"/>
        <w:ind w:firstLine="480"/>
        <w:rPr>
          <w:sz w:val="24"/>
          <w:szCs w:val="24"/>
        </w:rPr>
      </w:pPr>
      <w:r>
        <w:rPr>
          <w:rFonts w:hint="eastAsia"/>
          <w:sz w:val="24"/>
          <w:szCs w:val="24"/>
        </w:rPr>
        <w:t>可以综合分析来自防火墙、IDS、系统日志、网络等等一系列的信息，能够更为精确地定位安全威胁，使得实时自动阻止攻击变得更加可行。在发生告警后，可通过电子邮件、SNMP Trap等方式对外发出通告；能够执行预定义命令行程序，并将事件属性作为参数传递给该命令行程序。</w:t>
      </w:r>
    </w:p>
    <w:p>
      <w:pPr>
        <w:pStyle w:val="121"/>
        <w:spacing w:line="360" w:lineRule="auto"/>
        <w:ind w:firstLine="480"/>
        <w:rPr>
          <w:sz w:val="24"/>
          <w:szCs w:val="24"/>
        </w:rPr>
      </w:pPr>
      <w:r>
        <w:rPr>
          <w:rFonts w:hint="eastAsia"/>
          <w:sz w:val="24"/>
          <w:szCs w:val="24"/>
        </w:rPr>
        <w:t>可通过与网络设备或安全设备共同协作来关闭威胁通信，以阻止正在进行的攻击。可以与众多第三方网络设备、安全设备进行联动。</w:t>
      </w:r>
    </w:p>
    <w:p>
      <w:pPr>
        <w:numPr>
          <w:ilvl w:val="1"/>
          <w:numId w:val="10"/>
        </w:numPr>
      </w:pPr>
      <w:r>
        <w:rPr>
          <w:rFonts w:hint="eastAsia"/>
        </w:rPr>
        <w:t>报表报告</w:t>
      </w:r>
    </w:p>
    <w:p>
      <w:pPr>
        <w:pStyle w:val="121"/>
        <w:spacing w:line="360" w:lineRule="auto"/>
        <w:ind w:firstLine="480"/>
        <w:rPr>
          <w:sz w:val="24"/>
          <w:szCs w:val="24"/>
        </w:rPr>
      </w:pPr>
      <w:r>
        <w:rPr>
          <w:rFonts w:hint="eastAsia"/>
          <w:sz w:val="24"/>
          <w:szCs w:val="24"/>
        </w:rPr>
        <w:t>可生成的报表图文并茂，报表可以按组管理，可以对报表生成进行日程规划，提供打印、导出以及邮件送达等服务，并根据计划归档报告，归档之后发送邮件通知。报告可用PDF、HTML、Excel、CSV或RTF等格式存档。用户可以自定义报表。</w:t>
      </w:r>
    </w:p>
    <w:bookmarkEnd w:id="79"/>
    <w:bookmarkEnd w:id="80"/>
    <w:bookmarkEnd w:id="105"/>
    <w:p>
      <w:pPr>
        <w:pStyle w:val="118"/>
        <w:spacing w:beforeLines="50" w:afterLines="50"/>
        <w:ind w:left="0" w:firstLine="0"/>
        <w:rPr>
          <w:sz w:val="24"/>
          <w:szCs w:val="24"/>
        </w:rPr>
      </w:pPr>
      <w:bookmarkStart w:id="106" w:name="_Toc481151198"/>
      <w:bookmarkStart w:id="107" w:name="_Toc22396"/>
      <w:r>
        <w:rPr>
          <w:rFonts w:hint="eastAsia"/>
          <w:sz w:val="24"/>
          <w:szCs w:val="24"/>
        </w:rPr>
        <w:t xml:space="preserve">5 </w:t>
      </w:r>
      <w:r>
        <w:rPr>
          <w:sz w:val="24"/>
          <w:szCs w:val="24"/>
        </w:rPr>
        <w:t>数据</w:t>
      </w:r>
      <w:r>
        <w:rPr>
          <w:rFonts w:hint="eastAsia"/>
          <w:sz w:val="24"/>
          <w:szCs w:val="24"/>
        </w:rPr>
        <w:t>中心设计</w:t>
      </w:r>
      <w:bookmarkEnd w:id="106"/>
      <w:bookmarkEnd w:id="107"/>
    </w:p>
    <w:p>
      <w:pPr>
        <w:pStyle w:val="119"/>
        <w:tabs>
          <w:tab w:val="clear" w:pos="576"/>
        </w:tabs>
        <w:spacing w:before="0" w:after="0"/>
        <w:rPr>
          <w:sz w:val="24"/>
        </w:rPr>
      </w:pPr>
      <w:bookmarkStart w:id="108" w:name="_Toc481151199"/>
      <w:bookmarkStart w:id="109" w:name="_Toc4897"/>
      <w:r>
        <w:rPr>
          <w:rFonts w:hint="eastAsia"/>
          <w:sz w:val="24"/>
        </w:rPr>
        <w:t xml:space="preserve">5.1 </w:t>
      </w:r>
      <w:r>
        <w:rPr>
          <w:sz w:val="24"/>
        </w:rPr>
        <w:t>设计</w:t>
      </w:r>
      <w:bookmarkEnd w:id="108"/>
      <w:r>
        <w:rPr>
          <w:sz w:val="24"/>
        </w:rPr>
        <w:t>目标</w:t>
      </w:r>
      <w:bookmarkEnd w:id="109"/>
    </w:p>
    <w:p>
      <w:pPr>
        <w:pStyle w:val="12"/>
        <w:spacing w:after="120"/>
        <w:jc w:val="left"/>
        <w:rPr>
          <w:rFonts w:ascii="宋体" w:hAnsi="宋体"/>
          <w:sz w:val="24"/>
          <w:szCs w:val="24"/>
        </w:rPr>
      </w:pPr>
      <w:r>
        <w:rPr>
          <w:rFonts w:ascii="宋体" w:hAnsi="宋体"/>
          <w:sz w:val="24"/>
          <w:szCs w:val="24"/>
        </w:rPr>
        <w:drawing>
          <wp:inline distT="0" distB="0" distL="114300" distR="114300">
            <wp:extent cx="5221605" cy="2479040"/>
            <wp:effectExtent l="0" t="0" r="17145" b="165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cstate="print"/>
                    <a:stretch>
                      <a:fillRect/>
                    </a:stretch>
                  </pic:blipFill>
                  <pic:spPr>
                    <a:xfrm>
                      <a:off x="0" y="0"/>
                      <a:ext cx="5221605" cy="2479040"/>
                    </a:xfrm>
                    <a:prstGeom prst="rect">
                      <a:avLst/>
                    </a:prstGeom>
                    <a:noFill/>
                    <a:ln w="9525">
                      <a:noFill/>
                    </a:ln>
                  </pic:spPr>
                </pic:pic>
              </a:graphicData>
            </a:graphic>
          </wp:inline>
        </w:drawing>
      </w:r>
    </w:p>
    <w:p>
      <w:pPr>
        <w:pStyle w:val="12"/>
        <w:spacing w:after="120"/>
        <w:rPr>
          <w:rFonts w:ascii="宋体" w:hAnsi="宋体"/>
          <w:sz w:val="24"/>
          <w:szCs w:val="24"/>
        </w:rPr>
      </w:pPr>
      <w:r>
        <w:rPr>
          <w:rFonts w:hint="eastAsia" w:ascii="宋体" w:hAnsi="宋体"/>
          <w:sz w:val="24"/>
          <w:szCs w:val="24"/>
        </w:rPr>
        <w:t>数据</w:t>
      </w:r>
      <w:r>
        <w:rPr>
          <w:rFonts w:ascii="宋体" w:hAnsi="宋体"/>
          <w:sz w:val="24"/>
          <w:szCs w:val="24"/>
        </w:rPr>
        <w:t>中心</w:t>
      </w:r>
      <w:r>
        <w:rPr>
          <w:rFonts w:hint="eastAsia" w:ascii="宋体" w:hAnsi="宋体"/>
          <w:sz w:val="24"/>
          <w:szCs w:val="24"/>
        </w:rPr>
        <w:t>拓扑图</w:t>
      </w:r>
    </w:p>
    <w:p>
      <w:pPr>
        <w:pStyle w:val="120"/>
        <w:numPr>
          <w:ilvl w:val="0"/>
          <w:numId w:val="11"/>
        </w:numPr>
        <w:spacing w:after="120"/>
        <w:ind w:firstLineChars="0"/>
        <w:rPr>
          <w:sz w:val="24"/>
          <w:szCs w:val="24"/>
        </w:rPr>
      </w:pPr>
      <w:r>
        <w:rPr>
          <w:rFonts w:hint="eastAsia"/>
          <w:sz w:val="24"/>
          <w:szCs w:val="24"/>
        </w:rPr>
        <w:t>核心业务系统如</w:t>
      </w:r>
      <w:r>
        <w:rPr>
          <w:sz w:val="24"/>
          <w:szCs w:val="24"/>
        </w:rPr>
        <w:t>HIS</w:t>
      </w:r>
      <w:r>
        <w:rPr>
          <w:rFonts w:hint="eastAsia"/>
          <w:sz w:val="24"/>
          <w:szCs w:val="24"/>
        </w:rPr>
        <w:t>等主机平台的建设，并且满足核心系统平台性能及高可用要求；</w:t>
      </w:r>
    </w:p>
    <w:p>
      <w:pPr>
        <w:pStyle w:val="120"/>
        <w:numPr>
          <w:ilvl w:val="0"/>
          <w:numId w:val="11"/>
        </w:numPr>
        <w:spacing w:after="120"/>
        <w:ind w:firstLineChars="0"/>
        <w:rPr>
          <w:sz w:val="24"/>
          <w:szCs w:val="24"/>
        </w:rPr>
      </w:pPr>
      <w:r>
        <w:rPr>
          <w:rFonts w:hint="eastAsia"/>
          <w:sz w:val="24"/>
          <w:szCs w:val="24"/>
        </w:rPr>
        <w:t>非核心业务系统主机平台的建设，以满足非核心业务系统平台性能及高可用要求，同时充分考虑设备的资源利用及未来的业务扩充；</w:t>
      </w:r>
    </w:p>
    <w:p>
      <w:pPr>
        <w:pStyle w:val="120"/>
        <w:numPr>
          <w:ilvl w:val="0"/>
          <w:numId w:val="11"/>
        </w:numPr>
        <w:spacing w:after="120"/>
        <w:ind w:firstLineChars="0"/>
        <w:rPr>
          <w:sz w:val="24"/>
          <w:szCs w:val="24"/>
        </w:rPr>
      </w:pPr>
      <w:r>
        <w:rPr>
          <w:rFonts w:hint="eastAsia"/>
          <w:sz w:val="24"/>
          <w:szCs w:val="24"/>
        </w:rPr>
        <w:t>数据存储平台的建设，满足核心业务系统平台数据存储的性能及安全性要求，同时还需要考虑数据存储平台的横向及纵向扩展，满足双活数据中心的要求；</w:t>
      </w:r>
    </w:p>
    <w:p>
      <w:pPr>
        <w:pStyle w:val="120"/>
        <w:numPr>
          <w:ilvl w:val="0"/>
          <w:numId w:val="11"/>
        </w:numPr>
        <w:spacing w:after="120"/>
        <w:ind w:firstLineChars="0"/>
        <w:rPr>
          <w:sz w:val="24"/>
          <w:szCs w:val="24"/>
        </w:rPr>
      </w:pPr>
      <w:r>
        <w:rPr>
          <w:rFonts w:hint="eastAsia"/>
          <w:sz w:val="24"/>
          <w:szCs w:val="24"/>
        </w:rPr>
        <w:t>数据备份系统的建设，以满足当业务系统故障时出现数据丢失时，能够快速的恢复数据，降低对业务的影响；</w:t>
      </w:r>
    </w:p>
    <w:p>
      <w:pPr>
        <w:pStyle w:val="120"/>
        <w:numPr>
          <w:ilvl w:val="0"/>
          <w:numId w:val="11"/>
        </w:numPr>
        <w:spacing w:after="120"/>
        <w:ind w:firstLineChars="0"/>
        <w:rPr>
          <w:sz w:val="24"/>
          <w:szCs w:val="24"/>
        </w:rPr>
      </w:pPr>
      <w:r>
        <w:rPr>
          <w:rFonts w:hint="eastAsia"/>
          <w:sz w:val="24"/>
          <w:szCs w:val="24"/>
        </w:rPr>
        <w:t>数据中心运维与管理平台的建设，提升信息系统管理人员的工作效率，降低管理的难度。</w:t>
      </w:r>
    </w:p>
    <w:p>
      <w:pPr>
        <w:pStyle w:val="119"/>
        <w:tabs>
          <w:tab w:val="clear" w:pos="576"/>
        </w:tabs>
        <w:spacing w:before="0" w:after="0"/>
        <w:rPr>
          <w:sz w:val="24"/>
        </w:rPr>
      </w:pPr>
      <w:bookmarkStart w:id="110" w:name="_Toc17387"/>
      <w:bookmarkStart w:id="111" w:name="_Toc481151200"/>
      <w:r>
        <w:rPr>
          <w:rFonts w:hint="eastAsia"/>
          <w:sz w:val="24"/>
        </w:rPr>
        <w:t xml:space="preserve">5.2 </w:t>
      </w:r>
      <w:r>
        <w:rPr>
          <w:sz w:val="24"/>
        </w:rPr>
        <w:t>应用双活设计</w:t>
      </w:r>
      <w:bookmarkEnd w:id="110"/>
    </w:p>
    <w:p>
      <w:r>
        <w:tab/>
      </w:r>
      <w:r>
        <w:rPr>
          <w:rFonts w:hint="eastAsia"/>
        </w:rPr>
        <w:t>针对HIS等核心数据库应用系统采用2套4路服务器，通过Oracle RAC部署成数据集群，每台服务器配置双口万兆网卡，分别通过网卡绑定技术用于业务和RAC心跳。</w:t>
      </w:r>
      <w:r>
        <w:rPr>
          <w:rFonts w:hint="eastAsia"/>
        </w:rPr>
        <w:tab/>
      </w:r>
      <w:r>
        <w:rPr>
          <w:rFonts w:hint="eastAsia"/>
        </w:rPr>
        <w:t>主存储配置5块400G SSD硬盘作为数据缓存，配置20块1.8T 10K硬盘</w:t>
      </w:r>
    </w:p>
    <w:p>
      <w:r>
        <w:rPr>
          <w:rFonts w:hint="eastAsia"/>
        </w:rPr>
        <w:t>针对PACS、LIS等系统采用服务器虚拟化技术，提升了X86服务器的可靠性、可用性，从基础架构层面获得了原先单机系统无法想象的功能，大大提高了业务连续性的级别，降低了故障率、减少了系统宕机的时间。虚拟化服务器采用了两路CPU服务器，分别部署在两台数据中心。每台配置2块16Gb单口HBA卡，通过光纤交换机，连接共享存储，组成HA高可用系统；</w:t>
      </w:r>
    </w:p>
    <w:p>
      <w:pPr>
        <w:pStyle w:val="119"/>
        <w:tabs>
          <w:tab w:val="clear" w:pos="576"/>
        </w:tabs>
        <w:spacing w:before="0" w:after="0"/>
        <w:rPr>
          <w:sz w:val="24"/>
        </w:rPr>
      </w:pPr>
      <w:bookmarkStart w:id="112" w:name="_Toc17551"/>
      <w:r>
        <w:rPr>
          <w:rFonts w:hint="eastAsia"/>
          <w:sz w:val="24"/>
        </w:rPr>
        <w:t xml:space="preserve">5.3 </w:t>
      </w:r>
      <w:r>
        <w:rPr>
          <w:sz w:val="24"/>
        </w:rPr>
        <w:t>存储双活设计</w:t>
      </w:r>
      <w:bookmarkEnd w:id="111"/>
      <w:bookmarkEnd w:id="112"/>
    </w:p>
    <w:p>
      <w:pPr>
        <w:rPr>
          <w:rFonts w:ascii="宋体" w:hAnsi="宋体"/>
        </w:rPr>
      </w:pPr>
      <w:r>
        <w:rPr>
          <w:rFonts w:ascii="宋体" w:hAnsi="宋体"/>
        </w:rPr>
        <w:tab/>
      </w:r>
      <w:r>
        <w:rPr>
          <w:rFonts w:hint="eastAsia" w:ascii="宋体" w:hAnsi="宋体"/>
        </w:rPr>
        <w:t>此次数据中心双活</w:t>
      </w:r>
      <w:r>
        <w:rPr>
          <w:rFonts w:ascii="宋体" w:hAnsi="宋体"/>
        </w:rPr>
        <w:t>存储虚拟</w:t>
      </w:r>
      <w:r>
        <w:rPr>
          <w:rFonts w:hint="eastAsia" w:ascii="宋体" w:hAnsi="宋体"/>
        </w:rPr>
        <w:t>系统</w:t>
      </w:r>
      <w:r>
        <w:rPr>
          <w:rFonts w:ascii="宋体" w:hAnsi="宋体"/>
        </w:rPr>
        <w:t>解决方案，分别在两个机房部署两台存储网关，并分别将两台虚拟化存储部署在不同的机房，实现完全对等的双活数据中心，并实现容灾的效果。这样部署完成后，虚拟化存储之间数据的实时同步镜像，构建双活架构，项目建设完成后，两台存储同时工作，任何一台存储出现故障，业务访问不会中断，极大的提升了应用的高可用。</w:t>
      </w:r>
    </w:p>
    <w:p>
      <w:pPr>
        <w:pStyle w:val="119"/>
        <w:tabs>
          <w:tab w:val="clear" w:pos="576"/>
        </w:tabs>
        <w:rPr>
          <w:sz w:val="24"/>
        </w:rPr>
      </w:pPr>
      <w:bookmarkStart w:id="113" w:name="_Toc3852"/>
      <w:bookmarkStart w:id="114" w:name="_Toc481151201"/>
      <w:r>
        <w:rPr>
          <w:rFonts w:hint="eastAsia"/>
          <w:sz w:val="24"/>
        </w:rPr>
        <w:t>5.4 分布式</w:t>
      </w:r>
      <w:r>
        <w:rPr>
          <w:sz w:val="24"/>
        </w:rPr>
        <w:t>海量存储</w:t>
      </w:r>
      <w:bookmarkEnd w:id="113"/>
    </w:p>
    <w:p>
      <w:pPr>
        <w:pStyle w:val="120"/>
        <w:spacing w:after="120"/>
        <w:ind w:firstLine="480"/>
        <w:rPr>
          <w:kern w:val="0"/>
          <w:sz w:val="24"/>
          <w:szCs w:val="24"/>
        </w:rPr>
      </w:pPr>
      <w:r>
        <w:rPr>
          <w:rFonts w:hint="eastAsia"/>
          <w:kern w:val="0"/>
          <w:sz w:val="24"/>
          <w:szCs w:val="24"/>
        </w:rPr>
        <w:t>与分散的存储孤岛相比，可以更加高效地满足应用程序的文件请求。为使</w:t>
      </w:r>
      <w:r>
        <w:rPr>
          <w:kern w:val="0"/>
          <w:sz w:val="24"/>
          <w:szCs w:val="24"/>
        </w:rPr>
        <w:t xml:space="preserve"> IT </w:t>
      </w:r>
      <w:r>
        <w:rPr>
          <w:rFonts w:hint="eastAsia"/>
          <w:kern w:val="0"/>
          <w:sz w:val="24"/>
          <w:szCs w:val="24"/>
        </w:rPr>
        <w:t>服务更加密切适应业务目标，我们需要做出很多的计划和努力，这其中的第一个步骤就是整合分散的资源，使整合后的系统数量更少但更具可扩展性。通过将数据集中至单一的命名空间</w:t>
      </w:r>
      <w:r>
        <w:rPr>
          <w:kern w:val="0"/>
          <w:sz w:val="24"/>
          <w:szCs w:val="24"/>
        </w:rPr>
        <w:t>/</w:t>
      </w:r>
      <w:r>
        <w:rPr>
          <w:rFonts w:hint="eastAsia"/>
          <w:kern w:val="0"/>
          <w:sz w:val="24"/>
          <w:szCs w:val="24"/>
        </w:rPr>
        <w:t>文件系统，并简化与保存、移动和访问文件相关的管理任务来支持整合。</w:t>
      </w:r>
    </w:p>
    <w:p>
      <w:pPr>
        <w:pStyle w:val="120"/>
        <w:spacing w:after="120"/>
        <w:ind w:firstLine="480"/>
        <w:rPr>
          <w:kern w:val="0"/>
          <w:sz w:val="24"/>
          <w:szCs w:val="24"/>
        </w:rPr>
      </w:pPr>
      <w:r>
        <w:rPr>
          <w:rFonts w:hint="eastAsia"/>
          <w:kern w:val="0"/>
          <w:sz w:val="24"/>
          <w:szCs w:val="24"/>
        </w:rPr>
        <w:t>目前的</w:t>
      </w:r>
      <w:r>
        <w:rPr>
          <w:kern w:val="0"/>
          <w:sz w:val="24"/>
          <w:szCs w:val="24"/>
        </w:rPr>
        <w:t>NAS 解决方案将会是一种复杂而又昂贵的方式。为</w:t>
      </w:r>
      <w:r>
        <w:rPr>
          <w:rFonts w:hint="eastAsia"/>
          <w:kern w:val="0"/>
          <w:sz w:val="24"/>
          <w:szCs w:val="24"/>
        </w:rPr>
        <w:t>了</w:t>
      </w:r>
      <w:r>
        <w:rPr>
          <w:kern w:val="0"/>
          <w:sz w:val="24"/>
          <w:szCs w:val="24"/>
        </w:rPr>
        <w:t>能容纳 IT 基础架构中的唯一名称逻辑分组，企业通常</w:t>
      </w:r>
      <w:r>
        <w:rPr>
          <w:rFonts w:hint="eastAsia"/>
          <w:kern w:val="0"/>
          <w:sz w:val="24"/>
          <w:szCs w:val="24"/>
        </w:rPr>
        <w:t>要</w:t>
      </w:r>
      <w:r>
        <w:rPr>
          <w:kern w:val="0"/>
          <w:sz w:val="24"/>
          <w:szCs w:val="24"/>
        </w:rPr>
        <w:t>使用多个命名空间。目前的 NAS 技术对于每个命名空间一个文件系统的各个文件管理器</w:t>
      </w:r>
      <w:r>
        <w:rPr>
          <w:rFonts w:hint="eastAsia"/>
          <w:kern w:val="0"/>
          <w:sz w:val="24"/>
          <w:szCs w:val="24"/>
        </w:rPr>
        <w:t>，因扩展能力有限</w:t>
      </w:r>
      <w:r>
        <w:rPr>
          <w:kern w:val="0"/>
          <w:sz w:val="24"/>
          <w:szCs w:val="24"/>
        </w:rPr>
        <w:t>带来了极高的复杂性和不必要的开支。</w:t>
      </w:r>
    </w:p>
    <w:p>
      <w:pPr>
        <w:pStyle w:val="120"/>
        <w:spacing w:after="120"/>
        <w:ind w:firstLine="480"/>
        <w:rPr>
          <w:kern w:val="0"/>
          <w:sz w:val="24"/>
          <w:szCs w:val="24"/>
        </w:rPr>
      </w:pPr>
      <w:r>
        <w:rPr>
          <w:kern w:val="0"/>
          <w:sz w:val="24"/>
          <w:szCs w:val="24"/>
        </w:rPr>
        <w:t>而</w:t>
      </w:r>
      <w:r>
        <w:rPr>
          <w:rFonts w:hint="eastAsia"/>
          <w:kern w:val="0"/>
          <w:sz w:val="24"/>
          <w:szCs w:val="24"/>
        </w:rPr>
        <w:t>分布式存储</w:t>
      </w:r>
      <w:r>
        <w:rPr>
          <w:kern w:val="0"/>
          <w:sz w:val="24"/>
          <w:szCs w:val="24"/>
        </w:rPr>
        <w:t>提供了一个全局命名空间，允许基础架构</w:t>
      </w:r>
      <w:r>
        <w:rPr>
          <w:rFonts w:hint="eastAsia"/>
          <w:kern w:val="0"/>
          <w:sz w:val="24"/>
          <w:szCs w:val="24"/>
        </w:rPr>
        <w:t>存储容量</w:t>
      </w:r>
      <w:r>
        <w:rPr>
          <w:kern w:val="0"/>
          <w:sz w:val="24"/>
          <w:szCs w:val="24"/>
        </w:rPr>
        <w:t>从 TB 级扩展至 PB 级，从而能够支持大容量的非结构化数据。该方案支持</w:t>
      </w:r>
      <w:r>
        <w:rPr>
          <w:rFonts w:hint="eastAsia"/>
          <w:kern w:val="0"/>
          <w:sz w:val="24"/>
          <w:szCs w:val="24"/>
        </w:rPr>
        <w:t>多种</w:t>
      </w:r>
      <w:r>
        <w:rPr>
          <w:kern w:val="0"/>
          <w:sz w:val="24"/>
          <w:szCs w:val="24"/>
        </w:rPr>
        <w:t>标准网络协议，包括通用互联网文件系统（CIFS）、网络文件系统（NFS）</w:t>
      </w:r>
      <w:r>
        <w:rPr>
          <w:rFonts w:hint="eastAsia"/>
          <w:kern w:val="0"/>
          <w:sz w:val="24"/>
          <w:szCs w:val="24"/>
        </w:rPr>
        <w:t>等。</w:t>
      </w:r>
    </w:p>
    <w:p>
      <w:pPr>
        <w:pStyle w:val="120"/>
        <w:spacing w:after="120"/>
        <w:ind w:firstLine="480"/>
        <w:rPr>
          <w:kern w:val="0"/>
          <w:sz w:val="24"/>
          <w:szCs w:val="24"/>
        </w:rPr>
      </w:pPr>
      <w:r>
        <w:rPr>
          <w:rFonts w:hint="eastAsia"/>
          <w:kern w:val="0"/>
          <w:sz w:val="24"/>
          <w:szCs w:val="24"/>
        </w:rPr>
        <w:t>分布式存储</w:t>
      </w:r>
      <w:r>
        <w:rPr>
          <w:kern w:val="0"/>
          <w:sz w:val="24"/>
          <w:szCs w:val="24"/>
        </w:rPr>
        <w:t>全局命名空间可使管理自动化。</w:t>
      </w:r>
      <w:r>
        <w:rPr>
          <w:rFonts w:hint="eastAsia"/>
          <w:kern w:val="0"/>
          <w:sz w:val="24"/>
          <w:szCs w:val="24"/>
        </w:rPr>
        <w:t>借助分布式存储所</w:t>
      </w:r>
      <w:r>
        <w:rPr>
          <w:kern w:val="0"/>
          <w:sz w:val="24"/>
          <w:szCs w:val="24"/>
        </w:rPr>
        <w:t>包含</w:t>
      </w:r>
      <w:r>
        <w:rPr>
          <w:rFonts w:hint="eastAsia"/>
          <w:kern w:val="0"/>
          <w:sz w:val="24"/>
          <w:szCs w:val="24"/>
        </w:rPr>
        <w:t>的</w:t>
      </w:r>
      <w:r>
        <w:rPr>
          <w:kern w:val="0"/>
          <w:sz w:val="24"/>
          <w:szCs w:val="24"/>
        </w:rPr>
        <w:t>基于策略的迁移工具进行分层和近线数据归档的存储池，</w:t>
      </w:r>
      <w:r>
        <w:rPr>
          <w:rFonts w:hint="eastAsia"/>
          <w:kern w:val="0"/>
          <w:sz w:val="24"/>
          <w:szCs w:val="24"/>
        </w:rPr>
        <w:t>可实现</w:t>
      </w:r>
      <w:r>
        <w:rPr>
          <w:kern w:val="0"/>
          <w:sz w:val="24"/>
          <w:szCs w:val="24"/>
        </w:rPr>
        <w:t>快速搜索、备份和还原。此外，该方案还</w:t>
      </w:r>
      <w:r>
        <w:rPr>
          <w:rFonts w:hint="eastAsia"/>
          <w:kern w:val="0"/>
          <w:sz w:val="24"/>
          <w:szCs w:val="24"/>
        </w:rPr>
        <w:t>具有</w:t>
      </w:r>
      <w:r>
        <w:rPr>
          <w:kern w:val="0"/>
          <w:sz w:val="24"/>
          <w:szCs w:val="24"/>
        </w:rPr>
        <w:t>安全性、智能负载平衡、动态精简配置、性能优化等数据管理功能。</w:t>
      </w:r>
    </w:p>
    <w:p>
      <w:pPr>
        <w:pStyle w:val="120"/>
        <w:spacing w:after="120"/>
        <w:ind w:firstLine="480"/>
        <w:rPr>
          <w:kern w:val="0"/>
          <w:sz w:val="24"/>
          <w:szCs w:val="24"/>
        </w:rPr>
      </w:pPr>
      <w:r>
        <w:rPr>
          <w:rFonts w:hint="eastAsia"/>
          <w:kern w:val="0"/>
          <w:sz w:val="24"/>
          <w:szCs w:val="24"/>
        </w:rPr>
        <w:t>本次针对PACS大容量存储存储采用横向扩展式（Scale-out）NAS，可组合多个节点，形成一个集群NAS系统。只需要向集群NAS架构中添加节点即可实现资源的扩展。本次配置3个节点，每个节点配置2T*36=72T裸容量。整个系统实际可用容量会达到120T</w:t>
      </w:r>
    </w:p>
    <w:p>
      <w:pPr>
        <w:pStyle w:val="119"/>
        <w:tabs>
          <w:tab w:val="clear" w:pos="576"/>
        </w:tabs>
        <w:spacing w:before="0" w:after="0"/>
        <w:rPr>
          <w:sz w:val="24"/>
        </w:rPr>
      </w:pPr>
      <w:bookmarkStart w:id="115" w:name="_Toc31245"/>
      <w:r>
        <w:rPr>
          <w:rFonts w:hint="eastAsia"/>
          <w:sz w:val="24"/>
        </w:rPr>
        <w:t xml:space="preserve">5.5 </w:t>
      </w:r>
      <w:r>
        <w:rPr>
          <w:sz w:val="24"/>
        </w:rPr>
        <w:t>数据安全保护设计</w:t>
      </w:r>
      <w:bookmarkEnd w:id="114"/>
      <w:bookmarkEnd w:id="115"/>
    </w:p>
    <w:p>
      <w:pPr>
        <w:rPr>
          <w:rFonts w:ascii="宋体" w:hAnsi="宋体"/>
        </w:rPr>
      </w:pPr>
      <w:r>
        <w:rPr>
          <w:rFonts w:ascii="宋体" w:hAnsi="宋体"/>
        </w:rPr>
        <w:tab/>
      </w:r>
      <w:r>
        <w:rPr>
          <w:rFonts w:ascii="宋体" w:hAnsi="宋体"/>
        </w:rPr>
        <w:t>为了规避数据的逻辑性错误，同时</w:t>
      </w:r>
      <w:r>
        <w:rPr>
          <w:rFonts w:hint="eastAsia" w:ascii="宋体" w:hAnsi="宋体"/>
        </w:rPr>
        <w:t>部署</w:t>
      </w:r>
      <w:r>
        <w:rPr>
          <w:rFonts w:ascii="宋体" w:hAnsi="宋体"/>
        </w:rPr>
        <w:t>CDP系统</w:t>
      </w:r>
      <w:r>
        <w:rPr>
          <w:rFonts w:hint="eastAsia" w:ascii="宋体" w:hAnsi="宋体"/>
        </w:rPr>
        <w:t>系统，可以为</w:t>
      </w:r>
      <w:r>
        <w:rPr>
          <w:rFonts w:ascii="宋体" w:hAnsi="宋体"/>
        </w:rPr>
        <w:t>基于块、文件或应用</w:t>
      </w:r>
      <w:r>
        <w:rPr>
          <w:rFonts w:hint="eastAsia" w:ascii="宋体" w:hAnsi="宋体"/>
        </w:rPr>
        <w:t>数据</w:t>
      </w:r>
      <w:r>
        <w:rPr>
          <w:rFonts w:ascii="宋体" w:hAnsi="宋体"/>
        </w:rPr>
        <w:t>，并且为数量无限的可变恢复点提供精细的可恢复对象。</w:t>
      </w:r>
    </w:p>
    <w:p>
      <w:pPr>
        <w:rPr>
          <w:rFonts w:ascii="宋体" w:hAnsi="宋体"/>
        </w:rPr>
      </w:pPr>
      <w:r>
        <w:rPr>
          <w:rFonts w:ascii="宋体" w:hAnsi="宋体"/>
        </w:rPr>
        <w:tab/>
      </w:r>
      <w:r>
        <w:rPr>
          <w:rFonts w:ascii="宋体" w:hAnsi="宋体"/>
        </w:rPr>
        <w:t>另外，</w:t>
      </w:r>
      <w:r>
        <w:rPr>
          <w:rFonts w:hint="eastAsia" w:ascii="宋体" w:hAnsi="宋体"/>
        </w:rPr>
        <w:t>采用数据库复制技术将用户核心HIS、EMR系统数据库数据采用同步或异步方式复制到异地机房，此复制方式与硬件平台、系统平台无关，是基于数据库层面的一种备份方案。主数据库在遇到极端状况时，可以及时切换到备库，保证业务的连续性。</w:t>
      </w:r>
    </w:p>
    <w:p>
      <w:pPr>
        <w:pStyle w:val="118"/>
        <w:spacing w:beforeLines="50" w:afterLines="50"/>
        <w:ind w:left="0" w:firstLine="0"/>
        <w:rPr>
          <w:sz w:val="24"/>
          <w:szCs w:val="24"/>
        </w:rPr>
      </w:pPr>
      <w:bookmarkStart w:id="116" w:name="_Toc2707"/>
      <w:bookmarkStart w:id="117" w:name="_Toc481151202"/>
      <w:r>
        <w:rPr>
          <w:rFonts w:hint="eastAsia"/>
          <w:sz w:val="24"/>
          <w:szCs w:val="24"/>
        </w:rPr>
        <w:t>6 统一管理设计</w:t>
      </w:r>
      <w:bookmarkEnd w:id="116"/>
      <w:bookmarkEnd w:id="117"/>
    </w:p>
    <w:p>
      <w:pPr>
        <w:ind w:firstLine="560"/>
        <w:rPr>
          <w:rFonts w:ascii="宋体" w:hAnsi="宋体"/>
          <w:szCs w:val="21"/>
        </w:rPr>
      </w:pPr>
      <w:r>
        <w:rPr>
          <w:rFonts w:hint="eastAsia" w:ascii="宋体" w:hAnsi="宋体"/>
          <w:szCs w:val="21"/>
        </w:rPr>
        <w:t>采用统一的管理平台对全院所有有线、无线设备统一管理，轻松实现网络部署、流量监控、实时告警等管理功能。</w:t>
      </w:r>
    </w:p>
    <w:p>
      <w:pPr>
        <w:ind w:firstLine="560"/>
        <w:rPr>
          <w:rFonts w:ascii="宋体" w:hAnsi="宋体"/>
          <w:szCs w:val="21"/>
        </w:rPr>
      </w:pPr>
      <w:r>
        <w:rPr>
          <w:rFonts w:ascii="宋体" w:hAnsi="宋体"/>
          <w:szCs w:val="21"/>
        </w:rPr>
        <w:t>要求</w:t>
      </w:r>
      <w:r>
        <w:rPr>
          <w:rFonts w:hint="eastAsia" w:ascii="宋体" w:hAnsi="宋体"/>
          <w:szCs w:val="21"/>
        </w:rPr>
        <w:t>管理平台能够实现如下要求：</w:t>
      </w:r>
    </w:p>
    <w:p>
      <w:pPr>
        <w:pStyle w:val="120"/>
        <w:ind w:left="709" w:firstLine="0" w:firstLineChars="0"/>
        <w:jc w:val="both"/>
        <w:rPr>
          <w:rFonts w:ascii="宋体" w:hAnsi="宋体"/>
        </w:rPr>
      </w:pPr>
      <w:r>
        <w:rPr>
          <w:rFonts w:hint="eastAsia" w:ascii="宋体" w:hAnsi="宋体"/>
        </w:rPr>
        <w:t>(1)提供基于设备面板的设备、单板、端口配置功能，包括环境监控、设备基本信息、IGMP Snooping协议配置、VLAN接口管理、增加接口到VLAN、环回测试、硬件信息浏览、设备IPv6信息浏览、地址绑定、端口聚合管理、端口镜像管理、MSTP协议管理、设备监视、端口监视、OSPF信息浏览、BGP信息浏览、RIP信息浏览、L2/L3接口类型转换等功能。</w:t>
      </w:r>
    </w:p>
    <w:p>
      <w:pPr>
        <w:pStyle w:val="120"/>
        <w:ind w:left="709" w:firstLine="0" w:firstLineChars="0"/>
        <w:jc w:val="both"/>
        <w:rPr>
          <w:rFonts w:ascii="宋体" w:hAnsi="宋体"/>
        </w:rPr>
      </w:pPr>
      <w:r>
        <w:rPr>
          <w:rFonts w:hint="eastAsia" w:ascii="宋体" w:hAnsi="宋体"/>
        </w:rPr>
        <w:t>(2)为了便于网络管理，需提供包含拓扑自动发现、拓扑编辑及自定义、拓扑操作等。系统可根据子网中的二层设备自动绘制的拓扑图，在二层拓扑中显示出了各个设备之间的链路层连接关系（包括聚合链路）、链路状态、设备状态等网络结构和状态信息。</w:t>
      </w:r>
    </w:p>
    <w:p>
      <w:pPr>
        <w:pStyle w:val="120"/>
        <w:ind w:left="709" w:firstLine="0" w:firstLineChars="0"/>
        <w:jc w:val="both"/>
        <w:rPr>
          <w:rFonts w:ascii="宋体" w:hAnsi="宋体"/>
        </w:rPr>
      </w:pPr>
      <w:r>
        <w:rPr>
          <w:rFonts w:hint="eastAsia" w:ascii="宋体" w:hAnsi="宋体"/>
        </w:rPr>
        <w:t>(3)为了便于网络故障诊断，需要对设备性能管理，网络设备的性能综合监测和分析，应具有性能监测管理、性能数据管理、性能阈值门限管理、性能分析及展示等功能。可设置设备资源的CPU监视、内存监视、设备可用性、设备流量、接口流量指标是否监控；支持单个指标、具体实例的启动停止。</w:t>
      </w:r>
    </w:p>
    <w:p>
      <w:pPr>
        <w:pStyle w:val="120"/>
        <w:ind w:left="709" w:firstLine="0" w:firstLineChars="0"/>
        <w:jc w:val="both"/>
        <w:rPr>
          <w:rFonts w:ascii="宋体" w:hAnsi="宋体"/>
        </w:rPr>
      </w:pPr>
      <w:r>
        <w:rPr>
          <w:rFonts w:hint="eastAsia" w:ascii="宋体" w:hAnsi="宋体"/>
        </w:rPr>
        <w:t>(4)</w:t>
      </w:r>
      <w:r>
        <w:rPr>
          <w:rFonts w:ascii="宋体" w:hAnsi="宋体"/>
        </w:rPr>
        <w:t>提供基于拓扑的区域告警根源分析，提供告警关联分析，提供告警分组分析，有效屏蔽故障引起的海量表象告警，方便用户快速定位、查找故障根源，确认故障影响的范围。</w:t>
      </w:r>
    </w:p>
    <w:p>
      <w:pPr>
        <w:pStyle w:val="120"/>
        <w:ind w:left="709" w:firstLine="0" w:firstLineChars="0"/>
        <w:jc w:val="both"/>
        <w:rPr>
          <w:rFonts w:ascii="宋体" w:hAnsi="宋体"/>
        </w:rPr>
      </w:pPr>
      <w:r>
        <w:rPr>
          <w:rFonts w:hint="eastAsia" w:ascii="宋体" w:hAnsi="宋体"/>
        </w:rPr>
        <w:t>(5)无线管理系统需要提供在</w:t>
      </w:r>
      <w:r>
        <w:rPr>
          <w:rFonts w:ascii="宋体" w:hAnsi="宋体"/>
        </w:rPr>
        <w:t>拓扑图中对移动终端的信息进行查看，包括MAC地址、信号强度、发射速率集、RSSI、SSID、使用信道、所在AC设备、所在AP设备等，并能查看各移动终端的全部漫游记录，使用户随时了解最终接入用户的情况，并对其接入轨迹进行审计。</w:t>
      </w:r>
    </w:p>
    <w:p>
      <w:pPr>
        <w:pStyle w:val="120"/>
        <w:ind w:left="709" w:firstLine="0" w:firstLineChars="0"/>
        <w:jc w:val="both"/>
        <w:rPr>
          <w:rFonts w:ascii="宋体" w:hAnsi="宋体"/>
        </w:rPr>
      </w:pPr>
      <w:r>
        <w:rPr>
          <w:rFonts w:hint="eastAsia" w:ascii="宋体" w:hAnsi="宋体"/>
        </w:rPr>
        <w:t>(6)提供评估无线网络质量的途径，方便用户了解某区域内的AP工作情况及用户体验情况，根据评估结果及数据记录，用户可采取有效措施进行网络优化，改善网络质量。通过AP设备及移动终端的相关数据进行采集并汇总，根据任务阈值设置的AP及用户的评价标准对AP及用户进行评价，完成评估后可查看网络评估报告了解评估期间AP的工作情况及用户网络使用情况。无线网络管理系统提供丰富的评估报告，显示各位置视图下AP设备的总评信息、评估期间AP及用户各项统计指标的历史及汇总记录、以及相应的评价结果，可通过总评信息了解某位置下AP的整体工作情况，通过各查询条件迅速找到关心的AP及用户。</w:t>
      </w:r>
    </w:p>
    <w:p>
      <w:pPr>
        <w:pStyle w:val="120"/>
        <w:ind w:left="709" w:firstLine="0" w:firstLineChars="0"/>
        <w:jc w:val="both"/>
        <w:rPr>
          <w:rFonts w:ascii="宋体" w:hAnsi="宋体"/>
        </w:rPr>
      </w:pPr>
      <w:r>
        <w:rPr>
          <w:rFonts w:hint="eastAsia" w:ascii="宋体" w:hAnsi="宋体"/>
        </w:rPr>
        <w:t>(7)需要对网络流量进行分析，以便于对网络进行监控和管理。</w:t>
      </w:r>
      <w:bookmarkStart w:id="118" w:name="_Toc480901537"/>
      <w:bookmarkStart w:id="119" w:name="_Toc438225888"/>
    </w:p>
    <w:p>
      <w:pPr>
        <w:pStyle w:val="120"/>
        <w:ind w:left="709" w:firstLine="0" w:firstLineChars="0"/>
        <w:jc w:val="both"/>
        <w:rPr>
          <w:rFonts w:ascii="宋体" w:hAnsi="宋体"/>
        </w:rPr>
      </w:pPr>
      <w:r>
        <w:rPr>
          <w:rFonts w:hint="eastAsia" w:ascii="宋体" w:hAnsi="宋体"/>
        </w:rPr>
        <w:t>(8)提供中心机房的3D视图管理</w:t>
      </w:r>
      <w:bookmarkEnd w:id="118"/>
      <w:bookmarkEnd w:id="119"/>
      <w:r>
        <w:rPr>
          <w:rFonts w:hint="eastAsia" w:ascii="宋体" w:hAnsi="宋体"/>
        </w:rPr>
        <w:t>、机房环境监控，支持与第三方环境监控系统对接，可以获取温度、湿度、UPS、空调、配电柜、泄漏检测设备、门禁、烟感、新风机等监控系统的数据，并统一显示在3D机房管理图中。提供机房的3D绘制和设计工具。</w:t>
      </w:r>
    </w:p>
    <w:p>
      <w:pPr>
        <w:pStyle w:val="120"/>
        <w:ind w:left="1129" w:firstLine="0" w:firstLineChars="0"/>
        <w:rPr>
          <w:rFonts w:ascii="宋体" w:hAnsi="宋体"/>
        </w:rPr>
        <w:sectPr>
          <w:headerReference r:id="rId4" w:type="default"/>
          <w:footerReference r:id="rId5" w:type="default"/>
          <w:type w:val="continuous"/>
          <w:pgSz w:w="11906" w:h="16838"/>
          <w:pgMar w:top="1559" w:right="1826" w:bottom="1246" w:left="1797" w:header="1304" w:footer="828" w:gutter="0"/>
          <w:pgNumType w:fmt="numberInDash"/>
          <w:cols w:space="720" w:num="1"/>
          <w:docGrid w:type="lines" w:linePitch="312" w:charSpace="0"/>
        </w:sectPr>
      </w:pPr>
    </w:p>
    <w:p>
      <w:pPr>
        <w:pStyle w:val="118"/>
        <w:ind w:left="0" w:firstLine="0"/>
        <w:rPr>
          <w:sz w:val="24"/>
          <w:szCs w:val="24"/>
        </w:rPr>
      </w:pPr>
      <w:bookmarkStart w:id="120" w:name="_Toc298233379"/>
      <w:bookmarkEnd w:id="120"/>
      <w:bookmarkStart w:id="121" w:name="_Toc487725191"/>
      <w:bookmarkStart w:id="122" w:name="_Toc4498"/>
      <w:r>
        <w:rPr>
          <w:rFonts w:hint="eastAsia"/>
          <w:sz w:val="24"/>
          <w:szCs w:val="24"/>
        </w:rPr>
        <w:t>7 经费预算清单</w:t>
      </w:r>
      <w:bookmarkEnd w:id="121"/>
      <w:bookmarkEnd w:id="122"/>
    </w:p>
    <w:p>
      <w:pPr>
        <w:pStyle w:val="3"/>
        <w:rPr>
          <w:b w:val="0"/>
          <w:bCs/>
          <w:sz w:val="24"/>
        </w:rPr>
      </w:pPr>
      <w:bookmarkStart w:id="123" w:name="_Toc487725192"/>
      <w:bookmarkStart w:id="124" w:name="_Toc2892"/>
      <w:r>
        <w:rPr>
          <w:rFonts w:hint="eastAsia"/>
          <w:b w:val="0"/>
          <w:bCs/>
          <w:sz w:val="24"/>
        </w:rPr>
        <w:t>7.1 硬件系统预算</w:t>
      </w:r>
      <w:bookmarkEnd w:id="123"/>
      <w:bookmarkEnd w:id="124"/>
    </w:p>
    <w:p>
      <w:pPr>
        <w:ind w:firstLine="420" w:firstLineChars="200"/>
      </w:pPr>
      <w:r>
        <w:rPr>
          <w:rFonts w:hint="eastAsia"/>
        </w:rPr>
        <w:t>温州医科大学附属第二医院台州院区医院数据中心建设硬件平台包含服务器、存储、网络、无线、信息安全等部分。同时为确保各硬件平台能够顺利实施及落地，本次项目将采用分标段方式进行采购。</w:t>
      </w:r>
    </w:p>
    <w:p>
      <w:pPr>
        <w:pStyle w:val="3"/>
        <w:tabs>
          <w:tab w:val="left" w:pos="432"/>
        </w:tabs>
        <w:rPr>
          <w:rFonts w:ascii="宋体" w:hAnsi="宋体" w:cs="宋体"/>
          <w:b w:val="0"/>
          <w:bCs/>
          <w:kern w:val="0"/>
        </w:rPr>
      </w:pPr>
      <w:bookmarkStart w:id="125" w:name="_Toc2219"/>
      <w:bookmarkStart w:id="126" w:name="_Toc500849951"/>
      <w:r>
        <w:rPr>
          <w:rFonts w:hint="eastAsia"/>
          <w:b w:val="0"/>
          <w:bCs/>
          <w:sz w:val="24"/>
        </w:rPr>
        <w:t>7.2 详细</w:t>
      </w:r>
      <w:r>
        <w:rPr>
          <w:b w:val="0"/>
          <w:bCs/>
          <w:sz w:val="24"/>
        </w:rPr>
        <w:t>设备清单</w:t>
      </w:r>
      <w:bookmarkEnd w:id="125"/>
      <w:bookmarkEnd w:id="126"/>
    </w:p>
    <w:tbl>
      <w:tblPr>
        <w:tblStyle w:val="35"/>
        <w:tblW w:w="8372" w:type="dxa"/>
        <w:jc w:val="center"/>
        <w:tblInd w:w="0" w:type="dxa"/>
        <w:tblLayout w:type="fixed"/>
        <w:tblCellMar>
          <w:top w:w="0" w:type="dxa"/>
          <w:left w:w="108" w:type="dxa"/>
          <w:bottom w:w="0" w:type="dxa"/>
          <w:right w:w="108" w:type="dxa"/>
        </w:tblCellMar>
      </w:tblPr>
      <w:tblGrid>
        <w:gridCol w:w="679"/>
        <w:gridCol w:w="1134"/>
        <w:gridCol w:w="4744"/>
        <w:gridCol w:w="1125"/>
        <w:gridCol w:w="690"/>
      </w:tblGrid>
      <w:tr>
        <w:tblPrEx>
          <w:tblLayout w:type="fixed"/>
          <w:tblCellMar>
            <w:top w:w="0" w:type="dxa"/>
            <w:left w:w="108" w:type="dxa"/>
            <w:bottom w:w="0" w:type="dxa"/>
            <w:right w:w="108" w:type="dxa"/>
          </w:tblCellMar>
        </w:tblPrEx>
        <w:trPr>
          <w:trHeight w:val="270" w:hRule="atLeast"/>
          <w:jc w:val="center"/>
        </w:trPr>
        <w:tc>
          <w:tcPr>
            <w:tcW w:w="67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Cs w:val="21"/>
              </w:rPr>
            </w:pPr>
            <w:bookmarkStart w:id="127" w:name="RANGE!A1"/>
            <w:r>
              <w:rPr>
                <w:rFonts w:hint="eastAsia" w:ascii="宋体" w:hAnsi="宋体" w:cs="宋体"/>
                <w:b/>
                <w:bCs/>
                <w:color w:val="000000"/>
                <w:kern w:val="0"/>
                <w:szCs w:val="21"/>
              </w:rPr>
              <w:t>序号</w:t>
            </w:r>
            <w:bookmarkEnd w:id="127"/>
          </w:p>
        </w:tc>
        <w:tc>
          <w:tcPr>
            <w:tcW w:w="113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产品名称</w:t>
            </w:r>
          </w:p>
        </w:tc>
        <w:tc>
          <w:tcPr>
            <w:tcW w:w="474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产品配置描述</w:t>
            </w:r>
          </w:p>
        </w:tc>
        <w:tc>
          <w:tcPr>
            <w:tcW w:w="112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功能要求</w:t>
            </w:r>
          </w:p>
        </w:tc>
        <w:tc>
          <w:tcPr>
            <w:tcW w:w="69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数量</w:t>
            </w:r>
          </w:p>
        </w:tc>
      </w:tr>
      <w:tr>
        <w:tblPrEx>
          <w:tblLayout w:type="fixed"/>
          <w:tblCellMar>
            <w:top w:w="0" w:type="dxa"/>
            <w:left w:w="108" w:type="dxa"/>
            <w:bottom w:w="0" w:type="dxa"/>
            <w:right w:w="108" w:type="dxa"/>
          </w:tblCellMar>
        </w:tblPrEx>
        <w:trPr>
          <w:trHeight w:val="1275"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网络控制器</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软件定义网络控制器，实现网络设备自部署上线，控制用户灵活接入等功能。支持Windows、Linux平台及MS SQL、Oracle数据库，支持B/S架构。本次配置3个集群节点服务器，配置250个有线设备管理授权</w:t>
            </w:r>
            <w:r>
              <w:rPr>
                <w:rFonts w:hint="eastAsia" w:ascii="宋体" w:hAnsi="宋体" w:cs="宋体"/>
                <w:kern w:val="0"/>
                <w:szCs w:val="21"/>
              </w:rPr>
              <w:t>，配置400个普通无线AP管理授权，配置160个分体AP管理授权，配置200</w:t>
            </w:r>
            <w:r>
              <w:rPr>
                <w:rFonts w:hint="eastAsia" w:ascii="宋体" w:hAnsi="宋体" w:cs="宋体"/>
                <w:color w:val="000000"/>
                <w:kern w:val="0"/>
                <w:szCs w:val="21"/>
              </w:rPr>
              <w:t>0个终端准入认证授权，配置2000个终端识别授权；三年原厂保修服务；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1套</w:t>
            </w:r>
          </w:p>
        </w:tc>
      </w:tr>
      <w:tr>
        <w:tblPrEx>
          <w:tblLayout w:type="fixed"/>
          <w:tblCellMar>
            <w:top w:w="0" w:type="dxa"/>
            <w:left w:w="108" w:type="dxa"/>
            <w:bottom w:w="0" w:type="dxa"/>
            <w:right w:w="108" w:type="dxa"/>
          </w:tblCellMar>
        </w:tblPrEx>
        <w:trPr>
          <w:trHeight w:val="102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核心交换机</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采用Clos架构，整机≥8个扩展插槽；支持SDN网络协议并配置功能许可；整机交换容量(以官网标注 的最小值为准)≥30Tbps，包转发率≥36000Mpps；本次单台配置双引擎、冗余电源和风扇、满配交换矩阵、56个万兆光口、40个千兆光口、48个千兆电口，配置1条万兆堆叠线缆；三年原厂保修服务；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2台</w:t>
            </w:r>
          </w:p>
        </w:tc>
      </w:tr>
      <w:tr>
        <w:tblPrEx>
          <w:tblLayout w:type="fixed"/>
          <w:tblCellMar>
            <w:top w:w="0" w:type="dxa"/>
            <w:left w:w="108" w:type="dxa"/>
            <w:bottom w:w="0" w:type="dxa"/>
            <w:right w:w="108" w:type="dxa"/>
          </w:tblCellMar>
        </w:tblPrEx>
        <w:trPr>
          <w:trHeight w:val="765"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汇聚交换机</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支持SDN网络协议并配置功能许可；整机≥4个扩展插槽；整机交换容量≥</w:t>
            </w:r>
            <w:r>
              <w:rPr>
                <w:rFonts w:hint="eastAsia" w:ascii="宋体" w:hAnsi="宋体" w:cs="宋体"/>
                <w:color w:val="FF0000"/>
                <w:kern w:val="0"/>
                <w:szCs w:val="21"/>
                <w:lang w:val="en-US" w:eastAsia="zh-CN"/>
              </w:rPr>
              <w:t>48</w:t>
            </w:r>
            <w:r>
              <w:rPr>
                <w:rFonts w:hint="eastAsia" w:ascii="宋体" w:hAnsi="宋体" w:cs="宋体"/>
                <w:color w:val="FF0000"/>
                <w:kern w:val="0"/>
                <w:szCs w:val="21"/>
              </w:rPr>
              <w:t>Tbps</w:t>
            </w:r>
            <w:r>
              <w:rPr>
                <w:rFonts w:hint="eastAsia" w:ascii="宋体" w:hAnsi="宋体" w:cs="宋体"/>
                <w:color w:val="000000"/>
                <w:kern w:val="0"/>
                <w:szCs w:val="21"/>
              </w:rPr>
              <w:t>，包转发率≥12000Mpps；本次单台配置冗余电源和风扇；配置48个万兆光口、4个40G光口；配置1条40堆叠线缆；三年原厂保修服务；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12台</w:t>
            </w:r>
          </w:p>
        </w:tc>
      </w:tr>
      <w:tr>
        <w:tblPrEx>
          <w:tblLayout w:type="fixed"/>
          <w:tblCellMar>
            <w:top w:w="0" w:type="dxa"/>
            <w:left w:w="108" w:type="dxa"/>
            <w:bottom w:w="0" w:type="dxa"/>
            <w:right w:w="108" w:type="dxa"/>
          </w:tblCellMar>
        </w:tblPrEx>
        <w:trPr>
          <w:trHeight w:val="51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48口接入交换机</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支持SDN网络协议并配置功能许可；整机交换容量≥336Gbps，包转发率≥132Mpps；支持48个千兆电口和4个万兆光口，本次单台配置1条万兆堆叠线缆；三年原厂保修服务；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93台</w:t>
            </w:r>
          </w:p>
        </w:tc>
      </w:tr>
      <w:tr>
        <w:tblPrEx>
          <w:tblLayout w:type="fixed"/>
          <w:tblCellMar>
            <w:top w:w="0" w:type="dxa"/>
            <w:left w:w="108" w:type="dxa"/>
            <w:bottom w:w="0" w:type="dxa"/>
            <w:right w:w="108" w:type="dxa"/>
          </w:tblCellMar>
        </w:tblPrEx>
        <w:trPr>
          <w:trHeight w:val="51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24口接入交换机</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支持SDN网络协议并配置功能许可；整机交换容量≥336GTbps，包转发率≥96Mpps；支持24个千兆电口和4个万兆光口，本次单台配置1条万兆堆叠线缆；三年原厂保修服务；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32台</w:t>
            </w:r>
          </w:p>
        </w:tc>
      </w:tr>
      <w:tr>
        <w:tblPrEx>
          <w:tblLayout w:type="fixed"/>
          <w:tblCellMar>
            <w:top w:w="0" w:type="dxa"/>
            <w:left w:w="108" w:type="dxa"/>
            <w:bottom w:w="0" w:type="dxa"/>
            <w:right w:w="108" w:type="dxa"/>
          </w:tblCellMar>
        </w:tblPrEx>
        <w:trPr>
          <w:trHeight w:val="765"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48口POE交换机</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支持SDN网络协议并配置功能许可；整机交换容量≥336Gbps，包转发率≥1</w:t>
            </w:r>
            <w:r>
              <w:rPr>
                <w:rFonts w:ascii="宋体" w:hAnsi="宋体" w:cs="宋体"/>
                <w:color w:val="000000"/>
                <w:kern w:val="0"/>
                <w:szCs w:val="21"/>
              </w:rPr>
              <w:t>66</w:t>
            </w:r>
            <w:r>
              <w:rPr>
                <w:rFonts w:hint="eastAsia" w:ascii="宋体" w:hAnsi="宋体" w:cs="宋体"/>
                <w:color w:val="000000"/>
                <w:kern w:val="0"/>
                <w:szCs w:val="21"/>
              </w:rPr>
              <w:t>Mpps；支持48个千兆电口和4个万兆光口，本次单台配置1条万兆堆叠线缆；支持POE和POE+，整机输出功率≥800w；三年原厂保修服务；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5台</w:t>
            </w:r>
          </w:p>
        </w:tc>
      </w:tr>
      <w:tr>
        <w:tblPrEx>
          <w:tblLayout w:type="fixed"/>
          <w:tblCellMar>
            <w:top w:w="0" w:type="dxa"/>
            <w:left w:w="108" w:type="dxa"/>
            <w:bottom w:w="0" w:type="dxa"/>
            <w:right w:w="108" w:type="dxa"/>
          </w:tblCellMar>
        </w:tblPrEx>
        <w:trPr>
          <w:trHeight w:val="765"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24口POE交换机</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支持SDN网络协议并配置功能许可；整机交换容量≥336GTbps，包转发率≥96Mpps；支持24个千兆电口和4个万兆光口，本次单台配置1条万兆堆叠线缆；支持POE和POE+，整机输出功率≥370w；三年原厂保修服务；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20台</w:t>
            </w:r>
          </w:p>
        </w:tc>
      </w:tr>
      <w:tr>
        <w:tblPrEx>
          <w:tblLayout w:type="fixed"/>
          <w:tblCellMar>
            <w:top w:w="0" w:type="dxa"/>
            <w:left w:w="108" w:type="dxa"/>
            <w:bottom w:w="0" w:type="dxa"/>
            <w:right w:w="108" w:type="dxa"/>
          </w:tblCellMar>
        </w:tblPrEx>
        <w:trPr>
          <w:trHeight w:val="51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万兆单模光模块</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汇聚和核心互联使用，LC接口，传输距离10KM；</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40个</w:t>
            </w:r>
          </w:p>
        </w:tc>
      </w:tr>
      <w:tr>
        <w:tblPrEx>
          <w:tblLayout w:type="fixed"/>
          <w:tblCellMar>
            <w:top w:w="0" w:type="dxa"/>
            <w:left w:w="108" w:type="dxa"/>
            <w:bottom w:w="0" w:type="dxa"/>
            <w:right w:w="108" w:type="dxa"/>
          </w:tblCellMar>
        </w:tblPrEx>
        <w:trPr>
          <w:trHeight w:val="51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万兆多模光模块</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汇聚与接入、服务器互联使用，LC接口，传输距离300m；</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400个</w:t>
            </w:r>
          </w:p>
        </w:tc>
      </w:tr>
      <w:tr>
        <w:tblPrEx>
          <w:tblLayout w:type="fixed"/>
          <w:tblCellMar>
            <w:top w:w="0" w:type="dxa"/>
            <w:left w:w="108" w:type="dxa"/>
            <w:bottom w:w="0" w:type="dxa"/>
            <w:right w:w="108" w:type="dxa"/>
          </w:tblCellMar>
        </w:tblPrEx>
        <w:trPr>
          <w:trHeight w:val="51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千兆单模光模块</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汇聚与室外交换机互联使用，LC接口，传输距离10km；</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10个</w:t>
            </w:r>
          </w:p>
        </w:tc>
      </w:tr>
      <w:tr>
        <w:tblPrEx>
          <w:tblLayout w:type="fixed"/>
          <w:tblCellMar>
            <w:top w:w="0" w:type="dxa"/>
            <w:left w:w="108" w:type="dxa"/>
            <w:bottom w:w="0" w:type="dxa"/>
            <w:right w:w="108" w:type="dxa"/>
          </w:tblCellMar>
        </w:tblPrEx>
        <w:trPr>
          <w:trHeight w:val="51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千兆多模光模块</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LC接口，传输距离500m；</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50个</w:t>
            </w:r>
          </w:p>
        </w:tc>
      </w:tr>
      <w:tr>
        <w:tblPrEx>
          <w:tblLayout w:type="fixed"/>
          <w:tblCellMar>
            <w:top w:w="0" w:type="dxa"/>
            <w:left w:w="108" w:type="dxa"/>
            <w:bottom w:w="0" w:type="dxa"/>
            <w:right w:w="108" w:type="dxa"/>
          </w:tblCellMar>
        </w:tblPrEx>
        <w:trPr>
          <w:trHeight w:val="51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无线控制器</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支持6个千兆光电复用端口和2个万兆光口；最大可管理1024个AP；本次配置512个AP授权函，配置冗余电源，配置堆叠模块和线缆；三年原厂保修服务；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2台</w:t>
            </w:r>
          </w:p>
        </w:tc>
      </w:tr>
      <w:tr>
        <w:tblPrEx>
          <w:tblLayout w:type="fixed"/>
          <w:tblCellMar>
            <w:top w:w="0" w:type="dxa"/>
            <w:left w:w="108" w:type="dxa"/>
            <w:bottom w:w="0" w:type="dxa"/>
            <w:right w:w="108" w:type="dxa"/>
          </w:tblCellMar>
        </w:tblPrEx>
        <w:trPr>
          <w:trHeight w:val="51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放装AP</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 802.11ac wave2协议，同时支持2.4和5G双频；内置天线，支持2个千兆电口；三年原厂保修服务；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360台</w:t>
            </w:r>
          </w:p>
        </w:tc>
      </w:tr>
      <w:tr>
        <w:tblPrEx>
          <w:tblLayout w:type="fixed"/>
          <w:tblCellMar>
            <w:top w:w="0" w:type="dxa"/>
            <w:left w:w="108" w:type="dxa"/>
            <w:bottom w:w="0" w:type="dxa"/>
            <w:right w:w="108" w:type="dxa"/>
          </w:tblCellMar>
        </w:tblPrEx>
        <w:trPr>
          <w:trHeight w:val="51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14</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高密AP</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 802.11ac wave2 协议，支持3射频组网，同时支持2.4和5G双频；内置天线，支持2个千兆电口；三年原厂保修服务；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10台</w:t>
            </w:r>
          </w:p>
        </w:tc>
      </w:tr>
      <w:tr>
        <w:tblPrEx>
          <w:tblLayout w:type="fixed"/>
          <w:tblCellMar>
            <w:top w:w="0" w:type="dxa"/>
            <w:left w:w="108" w:type="dxa"/>
            <w:bottom w:w="0" w:type="dxa"/>
            <w:right w:w="108" w:type="dxa"/>
          </w:tblCellMar>
        </w:tblPrEx>
        <w:trPr>
          <w:trHeight w:val="51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本体AP</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吞吐量24Gbps；24个10/100/1000M电口和4个万兆千兆自适应光口；整机最大输出功耗240W，每端口最大功率输出14W；最多支持接入24个分体AP；原厂三年质保服务；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10台</w:t>
            </w:r>
          </w:p>
        </w:tc>
      </w:tr>
      <w:tr>
        <w:tblPrEx>
          <w:tblLayout w:type="fixed"/>
          <w:tblCellMar>
            <w:top w:w="0" w:type="dxa"/>
            <w:left w:w="108" w:type="dxa"/>
            <w:bottom w:w="0" w:type="dxa"/>
            <w:right w:w="108" w:type="dxa"/>
          </w:tblCellMar>
        </w:tblPrEx>
        <w:trPr>
          <w:trHeight w:val="102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分体AP</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配置4个千兆电口，提供1个IOT端口，1个RJ45 透传接口，1个上行口；支持802.3af/802.3at兼容供电；支持2.4和5G双频，最大发射功率23dBm；内置低辐射全向天线(基础增益2dBi)；2条空间流数(Streams)，支持802.11ac Wave2；原厂三年质保服务；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160台</w:t>
            </w:r>
          </w:p>
        </w:tc>
      </w:tr>
      <w:tr>
        <w:tblPrEx>
          <w:tblLayout w:type="fixed"/>
          <w:tblCellMar>
            <w:top w:w="0" w:type="dxa"/>
            <w:left w:w="108" w:type="dxa"/>
            <w:bottom w:w="0" w:type="dxa"/>
            <w:right w:w="108" w:type="dxa"/>
          </w:tblCellMar>
        </w:tblPrEx>
        <w:trPr>
          <w:trHeight w:val="51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室外AP</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 802.11ac wave2 协议，支持IP68防护等级，同时支持2.4和5G双频；内置天线，支持2个千兆电口；配置室外安装套件；三年原厂保修服务；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10台</w:t>
            </w:r>
          </w:p>
        </w:tc>
      </w:tr>
      <w:tr>
        <w:tblPrEx>
          <w:tblLayout w:type="fixed"/>
          <w:tblCellMar>
            <w:top w:w="0" w:type="dxa"/>
            <w:left w:w="108" w:type="dxa"/>
            <w:bottom w:w="0" w:type="dxa"/>
            <w:right w:w="108" w:type="dxa"/>
          </w:tblCellMar>
        </w:tblPrEx>
        <w:trPr>
          <w:trHeight w:val="51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网络管理系统</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支持无线设备管理，兼容主流第三方AP，配置≥1000个无线设备管理授权，支持≥2000个终端在线认证；三年原厂保修服务；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1套</w:t>
            </w:r>
          </w:p>
        </w:tc>
      </w:tr>
      <w:tr>
        <w:tblPrEx>
          <w:tblLayout w:type="fixed"/>
          <w:tblCellMar>
            <w:top w:w="0" w:type="dxa"/>
            <w:left w:w="108" w:type="dxa"/>
            <w:bottom w:w="0" w:type="dxa"/>
            <w:right w:w="108" w:type="dxa"/>
          </w:tblCellMar>
        </w:tblPrEx>
        <w:trPr>
          <w:trHeight w:val="1275"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19</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互联网出口下一代防火墙</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U机架式机型，标配6个10/100/1000MBase-T端口，4个SFP扩展插槽，4个SFP光模块；模块化冗余电源；链路聚合、智能DNS、防火墙安全防护、虚拟系统、用户认证与管控、应用识别与管控、带宽管控、连接数控制、访问控制策略、DDOS攻击防御、文件过滤、内容过滤、审计报表、监控统计等；整机吞吐率：&gt;12Gbps；应用层吞吐率：4Gbps；最大并发连接数：&gt;400W，配置IDP攻击规则特征库三年许可，三年原厂保修</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ascii="宋体" w:hAnsi="宋体" w:cs="宋体"/>
                <w:color w:val="000000"/>
                <w:kern w:val="0"/>
                <w:szCs w:val="21"/>
              </w:rPr>
              <w:t>1</w:t>
            </w:r>
            <w:r>
              <w:rPr>
                <w:rFonts w:hint="eastAsia" w:ascii="宋体" w:hAnsi="宋体" w:cs="宋体"/>
                <w:color w:val="000000"/>
                <w:kern w:val="0"/>
                <w:szCs w:val="21"/>
              </w:rPr>
              <w:t>台</w:t>
            </w:r>
          </w:p>
        </w:tc>
      </w:tr>
      <w:tr>
        <w:tblPrEx>
          <w:tblLayout w:type="fixed"/>
          <w:tblCellMar>
            <w:top w:w="0" w:type="dxa"/>
            <w:left w:w="108" w:type="dxa"/>
            <w:bottom w:w="0" w:type="dxa"/>
            <w:right w:w="108" w:type="dxa"/>
          </w:tblCellMar>
        </w:tblPrEx>
        <w:trPr>
          <w:trHeight w:val="1275"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互联网上网行为管理</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吞吐量1G；IPSEC VPN性能100Mb；支持用户数4000；支持超过4700条应用规则数，支持超过2100种以上的应用，660种以上移动应用，并保持每两个星期更新一次；支持URL智能识别；支持审计功能；支持流控功能；2U尺寸，4G内存，1TB硬盘， 单电源，2对ByPass口，4电4光接口 ，1个串口(RJ45) ，2个USB2.0；含三年特征库升级及三年保修服务；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1台</w:t>
            </w:r>
          </w:p>
        </w:tc>
      </w:tr>
      <w:tr>
        <w:tblPrEx>
          <w:tblLayout w:type="fixed"/>
          <w:tblCellMar>
            <w:top w:w="0" w:type="dxa"/>
            <w:left w:w="108" w:type="dxa"/>
            <w:bottom w:w="0" w:type="dxa"/>
            <w:right w:w="108" w:type="dxa"/>
          </w:tblCellMar>
        </w:tblPrEx>
        <w:trPr>
          <w:trHeight w:val="274"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21</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外联区域安全防火墙</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U机架式机型，标配6个10/100/1000MBase-T端口，4个SFP扩展插槽，4个SFP光模块；模块化冗余电源；链路聚合、智能DNS、防火墙安全防护、虚拟系统、用户认证与管控、应用识别与管控、带宽管控、连接数控制、访问控制策略、DDOS攻击防御、文件过滤、内容过滤、审计报表、监控统计等；整机吞吐率：&gt;12Gbps；应用层吞吐率：4Gbps；最大并发连接数：&gt;400W，配置IDP攻击规则特征库三年许可，三年原厂保修</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ascii="宋体" w:hAnsi="宋体" w:cs="宋体"/>
                <w:kern w:val="0"/>
                <w:szCs w:val="21"/>
              </w:rPr>
              <w:t>2</w:t>
            </w:r>
            <w:r>
              <w:rPr>
                <w:rFonts w:hint="eastAsia" w:ascii="宋体" w:hAnsi="宋体" w:cs="宋体"/>
                <w:kern w:val="0"/>
                <w:szCs w:val="21"/>
              </w:rPr>
              <w:t>台</w:t>
            </w:r>
          </w:p>
        </w:tc>
      </w:tr>
      <w:tr>
        <w:tblPrEx>
          <w:tblLayout w:type="fixed"/>
          <w:tblCellMar>
            <w:top w:w="0" w:type="dxa"/>
            <w:left w:w="108" w:type="dxa"/>
            <w:bottom w:w="0" w:type="dxa"/>
            <w:right w:w="108" w:type="dxa"/>
          </w:tblCellMar>
        </w:tblPrEx>
        <w:trPr>
          <w:trHeight w:val="765"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22</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防病毒软件</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支持Windows Embedded POSReady 2009、Windows Embedded Enterprise（Windows 7、Vista 和 XP 版本）、Windows Server Core 2008等主流操作系统，本次配置1000个客户端授权，50个服务器端；三年升级服务；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1套</w:t>
            </w:r>
          </w:p>
        </w:tc>
      </w:tr>
      <w:tr>
        <w:tblPrEx>
          <w:tblLayout w:type="fixed"/>
          <w:tblCellMar>
            <w:top w:w="0" w:type="dxa"/>
            <w:left w:w="108" w:type="dxa"/>
            <w:bottom w:w="0" w:type="dxa"/>
            <w:right w:w="108" w:type="dxa"/>
          </w:tblCellMar>
        </w:tblPrEx>
        <w:trPr>
          <w:trHeight w:val="765"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23</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日志审计系统</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2U机架式设备，交流供电，4个工作口，2个管理口；支持审计100个日志源；平均处理能力（每秒日志解析能力EPS）：4000EPS；峰值处理能力（每秒日志解析能力EPS）：5000EPS。三年升级服务；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1台</w:t>
            </w:r>
          </w:p>
        </w:tc>
      </w:tr>
      <w:tr>
        <w:tblPrEx>
          <w:tblLayout w:type="fixed"/>
          <w:tblCellMar>
            <w:top w:w="0" w:type="dxa"/>
            <w:left w:w="108" w:type="dxa"/>
            <w:bottom w:w="0" w:type="dxa"/>
            <w:right w:w="108" w:type="dxa"/>
          </w:tblCellMar>
        </w:tblPrEx>
        <w:trPr>
          <w:trHeight w:val="765"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24</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桌面管理系统</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支持并配置移动介质管理、非法外联控制、资产管理、补丁管理、应用管理、远程协助等功能许可；提供1000个终端管理许可；三年保修服务；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1台</w:t>
            </w:r>
          </w:p>
        </w:tc>
      </w:tr>
      <w:tr>
        <w:tblPrEx>
          <w:tblLayout w:type="fixed"/>
          <w:tblCellMar>
            <w:top w:w="0" w:type="dxa"/>
            <w:left w:w="108" w:type="dxa"/>
            <w:bottom w:w="0" w:type="dxa"/>
            <w:right w:w="108" w:type="dxa"/>
          </w:tblCellMar>
        </w:tblPrEx>
        <w:trPr>
          <w:trHeight w:val="912"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25</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内网核心防火墙</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U机架式机型，标配6个10/100/1000MBase-T端口，2个SFP扩展插槽，4个万兆光口，4个光模块；链路聚合、智能DNS、防火墙安全防护、虚拟系统、用户认证与管控、应用识别与管控、带宽管控、连接数控制、访问控制策略、DDOS攻击防御、文件过滤、内容过滤、审计报表、监控统计等；整机吞吐率：&gt;16Gbps；应用层吞吐率：8Gbps；最大并发连接数：&gt;800W，配置IDP攻击规则特征库三年许可，三年原厂保修</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2台</w:t>
            </w:r>
          </w:p>
        </w:tc>
      </w:tr>
      <w:tr>
        <w:tblPrEx>
          <w:tblLayout w:type="fixed"/>
          <w:tblCellMar>
            <w:top w:w="0" w:type="dxa"/>
            <w:left w:w="108" w:type="dxa"/>
            <w:bottom w:w="0" w:type="dxa"/>
            <w:right w:w="108" w:type="dxa"/>
          </w:tblCellMar>
        </w:tblPrEx>
        <w:trPr>
          <w:trHeight w:val="48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26</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运维堡垒机</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1U机架式结构，可用存储容量2TB，4个千兆电口，系统图形并发80，字符并发180。本次配置100个设备授权，三年保修服务；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1台</w:t>
            </w:r>
          </w:p>
        </w:tc>
      </w:tr>
      <w:tr>
        <w:tblPrEx>
          <w:tblLayout w:type="fixed"/>
          <w:tblCellMar>
            <w:top w:w="0" w:type="dxa"/>
            <w:left w:w="108" w:type="dxa"/>
            <w:bottom w:w="0" w:type="dxa"/>
            <w:right w:w="108" w:type="dxa"/>
          </w:tblCellMar>
        </w:tblPrEx>
        <w:trPr>
          <w:trHeight w:val="72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27</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数据库审计</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1U机架式设备，硬盘可用容量1TB, 支持RAID0、RAID1；提供4个千兆电口；整机吞吐量1Gbps，日处理业务操作数2亿条，数据采集1万条/秒，审计日志检索1500万条/秒；三年保修服务；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1台</w:t>
            </w:r>
          </w:p>
        </w:tc>
      </w:tr>
      <w:tr>
        <w:tblPrEx>
          <w:tblLayout w:type="fixed"/>
          <w:tblCellMar>
            <w:top w:w="0" w:type="dxa"/>
            <w:left w:w="108" w:type="dxa"/>
            <w:bottom w:w="0" w:type="dxa"/>
            <w:right w:w="108" w:type="dxa"/>
          </w:tblCellMar>
        </w:tblPrEx>
        <w:trPr>
          <w:trHeight w:val="96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28</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应用负载均衡</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吞吐量最大可扩展至26Gbps，提供2个万兆光口和8个千兆电口；四层并发会话数12M，每秒新建778000，每秒七层请求1100000；配置动态就近性选路功能、2个VDC许可、web应用加速功能、全局负载均衡功能、服务器负载功能；支持流量透明转发，7层应用分发功能；三年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2台</w:t>
            </w:r>
          </w:p>
        </w:tc>
      </w:tr>
      <w:tr>
        <w:tblPrEx>
          <w:tblLayout w:type="fixed"/>
          <w:tblCellMar>
            <w:top w:w="0" w:type="dxa"/>
            <w:left w:w="108" w:type="dxa"/>
            <w:bottom w:w="0" w:type="dxa"/>
            <w:right w:w="108" w:type="dxa"/>
          </w:tblCellMar>
        </w:tblPrEx>
        <w:trPr>
          <w:trHeight w:val="48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29</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数据库服务器</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4*E7-4830 v4，256G DDR4 2400内存，2块600G 15K SAS,2块双口万兆SFP+网卡，2块单口16G FC HBA卡，冗余电源风扇。三年保修服务；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2台</w:t>
            </w:r>
          </w:p>
        </w:tc>
      </w:tr>
      <w:tr>
        <w:tblPrEx>
          <w:tblLayout w:type="fixed"/>
          <w:tblCellMar>
            <w:top w:w="0" w:type="dxa"/>
            <w:left w:w="108" w:type="dxa"/>
            <w:bottom w:w="0" w:type="dxa"/>
            <w:right w:w="108" w:type="dxa"/>
          </w:tblCellMar>
        </w:tblPrEx>
        <w:trPr>
          <w:trHeight w:val="72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30</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数据库存储</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同时支持并提供NAS、IP SAN和FC SAN模式，控制器数量≥2；配置控制器缓存≥96GB；本次配置5块400G SSD硬盘作为数据缓存，配置20块1.8T 10K硬盘；三年保修服务；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3台</w:t>
            </w:r>
          </w:p>
        </w:tc>
      </w:tr>
      <w:tr>
        <w:tblPrEx>
          <w:tblLayout w:type="fixed"/>
          <w:tblCellMar>
            <w:top w:w="0" w:type="dxa"/>
            <w:left w:w="108" w:type="dxa"/>
            <w:bottom w:w="0" w:type="dxa"/>
            <w:right w:w="108" w:type="dxa"/>
          </w:tblCellMar>
        </w:tblPrEx>
        <w:trPr>
          <w:trHeight w:val="96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31</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双活存储虚拟化系统</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配置2个控制器，8个16Gb/s FC 主机接口，8个16Gb/s FC后端阵列接口。引擎互联采用IB互联，提高交换机速度，配置256GB 高速缓存，配置1TB容量许可和双活许可，三年保修服务；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2套</w:t>
            </w:r>
          </w:p>
        </w:tc>
      </w:tr>
      <w:tr>
        <w:tblPrEx>
          <w:tblLayout w:type="fixed"/>
          <w:tblCellMar>
            <w:top w:w="0" w:type="dxa"/>
            <w:left w:w="108" w:type="dxa"/>
            <w:bottom w:w="0" w:type="dxa"/>
            <w:right w:w="108" w:type="dxa"/>
          </w:tblCellMar>
        </w:tblPrEx>
        <w:trPr>
          <w:trHeight w:val="48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32</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存储光纤交换机一</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本次配置48个线速端口,激活48个许可；配置</w:t>
            </w:r>
            <w:r>
              <w:rPr>
                <w:rFonts w:ascii="宋体" w:hAnsi="宋体" w:cs="宋体"/>
                <w:color w:val="000000"/>
                <w:kern w:val="0"/>
                <w:szCs w:val="21"/>
              </w:rPr>
              <w:t>46</w:t>
            </w:r>
            <w:r>
              <w:rPr>
                <w:rFonts w:hint="eastAsia" w:ascii="宋体" w:hAnsi="宋体" w:cs="宋体"/>
                <w:color w:val="000000"/>
                <w:kern w:val="0"/>
                <w:szCs w:val="21"/>
              </w:rPr>
              <w:t xml:space="preserve">个16G FC模块和2个16G </w:t>
            </w:r>
            <w:r>
              <w:rPr>
                <w:rFonts w:ascii="宋体" w:hAnsi="宋体" w:cs="宋体"/>
                <w:color w:val="000000"/>
                <w:kern w:val="0"/>
                <w:szCs w:val="21"/>
              </w:rPr>
              <w:t xml:space="preserve">FC </w:t>
            </w:r>
            <w:r>
              <w:rPr>
                <w:rFonts w:hint="eastAsia" w:ascii="宋体" w:hAnsi="宋体" w:cs="宋体"/>
                <w:color w:val="000000"/>
                <w:kern w:val="0"/>
                <w:szCs w:val="21"/>
              </w:rPr>
              <w:t>10KM单模模块；三年保修服务；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2台</w:t>
            </w:r>
          </w:p>
        </w:tc>
      </w:tr>
      <w:tr>
        <w:tblPrEx>
          <w:tblLayout w:type="fixed"/>
          <w:tblCellMar>
            <w:top w:w="0" w:type="dxa"/>
            <w:left w:w="108" w:type="dxa"/>
            <w:bottom w:w="0" w:type="dxa"/>
            <w:right w:w="108" w:type="dxa"/>
          </w:tblCellMar>
        </w:tblPrEx>
        <w:trPr>
          <w:trHeight w:val="48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33</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存储光纤交换机二</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xml:space="preserve">本次配置48个线速端口,激活24个许可；配置22个16G FC模块和2个16G </w:t>
            </w:r>
            <w:r>
              <w:rPr>
                <w:rFonts w:ascii="宋体" w:hAnsi="宋体" w:cs="宋体"/>
                <w:color w:val="000000"/>
                <w:kern w:val="0"/>
                <w:szCs w:val="21"/>
              </w:rPr>
              <w:t xml:space="preserve">FC </w:t>
            </w:r>
            <w:r>
              <w:rPr>
                <w:rFonts w:hint="eastAsia" w:ascii="宋体" w:hAnsi="宋体" w:cs="宋体"/>
                <w:color w:val="000000"/>
                <w:kern w:val="0"/>
                <w:szCs w:val="21"/>
              </w:rPr>
              <w:t>10KM单模模块；三年保修服务；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2台</w:t>
            </w:r>
          </w:p>
        </w:tc>
      </w:tr>
      <w:tr>
        <w:tblPrEx>
          <w:tblLayout w:type="fixed"/>
          <w:tblCellMar>
            <w:top w:w="0" w:type="dxa"/>
            <w:left w:w="108" w:type="dxa"/>
            <w:bottom w:w="0" w:type="dxa"/>
            <w:right w:w="108" w:type="dxa"/>
          </w:tblCellMar>
        </w:tblPrEx>
        <w:trPr>
          <w:trHeight w:val="72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34</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虚拟化服务器</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2颗Intel E5-2630v4 CPU; 256GB ECC DDR4-2400内存； 2块600GB 10K SAS 2.5寸硬盘；集成双口万兆含SPF模块；2块单端口16GB光纤HBA卡；热插拔冗余电源和系统风扇；2U机架式;三年保修服务；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8台</w:t>
            </w:r>
          </w:p>
        </w:tc>
      </w:tr>
      <w:tr>
        <w:tblPrEx>
          <w:tblLayout w:type="fixed"/>
          <w:tblCellMar>
            <w:top w:w="0" w:type="dxa"/>
            <w:left w:w="108" w:type="dxa"/>
            <w:bottom w:w="0" w:type="dxa"/>
            <w:right w:w="108" w:type="dxa"/>
          </w:tblCellMar>
        </w:tblPrEx>
        <w:trPr>
          <w:trHeight w:val="48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35</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备份服务器</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2颗Intel E5-2630v4 CPU; 64GB ECC DDR4-2400内存； 8*6TB硬盘；集成双口万兆含SPF模块；热插拔冗余电源和系统风扇；2U机架式;三年保修服务；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1台</w:t>
            </w:r>
          </w:p>
        </w:tc>
      </w:tr>
      <w:tr>
        <w:tblPrEx>
          <w:tblLayout w:type="fixed"/>
          <w:tblCellMar>
            <w:top w:w="0" w:type="dxa"/>
            <w:left w:w="108" w:type="dxa"/>
            <w:bottom w:w="0" w:type="dxa"/>
            <w:right w:w="108" w:type="dxa"/>
          </w:tblCellMar>
        </w:tblPrEx>
        <w:trPr>
          <w:trHeight w:val="72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36</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分布式存储</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3个分布式节点，采用QDR InfiniBand交换机互连，每个节点配置2个InfiniBand接口。每节点配置每节点配置36块2TB 7200RPM SATA硬盘。配置SmartConnect许可，配置SmartQuotas许可；三年保修服务；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1套</w:t>
            </w:r>
          </w:p>
        </w:tc>
      </w:tr>
      <w:tr>
        <w:tblPrEx>
          <w:tblLayout w:type="fixed"/>
          <w:tblCellMar>
            <w:top w:w="0" w:type="dxa"/>
            <w:left w:w="108" w:type="dxa"/>
            <w:bottom w:w="0" w:type="dxa"/>
            <w:right w:w="108" w:type="dxa"/>
          </w:tblCellMar>
        </w:tblPrEx>
        <w:trPr>
          <w:trHeight w:val="48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37</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服务器虚拟化软件</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配置16个CPU授权合法许可，含虚机备份。配置云管理平台，包含100台虚拟机许可。可与虚拟化系统无缝配合，实现虚拟化环境的管理和运维。三年技术支持服务；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1套</w:t>
            </w:r>
          </w:p>
        </w:tc>
      </w:tr>
      <w:tr>
        <w:tblPrEx>
          <w:tblLayout w:type="fixed"/>
          <w:tblCellMar>
            <w:top w:w="0" w:type="dxa"/>
            <w:left w:w="108" w:type="dxa"/>
            <w:bottom w:w="0" w:type="dxa"/>
            <w:right w:w="108" w:type="dxa"/>
          </w:tblCellMar>
        </w:tblPrEx>
        <w:trPr>
          <w:trHeight w:val="48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38</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操作系统</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windows 2012 Datacenter版，三年技术支持服务；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8套</w:t>
            </w:r>
          </w:p>
        </w:tc>
      </w:tr>
      <w:tr>
        <w:tblPrEx>
          <w:tblLayout w:type="fixed"/>
          <w:tblCellMar>
            <w:top w:w="0" w:type="dxa"/>
            <w:left w:w="108" w:type="dxa"/>
            <w:bottom w:w="0" w:type="dxa"/>
            <w:right w:w="108" w:type="dxa"/>
          </w:tblCellMar>
        </w:tblPrEx>
        <w:trPr>
          <w:trHeight w:val="48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39</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Oracle数据库</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Oracle 12C 4C+4RAC，三年技术支持服务；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1套</w:t>
            </w:r>
          </w:p>
        </w:tc>
      </w:tr>
      <w:tr>
        <w:tblPrEx>
          <w:tblLayout w:type="fixed"/>
          <w:tblCellMar>
            <w:top w:w="0" w:type="dxa"/>
            <w:left w:w="108" w:type="dxa"/>
            <w:bottom w:w="0" w:type="dxa"/>
            <w:right w:w="108" w:type="dxa"/>
          </w:tblCellMar>
        </w:tblPrEx>
        <w:trPr>
          <w:trHeight w:val="48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40</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SQL数据库</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Sqlserver 2016企业版，三年技术支持服务；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1套</w:t>
            </w:r>
          </w:p>
        </w:tc>
      </w:tr>
      <w:tr>
        <w:tblPrEx>
          <w:tblLayout w:type="fixed"/>
          <w:tblCellMar>
            <w:top w:w="0" w:type="dxa"/>
            <w:left w:w="108" w:type="dxa"/>
            <w:bottom w:w="0" w:type="dxa"/>
            <w:right w:w="108" w:type="dxa"/>
          </w:tblCellMar>
        </w:tblPrEx>
        <w:trPr>
          <w:trHeight w:val="72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41</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数据库容灾软件</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实现主备中心之间的文件、数据实时复制，当生产系统发生故障或灾难时，可以及时启用灾备系统，减少业务系统下线时间。并要求灾备中心数据库始终处于Open状态，用于提供数据查询和统计报表功能。三年技术支持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1套</w:t>
            </w:r>
          </w:p>
        </w:tc>
      </w:tr>
      <w:tr>
        <w:tblPrEx>
          <w:tblLayout w:type="fixed"/>
          <w:tblCellMar>
            <w:top w:w="0" w:type="dxa"/>
            <w:left w:w="108" w:type="dxa"/>
            <w:bottom w:w="0" w:type="dxa"/>
            <w:right w:w="108" w:type="dxa"/>
          </w:tblCellMar>
        </w:tblPrEx>
        <w:trPr>
          <w:trHeight w:val="75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42</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备份软件</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同时支持备份、还原、复制和容灾解决方案。无代理方式备份、复制和还原数据库应用（</w:t>
            </w:r>
            <w:r>
              <w:rPr>
                <w:color w:val="000000"/>
                <w:kern w:val="0"/>
                <w:szCs w:val="21"/>
              </w:rPr>
              <w:t>Oracle, SQL, Exchange,SharePoint,AD</w:t>
            </w:r>
            <w:r>
              <w:rPr>
                <w:rFonts w:hint="eastAsia" w:ascii="宋体" w:hAnsi="宋体" w:cs="宋体"/>
                <w:color w:val="000000"/>
                <w:kern w:val="0"/>
                <w:szCs w:val="21"/>
              </w:rPr>
              <w:t>或者其它应用系统），配置广域网加速器，提升广域网容灾的性能。配置</w:t>
            </w:r>
            <w:r>
              <w:rPr>
                <w:color w:val="000000"/>
                <w:kern w:val="0"/>
                <w:szCs w:val="21"/>
              </w:rPr>
              <w:t>8</w:t>
            </w:r>
            <w:r>
              <w:rPr>
                <w:rFonts w:hint="eastAsia" w:ascii="宋体" w:hAnsi="宋体" w:cs="宋体"/>
                <w:color w:val="000000"/>
                <w:kern w:val="0"/>
                <w:szCs w:val="21"/>
              </w:rPr>
              <w:t>台服务器或</w:t>
            </w:r>
            <w:r>
              <w:rPr>
                <w:color w:val="000000"/>
                <w:kern w:val="0"/>
                <w:szCs w:val="21"/>
              </w:rPr>
              <w:t>16CPU</w:t>
            </w:r>
            <w:r>
              <w:rPr>
                <w:rFonts w:hint="eastAsia" w:ascii="宋体" w:hAnsi="宋体" w:cs="宋体"/>
                <w:color w:val="000000"/>
                <w:kern w:val="0"/>
                <w:szCs w:val="21"/>
              </w:rPr>
              <w:t>许可。三年保修服务；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1套</w:t>
            </w:r>
          </w:p>
        </w:tc>
      </w:tr>
      <w:tr>
        <w:tblPrEx>
          <w:tblLayout w:type="fixed"/>
          <w:tblCellMar>
            <w:top w:w="0" w:type="dxa"/>
            <w:left w:w="108" w:type="dxa"/>
            <w:bottom w:w="0" w:type="dxa"/>
            <w:right w:w="108" w:type="dxa"/>
          </w:tblCellMar>
        </w:tblPrEx>
        <w:trPr>
          <w:trHeight w:val="72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43</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CDP连续数据保护</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配置1套连续数据保护集群，2个控制器，配置Local 10TB本地复制许可，用户提供机架，国标电源线; 三年保修服务；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1套</w:t>
            </w:r>
          </w:p>
        </w:tc>
      </w:tr>
      <w:tr>
        <w:tblPrEx>
          <w:tblLayout w:type="fixed"/>
          <w:tblCellMar>
            <w:top w:w="0" w:type="dxa"/>
            <w:left w:w="108" w:type="dxa"/>
            <w:bottom w:w="0" w:type="dxa"/>
            <w:right w:w="108" w:type="dxa"/>
          </w:tblCellMar>
        </w:tblPrEx>
        <w:trPr>
          <w:trHeight w:val="48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44</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灾备主机</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4*E7-4830 v4，256G DDR4 2400内存，2块600G 15K SAS,2块双口万兆SFP+网卡，2块单口16G FC HBA卡，冗余电源风扇。三年保修服务；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1台</w:t>
            </w:r>
          </w:p>
        </w:tc>
      </w:tr>
      <w:tr>
        <w:tblPrEx>
          <w:tblLayout w:type="fixed"/>
          <w:tblCellMar>
            <w:top w:w="0" w:type="dxa"/>
            <w:left w:w="108" w:type="dxa"/>
            <w:bottom w:w="0" w:type="dxa"/>
            <w:right w:w="108" w:type="dxa"/>
          </w:tblCellMar>
        </w:tblPrEx>
        <w:trPr>
          <w:trHeight w:val="480" w:hRule="atLeast"/>
          <w:jc w:val="center"/>
        </w:trPr>
        <w:tc>
          <w:tcPr>
            <w:tcW w:w="67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45</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KVM切换器</w:t>
            </w:r>
          </w:p>
        </w:tc>
        <w:tc>
          <w:tcPr>
            <w:tcW w:w="4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16口切换器及LCD套件；三年保修服务</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详见技术要求章节</w:t>
            </w:r>
          </w:p>
        </w:tc>
        <w:tc>
          <w:tcPr>
            <w:tcW w:w="69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1台</w:t>
            </w:r>
          </w:p>
        </w:tc>
      </w:tr>
    </w:tbl>
    <w:p>
      <w:pPr>
        <w:pStyle w:val="118"/>
        <w:ind w:left="0" w:firstLine="0"/>
        <w:rPr>
          <w:sz w:val="24"/>
          <w:szCs w:val="24"/>
        </w:rPr>
      </w:pPr>
      <w:r>
        <w:rPr>
          <w:rFonts w:hint="eastAsia"/>
          <w:sz w:val="24"/>
          <w:szCs w:val="24"/>
        </w:rPr>
        <w:t>7.3</w:t>
      </w:r>
      <w:r>
        <w:rPr>
          <w:rFonts w:hint="eastAsia"/>
        </w:rPr>
        <w:t xml:space="preserve"> </w:t>
      </w:r>
      <w:r>
        <w:rPr>
          <w:rFonts w:hint="eastAsia" w:ascii="Times New Roman" w:hAnsi="Times New Roman" w:cs="Times New Roman"/>
          <w:bCs/>
          <w:kern w:val="2"/>
          <w:sz w:val="24"/>
          <w:szCs w:val="24"/>
        </w:rPr>
        <w:t>具体技术参数</w:t>
      </w:r>
    </w:p>
    <w:p>
      <w:pPr>
        <w:pStyle w:val="4"/>
        <w:tabs>
          <w:tab w:val="left" w:pos="432"/>
        </w:tabs>
        <w:rPr>
          <w:sz w:val="24"/>
          <w:szCs w:val="24"/>
        </w:rPr>
      </w:pPr>
      <w:r>
        <w:rPr>
          <w:rFonts w:hint="eastAsia"/>
          <w:sz w:val="24"/>
          <w:szCs w:val="24"/>
        </w:rPr>
        <w:t>7.3.1 网络控制器</w:t>
      </w:r>
    </w:p>
    <w:tbl>
      <w:tblPr>
        <w:tblStyle w:val="35"/>
        <w:tblW w:w="8441" w:type="dxa"/>
        <w:tblInd w:w="0" w:type="dxa"/>
        <w:tblLayout w:type="fixed"/>
        <w:tblCellMar>
          <w:top w:w="0" w:type="dxa"/>
          <w:left w:w="108" w:type="dxa"/>
          <w:bottom w:w="0" w:type="dxa"/>
          <w:right w:w="108" w:type="dxa"/>
        </w:tblCellMar>
      </w:tblPr>
      <w:tblGrid>
        <w:gridCol w:w="2263"/>
        <w:gridCol w:w="6178"/>
      </w:tblGrid>
      <w:tr>
        <w:tblPrEx>
          <w:tblLayout w:type="fixed"/>
          <w:tblCellMar>
            <w:top w:w="0" w:type="dxa"/>
            <w:left w:w="108" w:type="dxa"/>
            <w:bottom w:w="0" w:type="dxa"/>
            <w:right w:w="108" w:type="dxa"/>
          </w:tblCellMar>
        </w:tblPrEx>
        <w:trPr>
          <w:trHeight w:val="270" w:hRule="atLeast"/>
        </w:trPr>
        <w:tc>
          <w:tcPr>
            <w:tcW w:w="226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指标项</w:t>
            </w:r>
          </w:p>
        </w:tc>
        <w:tc>
          <w:tcPr>
            <w:tcW w:w="617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技术指标要求</w:t>
            </w:r>
          </w:p>
        </w:tc>
      </w:tr>
      <w:tr>
        <w:tblPrEx>
          <w:tblLayout w:type="fixed"/>
          <w:tblCellMar>
            <w:top w:w="0" w:type="dxa"/>
            <w:left w:w="108" w:type="dxa"/>
            <w:bottom w:w="0" w:type="dxa"/>
            <w:right w:w="108" w:type="dxa"/>
          </w:tblCellMar>
        </w:tblPrEx>
        <w:trPr>
          <w:trHeight w:val="27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系统兼容性</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可以支持Windows、Linux平台及MS SQL、Oracle数据库，支持B/S架构。</w:t>
            </w:r>
          </w:p>
        </w:tc>
      </w:tr>
      <w:tr>
        <w:tblPrEx>
          <w:tblLayout w:type="fixed"/>
          <w:tblCellMar>
            <w:top w:w="0" w:type="dxa"/>
            <w:left w:w="108" w:type="dxa"/>
            <w:bottom w:w="0" w:type="dxa"/>
            <w:right w:w="108" w:type="dxa"/>
          </w:tblCellMar>
        </w:tblPrEx>
        <w:trPr>
          <w:trHeight w:val="45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控制器部署方式</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可以支持多服务器分布式虚拟化部署，可实现负载分担；支持双机热备、冷备模式，实现高可用性。</w:t>
            </w:r>
          </w:p>
        </w:tc>
      </w:tr>
      <w:tr>
        <w:tblPrEx>
          <w:tblLayout w:type="fixed"/>
          <w:tblCellMar>
            <w:top w:w="0" w:type="dxa"/>
            <w:left w:w="108" w:type="dxa"/>
            <w:bottom w:w="0" w:type="dxa"/>
            <w:right w:w="108" w:type="dxa"/>
          </w:tblCellMar>
        </w:tblPrEx>
        <w:trPr>
          <w:trHeight w:val="45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系统权限划分</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操作员权限基于资源、角色等多维度划分；支持RADIUS、LDAP等多种认证方式，实现更安全更细致的登录控制；操作员支持ACL访问控制列表。</w:t>
            </w:r>
          </w:p>
        </w:tc>
      </w:tr>
      <w:tr>
        <w:tblPrEx>
          <w:tblLayout w:type="fixed"/>
          <w:tblCellMar>
            <w:top w:w="0" w:type="dxa"/>
            <w:left w:w="108" w:type="dxa"/>
            <w:bottom w:w="0" w:type="dxa"/>
            <w:right w:w="108" w:type="dxa"/>
          </w:tblCellMar>
        </w:tblPrEx>
        <w:trPr>
          <w:trHeight w:val="45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▲开放性</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支持Restful API标准接口，便于向第三方系统对接。要求接口免费开放并且提供接口说明文档。</w:t>
            </w:r>
          </w:p>
        </w:tc>
      </w:tr>
      <w:tr>
        <w:tblPrEx>
          <w:tblLayout w:type="fixed"/>
        </w:tblPrEx>
        <w:trPr>
          <w:trHeight w:val="45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界面友好体验</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基于操作员视图，提供拖拽方式布局和增加自定义首页监控对象和内容。</w:t>
            </w:r>
          </w:p>
        </w:tc>
      </w:tr>
      <w:tr>
        <w:tblPrEx>
          <w:tblLayout w:type="fixed"/>
          <w:tblCellMar>
            <w:top w:w="0" w:type="dxa"/>
            <w:left w:w="108" w:type="dxa"/>
            <w:bottom w:w="0" w:type="dxa"/>
            <w:right w:w="108" w:type="dxa"/>
          </w:tblCellMar>
        </w:tblPrEx>
        <w:trPr>
          <w:trHeight w:val="90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基于角色的网络设备自动化</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支持网络设备</w:t>
            </w:r>
            <w:r>
              <w:rPr>
                <w:rFonts w:hint="eastAsia" w:ascii="宋体" w:hAnsi="宋体" w:cs="宋体"/>
                <w:color w:val="000000"/>
                <w:kern w:val="0"/>
                <w:szCs w:val="21"/>
                <w:lang w:eastAsia="zh-CN"/>
              </w:rPr>
              <w:t>（院区核心、汇聚、接入等）</w:t>
            </w:r>
            <w:r>
              <w:rPr>
                <w:rFonts w:hint="eastAsia" w:ascii="宋体" w:hAnsi="宋体" w:cs="宋体"/>
                <w:color w:val="000000"/>
                <w:kern w:val="0"/>
                <w:szCs w:val="21"/>
              </w:rPr>
              <w:t>自动化部署上线，通过DHCP实现设备配置一次性完全下发，而不是借助任何介质（比如U盘或者4G等方式）进行的设备自动化上线。对于已有网络，新增设备，可以自动纳管并且进行设备配置的下发。</w:t>
            </w:r>
          </w:p>
        </w:tc>
      </w:tr>
      <w:tr>
        <w:tblPrEx>
          <w:tblLayout w:type="fixed"/>
          <w:tblCellMar>
            <w:top w:w="0" w:type="dxa"/>
            <w:left w:w="108" w:type="dxa"/>
            <w:bottom w:w="0" w:type="dxa"/>
            <w:right w:w="108" w:type="dxa"/>
          </w:tblCellMar>
        </w:tblPrEx>
        <w:trPr>
          <w:trHeight w:val="45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设备可视化自动上线</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支持通过图形界面方式规划网络拓扑，并展示设备自动上线过程。</w:t>
            </w:r>
          </w:p>
        </w:tc>
      </w:tr>
      <w:tr>
        <w:tblPrEx>
          <w:tblLayout w:type="fixed"/>
          <w:tblCellMar>
            <w:top w:w="0" w:type="dxa"/>
            <w:left w:w="108" w:type="dxa"/>
            <w:bottom w:w="0" w:type="dxa"/>
            <w:right w:w="108" w:type="dxa"/>
          </w:tblCellMar>
        </w:tblPrEx>
        <w:trPr>
          <w:trHeight w:val="675"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全网资源统一管理</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路由器、交换机、无线、安全、语音、存储、监控、服务器、打印机、UPS等设备进行管理，实现设备资源的集中化管理。管理员可以通过该功能根据业务需求创建设备组视图，并将所需设备加入该视图中，以便进行管理。</w:t>
            </w:r>
          </w:p>
        </w:tc>
      </w:tr>
      <w:tr>
        <w:tblPrEx>
          <w:tblLayout w:type="fixed"/>
          <w:tblCellMar>
            <w:top w:w="0" w:type="dxa"/>
            <w:left w:w="108" w:type="dxa"/>
            <w:bottom w:w="0" w:type="dxa"/>
            <w:right w:w="108" w:type="dxa"/>
          </w:tblCellMar>
        </w:tblPrEx>
        <w:trPr>
          <w:trHeight w:val="45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拓扑管理与融合拓扑</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提供多种拓扑视图，方便管理员以不同视角查看网络拓扑信息。能够提供接入用户网络拓扑，在拓扑上实现在线用户管理的功能。</w:t>
            </w:r>
          </w:p>
        </w:tc>
      </w:tr>
      <w:tr>
        <w:tblPrEx>
          <w:tblLayout w:type="fixed"/>
          <w:tblCellMar>
            <w:top w:w="0" w:type="dxa"/>
            <w:left w:w="108" w:type="dxa"/>
            <w:bottom w:w="0" w:type="dxa"/>
            <w:right w:w="108" w:type="dxa"/>
          </w:tblCellMar>
        </w:tblPrEx>
        <w:trPr>
          <w:trHeight w:val="29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IP管理</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提供IP地址统计、查找功能，IP地址分配完成后，管理员能够通过IP地址分配情况统计图表和各类查询条件，直观的了解和掌握整个网络的IP地址资源使用情况。</w:t>
            </w:r>
          </w:p>
        </w:tc>
      </w:tr>
      <w:tr>
        <w:tblPrEx>
          <w:tblLayout w:type="fixed"/>
          <w:tblCellMar>
            <w:top w:w="0" w:type="dxa"/>
            <w:left w:w="108" w:type="dxa"/>
            <w:bottom w:w="0" w:type="dxa"/>
            <w:right w:w="108" w:type="dxa"/>
          </w:tblCellMar>
        </w:tblPrEx>
        <w:trPr>
          <w:trHeight w:val="675" w:hRule="atLeast"/>
        </w:trPr>
        <w:tc>
          <w:tcPr>
            <w:tcW w:w="226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基于用户网络资源编排</w:t>
            </w:r>
          </w:p>
        </w:tc>
        <w:tc>
          <w:tcPr>
            <w:tcW w:w="6178"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支持基于用户以及用户组进行网络资源编排，实现用户以及用户组和网络属性(不限于VLAN、VXLAN、IP网段、IP地址）的绑定。简化底层网络规划。</w:t>
            </w:r>
          </w:p>
        </w:tc>
      </w:tr>
      <w:tr>
        <w:tblPrEx>
          <w:tblLayout w:type="fixed"/>
          <w:tblCellMar>
            <w:top w:w="0" w:type="dxa"/>
            <w:left w:w="108" w:type="dxa"/>
            <w:bottom w:w="0" w:type="dxa"/>
            <w:right w:w="108" w:type="dxa"/>
          </w:tblCellMar>
        </w:tblPrEx>
        <w:trPr>
          <w:trHeight w:val="675"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图形化策略定义</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提供集中化的界面配置组间策略矩阵，支持拖拽方式实现策略部署，并自动统一下发到所有的策略执行点。用户移动时无需修改配置，策略保持不变，实现策略随行。</w:t>
            </w:r>
          </w:p>
        </w:tc>
      </w:tr>
      <w:tr>
        <w:tblPrEx>
          <w:tblLayout w:type="fixed"/>
          <w:tblCellMar>
            <w:top w:w="0" w:type="dxa"/>
            <w:left w:w="108" w:type="dxa"/>
            <w:bottom w:w="0" w:type="dxa"/>
            <w:right w:w="108" w:type="dxa"/>
          </w:tblCellMar>
        </w:tblPrEx>
        <w:trPr>
          <w:trHeight w:val="45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隔离域编排</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通过统一的用户编排实现用户及用户组接入时自动识别用户所属组，并将接入终端自动划入到相应的VRF隔离域。</w:t>
            </w:r>
          </w:p>
        </w:tc>
      </w:tr>
      <w:tr>
        <w:tblPrEx>
          <w:tblLayout w:type="fixed"/>
          <w:tblCellMar>
            <w:top w:w="0" w:type="dxa"/>
            <w:left w:w="108" w:type="dxa"/>
            <w:bottom w:w="0" w:type="dxa"/>
            <w:right w:w="108" w:type="dxa"/>
          </w:tblCellMar>
        </w:tblPrEx>
        <w:trPr>
          <w:trHeight w:val="45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物联终端的接入</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通过统一的用户编排界面实现物联网终端接入时自动识别终端，并将接入终端按照业务应用自动划入到相应的VRF隔离域。</w:t>
            </w:r>
          </w:p>
        </w:tc>
      </w:tr>
      <w:tr>
        <w:tblPrEx>
          <w:tblLayout w:type="fixed"/>
          <w:tblCellMar>
            <w:top w:w="0" w:type="dxa"/>
            <w:left w:w="108" w:type="dxa"/>
            <w:bottom w:w="0" w:type="dxa"/>
            <w:right w:w="108" w:type="dxa"/>
          </w:tblCellMar>
        </w:tblPrEx>
        <w:trPr>
          <w:trHeight w:val="45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按角色进行IP地址分配</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支持基于角色的IP地址分配，能够针对某一类用户或者终端进行分组并分配对应网段，方便通过一条ACL在任意设备上实现对用户组权限的控制。</w:t>
            </w:r>
          </w:p>
        </w:tc>
      </w:tr>
      <w:tr>
        <w:tblPrEx>
          <w:tblLayout w:type="fixed"/>
          <w:tblCellMar>
            <w:top w:w="0" w:type="dxa"/>
            <w:left w:w="108" w:type="dxa"/>
            <w:bottom w:w="0" w:type="dxa"/>
            <w:right w:w="108" w:type="dxa"/>
          </w:tblCellMar>
        </w:tblPrEx>
        <w:trPr>
          <w:trHeight w:val="675"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用户IP绑定</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可以实现对DHCP服务器进行控制，配合基础网络实现接入用户名绑定IP地址，可以实现提前规划，DHCP按照用户规划进行终端的IP分配。</w:t>
            </w:r>
          </w:p>
        </w:tc>
      </w:tr>
      <w:tr>
        <w:tblPrEx>
          <w:tblLayout w:type="fixed"/>
          <w:tblCellMar>
            <w:top w:w="0" w:type="dxa"/>
            <w:left w:w="108" w:type="dxa"/>
            <w:bottom w:w="0" w:type="dxa"/>
            <w:right w:w="108" w:type="dxa"/>
          </w:tblCellMar>
        </w:tblPrEx>
        <w:trPr>
          <w:trHeight w:val="675"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用户IP锁定</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可以实现对DHCP服务器进行控制，配合基础网络实现接入用户名锁定IP地址，即某用户首次入网获取某一IP地址，再次入网，即使在更换终端，更换接入方式，更换位置的情况下，仍旧获取原有的IP地址。</w:t>
            </w:r>
          </w:p>
        </w:tc>
      </w:tr>
      <w:tr>
        <w:tblPrEx>
          <w:tblLayout w:type="fixed"/>
          <w:tblCellMar>
            <w:top w:w="0" w:type="dxa"/>
            <w:left w:w="108" w:type="dxa"/>
            <w:bottom w:w="0" w:type="dxa"/>
            <w:right w:w="108" w:type="dxa"/>
          </w:tblCellMar>
        </w:tblPrEx>
        <w:trPr>
          <w:trHeight w:val="45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多场景的名址绑定能力</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用户名和IP绑定、锁定支持单用户多终端场景使用、也可以支持单终端多用户的场景，实现公共终端的使用。</w:t>
            </w:r>
          </w:p>
        </w:tc>
      </w:tr>
      <w:tr>
        <w:tblPrEx>
          <w:tblLayout w:type="fixed"/>
          <w:tblCellMar>
            <w:top w:w="0" w:type="dxa"/>
            <w:left w:w="108" w:type="dxa"/>
            <w:bottom w:w="0" w:type="dxa"/>
            <w:right w:w="108" w:type="dxa"/>
          </w:tblCellMar>
        </w:tblPrEx>
        <w:trPr>
          <w:trHeight w:val="1125"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单账号多终端</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所有账号，默认最大绑定一个IP，绑定多终端，其实是指最大允许多个绑定的IP同时在线；如果账号最大在线IP未达到绑定上限个数，允许新终端接入和绑定，并挤占非在线用户的绑定IP；如果账号对应的在线用户数已经达到上限，使用该账号的新用户不允许接入；实时刷新DHCP server上的绑定关系，确保正确绑定。</w:t>
            </w:r>
          </w:p>
        </w:tc>
      </w:tr>
      <w:tr>
        <w:tblPrEx>
          <w:tblLayout w:type="fixed"/>
          <w:tblCellMar>
            <w:top w:w="0" w:type="dxa"/>
            <w:left w:w="108" w:type="dxa"/>
            <w:bottom w:w="0" w:type="dxa"/>
            <w:right w:w="108" w:type="dxa"/>
          </w:tblCellMar>
        </w:tblPrEx>
        <w:trPr>
          <w:trHeight w:val="675"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单终端多账号（公共机）</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用户即使在公共机上，也能获得自己所属角色的绑定IP，和在专属机器上的体验一致；对于公共机来说，不同用户切换，公共机的所属安全组不停切换，绑定IP不停切换；通过EIA和后台dhcp server的交互，完成对绑定表项的刷新。</w:t>
            </w:r>
          </w:p>
        </w:tc>
      </w:tr>
      <w:tr>
        <w:tblPrEx>
          <w:tblLayout w:type="fixed"/>
          <w:tblCellMar>
            <w:top w:w="0" w:type="dxa"/>
            <w:left w:w="108" w:type="dxa"/>
            <w:bottom w:w="0" w:type="dxa"/>
            <w:right w:w="108" w:type="dxa"/>
          </w:tblCellMar>
        </w:tblPrEx>
        <w:trPr>
          <w:trHeight w:val="90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业务虚拟网络（Overlay网络）管理</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提供针对业务的虚拟Overlay网络的管理，可以自动识别并导入端点设备，自动识别网络中的虚拟专用网络和隧道，并实现对虚拟网络的加入监控、移除监控、查看分层拓扑、查看业务拓扑、查看全网拓扑、查看详细信息和查看流量信息等功能。</w:t>
            </w:r>
          </w:p>
        </w:tc>
      </w:tr>
      <w:tr>
        <w:tblPrEx>
          <w:tblLayout w:type="fixed"/>
          <w:tblCellMar>
            <w:top w:w="0" w:type="dxa"/>
            <w:left w:w="108" w:type="dxa"/>
            <w:bottom w:w="0" w:type="dxa"/>
            <w:right w:w="108" w:type="dxa"/>
          </w:tblCellMar>
        </w:tblPrEx>
        <w:trPr>
          <w:trHeight w:val="675"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告警管理</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提供对全网设备告警的实时监控和统一浏览；提供多种提醒方式，如界面上的告警实时提醒、告警音响提示；支持多种转发方式，比如转E-mail，转短信等。提供告警分析，可以屏蔽重复告警、闪断告警，提供告警自动确认功能。</w:t>
            </w:r>
          </w:p>
        </w:tc>
      </w:tr>
      <w:tr>
        <w:tblPrEx>
          <w:tblLayout w:type="fixed"/>
          <w:tblCellMar>
            <w:top w:w="0" w:type="dxa"/>
            <w:left w:w="108" w:type="dxa"/>
            <w:bottom w:w="0" w:type="dxa"/>
            <w:right w:w="108" w:type="dxa"/>
          </w:tblCellMar>
        </w:tblPrEx>
        <w:trPr>
          <w:trHeight w:val="45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Syslog</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可以接收Syslog，完成基本格式的解析，并入库。提供Syslog特征分析及策略注册能力，支持基于统计规则进行聚合生成告警（Trap）。</w:t>
            </w:r>
          </w:p>
        </w:tc>
      </w:tr>
      <w:tr>
        <w:tblPrEx>
          <w:tblLayout w:type="fixed"/>
          <w:tblCellMar>
            <w:top w:w="0" w:type="dxa"/>
            <w:left w:w="108" w:type="dxa"/>
            <w:bottom w:w="0" w:type="dxa"/>
            <w:right w:w="108" w:type="dxa"/>
          </w:tblCellMar>
        </w:tblPrEx>
        <w:trPr>
          <w:trHeight w:val="675"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性能</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提供基于任务的性能监控，可定制监控任务，长期监控网络性能，可以形成日报、周报、月报等报表。支持定制性能阈值，可以为监控的性能指标设置两级阈值，当性能指标超过阈值时根据不同的阈值发送不同级别的告警。</w:t>
            </w:r>
          </w:p>
        </w:tc>
      </w:tr>
      <w:tr>
        <w:tblPrEx>
          <w:tblLayout w:type="fixed"/>
          <w:tblCellMar>
            <w:top w:w="0" w:type="dxa"/>
            <w:left w:w="108" w:type="dxa"/>
            <w:bottom w:w="0" w:type="dxa"/>
            <w:right w:w="108" w:type="dxa"/>
          </w:tblCellMar>
        </w:tblPrEx>
        <w:trPr>
          <w:trHeight w:val="675"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合规</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提供合规检查，通过此功能可以简单方便的检查园区网络是否满足园区定制的法规，并提供修复功能，可以及时解决在网络环境中出现的配置、安全问题，使网络长期处于一个安全、稳定的环境。</w:t>
            </w:r>
          </w:p>
        </w:tc>
      </w:tr>
      <w:tr>
        <w:tblPrEx>
          <w:tblLayout w:type="fixed"/>
          <w:tblCellMar>
            <w:top w:w="0" w:type="dxa"/>
            <w:left w:w="108" w:type="dxa"/>
            <w:bottom w:w="0" w:type="dxa"/>
            <w:right w:w="108" w:type="dxa"/>
          </w:tblCellMar>
        </w:tblPrEx>
        <w:trPr>
          <w:trHeight w:val="90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故障诊断</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提供单设备故障诊断和设备间连通性诊断功能，管理员通过诊断的设备IP地址，即可以在整个控制器平台搜索出告警信息、性能信息、网络配置等一系列相关信息，协助管理员快速进行故障定位，并且管理员可以通过诊断结果进行相应操作。</w:t>
            </w:r>
          </w:p>
        </w:tc>
      </w:tr>
      <w:tr>
        <w:tblPrEx>
          <w:tblLayout w:type="fixed"/>
          <w:tblCellMar>
            <w:top w:w="0" w:type="dxa"/>
            <w:left w:w="108" w:type="dxa"/>
            <w:bottom w:w="0" w:type="dxa"/>
            <w:right w:w="108" w:type="dxa"/>
          </w:tblCellMar>
        </w:tblPrEx>
        <w:trPr>
          <w:trHeight w:val="45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承载服务器</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为保证SDN控制器可靠性，要求部署三台承载服务器。CPU：E5 2609 V4*2,32G内存，2块900G 10K SAS硬盘，4个千兆电口，2个万兆光口,500W电源</w:t>
            </w:r>
          </w:p>
        </w:tc>
      </w:tr>
      <w:tr>
        <w:tblPrEx>
          <w:tblLayout w:type="fixed"/>
          <w:tblCellMar>
            <w:top w:w="0" w:type="dxa"/>
            <w:left w:w="108" w:type="dxa"/>
            <w:bottom w:w="0" w:type="dxa"/>
            <w:right w:w="108" w:type="dxa"/>
          </w:tblCellMar>
        </w:tblPrEx>
        <w:trPr>
          <w:trHeight w:val="45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多种802.1X接入认证</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支持PAP认证、CHAP认证、EAP-MD5认证、EAP-PAP认证、EAP-TLS认证、EAP-PEAP-MSCHAPV2认证、EAP-PEAP-MD5、EAP-GTC、EAP-TTLS认证，防客户端破解。</w:t>
            </w:r>
          </w:p>
        </w:tc>
      </w:tr>
      <w:tr>
        <w:tblPrEx>
          <w:tblLayout w:type="fixed"/>
          <w:tblCellMar>
            <w:top w:w="0" w:type="dxa"/>
            <w:left w:w="108" w:type="dxa"/>
            <w:bottom w:w="0" w:type="dxa"/>
            <w:right w:w="108" w:type="dxa"/>
          </w:tblCellMar>
        </w:tblPrEx>
        <w:trPr>
          <w:trHeight w:val="1125"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LDAP认证</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支持从LDAP服务器上同步账户信息，支持的LDAP服务器包括：Microsoft Active Directory、Novell Directory Server、Netscape iPlanet、SUN ONE Directory、OpenLDAP等；支持LDAP服务器主备模式；支持实时与本地LDAP认证；支持自动、手工和按需同步账户信息；支持AD域控组用户，支持AD域控密码控制。</w:t>
            </w:r>
          </w:p>
        </w:tc>
      </w:tr>
      <w:tr>
        <w:tblPrEx>
          <w:tblLayout w:type="fixed"/>
          <w:tblCellMar>
            <w:top w:w="0" w:type="dxa"/>
            <w:left w:w="108" w:type="dxa"/>
            <w:bottom w:w="0" w:type="dxa"/>
            <w:right w:w="108" w:type="dxa"/>
          </w:tblCellMar>
        </w:tblPrEx>
        <w:trPr>
          <w:trHeight w:val="27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接入认证</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支持微信认证、二维码的认证方式。</w:t>
            </w:r>
          </w:p>
        </w:tc>
      </w:tr>
      <w:tr>
        <w:tblPrEx>
          <w:tblLayout w:type="fixed"/>
          <w:tblCellMar>
            <w:top w:w="0" w:type="dxa"/>
            <w:left w:w="108" w:type="dxa"/>
            <w:bottom w:w="0" w:type="dxa"/>
            <w:right w:w="108" w:type="dxa"/>
          </w:tblCellMar>
        </w:tblPrEx>
        <w:trPr>
          <w:trHeight w:val="90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帐号管理</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帐号的增改查，账号可批量开户、导入导出和注销；支持将用户的分组管理，不同的用户分组可以由不同的管理员管理；支持终端账号的密码强度检测；可查询账号的接入明细日志和认证失败日志；支持账户失效提醒，过期账号自动销户。要求提供界面截图。</w:t>
            </w:r>
          </w:p>
        </w:tc>
      </w:tr>
      <w:tr>
        <w:tblPrEx>
          <w:tblLayout w:type="fixed"/>
          <w:tblCellMar>
            <w:top w:w="0" w:type="dxa"/>
            <w:left w:w="108" w:type="dxa"/>
            <w:bottom w:w="0" w:type="dxa"/>
            <w:right w:w="108" w:type="dxa"/>
          </w:tblCellMar>
        </w:tblPrEx>
        <w:trPr>
          <w:trHeight w:val="497"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帐号接入控制</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支持限制用户修改终端MAC地址和使用代理等策略。</w:t>
            </w:r>
          </w:p>
        </w:tc>
      </w:tr>
      <w:tr>
        <w:tblPrEx>
          <w:tblLayout w:type="fixed"/>
          <w:tblCellMar>
            <w:top w:w="0" w:type="dxa"/>
            <w:left w:w="108" w:type="dxa"/>
            <w:bottom w:w="0" w:type="dxa"/>
            <w:right w:w="108" w:type="dxa"/>
          </w:tblCellMar>
        </w:tblPrEx>
        <w:trPr>
          <w:trHeight w:val="90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在线用户管理</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可以在线查看用户状态及其所连接的网络设备信息，如此用户接入的登录名称、登录设备IP、设备端口、终端信息、在线session信息、接入开始时长、接入持续时长、安全状态等，对非法用户可以执行发送消息、在线检查、强制下线、关闭端口等操作。</w:t>
            </w:r>
          </w:p>
        </w:tc>
      </w:tr>
      <w:tr>
        <w:tblPrEx>
          <w:tblLayout w:type="fixed"/>
          <w:tblCellMar>
            <w:top w:w="0" w:type="dxa"/>
            <w:left w:w="108" w:type="dxa"/>
            <w:bottom w:w="0" w:type="dxa"/>
            <w:right w:w="108" w:type="dxa"/>
          </w:tblCellMar>
        </w:tblPrEx>
        <w:trPr>
          <w:trHeight w:val="675"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设备网哑终端接入自动化上线</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根据事先导入系统的设备网各类哑终端MAC地址列表，实现哑终端的自动化上线，自动完成对接入层设备、汇聚层设备的配置下发，实现专网隔离、即插即用效果。</w:t>
            </w:r>
          </w:p>
        </w:tc>
      </w:tr>
      <w:tr>
        <w:tblPrEx>
          <w:tblLayout w:type="fixed"/>
          <w:tblCellMar>
            <w:top w:w="0" w:type="dxa"/>
            <w:left w:w="108" w:type="dxa"/>
            <w:bottom w:w="0" w:type="dxa"/>
            <w:right w:w="108" w:type="dxa"/>
          </w:tblCellMar>
        </w:tblPrEx>
        <w:trPr>
          <w:trHeight w:val="675"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智能终端认证页面定制</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定制页面包括认证（或者注册）页面和处理结果页面，根据显示屏幕分为PC、PAD和手机多种页面类型。预置多套模板方便管理员通过可视化手段绘制页面，也可导入第三方定制的页面。要求提供界面截图。</w:t>
            </w:r>
          </w:p>
        </w:tc>
      </w:tr>
      <w:tr>
        <w:tblPrEx>
          <w:tblLayout w:type="fixed"/>
          <w:tblCellMar>
            <w:top w:w="0" w:type="dxa"/>
            <w:left w:w="108" w:type="dxa"/>
            <w:bottom w:w="0" w:type="dxa"/>
            <w:right w:w="108" w:type="dxa"/>
          </w:tblCellMar>
        </w:tblPrEx>
        <w:trPr>
          <w:trHeight w:val="675"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智能终端注册页面的属性定制</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定制注册页面的属性，包括是否显示、是否作为必填项、配置缺省值（用户姓名、证件号码和密码支持随机生成，密码是6位数字，其它是32位大小写字母和数字组成的随机数）、调整显示顺序、修改属性的显示名称。</w:t>
            </w:r>
          </w:p>
        </w:tc>
      </w:tr>
      <w:tr>
        <w:tblPrEx>
          <w:tblLayout w:type="fixed"/>
          <w:tblCellMar>
            <w:top w:w="0" w:type="dxa"/>
            <w:left w:w="108" w:type="dxa"/>
            <w:bottom w:w="0" w:type="dxa"/>
            <w:right w:w="108" w:type="dxa"/>
          </w:tblCellMar>
        </w:tblPrEx>
        <w:trPr>
          <w:trHeight w:val="675"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用户自助管理</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可通过自助平台进行预注册申请，管理员审核后即可开通用户帐号，用户可以通过自助平台对自己的用户信息进行管理，如查询、修改、密码设置、密码重新获取等；用户自助页面支持自定义。</w:t>
            </w:r>
          </w:p>
        </w:tc>
      </w:tr>
      <w:tr>
        <w:tblPrEx>
          <w:tblLayout w:type="fixed"/>
          <w:tblCellMar>
            <w:top w:w="0" w:type="dxa"/>
            <w:left w:w="108" w:type="dxa"/>
            <w:bottom w:w="0" w:type="dxa"/>
            <w:right w:w="108" w:type="dxa"/>
          </w:tblCellMar>
        </w:tblPrEx>
        <w:trPr>
          <w:trHeight w:val="45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支持不同的访客账号创建方式</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支持公共领域访客短信认证模式、访客接待员手工开户模式、访客自助开户模式。</w:t>
            </w:r>
          </w:p>
        </w:tc>
      </w:tr>
      <w:tr>
        <w:tblPrEx>
          <w:tblLayout w:type="fixed"/>
          <w:tblCellMar>
            <w:top w:w="0" w:type="dxa"/>
            <w:left w:w="108" w:type="dxa"/>
            <w:bottom w:w="0" w:type="dxa"/>
            <w:right w:w="108" w:type="dxa"/>
          </w:tblCellMar>
        </w:tblPrEx>
        <w:trPr>
          <w:trHeight w:val="45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访客无感知认证</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提供访客一次接入，多次使用的无感知认证，访客只需要输入一次用户名/密码，后续接入无需再输入用户名/密码。</w:t>
            </w:r>
          </w:p>
        </w:tc>
      </w:tr>
      <w:tr>
        <w:tblPrEx>
          <w:tblLayout w:type="fixed"/>
          <w:tblCellMar>
            <w:top w:w="0" w:type="dxa"/>
            <w:left w:w="108" w:type="dxa"/>
            <w:bottom w:w="0" w:type="dxa"/>
            <w:right w:w="108" w:type="dxa"/>
          </w:tblCellMar>
        </w:tblPrEx>
        <w:trPr>
          <w:trHeight w:val="135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访客接入权限控制</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访客账号与设备IP地址、接入端口、VLAN、用户IP地址、MAC地址、等信息绑定认证，增强访客认证的安全性，防止帐号盗用和非法接入；可以控制访客账号有效上网时长，有效防止个别访客对网络资源的过度占用；可以实现对访客ACL、VLAN的控制，限制访客对内部敏感服务器和外部非法网站的访问；可以限制访客的接入时段和接入区域，访客只能在允许的时间和地点上网；支持访客使用一次一密方式，访客密码可设置有效时长。</w:t>
            </w:r>
          </w:p>
        </w:tc>
      </w:tr>
      <w:tr>
        <w:tblPrEx>
          <w:tblLayout w:type="fixed"/>
          <w:tblCellMar>
            <w:top w:w="0" w:type="dxa"/>
            <w:left w:w="108" w:type="dxa"/>
            <w:bottom w:w="0" w:type="dxa"/>
            <w:right w:w="108" w:type="dxa"/>
          </w:tblCellMar>
        </w:tblPrEx>
        <w:trPr>
          <w:trHeight w:val="1125"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访客行为审计</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提供强大的“黑名单”管理，可以将恶意猜测密码的访客加入黑名单，并可按MAC、IP地址跟踪非法行为的来源。支持管理员可以实时监控在线访客，强制非法访客下线。提供接入明细日志，便于审计访客的接入网络记录。</w:t>
            </w:r>
          </w:p>
        </w:tc>
      </w:tr>
      <w:tr>
        <w:tblPrEx>
          <w:tblLayout w:type="fixed"/>
          <w:tblCellMar>
            <w:top w:w="0" w:type="dxa"/>
            <w:left w:w="108" w:type="dxa"/>
            <w:bottom w:w="0" w:type="dxa"/>
            <w:right w:w="108" w:type="dxa"/>
          </w:tblCellMar>
        </w:tblPrEx>
        <w:trPr>
          <w:trHeight w:val="675"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多元素绑定</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支持用户名、密码与用户IP、MAC、VLAN、设备IP、设备端口、主机名等多种元素的绑定认证；支持第一次认证成功时的自学习绑定属性功能。</w:t>
            </w:r>
          </w:p>
        </w:tc>
      </w:tr>
      <w:tr>
        <w:tblPrEx>
          <w:tblLayout w:type="fixed"/>
          <w:tblCellMar>
            <w:top w:w="0" w:type="dxa"/>
            <w:left w:w="108" w:type="dxa"/>
            <w:bottom w:w="0" w:type="dxa"/>
            <w:right w:w="108" w:type="dxa"/>
          </w:tblCellMar>
        </w:tblPrEx>
        <w:trPr>
          <w:trHeight w:val="45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用户组管理</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关联接入策略和接入场景，用户组中的用户在不同的场景下应用不同的接入策略。</w:t>
            </w:r>
          </w:p>
        </w:tc>
      </w:tr>
      <w:tr>
        <w:tblPrEx>
          <w:tblLayout w:type="fixed"/>
          <w:tblCellMar>
            <w:top w:w="0" w:type="dxa"/>
            <w:left w:w="108" w:type="dxa"/>
            <w:bottom w:w="0" w:type="dxa"/>
            <w:right w:w="108" w:type="dxa"/>
          </w:tblCellMar>
        </w:tblPrEx>
        <w:trPr>
          <w:trHeight w:val="27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接入策略管理</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接入策略关联安全组，可以控制用户是否绑定IP。</w:t>
            </w:r>
          </w:p>
        </w:tc>
      </w:tr>
      <w:tr>
        <w:tblPrEx>
          <w:tblLayout w:type="fixed"/>
          <w:tblCellMar>
            <w:top w:w="0" w:type="dxa"/>
            <w:left w:w="108" w:type="dxa"/>
            <w:bottom w:w="0" w:type="dxa"/>
            <w:right w:w="108" w:type="dxa"/>
          </w:tblCellMar>
        </w:tblPrEx>
        <w:trPr>
          <w:trHeight w:val="450"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多种终端识别技术</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支持通过客户端、DHCP、HTTP、MAC地址等技术准确识别接入网络的终端厂商、终端类型和操作系统信息。</w:t>
            </w:r>
          </w:p>
        </w:tc>
      </w:tr>
      <w:tr>
        <w:tblPrEx>
          <w:tblLayout w:type="fixed"/>
          <w:tblCellMar>
            <w:top w:w="0" w:type="dxa"/>
            <w:left w:w="108" w:type="dxa"/>
            <w:bottom w:w="0" w:type="dxa"/>
            <w:right w:w="108" w:type="dxa"/>
          </w:tblCellMar>
        </w:tblPrEx>
        <w:trPr>
          <w:trHeight w:val="675"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基于场景的终端网络接入授权</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支持根据终端接入区域、接入时间段、终端IP地址、终端MAC地址、终端厂商、终端操作系统和终端类型等对网络接入终端授予不同的访问权限。</w:t>
            </w:r>
          </w:p>
        </w:tc>
      </w:tr>
      <w:tr>
        <w:tblPrEx>
          <w:tblLayout w:type="fixed"/>
          <w:tblCellMar>
            <w:top w:w="0" w:type="dxa"/>
            <w:left w:w="108" w:type="dxa"/>
            <w:bottom w:w="0" w:type="dxa"/>
            <w:right w:w="108" w:type="dxa"/>
          </w:tblCellMar>
        </w:tblPrEx>
        <w:trPr>
          <w:trHeight w:val="675" w:hRule="atLeast"/>
        </w:trPr>
        <w:tc>
          <w:tcPr>
            <w:tcW w:w="22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帐号防暴力破解</w:t>
            </w:r>
          </w:p>
        </w:tc>
        <w:tc>
          <w:tcPr>
            <w:tcW w:w="617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具备帐号自动锁定功能，一定时间内多次恶意尝试登录的用户，可以自动锁定并且加入黑名单，由管理员解锁后才能恢复使用。因暴力破解进入黑名单的情况，不会影响实际用户的正常使用。支持自动解除黑名单。</w:t>
            </w:r>
          </w:p>
        </w:tc>
      </w:tr>
      <w:tr>
        <w:tblPrEx>
          <w:tblLayout w:type="fixed"/>
          <w:tblCellMar>
            <w:top w:w="0" w:type="dxa"/>
            <w:left w:w="108" w:type="dxa"/>
            <w:bottom w:w="0" w:type="dxa"/>
            <w:right w:w="108" w:type="dxa"/>
          </w:tblCellMar>
        </w:tblPrEx>
        <w:trPr>
          <w:trHeight w:val="675" w:hRule="atLeast"/>
        </w:trPr>
        <w:tc>
          <w:tcPr>
            <w:tcW w:w="226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配置要求</w:t>
            </w:r>
          </w:p>
        </w:tc>
        <w:tc>
          <w:tcPr>
            <w:tcW w:w="6178" w:type="dxa"/>
            <w:tcBorders>
              <w:top w:val="single" w:color="auto" w:sz="4" w:space="0"/>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配置≥1套网络控制器平台软件，配置高可靠HA授权，配置业务编排功能授权，配置≥2</w:t>
            </w:r>
            <w:r>
              <w:rPr>
                <w:rFonts w:ascii="宋体" w:hAnsi="宋体" w:cs="宋体"/>
                <w:kern w:val="0"/>
                <w:szCs w:val="21"/>
              </w:rPr>
              <w:t>50个有线设备管理授权</w:t>
            </w:r>
            <w:r>
              <w:rPr>
                <w:rFonts w:hint="eastAsia" w:ascii="宋体" w:hAnsi="宋体" w:cs="宋体"/>
                <w:kern w:val="0"/>
                <w:szCs w:val="21"/>
              </w:rPr>
              <w:t>，</w:t>
            </w:r>
            <w:r>
              <w:rPr>
                <w:rFonts w:ascii="宋体" w:hAnsi="宋体" w:cs="宋体"/>
                <w:kern w:val="0"/>
                <w:szCs w:val="21"/>
              </w:rPr>
              <w:t>配置</w:t>
            </w:r>
            <w:r>
              <w:rPr>
                <w:rFonts w:hint="eastAsia" w:ascii="宋体" w:hAnsi="宋体" w:cs="宋体"/>
                <w:kern w:val="0"/>
                <w:szCs w:val="21"/>
              </w:rPr>
              <w:t>≥400个普通无线AP管理授权，</w:t>
            </w:r>
            <w:r>
              <w:rPr>
                <w:rFonts w:ascii="宋体" w:hAnsi="宋体" w:cs="宋体"/>
                <w:kern w:val="0"/>
                <w:szCs w:val="21"/>
              </w:rPr>
              <w:t>配置</w:t>
            </w:r>
            <w:r>
              <w:rPr>
                <w:rFonts w:hint="eastAsia" w:ascii="宋体" w:hAnsi="宋体" w:cs="宋体"/>
                <w:kern w:val="0"/>
                <w:szCs w:val="21"/>
              </w:rPr>
              <w:t>≥160个分体AP管理授权，</w:t>
            </w:r>
            <w:r>
              <w:rPr>
                <w:rFonts w:hint="eastAsia" w:ascii="宋体" w:hAnsi="宋体" w:cs="宋体"/>
                <w:color w:val="000000"/>
                <w:kern w:val="0"/>
                <w:szCs w:val="21"/>
              </w:rPr>
              <w:t>配置≥2000个终端准入认证授权，配置≥2000个终端识别授权，配置相应的部署服务</w:t>
            </w:r>
          </w:p>
        </w:tc>
      </w:tr>
      <w:tr>
        <w:tblPrEx>
          <w:tblLayout w:type="fixed"/>
          <w:tblCellMar>
            <w:top w:w="0" w:type="dxa"/>
            <w:left w:w="108" w:type="dxa"/>
            <w:bottom w:w="0" w:type="dxa"/>
            <w:right w:w="108" w:type="dxa"/>
          </w:tblCellMar>
        </w:tblPrEx>
        <w:trPr>
          <w:trHeight w:val="675" w:hRule="atLeast"/>
        </w:trPr>
        <w:tc>
          <w:tcPr>
            <w:tcW w:w="226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服务要求</w:t>
            </w:r>
          </w:p>
        </w:tc>
        <w:tc>
          <w:tcPr>
            <w:tcW w:w="6178" w:type="dxa"/>
            <w:tcBorders>
              <w:top w:val="single" w:color="auto" w:sz="4" w:space="0"/>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电源、相关缆线及上机柜的配套设备必须齐全并满足机房实际布局连接要求，在售后服务期内，电话响应、现场支持、故障备件更换都不予另行收费。</w:t>
            </w:r>
          </w:p>
        </w:tc>
      </w:tr>
    </w:tbl>
    <w:p>
      <w:pPr>
        <w:widowControl/>
        <w:jc w:val="left"/>
      </w:pPr>
    </w:p>
    <w:p>
      <w:pPr>
        <w:pStyle w:val="4"/>
        <w:tabs>
          <w:tab w:val="left" w:pos="432"/>
        </w:tabs>
        <w:rPr>
          <w:sz w:val="24"/>
          <w:szCs w:val="24"/>
        </w:rPr>
      </w:pPr>
      <w:r>
        <w:rPr>
          <w:rFonts w:hint="eastAsia"/>
          <w:sz w:val="24"/>
          <w:szCs w:val="24"/>
        </w:rPr>
        <w:t>7.3.2 核心交换机</w:t>
      </w:r>
    </w:p>
    <w:tbl>
      <w:tblPr>
        <w:tblStyle w:val="3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7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指标项</w:t>
            </w:r>
          </w:p>
        </w:tc>
        <w:tc>
          <w:tcPr>
            <w:tcW w:w="707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widowControl/>
              <w:jc w:val="center"/>
              <w:rPr>
                <w:rFonts w:ascii="宋体" w:hAnsi="宋体" w:cs="宋体"/>
                <w:kern w:val="0"/>
                <w:szCs w:val="21"/>
              </w:rPr>
            </w:pPr>
            <w:r>
              <w:rPr>
                <w:rFonts w:hint="eastAsia" w:ascii="宋体" w:hAnsi="宋体" w:cs="宋体"/>
                <w:kern w:val="0"/>
                <w:szCs w:val="21"/>
              </w:rPr>
              <w:t>▲架构</w:t>
            </w:r>
          </w:p>
        </w:tc>
        <w:tc>
          <w:tcPr>
            <w:tcW w:w="7070" w:type="dxa"/>
          </w:tcPr>
          <w:p>
            <w:pPr>
              <w:widowControl/>
              <w:jc w:val="left"/>
              <w:rPr>
                <w:rFonts w:ascii="宋体" w:hAnsi="宋体" w:cs="宋体"/>
                <w:kern w:val="0"/>
                <w:szCs w:val="21"/>
              </w:rPr>
            </w:pPr>
            <w:r>
              <w:rPr>
                <w:rFonts w:hint="eastAsia" w:ascii="宋体" w:hAnsi="宋体" w:cs="宋体"/>
                <w:kern w:val="0"/>
                <w:szCs w:val="21"/>
              </w:rPr>
              <w:t>能够配置独立的交换网板与独立的主控板，交换网板与主控板硬件槽位分离；业务板卡与交换网板采用C</w:t>
            </w:r>
            <w:r>
              <w:rPr>
                <w:rFonts w:ascii="宋体" w:hAnsi="宋体" w:cs="宋体"/>
                <w:kern w:val="0"/>
                <w:szCs w:val="21"/>
              </w:rPr>
              <w:t>LOS</w:t>
            </w:r>
            <w:r>
              <w:rPr>
                <w:rFonts w:hint="eastAsia" w:ascii="宋体" w:hAnsi="宋体" w:cs="宋体"/>
                <w:kern w:val="0"/>
                <w:szCs w:val="21"/>
              </w:rPr>
              <w:t>架构。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Merge w:val="restart"/>
            <w:vAlign w:val="center"/>
          </w:tcPr>
          <w:p>
            <w:pPr>
              <w:widowControl/>
              <w:jc w:val="center"/>
              <w:rPr>
                <w:rFonts w:ascii="宋体" w:hAnsi="宋体" w:cs="宋体"/>
                <w:kern w:val="0"/>
                <w:szCs w:val="21"/>
              </w:rPr>
            </w:pPr>
            <w:r>
              <w:rPr>
                <w:rFonts w:hint="eastAsia" w:ascii="宋体" w:hAnsi="宋体" w:cs="宋体"/>
                <w:kern w:val="0"/>
                <w:szCs w:val="21"/>
              </w:rPr>
              <w:t>设备性能要求</w:t>
            </w:r>
          </w:p>
        </w:tc>
        <w:tc>
          <w:tcPr>
            <w:tcW w:w="7070" w:type="dxa"/>
          </w:tcPr>
          <w:p>
            <w:pPr>
              <w:widowControl/>
              <w:jc w:val="left"/>
              <w:rPr>
                <w:rFonts w:ascii="宋体" w:hAnsi="宋体" w:cs="宋体"/>
                <w:kern w:val="0"/>
                <w:szCs w:val="21"/>
              </w:rPr>
            </w:pPr>
            <w:r>
              <w:rPr>
                <w:rFonts w:hint="eastAsia" w:ascii="宋体" w:hAnsi="宋体" w:cs="宋体"/>
                <w:kern w:val="0"/>
                <w:szCs w:val="21"/>
              </w:rPr>
              <w:t>交换容量（以官网标注的最小值为准）≥30Tbps；包转发率≥36000Mpps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52" w:type="dxa"/>
            <w:vMerge w:val="continue"/>
            <w:vAlign w:val="center"/>
          </w:tcPr>
          <w:p>
            <w:pPr>
              <w:widowControl/>
              <w:jc w:val="center"/>
              <w:rPr>
                <w:rFonts w:ascii="宋体" w:hAnsi="宋体" w:cs="宋体"/>
                <w:kern w:val="0"/>
                <w:szCs w:val="21"/>
              </w:rPr>
            </w:pPr>
          </w:p>
        </w:tc>
        <w:tc>
          <w:tcPr>
            <w:tcW w:w="7070" w:type="dxa"/>
          </w:tcPr>
          <w:p>
            <w:pPr>
              <w:widowControl/>
              <w:jc w:val="left"/>
              <w:rPr>
                <w:rFonts w:ascii="宋体" w:hAnsi="宋体" w:cs="宋体"/>
                <w:kern w:val="0"/>
                <w:szCs w:val="21"/>
              </w:rPr>
            </w:pPr>
            <w:r>
              <w:rPr>
                <w:rFonts w:hint="eastAsia" w:ascii="宋体" w:hAnsi="宋体" w:cs="宋体"/>
                <w:kern w:val="0"/>
                <w:szCs w:val="21"/>
              </w:rPr>
              <w:t>主控槽位≥2 个，业务槽位≤8 个，独立交换网板≥4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1452" w:type="dxa"/>
            <w:vAlign w:val="center"/>
          </w:tcPr>
          <w:p>
            <w:pPr>
              <w:widowControl/>
              <w:jc w:val="center"/>
              <w:rPr>
                <w:rFonts w:ascii="宋体" w:hAnsi="宋体" w:cs="宋体"/>
                <w:kern w:val="0"/>
                <w:szCs w:val="21"/>
              </w:rPr>
            </w:pPr>
            <w:r>
              <w:rPr>
                <w:rFonts w:hint="eastAsia" w:ascii="宋体" w:hAnsi="宋体" w:cs="宋体"/>
                <w:kern w:val="0"/>
                <w:szCs w:val="21"/>
              </w:rPr>
              <w:t>接口要求</w:t>
            </w:r>
          </w:p>
        </w:tc>
        <w:tc>
          <w:tcPr>
            <w:tcW w:w="7070" w:type="dxa"/>
          </w:tcPr>
          <w:p>
            <w:pPr>
              <w:widowControl/>
              <w:jc w:val="left"/>
              <w:rPr>
                <w:rFonts w:ascii="宋体" w:hAnsi="宋体" w:cs="宋体"/>
                <w:kern w:val="0"/>
                <w:szCs w:val="21"/>
              </w:rPr>
            </w:pPr>
            <w:r>
              <w:rPr>
                <w:rFonts w:hint="eastAsia" w:ascii="宋体" w:hAnsi="宋体" w:cs="宋体"/>
                <w:kern w:val="0"/>
                <w:szCs w:val="21"/>
              </w:rPr>
              <w:t>要求设备支持千兆电口，千兆光口，万兆光口、万兆电口、40G端口、100G端口，单槽位万兆电端口密度≥24，单槽位100G端口密度≥16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widowControl/>
              <w:jc w:val="center"/>
              <w:rPr>
                <w:rFonts w:ascii="宋体" w:hAnsi="宋体" w:cs="宋体"/>
                <w:kern w:val="0"/>
                <w:szCs w:val="21"/>
              </w:rPr>
            </w:pPr>
            <w:r>
              <w:rPr>
                <w:rFonts w:hint="eastAsia" w:ascii="宋体" w:hAnsi="宋体" w:cs="宋体"/>
                <w:kern w:val="0"/>
                <w:szCs w:val="21"/>
              </w:rPr>
              <w:t>M</w:t>
            </w:r>
            <w:r>
              <w:rPr>
                <w:rFonts w:ascii="宋体" w:hAnsi="宋体" w:cs="宋体"/>
                <w:kern w:val="0"/>
                <w:szCs w:val="21"/>
              </w:rPr>
              <w:t>PLS</w:t>
            </w:r>
          </w:p>
        </w:tc>
        <w:tc>
          <w:tcPr>
            <w:tcW w:w="7070" w:type="dxa"/>
          </w:tcPr>
          <w:p>
            <w:pPr>
              <w:widowControl/>
              <w:jc w:val="left"/>
              <w:rPr>
                <w:rFonts w:ascii="宋体" w:hAnsi="宋体" w:cs="宋体"/>
                <w:kern w:val="0"/>
                <w:szCs w:val="21"/>
              </w:rPr>
            </w:pPr>
            <w:r>
              <w:rPr>
                <w:rFonts w:hint="eastAsia" w:ascii="宋体" w:hAnsi="宋体" w:cs="宋体"/>
                <w:kern w:val="0"/>
                <w:szCs w:val="21"/>
              </w:rPr>
              <w:t>实配MPLS功能，支持L3 VPN、支持VLL、支持VLPS、支持MCE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Merge w:val="restart"/>
            <w:vAlign w:val="center"/>
          </w:tcPr>
          <w:p>
            <w:pPr>
              <w:widowControl/>
              <w:jc w:val="center"/>
              <w:rPr>
                <w:rFonts w:ascii="宋体" w:hAnsi="宋体" w:cs="宋体"/>
                <w:kern w:val="0"/>
                <w:szCs w:val="21"/>
              </w:rPr>
            </w:pPr>
            <w:r>
              <w:rPr>
                <w:rFonts w:hint="eastAsia" w:ascii="宋体" w:hAnsi="宋体" w:cs="宋体"/>
                <w:kern w:val="0"/>
                <w:szCs w:val="21"/>
              </w:rPr>
              <w:t>虚拟化</w:t>
            </w:r>
          </w:p>
        </w:tc>
        <w:tc>
          <w:tcPr>
            <w:tcW w:w="7070" w:type="dxa"/>
            <w:vAlign w:val="center"/>
          </w:tcPr>
          <w:p>
            <w:pPr>
              <w:widowControl/>
              <w:jc w:val="left"/>
              <w:rPr>
                <w:rFonts w:ascii="宋体" w:hAnsi="宋体" w:cs="宋体"/>
                <w:kern w:val="0"/>
                <w:szCs w:val="21"/>
              </w:rPr>
            </w:pPr>
            <w:r>
              <w:rPr>
                <w:rFonts w:hint="eastAsia" w:ascii="宋体" w:hAnsi="宋体" w:cs="宋体"/>
                <w:kern w:val="0"/>
                <w:szCs w:val="21"/>
              </w:rPr>
              <w:t>支持远程端口扩展，作为控制设备实现对端口扩展模块的集中控制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Merge w:val="continue"/>
            <w:vAlign w:val="center"/>
          </w:tcPr>
          <w:p>
            <w:pPr>
              <w:widowControl/>
              <w:jc w:val="center"/>
              <w:rPr>
                <w:rFonts w:ascii="宋体" w:hAnsi="宋体" w:cs="宋体"/>
                <w:kern w:val="0"/>
                <w:szCs w:val="21"/>
              </w:rPr>
            </w:pPr>
          </w:p>
        </w:tc>
        <w:tc>
          <w:tcPr>
            <w:tcW w:w="7070" w:type="dxa"/>
            <w:vAlign w:val="center"/>
          </w:tcPr>
          <w:p>
            <w:pPr>
              <w:widowControl/>
              <w:jc w:val="left"/>
              <w:rPr>
                <w:rFonts w:ascii="宋体" w:hAnsi="宋体" w:cs="宋体"/>
                <w:kern w:val="0"/>
                <w:szCs w:val="21"/>
              </w:rPr>
            </w:pPr>
            <w:r>
              <w:rPr>
                <w:rFonts w:hint="eastAsia" w:ascii="宋体" w:hAnsi="宋体" w:cs="宋体"/>
                <w:kern w:val="0"/>
                <w:szCs w:val="21"/>
              </w:rPr>
              <w:t>支持全面网络虚拟化技术，支持多虚一技术(N:1)，支持一虚多技术（1:N），支持多虚一技术和一虚多技术的配合使用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Merge w:val="continue"/>
            <w:vAlign w:val="center"/>
          </w:tcPr>
          <w:p>
            <w:pPr>
              <w:widowControl/>
              <w:jc w:val="center"/>
              <w:rPr>
                <w:rFonts w:ascii="宋体" w:hAnsi="宋体" w:cs="宋体"/>
                <w:kern w:val="0"/>
                <w:szCs w:val="21"/>
              </w:rPr>
            </w:pPr>
          </w:p>
        </w:tc>
        <w:tc>
          <w:tcPr>
            <w:tcW w:w="7070" w:type="dxa"/>
          </w:tcPr>
          <w:p>
            <w:pPr>
              <w:widowControl/>
              <w:jc w:val="left"/>
              <w:rPr>
                <w:rFonts w:ascii="宋体" w:hAnsi="宋体" w:cs="宋体"/>
                <w:kern w:val="0"/>
                <w:szCs w:val="21"/>
              </w:rPr>
            </w:pPr>
            <w:r>
              <w:rPr>
                <w:rFonts w:hint="eastAsia" w:ascii="宋体" w:hAnsi="宋体" w:cs="宋体"/>
                <w:kern w:val="0"/>
                <w:szCs w:val="21"/>
              </w:rPr>
              <w:t>支持Overlay网络虚拟化能力，支持二层、三层VxLAN网关功能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widowControl/>
              <w:jc w:val="center"/>
              <w:rPr>
                <w:rFonts w:ascii="宋体" w:hAnsi="宋体" w:cs="宋体"/>
                <w:kern w:val="0"/>
                <w:szCs w:val="21"/>
              </w:rPr>
            </w:pPr>
            <w:r>
              <w:rPr>
                <w:rFonts w:hint="eastAsia" w:ascii="宋体" w:hAnsi="宋体" w:cs="宋体"/>
                <w:kern w:val="0"/>
                <w:szCs w:val="21"/>
              </w:rPr>
              <w:t>路由表</w:t>
            </w:r>
          </w:p>
        </w:tc>
        <w:tc>
          <w:tcPr>
            <w:tcW w:w="7070" w:type="dxa"/>
          </w:tcPr>
          <w:p>
            <w:pPr>
              <w:widowControl/>
              <w:rPr>
                <w:rFonts w:ascii="宋体" w:hAnsi="宋体" w:cs="宋体"/>
                <w:kern w:val="0"/>
                <w:szCs w:val="21"/>
              </w:rPr>
            </w:pPr>
            <w:r>
              <w:rPr>
                <w:rFonts w:hint="eastAsia" w:ascii="宋体" w:hAnsi="宋体" w:cs="宋体"/>
                <w:kern w:val="0"/>
                <w:szCs w:val="21"/>
              </w:rPr>
              <w:t>整机IPv4 FIB表项≥3M，IPv6 FIB表项≥1M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widowControl/>
              <w:jc w:val="center"/>
              <w:rPr>
                <w:rFonts w:ascii="宋体" w:hAnsi="宋体" w:cs="宋体"/>
                <w:kern w:val="0"/>
                <w:szCs w:val="21"/>
              </w:rPr>
            </w:pPr>
            <w:r>
              <w:rPr>
                <w:rFonts w:hint="eastAsia" w:ascii="宋体" w:hAnsi="宋体" w:cs="宋体"/>
                <w:kern w:val="0"/>
                <w:szCs w:val="21"/>
              </w:rPr>
              <w:t>ARP</w:t>
            </w:r>
          </w:p>
        </w:tc>
        <w:tc>
          <w:tcPr>
            <w:tcW w:w="7070" w:type="dxa"/>
          </w:tcPr>
          <w:p>
            <w:pPr>
              <w:widowControl/>
              <w:rPr>
                <w:rFonts w:ascii="宋体" w:hAnsi="宋体" w:cs="宋体"/>
                <w:kern w:val="0"/>
                <w:szCs w:val="21"/>
              </w:rPr>
            </w:pPr>
            <w:r>
              <w:rPr>
                <w:rFonts w:hint="eastAsia" w:ascii="宋体" w:hAnsi="宋体" w:cs="宋体"/>
                <w:kern w:val="0"/>
                <w:szCs w:val="21"/>
              </w:rPr>
              <w:t>整机ARP表项≥170K，学习速率≥1.1K/S，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widowControl/>
              <w:jc w:val="center"/>
              <w:rPr>
                <w:rFonts w:ascii="宋体" w:hAnsi="宋体" w:cs="宋体"/>
                <w:kern w:val="0"/>
                <w:szCs w:val="21"/>
              </w:rPr>
            </w:pPr>
            <w:r>
              <w:rPr>
                <w:rFonts w:hint="eastAsia" w:ascii="宋体" w:hAnsi="宋体" w:cs="宋体"/>
                <w:kern w:val="0"/>
                <w:szCs w:val="21"/>
              </w:rPr>
              <w:t>多业务扩展</w:t>
            </w:r>
          </w:p>
        </w:tc>
        <w:tc>
          <w:tcPr>
            <w:tcW w:w="7070" w:type="dxa"/>
          </w:tcPr>
          <w:p>
            <w:pPr>
              <w:widowControl/>
              <w:jc w:val="left"/>
              <w:rPr>
                <w:rFonts w:ascii="宋体" w:hAnsi="宋体" w:cs="宋体"/>
                <w:kern w:val="0"/>
                <w:szCs w:val="21"/>
              </w:rPr>
            </w:pPr>
            <w:r>
              <w:rPr>
                <w:rFonts w:hint="eastAsia" w:ascii="宋体" w:hAnsi="宋体" w:cs="宋体"/>
                <w:kern w:val="0"/>
                <w:szCs w:val="21"/>
              </w:rPr>
              <w:t>支持独立硬件应用控制网关业务板、独立硬件负载均衡业务板、独立硬件流量分析业务板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Merge w:val="restart"/>
            <w:vAlign w:val="center"/>
          </w:tcPr>
          <w:p>
            <w:pPr>
              <w:widowControl/>
              <w:jc w:val="center"/>
              <w:rPr>
                <w:rFonts w:ascii="宋体" w:hAnsi="宋体" w:cs="宋体"/>
                <w:kern w:val="0"/>
                <w:szCs w:val="21"/>
              </w:rPr>
            </w:pPr>
            <w:r>
              <w:rPr>
                <w:rFonts w:hint="eastAsia" w:ascii="宋体" w:hAnsi="宋体" w:cs="宋体"/>
                <w:kern w:val="0"/>
                <w:szCs w:val="21"/>
              </w:rPr>
              <w:t>安全特性</w:t>
            </w:r>
          </w:p>
        </w:tc>
        <w:tc>
          <w:tcPr>
            <w:tcW w:w="7070" w:type="dxa"/>
          </w:tcPr>
          <w:p>
            <w:pPr>
              <w:widowControl/>
              <w:jc w:val="left"/>
              <w:rPr>
                <w:rFonts w:ascii="宋体" w:hAnsi="宋体" w:cs="宋体"/>
                <w:kern w:val="0"/>
                <w:szCs w:val="21"/>
              </w:rPr>
            </w:pPr>
            <w:r>
              <w:rPr>
                <w:rFonts w:ascii="宋体" w:hAnsi="宋体" w:cs="宋体"/>
                <w:kern w:val="0"/>
                <w:szCs w:val="21"/>
              </w:rPr>
              <w:t>支持硬件级加密技术</w:t>
            </w:r>
            <w:r>
              <w:rPr>
                <w:rFonts w:hint="eastAsia" w:ascii="宋体" w:hAnsi="宋体" w:cs="宋体"/>
                <w:kern w:val="0"/>
                <w:szCs w:val="21"/>
              </w:rPr>
              <w:t>（</w:t>
            </w:r>
            <w:r>
              <w:rPr>
                <w:rFonts w:ascii="宋体" w:hAnsi="宋体" w:cs="宋体"/>
                <w:kern w:val="0"/>
                <w:szCs w:val="21"/>
              </w:rPr>
              <w:t>IEEE802.1</w:t>
            </w:r>
            <w:r>
              <w:rPr>
                <w:rFonts w:hint="eastAsia" w:ascii="宋体" w:hAnsi="宋体" w:cs="宋体"/>
                <w:kern w:val="0"/>
                <w:szCs w:val="21"/>
              </w:rPr>
              <w:t>ae）介质访问控制安全功能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Merge w:val="continue"/>
            <w:vAlign w:val="center"/>
          </w:tcPr>
          <w:p>
            <w:pPr>
              <w:widowControl/>
              <w:jc w:val="center"/>
              <w:rPr>
                <w:rFonts w:ascii="宋体" w:hAnsi="宋体" w:cs="宋体"/>
                <w:kern w:val="0"/>
                <w:szCs w:val="21"/>
              </w:rPr>
            </w:pPr>
          </w:p>
        </w:tc>
        <w:tc>
          <w:tcPr>
            <w:tcW w:w="7070" w:type="dxa"/>
          </w:tcPr>
          <w:p>
            <w:pPr>
              <w:widowControl/>
              <w:jc w:val="left"/>
              <w:rPr>
                <w:rFonts w:ascii="宋体" w:hAnsi="宋体" w:cs="宋体"/>
                <w:kern w:val="0"/>
                <w:szCs w:val="21"/>
              </w:rPr>
            </w:pPr>
            <w:r>
              <w:rPr>
                <w:rFonts w:hint="eastAsia" w:ascii="宋体" w:hAnsi="宋体" w:cs="宋体"/>
                <w:kern w:val="0"/>
                <w:szCs w:val="21"/>
              </w:rPr>
              <w:t>设备支持CPU防攻击功能，支持对协议攻击报文的识别和拦截，保证CPU的正常工作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45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▲单台配置要求</w:t>
            </w:r>
          </w:p>
        </w:tc>
        <w:tc>
          <w:tcPr>
            <w:tcW w:w="7070" w:type="dxa"/>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配置双主控引擎、</w:t>
            </w:r>
            <w:r>
              <w:rPr>
                <w:rFonts w:hint="eastAsia"/>
                <w:szCs w:val="21"/>
                <w:lang w:eastAsia="zh-CN"/>
              </w:rPr>
              <w:t>配置此设备最高规格的独立交换网板（≥</w:t>
            </w:r>
            <w:r>
              <w:rPr>
                <w:rFonts w:hint="eastAsia"/>
                <w:szCs w:val="21"/>
                <w:lang w:val="en-US" w:eastAsia="zh-CN"/>
              </w:rPr>
              <w:t>4块</w:t>
            </w:r>
            <w:r>
              <w:rPr>
                <w:rFonts w:hint="eastAsia"/>
                <w:szCs w:val="21"/>
                <w:lang w:eastAsia="zh-CN"/>
              </w:rPr>
              <w:t>）、</w:t>
            </w:r>
            <w:bookmarkStart w:id="128" w:name="_GoBack"/>
            <w:bookmarkEnd w:id="128"/>
            <w:r>
              <w:rPr>
                <w:rFonts w:hint="eastAsia"/>
                <w:szCs w:val="21"/>
              </w:rPr>
              <w:t>配置≥3块1200W节能交流电源、配置双机虚拟化；配置≥56个万兆光口，配置≥40个千兆光口，配置≥48个千兆电口，所配插卡需要配置三层VxLAN功能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服务要求</w:t>
            </w:r>
          </w:p>
        </w:tc>
        <w:tc>
          <w:tcPr>
            <w:tcW w:w="707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电源、相关缆线及上机柜的配套设备必须齐全并满足机房实际布局连接要求，在售后服务期内，电话响应、现场支持、故障备件更换都不予另行收费。</w:t>
            </w:r>
          </w:p>
        </w:tc>
      </w:tr>
    </w:tbl>
    <w:p>
      <w:pPr>
        <w:widowControl/>
        <w:jc w:val="left"/>
      </w:pPr>
    </w:p>
    <w:p>
      <w:pPr>
        <w:pStyle w:val="4"/>
        <w:tabs>
          <w:tab w:val="left" w:pos="432"/>
        </w:tabs>
        <w:rPr>
          <w:sz w:val="24"/>
          <w:szCs w:val="24"/>
        </w:rPr>
      </w:pPr>
      <w:r>
        <w:rPr>
          <w:rFonts w:hint="eastAsia"/>
          <w:sz w:val="24"/>
          <w:szCs w:val="24"/>
        </w:rPr>
        <w:t>7.3.3 汇聚交换机</w:t>
      </w:r>
    </w:p>
    <w:tbl>
      <w:tblPr>
        <w:tblStyle w:val="3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6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指标项</w:t>
            </w:r>
          </w:p>
        </w:tc>
        <w:tc>
          <w:tcPr>
            <w:tcW w:w="676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交换架构</w:t>
            </w:r>
          </w:p>
        </w:tc>
        <w:tc>
          <w:tcPr>
            <w:tcW w:w="6766" w:type="dxa"/>
          </w:tcPr>
          <w:p>
            <w:pPr>
              <w:widowControl/>
              <w:jc w:val="left"/>
              <w:rPr>
                <w:rFonts w:ascii="宋体" w:hAnsi="宋体" w:cs="宋体"/>
                <w:kern w:val="0"/>
                <w:szCs w:val="21"/>
              </w:rPr>
            </w:pPr>
            <w:r>
              <w:rPr>
                <w:rFonts w:hint="eastAsia" w:ascii="宋体" w:hAnsi="宋体" w:cs="宋体"/>
                <w:kern w:val="0"/>
                <w:szCs w:val="21"/>
              </w:rPr>
              <w:t>支持40GE和100GE以太网标准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restart"/>
            <w:vAlign w:val="center"/>
          </w:tcPr>
          <w:p>
            <w:pPr>
              <w:widowControl/>
              <w:jc w:val="center"/>
              <w:rPr>
                <w:rFonts w:ascii="宋体" w:hAnsi="宋体" w:cs="宋体"/>
                <w:kern w:val="0"/>
                <w:szCs w:val="21"/>
              </w:rPr>
            </w:pPr>
            <w:r>
              <w:rPr>
                <w:rFonts w:hint="eastAsia" w:ascii="宋体" w:hAnsi="宋体" w:cs="宋体"/>
                <w:kern w:val="0"/>
                <w:szCs w:val="21"/>
              </w:rPr>
              <w:t>▲设备性能要求</w:t>
            </w:r>
          </w:p>
        </w:tc>
        <w:tc>
          <w:tcPr>
            <w:tcW w:w="6766" w:type="dxa"/>
          </w:tcPr>
          <w:p>
            <w:pPr>
              <w:rPr>
                <w:szCs w:val="21"/>
              </w:rPr>
            </w:pPr>
            <w:r>
              <w:rPr>
                <w:rFonts w:hint="eastAsia"/>
                <w:szCs w:val="21"/>
              </w:rPr>
              <w:t>整机交换容量≥</w:t>
            </w:r>
            <w:r>
              <w:rPr>
                <w:rFonts w:hint="eastAsia"/>
                <w:szCs w:val="21"/>
                <w:lang w:val="en-US" w:eastAsia="zh-CN"/>
              </w:rPr>
              <w:t>48</w:t>
            </w:r>
            <w:r>
              <w:rPr>
                <w:rFonts w:hint="eastAsia"/>
                <w:szCs w:val="21"/>
              </w:rPr>
              <w:t xml:space="preserve">T，包转发≥12000Mpps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tcPr>
          <w:p>
            <w:pPr>
              <w:rPr>
                <w:szCs w:val="21"/>
              </w:rPr>
            </w:pPr>
            <w:r>
              <w:rPr>
                <w:rFonts w:hint="eastAsia"/>
                <w:szCs w:val="21"/>
              </w:rPr>
              <w:t>业务插槽数≥4；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restart"/>
            <w:vAlign w:val="center"/>
          </w:tcPr>
          <w:p>
            <w:pPr>
              <w:widowControl/>
              <w:jc w:val="center"/>
              <w:rPr>
                <w:rFonts w:ascii="宋体" w:hAnsi="宋体" w:cs="宋体"/>
                <w:kern w:val="0"/>
                <w:szCs w:val="21"/>
              </w:rPr>
            </w:pPr>
            <w:r>
              <w:rPr>
                <w:rFonts w:hint="eastAsia" w:ascii="宋体" w:hAnsi="宋体" w:cs="宋体"/>
                <w:kern w:val="0"/>
                <w:szCs w:val="21"/>
              </w:rPr>
              <w:t>接口要求</w:t>
            </w:r>
          </w:p>
        </w:tc>
        <w:tc>
          <w:tcPr>
            <w:tcW w:w="6766" w:type="dxa"/>
            <w:vAlign w:val="center"/>
          </w:tcPr>
          <w:p>
            <w:pPr>
              <w:widowControl/>
              <w:rPr>
                <w:rFonts w:ascii="宋体" w:hAnsi="宋体" w:cs="宋体"/>
                <w:kern w:val="0"/>
                <w:szCs w:val="21"/>
              </w:rPr>
            </w:pPr>
            <w:r>
              <w:rPr>
                <w:rFonts w:hint="eastAsia" w:ascii="宋体" w:hAnsi="宋体" w:cs="宋体"/>
                <w:kern w:val="0"/>
                <w:szCs w:val="21"/>
              </w:rPr>
              <w:t>以太网支持千兆电口，千兆光口，万兆光口、万兆电口、40G接口、100G接口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整机万兆电口密度≥48，提供官网链接证明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单槽位能够同时提供万兆电口+40G接口/万兆光口+40G接口，提高槽位利用率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关键部件热插拔</w:t>
            </w:r>
          </w:p>
        </w:tc>
        <w:tc>
          <w:tcPr>
            <w:tcW w:w="6766" w:type="dxa"/>
          </w:tcPr>
          <w:p>
            <w:pPr>
              <w:widowControl/>
              <w:jc w:val="left"/>
              <w:rPr>
                <w:rFonts w:ascii="宋体" w:hAnsi="宋体" w:cs="宋体"/>
                <w:kern w:val="0"/>
                <w:szCs w:val="21"/>
              </w:rPr>
            </w:pPr>
            <w:r>
              <w:rPr>
                <w:rFonts w:hint="eastAsia" w:ascii="宋体" w:hAnsi="宋体" w:cs="宋体"/>
                <w:kern w:val="0"/>
                <w:szCs w:val="21"/>
              </w:rPr>
              <w:t>电源（N+M冗余）、接口模块、风扇等关键部件可热插拔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restart"/>
            <w:vAlign w:val="center"/>
          </w:tcPr>
          <w:p>
            <w:pPr>
              <w:widowControl/>
              <w:jc w:val="center"/>
              <w:rPr>
                <w:rFonts w:ascii="宋体" w:hAnsi="宋体" w:cs="宋体"/>
                <w:kern w:val="0"/>
                <w:szCs w:val="21"/>
              </w:rPr>
            </w:pPr>
            <w:r>
              <w:rPr>
                <w:rFonts w:hint="eastAsia" w:ascii="宋体" w:hAnsi="宋体" w:cs="宋体"/>
                <w:kern w:val="0"/>
                <w:szCs w:val="21"/>
              </w:rPr>
              <w:t>虚拟化</w:t>
            </w:r>
          </w:p>
        </w:tc>
        <w:tc>
          <w:tcPr>
            <w:tcW w:w="6766" w:type="dxa"/>
            <w:vAlign w:val="center"/>
          </w:tcPr>
          <w:p>
            <w:pPr>
              <w:widowControl/>
              <w:jc w:val="left"/>
              <w:rPr>
                <w:rFonts w:ascii="宋体" w:hAnsi="宋体" w:cs="宋体"/>
                <w:kern w:val="0"/>
                <w:szCs w:val="21"/>
              </w:rPr>
            </w:pPr>
            <w:r>
              <w:rPr>
                <w:rFonts w:hint="eastAsia" w:ascii="宋体" w:hAnsi="宋体" w:cs="宋体"/>
                <w:kern w:val="0"/>
                <w:szCs w:val="21"/>
              </w:rPr>
              <w:t>支持远程端口扩展，作为控制设备实现对端口扩展模块的集中控制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jc w:val="left"/>
              <w:rPr>
                <w:rFonts w:ascii="宋体" w:hAnsi="宋体" w:cs="宋体"/>
                <w:kern w:val="0"/>
                <w:szCs w:val="21"/>
              </w:rPr>
            </w:pPr>
            <w:r>
              <w:rPr>
                <w:rFonts w:hint="eastAsia" w:ascii="宋体" w:hAnsi="宋体" w:cs="宋体"/>
                <w:kern w:val="0"/>
                <w:szCs w:val="21"/>
              </w:rPr>
              <w:t>支持全面网络虚拟化技术，支持多虚一技术(N:1)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tcPr>
          <w:p>
            <w:pPr>
              <w:widowControl/>
              <w:jc w:val="left"/>
              <w:rPr>
                <w:rFonts w:ascii="宋体" w:hAnsi="宋体" w:cs="宋体"/>
                <w:kern w:val="0"/>
                <w:szCs w:val="21"/>
              </w:rPr>
            </w:pPr>
            <w:r>
              <w:rPr>
                <w:rFonts w:hint="eastAsia" w:ascii="宋体" w:hAnsi="宋体" w:cs="宋体"/>
                <w:kern w:val="0"/>
                <w:szCs w:val="21"/>
              </w:rPr>
              <w:t>支持Overlay网络虚拟化能力，支持二层、三层VxLAN网关功能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1756" w:type="dxa"/>
            <w:vMerge w:val="restart"/>
            <w:vAlign w:val="center"/>
          </w:tcPr>
          <w:p>
            <w:pPr>
              <w:widowControl/>
              <w:jc w:val="center"/>
              <w:rPr>
                <w:rFonts w:ascii="宋体" w:hAnsi="宋体" w:cs="宋体"/>
                <w:kern w:val="0"/>
                <w:szCs w:val="21"/>
              </w:rPr>
            </w:pPr>
            <w:r>
              <w:rPr>
                <w:rFonts w:hint="eastAsia" w:ascii="宋体" w:hAnsi="宋体" w:cs="宋体"/>
                <w:kern w:val="0"/>
                <w:szCs w:val="21"/>
              </w:rPr>
              <w:t>安全特性</w:t>
            </w:r>
          </w:p>
        </w:tc>
        <w:tc>
          <w:tcPr>
            <w:tcW w:w="6766" w:type="dxa"/>
          </w:tcPr>
          <w:p>
            <w:pPr>
              <w:widowControl/>
              <w:jc w:val="left"/>
              <w:rPr>
                <w:rFonts w:ascii="宋体" w:hAnsi="宋体" w:cs="宋体"/>
                <w:kern w:val="0"/>
                <w:szCs w:val="21"/>
              </w:rPr>
            </w:pPr>
            <w:r>
              <w:rPr>
                <w:rFonts w:ascii="宋体" w:hAnsi="宋体" w:cs="宋体"/>
                <w:kern w:val="0"/>
                <w:szCs w:val="21"/>
              </w:rPr>
              <w:t>支持硬件级加密技术</w:t>
            </w:r>
            <w:r>
              <w:rPr>
                <w:rFonts w:hint="eastAsia" w:ascii="宋体" w:hAnsi="宋体" w:cs="宋体"/>
                <w:kern w:val="0"/>
                <w:szCs w:val="21"/>
              </w:rPr>
              <w:t>（</w:t>
            </w:r>
            <w:r>
              <w:rPr>
                <w:rFonts w:ascii="宋体" w:hAnsi="宋体" w:cs="宋体"/>
                <w:kern w:val="0"/>
                <w:szCs w:val="21"/>
              </w:rPr>
              <w:t>IEEE802.1</w:t>
            </w:r>
            <w:r>
              <w:rPr>
                <w:rFonts w:hint="eastAsia" w:ascii="宋体" w:hAnsi="宋体" w:cs="宋体"/>
                <w:kern w:val="0"/>
                <w:szCs w:val="21"/>
              </w:rPr>
              <w:t>ae）介质访问控制安全功能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tcPr>
          <w:p>
            <w:pPr>
              <w:widowControl/>
              <w:jc w:val="left"/>
              <w:rPr>
                <w:rFonts w:ascii="宋体" w:hAnsi="宋体" w:cs="宋体"/>
                <w:kern w:val="0"/>
                <w:szCs w:val="21"/>
              </w:rPr>
            </w:pPr>
            <w:r>
              <w:rPr>
                <w:rFonts w:hint="eastAsia" w:ascii="宋体" w:hAnsi="宋体" w:cs="宋体"/>
                <w:kern w:val="0"/>
                <w:szCs w:val="21"/>
              </w:rPr>
              <w:t>设备支持CPU防攻击功能，支持对协议攻击报文的识别和拦截，保证CPU的正常工作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restart"/>
            <w:tcBorders>
              <w:left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单台配置要求</w:t>
            </w:r>
          </w:p>
        </w:tc>
        <w:tc>
          <w:tcPr>
            <w:tcW w:w="6766" w:type="dxa"/>
            <w:tcBorders>
              <w:top w:val="single" w:color="auto" w:sz="4" w:space="0"/>
              <w:left w:val="single" w:color="auto" w:sz="4" w:space="0"/>
              <w:bottom w:val="single" w:color="auto" w:sz="4" w:space="0"/>
              <w:right w:val="single" w:color="auto" w:sz="4" w:space="0"/>
            </w:tcBorders>
            <w:vAlign w:val="center"/>
          </w:tcPr>
          <w:p>
            <w:pPr>
              <w:widowControl/>
              <w:rPr>
                <w:color w:val="000000"/>
                <w:kern w:val="0"/>
                <w:szCs w:val="21"/>
              </w:rPr>
            </w:pPr>
            <w:r>
              <w:rPr>
                <w:rFonts w:hint="eastAsia"/>
                <w:color w:val="000000"/>
                <w:szCs w:val="21"/>
              </w:rPr>
              <w:t>交流电源：配置≥4块650W节能交流电源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6766" w:type="dxa"/>
            <w:tcBorders>
              <w:top w:val="single" w:color="auto" w:sz="4" w:space="0"/>
              <w:left w:val="single" w:color="auto" w:sz="4" w:space="0"/>
              <w:bottom w:val="single" w:color="auto" w:sz="4" w:space="0"/>
              <w:right w:val="single" w:color="auto" w:sz="4" w:space="0"/>
            </w:tcBorders>
            <w:vAlign w:val="center"/>
          </w:tcPr>
          <w:p>
            <w:pPr>
              <w:rPr>
                <w:color w:val="000000"/>
                <w:szCs w:val="21"/>
              </w:rPr>
            </w:pPr>
            <w:r>
              <w:rPr>
                <w:rFonts w:hint="eastAsia"/>
                <w:color w:val="000000"/>
                <w:szCs w:val="21"/>
              </w:rPr>
              <w:t>风扇：配置≥2个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6766" w:type="dxa"/>
            <w:tcBorders>
              <w:top w:val="single" w:color="auto" w:sz="4" w:space="0"/>
              <w:left w:val="single" w:color="auto" w:sz="4" w:space="0"/>
              <w:bottom w:val="single" w:color="auto" w:sz="4" w:space="0"/>
              <w:right w:val="single" w:color="auto" w:sz="4" w:space="0"/>
            </w:tcBorders>
            <w:vAlign w:val="center"/>
          </w:tcPr>
          <w:p>
            <w:pPr>
              <w:rPr>
                <w:rFonts w:hint="eastAsia" w:eastAsia="宋体"/>
                <w:color w:val="000000"/>
                <w:szCs w:val="21"/>
                <w:lang w:eastAsia="zh-CN"/>
              </w:rPr>
            </w:pPr>
            <w:r>
              <w:rPr>
                <w:rFonts w:hint="eastAsia"/>
                <w:color w:val="000000"/>
                <w:szCs w:val="21"/>
              </w:rPr>
              <w:t>虚拟化：配置双机虚拟化，单台设备虚拟化接口≥4个40G接口（配置40G虚拟化线缆套件），</w:t>
            </w:r>
            <w:r>
              <w:rPr>
                <w:rFonts w:hint="eastAsia"/>
                <w:color w:val="000000"/>
                <w:szCs w:val="21"/>
                <w:lang w:eastAsia="zh-CN"/>
              </w:rPr>
              <w:t>支持</w:t>
            </w:r>
            <w:r>
              <w:rPr>
                <w:rFonts w:hint="eastAsia"/>
                <w:color w:val="000000"/>
                <w:szCs w:val="21"/>
              </w:rPr>
              <w:t>虚拟化接口分布在不同的≥4块物理业务插卡</w:t>
            </w:r>
            <w:r>
              <w:rPr>
                <w:rFonts w:hint="eastAsia"/>
                <w:color w:val="00000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6766" w:type="dxa"/>
            <w:tcBorders>
              <w:top w:val="single" w:color="auto" w:sz="4" w:space="0"/>
              <w:left w:val="single" w:color="auto" w:sz="4" w:space="0"/>
              <w:bottom w:val="single" w:color="auto" w:sz="4" w:space="0"/>
              <w:right w:val="single" w:color="auto" w:sz="4" w:space="0"/>
            </w:tcBorders>
            <w:vAlign w:val="center"/>
          </w:tcPr>
          <w:p>
            <w:pPr>
              <w:rPr>
                <w:color w:val="000000"/>
                <w:szCs w:val="21"/>
              </w:rPr>
            </w:pPr>
            <w:r>
              <w:rPr>
                <w:rFonts w:hint="eastAsia"/>
                <w:color w:val="000000"/>
                <w:szCs w:val="21"/>
              </w:rPr>
              <w:t>业务接口：配置≥48个万兆光口，配置≥4个40G光口，所配插卡需要配置三层VxLAN功能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服务要求</w:t>
            </w:r>
          </w:p>
        </w:tc>
        <w:tc>
          <w:tcPr>
            <w:tcW w:w="6766"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电源、相关缆线及上机柜的配套设备必须齐全并满足机房实际布局连接要求，在售后服务期内，电话响应、现场支持、故障备件更换都不予另行收费。</w:t>
            </w:r>
          </w:p>
        </w:tc>
      </w:tr>
    </w:tbl>
    <w:p>
      <w:pPr>
        <w:pStyle w:val="4"/>
        <w:tabs>
          <w:tab w:val="left" w:pos="432"/>
        </w:tabs>
        <w:rPr>
          <w:sz w:val="24"/>
          <w:szCs w:val="24"/>
        </w:rPr>
      </w:pPr>
      <w:r>
        <w:rPr>
          <w:rFonts w:hint="eastAsia"/>
          <w:sz w:val="24"/>
          <w:szCs w:val="24"/>
        </w:rPr>
        <w:t>7.3.4 48口接入交换机</w:t>
      </w:r>
    </w:p>
    <w:tbl>
      <w:tblPr>
        <w:tblStyle w:val="3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6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指标项</w:t>
            </w:r>
          </w:p>
        </w:tc>
        <w:tc>
          <w:tcPr>
            <w:tcW w:w="676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▲性能要求</w:t>
            </w:r>
          </w:p>
        </w:tc>
        <w:tc>
          <w:tcPr>
            <w:tcW w:w="6766" w:type="dxa"/>
            <w:vAlign w:val="center"/>
          </w:tcPr>
          <w:p>
            <w:pPr>
              <w:widowControl/>
              <w:rPr>
                <w:rFonts w:ascii="宋体" w:hAnsi="宋体" w:cs="宋体"/>
                <w:kern w:val="0"/>
                <w:szCs w:val="21"/>
              </w:rPr>
            </w:pPr>
            <w:r>
              <w:rPr>
                <w:rFonts w:hint="eastAsia" w:ascii="宋体" w:hAnsi="宋体" w:cs="宋体"/>
                <w:kern w:val="0"/>
                <w:szCs w:val="21"/>
              </w:rPr>
              <w:t>交换容量≥</w:t>
            </w:r>
            <w:r>
              <w:rPr>
                <w:rFonts w:ascii="宋体" w:hAnsi="宋体" w:cs="宋体"/>
                <w:kern w:val="0"/>
                <w:szCs w:val="21"/>
              </w:rPr>
              <w:t>336</w:t>
            </w:r>
            <w:r>
              <w:rPr>
                <w:rFonts w:hint="eastAsia" w:ascii="宋体" w:hAnsi="宋体" w:cs="宋体"/>
                <w:kern w:val="0"/>
                <w:szCs w:val="21"/>
              </w:rPr>
              <w:t>Gbps，包转发率≥</w:t>
            </w:r>
            <w:r>
              <w:rPr>
                <w:rFonts w:ascii="宋体" w:hAnsi="宋体" w:cs="宋体"/>
                <w:kern w:val="0"/>
                <w:szCs w:val="21"/>
              </w:rPr>
              <w:t>132</w:t>
            </w:r>
            <w:r>
              <w:rPr>
                <w:rFonts w:hint="eastAsia" w:ascii="宋体" w:hAnsi="宋体" w:cs="宋体"/>
                <w:kern w:val="0"/>
                <w:szCs w:val="21"/>
              </w:rPr>
              <w:t>Mpps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w:t>
            </w:r>
            <w:r>
              <w:rPr>
                <w:rFonts w:ascii="宋体" w:hAnsi="宋体" w:cs="宋体"/>
                <w:kern w:val="0"/>
                <w:szCs w:val="21"/>
              </w:rPr>
              <w:t>配置要求</w:t>
            </w:r>
          </w:p>
        </w:tc>
        <w:tc>
          <w:tcPr>
            <w:tcW w:w="6766" w:type="dxa"/>
            <w:vAlign w:val="center"/>
          </w:tcPr>
          <w:p>
            <w:pPr>
              <w:widowControl/>
              <w:rPr>
                <w:rFonts w:ascii="宋体" w:hAnsi="宋体" w:cs="宋体"/>
                <w:kern w:val="0"/>
                <w:szCs w:val="21"/>
              </w:rPr>
            </w:pPr>
            <w:r>
              <w:rPr>
                <w:rFonts w:hint="eastAsia" w:ascii="宋体" w:hAnsi="宋体" w:cs="宋体"/>
                <w:kern w:val="0"/>
                <w:szCs w:val="21"/>
              </w:rPr>
              <w:t>提供≥4</w:t>
            </w:r>
            <w:r>
              <w:rPr>
                <w:rFonts w:ascii="宋体" w:hAnsi="宋体" w:cs="宋体"/>
                <w:kern w:val="0"/>
                <w:szCs w:val="21"/>
              </w:rPr>
              <w:t>8</w:t>
            </w:r>
            <w:r>
              <w:rPr>
                <w:rFonts w:hint="eastAsia" w:ascii="宋体" w:hAnsi="宋体" w:cs="宋体"/>
                <w:kern w:val="0"/>
                <w:szCs w:val="21"/>
              </w:rPr>
              <w:t>个</w:t>
            </w:r>
            <w:r>
              <w:rPr>
                <w:rFonts w:ascii="宋体" w:hAnsi="宋体" w:cs="宋体"/>
                <w:kern w:val="0"/>
                <w:szCs w:val="21"/>
              </w:rPr>
              <w:t>千兆电</w:t>
            </w:r>
            <w:r>
              <w:rPr>
                <w:rFonts w:hint="eastAsia" w:ascii="宋体" w:hAnsi="宋体" w:cs="宋体"/>
                <w:kern w:val="0"/>
                <w:szCs w:val="21"/>
              </w:rPr>
              <w:t>口，≥1个Mircro USB接口，≥4个万兆光口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CPU防护</w:t>
            </w:r>
          </w:p>
        </w:tc>
        <w:tc>
          <w:tcPr>
            <w:tcW w:w="6766" w:type="dxa"/>
            <w:vAlign w:val="center"/>
          </w:tcPr>
          <w:p>
            <w:pPr>
              <w:widowControl/>
              <w:rPr>
                <w:rFonts w:ascii="宋体" w:hAnsi="宋体" w:cs="宋体"/>
                <w:kern w:val="0"/>
                <w:szCs w:val="21"/>
              </w:rPr>
            </w:pPr>
            <w:r>
              <w:rPr>
                <w:rFonts w:ascii="宋体" w:hAnsi="宋体" w:cs="宋体"/>
                <w:kern w:val="0"/>
                <w:szCs w:val="21"/>
              </w:rPr>
              <w:t>实现CPU保护功能，能限制非法报文对CPU的攻击，保护交换机在各种环境下稳定工作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restart"/>
            <w:vAlign w:val="center"/>
          </w:tcPr>
          <w:p>
            <w:pPr>
              <w:widowControl/>
              <w:jc w:val="center"/>
              <w:rPr>
                <w:rFonts w:ascii="宋体" w:hAnsi="宋体" w:cs="宋体"/>
                <w:kern w:val="0"/>
                <w:szCs w:val="21"/>
              </w:rPr>
            </w:pPr>
            <w:r>
              <w:rPr>
                <w:rFonts w:hint="eastAsia" w:ascii="宋体" w:hAnsi="宋体" w:cs="宋体"/>
                <w:kern w:val="0"/>
                <w:szCs w:val="21"/>
              </w:rPr>
              <w:t>堆叠</w:t>
            </w:r>
          </w:p>
        </w:tc>
        <w:tc>
          <w:tcPr>
            <w:tcW w:w="6766" w:type="dxa"/>
            <w:vAlign w:val="center"/>
          </w:tcPr>
          <w:p>
            <w:pPr>
              <w:widowControl/>
              <w:rPr>
                <w:rFonts w:ascii="宋体" w:hAnsi="宋体" w:cs="宋体"/>
                <w:kern w:val="0"/>
                <w:szCs w:val="21"/>
              </w:rPr>
            </w:pPr>
            <w:r>
              <w:rPr>
                <w:rFonts w:hint="eastAsia" w:ascii="宋体" w:hAnsi="宋体" w:cs="宋体"/>
                <w:kern w:val="0"/>
                <w:szCs w:val="21"/>
              </w:rPr>
              <w:t>支持横向，纵向虚拟化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支持跨设备链路聚合，可将多台设备虚拟化为一台，单一IP管理，分布式弹性路由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支持通过标准以太端口进行堆叠（万兆或千兆均支持）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restart"/>
            <w:vAlign w:val="center"/>
          </w:tcPr>
          <w:p>
            <w:pPr>
              <w:widowControl/>
              <w:jc w:val="center"/>
              <w:rPr>
                <w:rFonts w:ascii="宋体" w:hAnsi="宋体" w:cs="宋体"/>
                <w:kern w:val="0"/>
                <w:szCs w:val="21"/>
              </w:rPr>
            </w:pPr>
            <w:r>
              <w:rPr>
                <w:rFonts w:hint="eastAsia" w:ascii="宋体" w:hAnsi="宋体" w:cs="宋体"/>
                <w:kern w:val="0"/>
                <w:szCs w:val="21"/>
              </w:rPr>
              <w:t>VLAN特性</w:t>
            </w:r>
          </w:p>
        </w:tc>
        <w:tc>
          <w:tcPr>
            <w:tcW w:w="6766" w:type="dxa"/>
            <w:vAlign w:val="center"/>
          </w:tcPr>
          <w:p>
            <w:pPr>
              <w:widowControl/>
              <w:rPr>
                <w:rFonts w:ascii="宋体" w:hAnsi="宋体" w:cs="宋体"/>
                <w:kern w:val="0"/>
                <w:szCs w:val="21"/>
              </w:rPr>
            </w:pPr>
            <w:r>
              <w:rPr>
                <w:rFonts w:hint="eastAsia" w:ascii="宋体" w:hAnsi="宋体" w:cs="宋体"/>
                <w:kern w:val="0"/>
                <w:szCs w:val="21"/>
              </w:rPr>
              <w:t>支持基于端口的VLAN，支持基于协议的VLAN；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支持基于MAC的VLAN；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restart"/>
            <w:vAlign w:val="center"/>
          </w:tcPr>
          <w:p>
            <w:pPr>
              <w:widowControl/>
              <w:jc w:val="center"/>
              <w:rPr>
                <w:rFonts w:ascii="宋体" w:hAnsi="宋体" w:cs="宋体"/>
                <w:kern w:val="0"/>
                <w:szCs w:val="21"/>
              </w:rPr>
            </w:pPr>
            <w:r>
              <w:rPr>
                <w:rFonts w:hint="eastAsia" w:ascii="宋体" w:hAnsi="宋体" w:cs="宋体"/>
                <w:kern w:val="0"/>
                <w:szCs w:val="21"/>
              </w:rPr>
              <w:t>路由协议</w:t>
            </w:r>
          </w:p>
        </w:tc>
        <w:tc>
          <w:tcPr>
            <w:tcW w:w="6766" w:type="dxa"/>
            <w:vAlign w:val="center"/>
          </w:tcPr>
          <w:p>
            <w:pPr>
              <w:widowControl/>
              <w:rPr>
                <w:rFonts w:ascii="宋体" w:hAnsi="宋体" w:cs="宋体"/>
                <w:kern w:val="0"/>
                <w:szCs w:val="21"/>
              </w:rPr>
            </w:pPr>
            <w:r>
              <w:rPr>
                <w:rFonts w:hint="eastAsia" w:ascii="宋体" w:hAnsi="宋体" w:cs="宋体"/>
                <w:kern w:val="0"/>
                <w:szCs w:val="21"/>
              </w:rPr>
              <w:t>支持IPv4静态路由、RIP V1/V2、OSPF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支持IPv6静态路由、RIPng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支持IPv4和IPv6环境下的策略路由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防雷</w:t>
            </w:r>
          </w:p>
        </w:tc>
        <w:tc>
          <w:tcPr>
            <w:tcW w:w="6766" w:type="dxa"/>
            <w:vAlign w:val="center"/>
          </w:tcPr>
          <w:p>
            <w:pPr>
              <w:widowControl/>
              <w:rPr>
                <w:rFonts w:ascii="宋体" w:hAnsi="宋体" w:cs="宋体"/>
                <w:kern w:val="0"/>
                <w:szCs w:val="21"/>
              </w:rPr>
            </w:pPr>
            <w:r>
              <w:rPr>
                <w:rFonts w:hint="eastAsia" w:ascii="宋体" w:hAnsi="宋体" w:cs="宋体"/>
                <w:kern w:val="0"/>
                <w:szCs w:val="21"/>
              </w:rPr>
              <w:t>为保证设备的可靠性，要求业务端口</w:t>
            </w:r>
            <w:r>
              <w:rPr>
                <w:rFonts w:ascii="宋体" w:hAnsi="宋体" w:cs="宋体"/>
                <w:kern w:val="0"/>
                <w:szCs w:val="21"/>
              </w:rPr>
              <w:t>内置10KV防雷能力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restart"/>
            <w:vAlign w:val="center"/>
          </w:tcPr>
          <w:p>
            <w:pPr>
              <w:widowControl/>
              <w:jc w:val="center"/>
              <w:rPr>
                <w:rFonts w:ascii="宋体" w:hAnsi="宋体" w:cs="宋体"/>
                <w:kern w:val="0"/>
                <w:szCs w:val="21"/>
              </w:rPr>
            </w:pPr>
            <w:r>
              <w:rPr>
                <w:rFonts w:hint="eastAsia" w:ascii="宋体" w:hAnsi="宋体" w:cs="宋体"/>
                <w:kern w:val="0"/>
                <w:szCs w:val="21"/>
              </w:rPr>
              <w:t>SDN/OPENFLOW</w:t>
            </w:r>
          </w:p>
        </w:tc>
        <w:tc>
          <w:tcPr>
            <w:tcW w:w="6766" w:type="dxa"/>
            <w:vAlign w:val="center"/>
          </w:tcPr>
          <w:p>
            <w:pPr>
              <w:widowControl/>
              <w:rPr>
                <w:rFonts w:ascii="宋体" w:hAnsi="宋体" w:cs="宋体"/>
                <w:kern w:val="0"/>
                <w:szCs w:val="21"/>
              </w:rPr>
            </w:pPr>
            <w:r>
              <w:rPr>
                <w:rFonts w:hint="eastAsia" w:ascii="宋体" w:hAnsi="宋体" w:cs="宋体"/>
                <w:kern w:val="0"/>
                <w:szCs w:val="21"/>
              </w:rPr>
              <w:t>支持OPENFLOW 1.3标准支持普通模式和Openflow 模式切换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支持多表流水线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支持Group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资质认证</w:t>
            </w:r>
          </w:p>
        </w:tc>
        <w:tc>
          <w:tcPr>
            <w:tcW w:w="6766" w:type="dxa"/>
            <w:vAlign w:val="center"/>
          </w:tcPr>
          <w:p>
            <w:pPr>
              <w:widowControl/>
              <w:rPr>
                <w:rFonts w:ascii="宋体" w:hAnsi="宋体" w:cs="宋体"/>
                <w:kern w:val="0"/>
                <w:szCs w:val="21"/>
              </w:rPr>
            </w:pPr>
            <w:r>
              <w:rPr>
                <w:rFonts w:hint="eastAsia" w:ascii="宋体" w:hAnsi="宋体" w:cs="宋体"/>
                <w:kern w:val="0"/>
                <w:szCs w:val="21"/>
              </w:rPr>
              <w:t>提供信产部入网证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服务要求</w:t>
            </w:r>
          </w:p>
        </w:tc>
        <w:tc>
          <w:tcPr>
            <w:tcW w:w="6766" w:type="dxa"/>
            <w:vAlign w:val="center"/>
          </w:tcPr>
          <w:p>
            <w:pPr>
              <w:widowControl/>
              <w:rPr>
                <w:rFonts w:ascii="宋体" w:hAnsi="宋体" w:cs="宋体"/>
                <w:kern w:val="0"/>
                <w:szCs w:val="21"/>
              </w:rPr>
            </w:pPr>
            <w:r>
              <w:rPr>
                <w:rFonts w:hint="eastAsia" w:ascii="宋体" w:hAnsi="宋体" w:cs="宋体"/>
                <w:kern w:val="0"/>
                <w:szCs w:val="21"/>
              </w:rPr>
              <w:t>电源、相关缆线及上机柜的配套设备必须齐全并满足机房实际布局连接要求，在售后服务期内，电话响应、现场支持、故障备件更换都不予另行收费。</w:t>
            </w:r>
          </w:p>
        </w:tc>
      </w:tr>
    </w:tbl>
    <w:p>
      <w:pPr>
        <w:widowControl/>
        <w:jc w:val="left"/>
      </w:pPr>
    </w:p>
    <w:p>
      <w:pPr>
        <w:pStyle w:val="4"/>
        <w:tabs>
          <w:tab w:val="left" w:pos="432"/>
        </w:tabs>
        <w:rPr>
          <w:sz w:val="24"/>
          <w:szCs w:val="24"/>
        </w:rPr>
      </w:pPr>
      <w:r>
        <w:rPr>
          <w:rFonts w:hint="eastAsia"/>
          <w:sz w:val="24"/>
          <w:szCs w:val="24"/>
        </w:rPr>
        <w:t>7.3.5 24口接入交换机</w:t>
      </w:r>
    </w:p>
    <w:tbl>
      <w:tblPr>
        <w:tblStyle w:val="3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6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指标项</w:t>
            </w:r>
          </w:p>
        </w:tc>
        <w:tc>
          <w:tcPr>
            <w:tcW w:w="676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▲性能要求</w:t>
            </w:r>
          </w:p>
        </w:tc>
        <w:tc>
          <w:tcPr>
            <w:tcW w:w="6766" w:type="dxa"/>
            <w:vAlign w:val="center"/>
          </w:tcPr>
          <w:p>
            <w:pPr>
              <w:widowControl/>
              <w:rPr>
                <w:rFonts w:ascii="宋体" w:hAnsi="宋体" w:cs="宋体"/>
                <w:kern w:val="0"/>
                <w:szCs w:val="21"/>
              </w:rPr>
            </w:pPr>
            <w:r>
              <w:rPr>
                <w:rFonts w:hint="eastAsia" w:ascii="宋体" w:hAnsi="宋体" w:cs="宋体"/>
                <w:kern w:val="0"/>
                <w:szCs w:val="21"/>
              </w:rPr>
              <w:t>交换容量≥</w:t>
            </w:r>
            <w:r>
              <w:rPr>
                <w:rFonts w:ascii="宋体" w:hAnsi="宋体" w:cs="宋体"/>
                <w:kern w:val="0"/>
                <w:szCs w:val="21"/>
              </w:rPr>
              <w:t>336</w:t>
            </w:r>
            <w:r>
              <w:rPr>
                <w:rFonts w:hint="eastAsia" w:ascii="宋体" w:hAnsi="宋体" w:cs="宋体"/>
                <w:kern w:val="0"/>
                <w:szCs w:val="21"/>
              </w:rPr>
              <w:t>Gbps，包转发率≥96Mpps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w:t>
            </w:r>
            <w:r>
              <w:rPr>
                <w:rFonts w:ascii="宋体" w:hAnsi="宋体" w:cs="宋体"/>
                <w:kern w:val="0"/>
                <w:szCs w:val="21"/>
              </w:rPr>
              <w:t>配置要求</w:t>
            </w:r>
          </w:p>
        </w:tc>
        <w:tc>
          <w:tcPr>
            <w:tcW w:w="6766" w:type="dxa"/>
            <w:vAlign w:val="center"/>
          </w:tcPr>
          <w:p>
            <w:pPr>
              <w:widowControl/>
              <w:rPr>
                <w:rFonts w:ascii="宋体" w:hAnsi="宋体" w:cs="宋体"/>
                <w:kern w:val="0"/>
                <w:szCs w:val="21"/>
              </w:rPr>
            </w:pPr>
            <w:r>
              <w:rPr>
                <w:rFonts w:hint="eastAsia" w:ascii="宋体" w:hAnsi="宋体" w:cs="宋体"/>
                <w:kern w:val="0"/>
                <w:szCs w:val="21"/>
              </w:rPr>
              <w:t>提供≥24个</w:t>
            </w:r>
            <w:r>
              <w:rPr>
                <w:rFonts w:ascii="宋体" w:hAnsi="宋体" w:cs="宋体"/>
                <w:kern w:val="0"/>
                <w:szCs w:val="21"/>
              </w:rPr>
              <w:t>千兆电</w:t>
            </w:r>
            <w:r>
              <w:rPr>
                <w:rFonts w:hint="eastAsia" w:ascii="宋体" w:hAnsi="宋体" w:cs="宋体"/>
                <w:kern w:val="0"/>
                <w:szCs w:val="21"/>
              </w:rPr>
              <w:t>口，≥1个Mircro USB接口，≥4个万兆光口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CPU防护</w:t>
            </w:r>
          </w:p>
        </w:tc>
        <w:tc>
          <w:tcPr>
            <w:tcW w:w="6766" w:type="dxa"/>
            <w:vAlign w:val="center"/>
          </w:tcPr>
          <w:p>
            <w:pPr>
              <w:widowControl/>
              <w:rPr>
                <w:rFonts w:ascii="宋体" w:hAnsi="宋体" w:cs="宋体"/>
                <w:kern w:val="0"/>
                <w:szCs w:val="21"/>
              </w:rPr>
            </w:pPr>
            <w:r>
              <w:rPr>
                <w:rFonts w:ascii="宋体" w:hAnsi="宋体" w:cs="宋体"/>
                <w:kern w:val="0"/>
                <w:szCs w:val="21"/>
              </w:rPr>
              <w:t>实现CPU保护功能，能限制非法报文对CPU的攻击，保护交换机在各种环境下稳定工作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restart"/>
            <w:vAlign w:val="center"/>
          </w:tcPr>
          <w:p>
            <w:pPr>
              <w:widowControl/>
              <w:jc w:val="center"/>
              <w:rPr>
                <w:rFonts w:ascii="宋体" w:hAnsi="宋体" w:cs="宋体"/>
                <w:kern w:val="0"/>
                <w:szCs w:val="21"/>
              </w:rPr>
            </w:pPr>
            <w:r>
              <w:rPr>
                <w:rFonts w:hint="eastAsia" w:ascii="宋体" w:hAnsi="宋体" w:cs="宋体"/>
                <w:kern w:val="0"/>
                <w:szCs w:val="21"/>
              </w:rPr>
              <w:t>堆叠</w:t>
            </w:r>
          </w:p>
        </w:tc>
        <w:tc>
          <w:tcPr>
            <w:tcW w:w="6766" w:type="dxa"/>
            <w:vAlign w:val="center"/>
          </w:tcPr>
          <w:p>
            <w:pPr>
              <w:widowControl/>
              <w:rPr>
                <w:rFonts w:ascii="宋体" w:hAnsi="宋体" w:cs="宋体"/>
                <w:kern w:val="0"/>
                <w:szCs w:val="21"/>
              </w:rPr>
            </w:pPr>
            <w:r>
              <w:rPr>
                <w:rFonts w:hint="eastAsia" w:ascii="宋体" w:hAnsi="宋体" w:cs="宋体"/>
                <w:kern w:val="0"/>
                <w:szCs w:val="21"/>
              </w:rPr>
              <w:t>支持横向，纵向虚拟化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支持跨设备链路聚合，可将多台设备虚拟化为一台，单一IP管理，分布式弹性路由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支持通过标准以太端口进行堆叠（万兆或千兆均支持）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restart"/>
            <w:vAlign w:val="center"/>
          </w:tcPr>
          <w:p>
            <w:pPr>
              <w:widowControl/>
              <w:jc w:val="center"/>
              <w:rPr>
                <w:rFonts w:ascii="宋体" w:hAnsi="宋体" w:cs="宋体"/>
                <w:kern w:val="0"/>
                <w:szCs w:val="21"/>
              </w:rPr>
            </w:pPr>
            <w:r>
              <w:rPr>
                <w:rFonts w:hint="eastAsia" w:ascii="宋体" w:hAnsi="宋体" w:cs="宋体"/>
                <w:kern w:val="0"/>
                <w:szCs w:val="21"/>
              </w:rPr>
              <w:t>VLAN特性</w:t>
            </w:r>
          </w:p>
        </w:tc>
        <w:tc>
          <w:tcPr>
            <w:tcW w:w="6766" w:type="dxa"/>
            <w:vAlign w:val="center"/>
          </w:tcPr>
          <w:p>
            <w:pPr>
              <w:widowControl/>
              <w:rPr>
                <w:rFonts w:ascii="宋体" w:hAnsi="宋体" w:cs="宋体"/>
                <w:kern w:val="0"/>
                <w:szCs w:val="21"/>
              </w:rPr>
            </w:pPr>
            <w:r>
              <w:rPr>
                <w:rFonts w:hint="eastAsia" w:ascii="宋体" w:hAnsi="宋体" w:cs="宋体"/>
                <w:kern w:val="0"/>
                <w:szCs w:val="21"/>
              </w:rPr>
              <w:t>支持基于端口的VLAN，支持基于协议的VLAN；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支持基于MAC的VLAN；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restart"/>
            <w:vAlign w:val="center"/>
          </w:tcPr>
          <w:p>
            <w:pPr>
              <w:widowControl/>
              <w:jc w:val="center"/>
              <w:rPr>
                <w:rFonts w:ascii="宋体" w:hAnsi="宋体" w:cs="宋体"/>
                <w:kern w:val="0"/>
                <w:szCs w:val="21"/>
              </w:rPr>
            </w:pPr>
            <w:r>
              <w:rPr>
                <w:rFonts w:hint="eastAsia" w:ascii="宋体" w:hAnsi="宋体" w:cs="宋体"/>
                <w:kern w:val="0"/>
                <w:szCs w:val="21"/>
              </w:rPr>
              <w:t>路由协议</w:t>
            </w:r>
          </w:p>
        </w:tc>
        <w:tc>
          <w:tcPr>
            <w:tcW w:w="6766" w:type="dxa"/>
            <w:vAlign w:val="center"/>
          </w:tcPr>
          <w:p>
            <w:pPr>
              <w:widowControl/>
              <w:rPr>
                <w:rFonts w:ascii="宋体" w:hAnsi="宋体" w:cs="宋体"/>
                <w:kern w:val="0"/>
                <w:szCs w:val="21"/>
              </w:rPr>
            </w:pPr>
            <w:r>
              <w:rPr>
                <w:rFonts w:hint="eastAsia" w:ascii="宋体" w:hAnsi="宋体" w:cs="宋体"/>
                <w:kern w:val="0"/>
                <w:szCs w:val="21"/>
              </w:rPr>
              <w:t>支持IPv4静态路由、RIP V1/V2、OSPF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支持IPv6静态路由、RIPng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支持IPv4和IPv6环境下的策略路由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防雷</w:t>
            </w:r>
          </w:p>
        </w:tc>
        <w:tc>
          <w:tcPr>
            <w:tcW w:w="6766" w:type="dxa"/>
            <w:vAlign w:val="center"/>
          </w:tcPr>
          <w:p>
            <w:pPr>
              <w:widowControl/>
              <w:rPr>
                <w:rFonts w:ascii="宋体" w:hAnsi="宋体" w:cs="宋体"/>
                <w:kern w:val="0"/>
                <w:szCs w:val="21"/>
              </w:rPr>
            </w:pPr>
            <w:r>
              <w:rPr>
                <w:rFonts w:hint="eastAsia" w:ascii="宋体" w:hAnsi="宋体" w:cs="宋体"/>
                <w:kern w:val="0"/>
                <w:szCs w:val="21"/>
              </w:rPr>
              <w:t>为保证设备的可靠性，要求业务端口</w:t>
            </w:r>
            <w:r>
              <w:rPr>
                <w:rFonts w:ascii="宋体" w:hAnsi="宋体" w:cs="宋体"/>
                <w:kern w:val="0"/>
                <w:szCs w:val="21"/>
              </w:rPr>
              <w:t>内置10KV防雷能力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restart"/>
            <w:vAlign w:val="center"/>
          </w:tcPr>
          <w:p>
            <w:pPr>
              <w:widowControl/>
              <w:jc w:val="center"/>
              <w:rPr>
                <w:rFonts w:ascii="宋体" w:hAnsi="宋体" w:cs="宋体"/>
                <w:kern w:val="0"/>
                <w:szCs w:val="21"/>
              </w:rPr>
            </w:pPr>
            <w:r>
              <w:rPr>
                <w:rFonts w:hint="eastAsia" w:ascii="宋体" w:hAnsi="宋体" w:cs="宋体"/>
                <w:kern w:val="0"/>
                <w:szCs w:val="21"/>
              </w:rPr>
              <w:t>SDN/OPENFLOW</w:t>
            </w:r>
          </w:p>
        </w:tc>
        <w:tc>
          <w:tcPr>
            <w:tcW w:w="6766" w:type="dxa"/>
            <w:vAlign w:val="center"/>
          </w:tcPr>
          <w:p>
            <w:pPr>
              <w:widowControl/>
              <w:rPr>
                <w:rFonts w:ascii="宋体" w:hAnsi="宋体" w:cs="宋体"/>
                <w:kern w:val="0"/>
                <w:szCs w:val="21"/>
              </w:rPr>
            </w:pPr>
            <w:r>
              <w:rPr>
                <w:rFonts w:hint="eastAsia" w:ascii="宋体" w:hAnsi="宋体" w:cs="宋体"/>
                <w:kern w:val="0"/>
                <w:szCs w:val="21"/>
              </w:rPr>
              <w:t>支持OPENFLOW 1.3标准支持普通模式和Openflow 模式切换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支持多表流水线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支持Group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资质认证</w:t>
            </w:r>
          </w:p>
        </w:tc>
        <w:tc>
          <w:tcPr>
            <w:tcW w:w="6766" w:type="dxa"/>
            <w:vAlign w:val="center"/>
          </w:tcPr>
          <w:p>
            <w:pPr>
              <w:widowControl/>
              <w:rPr>
                <w:rFonts w:ascii="宋体" w:hAnsi="宋体" w:cs="宋体"/>
                <w:kern w:val="0"/>
                <w:szCs w:val="21"/>
              </w:rPr>
            </w:pPr>
            <w:r>
              <w:rPr>
                <w:rFonts w:hint="eastAsia" w:ascii="宋体" w:hAnsi="宋体" w:cs="宋体"/>
                <w:kern w:val="0"/>
                <w:szCs w:val="21"/>
              </w:rPr>
              <w:t>提供信产部入网证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服务要求</w:t>
            </w:r>
          </w:p>
        </w:tc>
        <w:tc>
          <w:tcPr>
            <w:tcW w:w="6766" w:type="dxa"/>
            <w:vAlign w:val="center"/>
          </w:tcPr>
          <w:p>
            <w:pPr>
              <w:widowControl/>
              <w:rPr>
                <w:rFonts w:ascii="宋体" w:hAnsi="宋体" w:cs="宋体"/>
                <w:kern w:val="0"/>
                <w:szCs w:val="21"/>
              </w:rPr>
            </w:pPr>
            <w:r>
              <w:rPr>
                <w:rFonts w:hint="eastAsia" w:ascii="宋体" w:hAnsi="宋体" w:cs="宋体"/>
                <w:kern w:val="0"/>
                <w:szCs w:val="21"/>
              </w:rPr>
              <w:t>电源、相关缆线及上机柜的配套设备必须齐全并满足机房实际布局连接要求，在售后服务期内，电话响应、现场支持、故障备件更换都不予另行收费。</w:t>
            </w:r>
          </w:p>
        </w:tc>
      </w:tr>
    </w:tbl>
    <w:p>
      <w:pPr>
        <w:widowControl/>
        <w:jc w:val="left"/>
      </w:pPr>
    </w:p>
    <w:p>
      <w:pPr>
        <w:pStyle w:val="4"/>
        <w:tabs>
          <w:tab w:val="left" w:pos="432"/>
        </w:tabs>
        <w:rPr>
          <w:sz w:val="24"/>
          <w:szCs w:val="24"/>
        </w:rPr>
      </w:pPr>
      <w:r>
        <w:rPr>
          <w:rFonts w:hint="eastAsia"/>
          <w:sz w:val="24"/>
          <w:szCs w:val="24"/>
        </w:rPr>
        <w:t>7.3.6 48口POE交换机</w:t>
      </w:r>
    </w:p>
    <w:tbl>
      <w:tblPr>
        <w:tblStyle w:val="3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6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指标项</w:t>
            </w:r>
          </w:p>
        </w:tc>
        <w:tc>
          <w:tcPr>
            <w:tcW w:w="676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▲性能要求</w:t>
            </w:r>
          </w:p>
        </w:tc>
        <w:tc>
          <w:tcPr>
            <w:tcW w:w="6766" w:type="dxa"/>
            <w:vAlign w:val="center"/>
          </w:tcPr>
          <w:p>
            <w:pPr>
              <w:widowControl/>
              <w:rPr>
                <w:rFonts w:ascii="宋体" w:hAnsi="宋体" w:cs="宋体"/>
                <w:kern w:val="0"/>
                <w:szCs w:val="21"/>
              </w:rPr>
            </w:pPr>
            <w:r>
              <w:rPr>
                <w:rFonts w:hint="eastAsia" w:ascii="宋体" w:hAnsi="宋体" w:cs="宋体"/>
                <w:kern w:val="0"/>
                <w:szCs w:val="21"/>
              </w:rPr>
              <w:t>交换容量≥</w:t>
            </w:r>
            <w:r>
              <w:rPr>
                <w:rFonts w:ascii="宋体" w:hAnsi="宋体" w:cs="宋体"/>
                <w:kern w:val="0"/>
                <w:szCs w:val="21"/>
              </w:rPr>
              <w:t>336</w:t>
            </w:r>
            <w:r>
              <w:rPr>
                <w:rFonts w:hint="eastAsia" w:ascii="宋体" w:hAnsi="宋体" w:cs="宋体"/>
                <w:kern w:val="0"/>
                <w:szCs w:val="21"/>
              </w:rPr>
              <w:t>Gbps，包转发率≥</w:t>
            </w:r>
            <w:r>
              <w:rPr>
                <w:rFonts w:ascii="宋体" w:hAnsi="宋体" w:cs="宋体"/>
                <w:kern w:val="0"/>
                <w:szCs w:val="21"/>
              </w:rPr>
              <w:t>166</w:t>
            </w:r>
            <w:r>
              <w:rPr>
                <w:rFonts w:hint="eastAsia" w:ascii="宋体" w:hAnsi="宋体" w:cs="宋体"/>
                <w:kern w:val="0"/>
                <w:szCs w:val="21"/>
              </w:rPr>
              <w:t>Mpps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w:t>
            </w:r>
            <w:r>
              <w:rPr>
                <w:rFonts w:ascii="宋体" w:hAnsi="宋体" w:cs="宋体"/>
                <w:kern w:val="0"/>
                <w:szCs w:val="21"/>
              </w:rPr>
              <w:t>配置要求</w:t>
            </w:r>
          </w:p>
        </w:tc>
        <w:tc>
          <w:tcPr>
            <w:tcW w:w="6766" w:type="dxa"/>
            <w:vAlign w:val="center"/>
          </w:tcPr>
          <w:p>
            <w:pPr>
              <w:widowControl/>
              <w:rPr>
                <w:rFonts w:ascii="宋体" w:hAnsi="宋体" w:cs="宋体"/>
                <w:kern w:val="0"/>
                <w:szCs w:val="21"/>
              </w:rPr>
            </w:pPr>
            <w:r>
              <w:rPr>
                <w:rFonts w:hint="eastAsia" w:ascii="宋体" w:hAnsi="宋体" w:cs="宋体"/>
                <w:kern w:val="0"/>
                <w:szCs w:val="21"/>
              </w:rPr>
              <w:t>提供≥4</w:t>
            </w:r>
            <w:r>
              <w:rPr>
                <w:rFonts w:ascii="宋体" w:hAnsi="宋体" w:cs="宋体"/>
                <w:kern w:val="0"/>
                <w:szCs w:val="21"/>
              </w:rPr>
              <w:t>8</w:t>
            </w:r>
            <w:r>
              <w:rPr>
                <w:rFonts w:hint="eastAsia" w:ascii="宋体" w:hAnsi="宋体" w:cs="宋体"/>
                <w:kern w:val="0"/>
                <w:szCs w:val="21"/>
              </w:rPr>
              <w:t>个</w:t>
            </w:r>
            <w:r>
              <w:rPr>
                <w:rFonts w:ascii="宋体" w:hAnsi="宋体" w:cs="宋体"/>
                <w:kern w:val="0"/>
                <w:szCs w:val="21"/>
              </w:rPr>
              <w:t>千兆电</w:t>
            </w:r>
            <w:r>
              <w:rPr>
                <w:rFonts w:hint="eastAsia" w:ascii="宋体" w:hAnsi="宋体" w:cs="宋体"/>
                <w:kern w:val="0"/>
                <w:szCs w:val="21"/>
              </w:rPr>
              <w:t>口，≥1个Mircro USB接口，≥4个万兆光口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▲PoE供电</w:t>
            </w:r>
          </w:p>
        </w:tc>
        <w:tc>
          <w:tcPr>
            <w:tcW w:w="6766" w:type="dxa"/>
            <w:vAlign w:val="center"/>
          </w:tcPr>
          <w:p>
            <w:pPr>
              <w:widowControl/>
              <w:rPr>
                <w:rFonts w:ascii="宋体" w:hAnsi="宋体" w:cs="宋体"/>
                <w:kern w:val="0"/>
                <w:szCs w:val="21"/>
              </w:rPr>
            </w:pPr>
            <w:r>
              <w:rPr>
                <w:rFonts w:hint="eastAsia" w:ascii="宋体" w:hAnsi="宋体" w:cs="宋体"/>
                <w:kern w:val="0"/>
                <w:szCs w:val="21"/>
              </w:rPr>
              <w:t>所有电接口均支持PoE及PoE+供电，整机PoE供电功率≥</w:t>
            </w:r>
            <w:r>
              <w:rPr>
                <w:rFonts w:hint="eastAsia" w:ascii="宋体" w:hAnsi="宋体" w:cs="宋体"/>
                <w:kern w:val="0"/>
                <w:szCs w:val="21"/>
                <w:lang w:val="en-US" w:eastAsia="zh-CN"/>
              </w:rPr>
              <w:t>74</w:t>
            </w:r>
            <w:r>
              <w:rPr>
                <w:rFonts w:ascii="宋体" w:hAnsi="宋体" w:cs="宋体"/>
                <w:kern w:val="0"/>
                <w:szCs w:val="21"/>
              </w:rPr>
              <w:t>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CPU防护</w:t>
            </w:r>
          </w:p>
        </w:tc>
        <w:tc>
          <w:tcPr>
            <w:tcW w:w="6766" w:type="dxa"/>
            <w:vAlign w:val="center"/>
          </w:tcPr>
          <w:p>
            <w:pPr>
              <w:widowControl/>
              <w:rPr>
                <w:rFonts w:ascii="宋体" w:hAnsi="宋体" w:cs="宋体"/>
                <w:kern w:val="0"/>
                <w:szCs w:val="21"/>
              </w:rPr>
            </w:pPr>
            <w:r>
              <w:rPr>
                <w:rFonts w:ascii="宋体" w:hAnsi="宋体" w:cs="宋体"/>
                <w:kern w:val="0"/>
                <w:szCs w:val="21"/>
              </w:rPr>
              <w:t>实现CPU保护功能，能限制非法报文对CPU的攻击，保护交换机在各种环境下稳定工作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1756" w:type="dxa"/>
            <w:vMerge w:val="restart"/>
            <w:vAlign w:val="center"/>
          </w:tcPr>
          <w:p>
            <w:pPr>
              <w:widowControl/>
              <w:jc w:val="center"/>
              <w:rPr>
                <w:rFonts w:ascii="宋体" w:hAnsi="宋体" w:cs="宋体"/>
                <w:kern w:val="0"/>
                <w:szCs w:val="21"/>
              </w:rPr>
            </w:pPr>
            <w:r>
              <w:rPr>
                <w:rFonts w:hint="eastAsia" w:ascii="宋体" w:hAnsi="宋体" w:cs="宋体"/>
                <w:kern w:val="0"/>
                <w:szCs w:val="21"/>
              </w:rPr>
              <w:t>堆叠</w:t>
            </w:r>
          </w:p>
        </w:tc>
        <w:tc>
          <w:tcPr>
            <w:tcW w:w="6766" w:type="dxa"/>
            <w:vAlign w:val="center"/>
          </w:tcPr>
          <w:p>
            <w:pPr>
              <w:widowControl/>
              <w:rPr>
                <w:rFonts w:ascii="宋体" w:hAnsi="宋体" w:cs="宋体"/>
                <w:kern w:val="0"/>
                <w:szCs w:val="21"/>
              </w:rPr>
            </w:pPr>
            <w:r>
              <w:rPr>
                <w:rFonts w:hint="eastAsia" w:ascii="宋体" w:hAnsi="宋体" w:cs="宋体"/>
                <w:kern w:val="0"/>
                <w:szCs w:val="21"/>
              </w:rPr>
              <w:t>支持横向，纵向虚拟化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支持跨设备链路聚合，可将多台设备虚拟化为一台，单一IP管理，分布式弹性路由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支持通过标准以太端口进行堆叠（万兆或千兆均支持）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restart"/>
            <w:vAlign w:val="center"/>
          </w:tcPr>
          <w:p>
            <w:pPr>
              <w:widowControl/>
              <w:jc w:val="center"/>
              <w:rPr>
                <w:rFonts w:ascii="宋体" w:hAnsi="宋体" w:cs="宋体"/>
                <w:kern w:val="0"/>
                <w:szCs w:val="21"/>
              </w:rPr>
            </w:pPr>
            <w:r>
              <w:rPr>
                <w:rFonts w:hint="eastAsia" w:ascii="宋体" w:hAnsi="宋体" w:cs="宋体"/>
                <w:kern w:val="0"/>
                <w:szCs w:val="21"/>
              </w:rPr>
              <w:t>VLAN特性</w:t>
            </w:r>
          </w:p>
        </w:tc>
        <w:tc>
          <w:tcPr>
            <w:tcW w:w="6766" w:type="dxa"/>
            <w:vAlign w:val="center"/>
          </w:tcPr>
          <w:p>
            <w:pPr>
              <w:widowControl/>
              <w:rPr>
                <w:rFonts w:ascii="宋体" w:hAnsi="宋体" w:cs="宋体"/>
                <w:kern w:val="0"/>
                <w:szCs w:val="21"/>
              </w:rPr>
            </w:pPr>
            <w:r>
              <w:rPr>
                <w:rFonts w:hint="eastAsia" w:ascii="宋体" w:hAnsi="宋体" w:cs="宋体"/>
                <w:kern w:val="0"/>
                <w:szCs w:val="21"/>
              </w:rPr>
              <w:t>支持基于端口的VLAN，支持基于协议的VLAN；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支持基于MAC的VLAN；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restart"/>
            <w:vAlign w:val="center"/>
          </w:tcPr>
          <w:p>
            <w:pPr>
              <w:widowControl/>
              <w:jc w:val="center"/>
              <w:rPr>
                <w:rFonts w:ascii="宋体" w:hAnsi="宋体" w:cs="宋体"/>
                <w:kern w:val="0"/>
                <w:szCs w:val="21"/>
              </w:rPr>
            </w:pPr>
            <w:r>
              <w:rPr>
                <w:rFonts w:hint="eastAsia" w:ascii="宋体" w:hAnsi="宋体" w:cs="宋体"/>
                <w:kern w:val="0"/>
                <w:szCs w:val="21"/>
              </w:rPr>
              <w:t>路由协议</w:t>
            </w:r>
          </w:p>
        </w:tc>
        <w:tc>
          <w:tcPr>
            <w:tcW w:w="6766" w:type="dxa"/>
            <w:vAlign w:val="center"/>
          </w:tcPr>
          <w:p>
            <w:pPr>
              <w:widowControl/>
              <w:rPr>
                <w:rFonts w:ascii="宋体" w:hAnsi="宋体" w:cs="宋体"/>
                <w:kern w:val="0"/>
                <w:szCs w:val="21"/>
              </w:rPr>
            </w:pPr>
            <w:r>
              <w:rPr>
                <w:rFonts w:hint="eastAsia" w:ascii="宋体" w:hAnsi="宋体" w:cs="宋体"/>
                <w:kern w:val="0"/>
                <w:szCs w:val="21"/>
              </w:rPr>
              <w:t>支持IPv4静态路由、RIP V1/V2、OSPF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支持IPv6静态路由、RIPng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支持IPv4和IPv6环境下的策略路由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防雷</w:t>
            </w:r>
          </w:p>
        </w:tc>
        <w:tc>
          <w:tcPr>
            <w:tcW w:w="6766" w:type="dxa"/>
            <w:vAlign w:val="center"/>
          </w:tcPr>
          <w:p>
            <w:pPr>
              <w:widowControl/>
              <w:rPr>
                <w:rFonts w:ascii="宋体" w:hAnsi="宋体" w:cs="宋体"/>
                <w:kern w:val="0"/>
                <w:szCs w:val="21"/>
              </w:rPr>
            </w:pPr>
            <w:r>
              <w:rPr>
                <w:rFonts w:hint="eastAsia" w:ascii="宋体" w:hAnsi="宋体" w:cs="宋体"/>
                <w:kern w:val="0"/>
                <w:szCs w:val="21"/>
              </w:rPr>
              <w:t>为保证设备的可靠性，要求业务端口</w:t>
            </w:r>
            <w:r>
              <w:rPr>
                <w:rFonts w:ascii="宋体" w:hAnsi="宋体" w:cs="宋体"/>
                <w:kern w:val="0"/>
                <w:szCs w:val="21"/>
              </w:rPr>
              <w:t>内置</w:t>
            </w:r>
            <w:r>
              <w:rPr>
                <w:rFonts w:hint="eastAsia" w:ascii="宋体" w:hAnsi="宋体" w:cs="宋体"/>
                <w:kern w:val="0"/>
                <w:szCs w:val="21"/>
                <w:lang w:val="en-US" w:eastAsia="zh-CN"/>
              </w:rPr>
              <w:t>8</w:t>
            </w:r>
            <w:r>
              <w:rPr>
                <w:rFonts w:ascii="宋体" w:hAnsi="宋体" w:cs="宋体"/>
                <w:kern w:val="0"/>
                <w:szCs w:val="21"/>
              </w:rPr>
              <w:t>KV防雷能力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restart"/>
            <w:vAlign w:val="center"/>
          </w:tcPr>
          <w:p>
            <w:pPr>
              <w:widowControl/>
              <w:jc w:val="center"/>
              <w:rPr>
                <w:rFonts w:ascii="宋体" w:hAnsi="宋体" w:cs="宋体"/>
                <w:kern w:val="0"/>
                <w:szCs w:val="21"/>
              </w:rPr>
            </w:pPr>
            <w:r>
              <w:rPr>
                <w:rFonts w:hint="eastAsia" w:ascii="宋体" w:hAnsi="宋体" w:cs="宋体"/>
                <w:kern w:val="0"/>
                <w:szCs w:val="21"/>
              </w:rPr>
              <w:t>SDN/OPENFLOW</w:t>
            </w:r>
          </w:p>
        </w:tc>
        <w:tc>
          <w:tcPr>
            <w:tcW w:w="6766" w:type="dxa"/>
            <w:vAlign w:val="center"/>
          </w:tcPr>
          <w:p>
            <w:pPr>
              <w:widowControl/>
              <w:rPr>
                <w:rFonts w:ascii="宋体" w:hAnsi="宋体" w:cs="宋体"/>
                <w:kern w:val="0"/>
                <w:szCs w:val="21"/>
              </w:rPr>
            </w:pPr>
            <w:r>
              <w:rPr>
                <w:rFonts w:hint="eastAsia" w:ascii="宋体" w:hAnsi="宋体" w:cs="宋体"/>
                <w:kern w:val="0"/>
                <w:szCs w:val="21"/>
              </w:rPr>
              <w:t>支持OPENFLOW 1.3标准支持普通模式和Openflow 模式切换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支持多表流水线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支持Group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资质认证</w:t>
            </w:r>
          </w:p>
        </w:tc>
        <w:tc>
          <w:tcPr>
            <w:tcW w:w="6766" w:type="dxa"/>
            <w:vAlign w:val="center"/>
          </w:tcPr>
          <w:p>
            <w:pPr>
              <w:widowControl/>
              <w:rPr>
                <w:rFonts w:ascii="宋体" w:hAnsi="宋体" w:cs="宋体"/>
                <w:kern w:val="0"/>
                <w:szCs w:val="21"/>
              </w:rPr>
            </w:pPr>
            <w:r>
              <w:rPr>
                <w:rFonts w:hint="eastAsia" w:ascii="宋体" w:hAnsi="宋体" w:cs="宋体"/>
                <w:kern w:val="0"/>
                <w:szCs w:val="21"/>
              </w:rPr>
              <w:t>提供信产部入网证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服务要求</w:t>
            </w:r>
          </w:p>
        </w:tc>
        <w:tc>
          <w:tcPr>
            <w:tcW w:w="6766" w:type="dxa"/>
            <w:vAlign w:val="center"/>
          </w:tcPr>
          <w:p>
            <w:pPr>
              <w:widowControl/>
              <w:rPr>
                <w:rFonts w:ascii="宋体" w:hAnsi="宋体" w:cs="宋体"/>
                <w:kern w:val="0"/>
                <w:szCs w:val="21"/>
              </w:rPr>
            </w:pPr>
            <w:r>
              <w:rPr>
                <w:rFonts w:hint="eastAsia" w:ascii="宋体" w:hAnsi="宋体" w:cs="宋体"/>
                <w:kern w:val="0"/>
                <w:szCs w:val="21"/>
              </w:rPr>
              <w:t>电源、相关缆线及上机柜的配套设备必须齐全并满足机房实际布局连接要求，在售后服务期内，电话响应、现场支持、故障备件更换都不予另行收费。</w:t>
            </w:r>
          </w:p>
        </w:tc>
      </w:tr>
    </w:tbl>
    <w:p>
      <w:pPr>
        <w:widowControl/>
        <w:jc w:val="left"/>
      </w:pPr>
    </w:p>
    <w:p>
      <w:pPr>
        <w:pStyle w:val="4"/>
        <w:tabs>
          <w:tab w:val="left" w:pos="432"/>
        </w:tabs>
        <w:rPr>
          <w:sz w:val="24"/>
          <w:szCs w:val="24"/>
        </w:rPr>
      </w:pPr>
      <w:r>
        <w:rPr>
          <w:rFonts w:hint="eastAsia"/>
          <w:sz w:val="24"/>
          <w:szCs w:val="24"/>
        </w:rPr>
        <w:t>7.3.7 24口POE交换机</w:t>
      </w:r>
    </w:p>
    <w:tbl>
      <w:tblPr>
        <w:tblStyle w:val="3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6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指标项</w:t>
            </w:r>
          </w:p>
        </w:tc>
        <w:tc>
          <w:tcPr>
            <w:tcW w:w="676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▲性能要求</w:t>
            </w:r>
          </w:p>
        </w:tc>
        <w:tc>
          <w:tcPr>
            <w:tcW w:w="6766" w:type="dxa"/>
            <w:vAlign w:val="center"/>
          </w:tcPr>
          <w:p>
            <w:pPr>
              <w:widowControl/>
              <w:rPr>
                <w:rFonts w:ascii="宋体" w:hAnsi="宋体" w:cs="宋体"/>
                <w:kern w:val="0"/>
                <w:szCs w:val="21"/>
              </w:rPr>
            </w:pPr>
            <w:r>
              <w:rPr>
                <w:rFonts w:hint="eastAsia" w:ascii="宋体" w:hAnsi="宋体" w:cs="宋体"/>
                <w:kern w:val="0"/>
                <w:szCs w:val="21"/>
              </w:rPr>
              <w:t>交换容量≥</w:t>
            </w:r>
            <w:r>
              <w:rPr>
                <w:rFonts w:ascii="宋体" w:hAnsi="宋体" w:cs="宋体"/>
                <w:kern w:val="0"/>
                <w:szCs w:val="21"/>
              </w:rPr>
              <w:t>336</w:t>
            </w:r>
            <w:r>
              <w:rPr>
                <w:rFonts w:hint="eastAsia" w:ascii="宋体" w:hAnsi="宋体" w:cs="宋体"/>
                <w:kern w:val="0"/>
                <w:szCs w:val="21"/>
              </w:rPr>
              <w:t>Gbps，包转发率≥</w:t>
            </w:r>
            <w:r>
              <w:rPr>
                <w:rFonts w:ascii="宋体" w:hAnsi="宋体" w:cs="宋体"/>
                <w:kern w:val="0"/>
                <w:szCs w:val="21"/>
              </w:rPr>
              <w:t>96</w:t>
            </w:r>
            <w:r>
              <w:rPr>
                <w:rFonts w:hint="eastAsia" w:ascii="宋体" w:hAnsi="宋体" w:cs="宋体"/>
                <w:kern w:val="0"/>
                <w:szCs w:val="21"/>
              </w:rPr>
              <w:t>Mpps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w:t>
            </w:r>
            <w:r>
              <w:rPr>
                <w:rFonts w:ascii="宋体" w:hAnsi="宋体" w:cs="宋体"/>
                <w:kern w:val="0"/>
                <w:szCs w:val="21"/>
              </w:rPr>
              <w:t>配置要求</w:t>
            </w:r>
          </w:p>
        </w:tc>
        <w:tc>
          <w:tcPr>
            <w:tcW w:w="6766" w:type="dxa"/>
            <w:vAlign w:val="center"/>
          </w:tcPr>
          <w:p>
            <w:pPr>
              <w:widowControl/>
              <w:rPr>
                <w:rFonts w:ascii="宋体" w:hAnsi="宋体" w:cs="宋体"/>
                <w:kern w:val="0"/>
                <w:szCs w:val="21"/>
              </w:rPr>
            </w:pPr>
            <w:r>
              <w:rPr>
                <w:rFonts w:hint="eastAsia" w:ascii="宋体" w:hAnsi="宋体" w:cs="宋体"/>
                <w:kern w:val="0"/>
                <w:szCs w:val="21"/>
              </w:rPr>
              <w:t>提供≥</w:t>
            </w:r>
            <w:r>
              <w:rPr>
                <w:rFonts w:ascii="宋体" w:hAnsi="宋体" w:cs="宋体"/>
                <w:kern w:val="0"/>
                <w:szCs w:val="21"/>
              </w:rPr>
              <w:t>24</w:t>
            </w:r>
            <w:r>
              <w:rPr>
                <w:rFonts w:hint="eastAsia" w:ascii="宋体" w:hAnsi="宋体" w:cs="宋体"/>
                <w:kern w:val="0"/>
                <w:szCs w:val="21"/>
              </w:rPr>
              <w:t>个</w:t>
            </w:r>
            <w:r>
              <w:rPr>
                <w:rFonts w:ascii="宋体" w:hAnsi="宋体" w:cs="宋体"/>
                <w:kern w:val="0"/>
                <w:szCs w:val="21"/>
              </w:rPr>
              <w:t>千兆电</w:t>
            </w:r>
            <w:r>
              <w:rPr>
                <w:rFonts w:hint="eastAsia" w:ascii="宋体" w:hAnsi="宋体" w:cs="宋体"/>
                <w:kern w:val="0"/>
                <w:szCs w:val="21"/>
              </w:rPr>
              <w:t>口，≥1个Mircro USB接口，≥4个万兆光口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▲PoE供电</w:t>
            </w:r>
          </w:p>
        </w:tc>
        <w:tc>
          <w:tcPr>
            <w:tcW w:w="6766" w:type="dxa"/>
            <w:vAlign w:val="center"/>
          </w:tcPr>
          <w:p>
            <w:pPr>
              <w:widowControl/>
              <w:rPr>
                <w:rFonts w:ascii="宋体" w:hAnsi="宋体" w:cs="宋体"/>
                <w:kern w:val="0"/>
                <w:szCs w:val="21"/>
              </w:rPr>
            </w:pPr>
            <w:r>
              <w:rPr>
                <w:rFonts w:hint="eastAsia" w:ascii="宋体" w:hAnsi="宋体" w:cs="宋体"/>
                <w:kern w:val="0"/>
                <w:szCs w:val="21"/>
              </w:rPr>
              <w:t>所有电接口均支持PoE及PoE+供电，整机PoE供电功率≥</w:t>
            </w:r>
            <w:r>
              <w:rPr>
                <w:rFonts w:ascii="宋体" w:hAnsi="宋体" w:cs="宋体"/>
                <w:kern w:val="0"/>
                <w:szCs w:val="21"/>
              </w:rPr>
              <w:t>37</w:t>
            </w:r>
            <w:r>
              <w:rPr>
                <w:rFonts w:hint="eastAsia" w:ascii="宋体" w:hAnsi="宋体" w:cs="宋体"/>
                <w:kern w:val="0"/>
                <w:szCs w:val="21"/>
                <w:lang w:val="en-US" w:eastAsia="zh-CN"/>
              </w:rPr>
              <w:t>0</w:t>
            </w:r>
            <w:r>
              <w:rPr>
                <w:rFonts w:ascii="宋体" w:hAnsi="宋体" w:cs="宋体"/>
                <w:kern w:val="0"/>
                <w:szCs w:val="21"/>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CPU防护</w:t>
            </w:r>
          </w:p>
        </w:tc>
        <w:tc>
          <w:tcPr>
            <w:tcW w:w="6766" w:type="dxa"/>
            <w:vAlign w:val="center"/>
          </w:tcPr>
          <w:p>
            <w:pPr>
              <w:widowControl/>
              <w:rPr>
                <w:rFonts w:ascii="宋体" w:hAnsi="宋体" w:cs="宋体"/>
                <w:kern w:val="0"/>
                <w:szCs w:val="21"/>
              </w:rPr>
            </w:pPr>
            <w:r>
              <w:rPr>
                <w:rFonts w:ascii="宋体" w:hAnsi="宋体" w:cs="宋体"/>
                <w:kern w:val="0"/>
                <w:szCs w:val="21"/>
              </w:rPr>
              <w:t>实现CPU保护功能，能限制非法报文对CPU的攻击，保护交换机在各种环境下稳定工作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1756" w:type="dxa"/>
            <w:vMerge w:val="restart"/>
            <w:vAlign w:val="center"/>
          </w:tcPr>
          <w:p>
            <w:pPr>
              <w:widowControl/>
              <w:jc w:val="center"/>
              <w:rPr>
                <w:rFonts w:ascii="宋体" w:hAnsi="宋体" w:cs="宋体"/>
                <w:kern w:val="0"/>
                <w:szCs w:val="21"/>
              </w:rPr>
            </w:pPr>
            <w:r>
              <w:rPr>
                <w:rFonts w:hint="eastAsia" w:ascii="宋体" w:hAnsi="宋体" w:cs="宋体"/>
                <w:kern w:val="0"/>
                <w:szCs w:val="21"/>
              </w:rPr>
              <w:t>堆叠</w:t>
            </w:r>
          </w:p>
        </w:tc>
        <w:tc>
          <w:tcPr>
            <w:tcW w:w="6766" w:type="dxa"/>
            <w:vAlign w:val="center"/>
          </w:tcPr>
          <w:p>
            <w:pPr>
              <w:widowControl/>
              <w:rPr>
                <w:rFonts w:ascii="宋体" w:hAnsi="宋体" w:cs="宋体"/>
                <w:kern w:val="0"/>
                <w:szCs w:val="21"/>
              </w:rPr>
            </w:pPr>
            <w:r>
              <w:rPr>
                <w:rFonts w:hint="eastAsia" w:ascii="宋体" w:hAnsi="宋体" w:cs="宋体"/>
                <w:kern w:val="0"/>
                <w:szCs w:val="21"/>
              </w:rPr>
              <w:t>支持横向，纵向虚拟化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支持跨设备链路聚合，可将多台设备虚拟化为一台，单一IP管理，分布式弹性路由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支持通过标准以太端口进行堆叠（万兆或千兆均支持）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restart"/>
            <w:vAlign w:val="center"/>
          </w:tcPr>
          <w:p>
            <w:pPr>
              <w:widowControl/>
              <w:jc w:val="center"/>
              <w:rPr>
                <w:rFonts w:ascii="宋体" w:hAnsi="宋体" w:cs="宋体"/>
                <w:kern w:val="0"/>
                <w:szCs w:val="21"/>
              </w:rPr>
            </w:pPr>
            <w:r>
              <w:rPr>
                <w:rFonts w:hint="eastAsia" w:ascii="宋体" w:hAnsi="宋体" w:cs="宋体"/>
                <w:kern w:val="0"/>
                <w:szCs w:val="21"/>
              </w:rPr>
              <w:t>VLAN特性</w:t>
            </w:r>
          </w:p>
        </w:tc>
        <w:tc>
          <w:tcPr>
            <w:tcW w:w="6766" w:type="dxa"/>
            <w:vAlign w:val="center"/>
          </w:tcPr>
          <w:p>
            <w:pPr>
              <w:widowControl/>
              <w:rPr>
                <w:rFonts w:ascii="宋体" w:hAnsi="宋体" w:cs="宋体"/>
                <w:kern w:val="0"/>
                <w:szCs w:val="21"/>
              </w:rPr>
            </w:pPr>
            <w:r>
              <w:rPr>
                <w:rFonts w:hint="eastAsia" w:ascii="宋体" w:hAnsi="宋体" w:cs="宋体"/>
                <w:kern w:val="0"/>
                <w:szCs w:val="21"/>
              </w:rPr>
              <w:t>支持基于端口的VLAN，支持基于协议的VLAN；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支持基于MAC的VLAN；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restart"/>
            <w:vAlign w:val="center"/>
          </w:tcPr>
          <w:p>
            <w:pPr>
              <w:widowControl/>
              <w:jc w:val="center"/>
              <w:rPr>
                <w:rFonts w:ascii="宋体" w:hAnsi="宋体" w:cs="宋体"/>
                <w:kern w:val="0"/>
                <w:szCs w:val="21"/>
              </w:rPr>
            </w:pPr>
            <w:r>
              <w:rPr>
                <w:rFonts w:hint="eastAsia" w:ascii="宋体" w:hAnsi="宋体" w:cs="宋体"/>
                <w:kern w:val="0"/>
                <w:szCs w:val="21"/>
              </w:rPr>
              <w:t>路由协议</w:t>
            </w:r>
          </w:p>
        </w:tc>
        <w:tc>
          <w:tcPr>
            <w:tcW w:w="6766" w:type="dxa"/>
            <w:vAlign w:val="center"/>
          </w:tcPr>
          <w:p>
            <w:pPr>
              <w:widowControl/>
              <w:rPr>
                <w:rFonts w:ascii="宋体" w:hAnsi="宋体" w:cs="宋体"/>
                <w:kern w:val="0"/>
                <w:szCs w:val="21"/>
              </w:rPr>
            </w:pPr>
            <w:r>
              <w:rPr>
                <w:rFonts w:hint="eastAsia" w:ascii="宋体" w:hAnsi="宋体" w:cs="宋体"/>
                <w:kern w:val="0"/>
                <w:szCs w:val="21"/>
              </w:rPr>
              <w:t>支持IPv4静态路由、RIP V1/V2、OSPF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支持IPv6静态路由、RIPng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支持IPv4和IPv6环境下的策略路由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防雷</w:t>
            </w:r>
          </w:p>
        </w:tc>
        <w:tc>
          <w:tcPr>
            <w:tcW w:w="6766" w:type="dxa"/>
            <w:vAlign w:val="center"/>
          </w:tcPr>
          <w:p>
            <w:pPr>
              <w:widowControl/>
              <w:rPr>
                <w:rFonts w:ascii="宋体" w:hAnsi="宋体" w:cs="宋体"/>
                <w:kern w:val="0"/>
                <w:szCs w:val="21"/>
              </w:rPr>
            </w:pPr>
            <w:r>
              <w:rPr>
                <w:rFonts w:hint="eastAsia" w:ascii="宋体" w:hAnsi="宋体" w:cs="宋体"/>
                <w:kern w:val="0"/>
                <w:szCs w:val="21"/>
              </w:rPr>
              <w:t>为保证设备的可靠性，要求业务端口</w:t>
            </w:r>
            <w:r>
              <w:rPr>
                <w:rFonts w:ascii="宋体" w:hAnsi="宋体" w:cs="宋体"/>
                <w:kern w:val="0"/>
                <w:szCs w:val="21"/>
              </w:rPr>
              <w:t>内置</w:t>
            </w:r>
            <w:r>
              <w:rPr>
                <w:rFonts w:hint="eastAsia" w:ascii="宋体" w:hAnsi="宋体" w:cs="宋体"/>
                <w:kern w:val="0"/>
                <w:szCs w:val="21"/>
                <w:lang w:val="en-US" w:eastAsia="zh-CN"/>
              </w:rPr>
              <w:t>8</w:t>
            </w:r>
            <w:r>
              <w:rPr>
                <w:rFonts w:ascii="宋体" w:hAnsi="宋体" w:cs="宋体"/>
                <w:kern w:val="0"/>
                <w:szCs w:val="21"/>
              </w:rPr>
              <w:t>KV防雷能力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restart"/>
            <w:vAlign w:val="center"/>
          </w:tcPr>
          <w:p>
            <w:pPr>
              <w:widowControl/>
              <w:jc w:val="center"/>
              <w:rPr>
                <w:rFonts w:ascii="宋体" w:hAnsi="宋体" w:cs="宋体"/>
                <w:kern w:val="0"/>
                <w:szCs w:val="21"/>
              </w:rPr>
            </w:pPr>
            <w:r>
              <w:rPr>
                <w:rFonts w:hint="eastAsia" w:ascii="宋体" w:hAnsi="宋体" w:cs="宋体"/>
                <w:kern w:val="0"/>
                <w:szCs w:val="21"/>
              </w:rPr>
              <w:t>SDN/OPENFLOW</w:t>
            </w:r>
          </w:p>
        </w:tc>
        <w:tc>
          <w:tcPr>
            <w:tcW w:w="6766" w:type="dxa"/>
            <w:vAlign w:val="center"/>
          </w:tcPr>
          <w:p>
            <w:pPr>
              <w:widowControl/>
              <w:rPr>
                <w:rFonts w:ascii="宋体" w:hAnsi="宋体" w:cs="宋体"/>
                <w:kern w:val="0"/>
                <w:szCs w:val="21"/>
              </w:rPr>
            </w:pPr>
            <w:r>
              <w:rPr>
                <w:rFonts w:hint="eastAsia" w:ascii="宋体" w:hAnsi="宋体" w:cs="宋体"/>
                <w:kern w:val="0"/>
                <w:szCs w:val="21"/>
              </w:rPr>
              <w:t>支持OPENFLOW 1.3标准支持普通模式和Openflow 模式切换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支持多表流水线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支持Group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1756" w:type="dxa"/>
            <w:vMerge w:val="continue"/>
            <w:vAlign w:val="center"/>
          </w:tcPr>
          <w:p>
            <w:pPr>
              <w:widowControl/>
              <w:jc w:val="center"/>
              <w:rPr>
                <w:rFonts w:ascii="宋体" w:hAnsi="宋体" w:cs="宋体"/>
                <w:kern w:val="0"/>
                <w:szCs w:val="21"/>
              </w:rPr>
            </w:pPr>
          </w:p>
        </w:tc>
        <w:tc>
          <w:tcPr>
            <w:tcW w:w="6766" w:type="dxa"/>
            <w:vAlign w:val="center"/>
          </w:tcPr>
          <w:p>
            <w:pPr>
              <w:widowControl/>
              <w:rPr>
                <w:rFonts w:ascii="宋体" w:hAnsi="宋体" w:cs="宋体"/>
                <w:kern w:val="0"/>
                <w:szCs w:val="21"/>
              </w:rPr>
            </w:pPr>
            <w:r>
              <w:rPr>
                <w:rFonts w:hint="eastAsia" w:ascii="宋体" w:hAnsi="宋体" w:cs="宋体"/>
                <w:kern w:val="0"/>
                <w:szCs w:val="21"/>
              </w:rPr>
              <w:t>支持Meter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资质认证</w:t>
            </w:r>
          </w:p>
        </w:tc>
        <w:tc>
          <w:tcPr>
            <w:tcW w:w="6766" w:type="dxa"/>
            <w:vAlign w:val="center"/>
          </w:tcPr>
          <w:p>
            <w:pPr>
              <w:widowControl/>
              <w:rPr>
                <w:rFonts w:ascii="宋体" w:hAnsi="宋体" w:cs="宋体"/>
                <w:kern w:val="0"/>
                <w:szCs w:val="21"/>
              </w:rPr>
            </w:pPr>
            <w:r>
              <w:rPr>
                <w:rFonts w:hint="eastAsia" w:ascii="宋体" w:hAnsi="宋体" w:cs="宋体"/>
                <w:kern w:val="0"/>
                <w:szCs w:val="21"/>
              </w:rPr>
              <w:t>提供信产部入网证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kern w:val="0"/>
                <w:szCs w:val="21"/>
              </w:rPr>
            </w:pPr>
            <w:r>
              <w:rPr>
                <w:rFonts w:hint="eastAsia" w:ascii="宋体" w:hAnsi="宋体" w:cs="宋体"/>
                <w:kern w:val="0"/>
                <w:szCs w:val="21"/>
              </w:rPr>
              <w:t>服务要求</w:t>
            </w:r>
          </w:p>
        </w:tc>
        <w:tc>
          <w:tcPr>
            <w:tcW w:w="6766" w:type="dxa"/>
            <w:vAlign w:val="center"/>
          </w:tcPr>
          <w:p>
            <w:pPr>
              <w:widowControl/>
              <w:rPr>
                <w:rFonts w:ascii="宋体" w:hAnsi="宋体" w:cs="宋体"/>
                <w:kern w:val="0"/>
                <w:szCs w:val="21"/>
              </w:rPr>
            </w:pPr>
            <w:r>
              <w:rPr>
                <w:rFonts w:hint="eastAsia" w:ascii="宋体" w:hAnsi="宋体" w:cs="宋体"/>
                <w:kern w:val="0"/>
                <w:szCs w:val="21"/>
              </w:rPr>
              <w:t>电源、相关缆线及上机柜的配套设备必须齐全并满足机房实际布局连接要求，在售后服务期内，电话响应、现场支持、故障备件更换都不予另行收费。</w:t>
            </w:r>
          </w:p>
        </w:tc>
      </w:tr>
    </w:tbl>
    <w:p>
      <w:pPr>
        <w:pStyle w:val="4"/>
        <w:tabs>
          <w:tab w:val="left" w:pos="432"/>
        </w:tabs>
        <w:rPr>
          <w:sz w:val="24"/>
          <w:szCs w:val="24"/>
        </w:rPr>
      </w:pPr>
      <w:r>
        <w:rPr>
          <w:rFonts w:hint="eastAsia"/>
          <w:sz w:val="24"/>
          <w:szCs w:val="24"/>
        </w:rPr>
        <w:t>7.3.8 光模块</w:t>
      </w:r>
    </w:p>
    <w:tbl>
      <w:tblPr>
        <w:tblStyle w:val="3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6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指标项</w:t>
            </w:r>
          </w:p>
        </w:tc>
        <w:tc>
          <w:tcPr>
            <w:tcW w:w="676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widowControl/>
              <w:jc w:val="center"/>
              <w:rPr>
                <w:color w:val="000000"/>
                <w:kern w:val="0"/>
                <w:szCs w:val="21"/>
              </w:rPr>
            </w:pPr>
            <w:r>
              <w:rPr>
                <w:rFonts w:hint="eastAsia"/>
                <w:color w:val="000000"/>
                <w:szCs w:val="21"/>
              </w:rPr>
              <w:t>万兆单模光模块</w:t>
            </w:r>
          </w:p>
        </w:tc>
        <w:tc>
          <w:tcPr>
            <w:tcW w:w="6766" w:type="dxa"/>
            <w:vAlign w:val="center"/>
          </w:tcPr>
          <w:p>
            <w:pPr>
              <w:widowControl/>
              <w:jc w:val="left"/>
              <w:rPr>
                <w:color w:val="000000"/>
                <w:kern w:val="0"/>
                <w:szCs w:val="21"/>
              </w:rPr>
            </w:pPr>
            <w:r>
              <w:rPr>
                <w:rFonts w:hint="eastAsia"/>
                <w:color w:val="000000"/>
                <w:szCs w:val="21"/>
              </w:rPr>
              <w:t>与交换机同一品牌，汇聚和核心互联使用，LC接口，传输距离10KM；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jc w:val="center"/>
              <w:rPr>
                <w:color w:val="000000"/>
                <w:szCs w:val="21"/>
              </w:rPr>
            </w:pPr>
            <w:r>
              <w:rPr>
                <w:rFonts w:hint="eastAsia"/>
                <w:color w:val="000000"/>
                <w:szCs w:val="21"/>
              </w:rPr>
              <w:t>万兆多模光模块</w:t>
            </w:r>
          </w:p>
        </w:tc>
        <w:tc>
          <w:tcPr>
            <w:tcW w:w="6766" w:type="dxa"/>
            <w:vAlign w:val="center"/>
          </w:tcPr>
          <w:p>
            <w:pPr>
              <w:rPr>
                <w:color w:val="000000"/>
                <w:szCs w:val="21"/>
              </w:rPr>
            </w:pPr>
            <w:r>
              <w:rPr>
                <w:rFonts w:hint="eastAsia"/>
                <w:color w:val="000000"/>
                <w:szCs w:val="21"/>
              </w:rPr>
              <w:t>与交换机同一品牌，汇聚与接入、服务器互联使用，LC接口，传输距离300m；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jc w:val="center"/>
              <w:rPr>
                <w:color w:val="000000"/>
                <w:szCs w:val="21"/>
              </w:rPr>
            </w:pPr>
            <w:r>
              <w:rPr>
                <w:rFonts w:hint="eastAsia"/>
                <w:color w:val="000000"/>
                <w:szCs w:val="21"/>
              </w:rPr>
              <w:t>千兆单模光模块</w:t>
            </w:r>
          </w:p>
        </w:tc>
        <w:tc>
          <w:tcPr>
            <w:tcW w:w="6766" w:type="dxa"/>
            <w:vAlign w:val="center"/>
          </w:tcPr>
          <w:p>
            <w:pPr>
              <w:rPr>
                <w:color w:val="000000"/>
                <w:szCs w:val="21"/>
              </w:rPr>
            </w:pPr>
            <w:r>
              <w:rPr>
                <w:rFonts w:hint="eastAsia"/>
                <w:color w:val="000000"/>
                <w:szCs w:val="21"/>
              </w:rPr>
              <w:t>与交换机同一品牌，汇聚与室外交换机互联使用，LC接口，传输距离10km；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56" w:type="dxa"/>
            <w:vAlign w:val="center"/>
          </w:tcPr>
          <w:p>
            <w:pPr>
              <w:jc w:val="center"/>
              <w:rPr>
                <w:color w:val="000000"/>
                <w:szCs w:val="21"/>
              </w:rPr>
            </w:pPr>
            <w:r>
              <w:rPr>
                <w:rFonts w:hint="eastAsia"/>
                <w:color w:val="000000"/>
                <w:szCs w:val="21"/>
              </w:rPr>
              <w:t>千兆多模光模块</w:t>
            </w:r>
          </w:p>
        </w:tc>
        <w:tc>
          <w:tcPr>
            <w:tcW w:w="6766" w:type="dxa"/>
            <w:vAlign w:val="center"/>
          </w:tcPr>
          <w:p>
            <w:pPr>
              <w:rPr>
                <w:color w:val="000000"/>
                <w:szCs w:val="21"/>
              </w:rPr>
            </w:pPr>
            <w:r>
              <w:rPr>
                <w:rFonts w:hint="eastAsia"/>
                <w:color w:val="000000"/>
                <w:szCs w:val="21"/>
              </w:rPr>
              <w:t>与交换机同一品牌，LC接口，传输距离500m；</w:t>
            </w:r>
          </w:p>
        </w:tc>
      </w:tr>
    </w:tbl>
    <w:p>
      <w:r>
        <w:tab/>
      </w:r>
    </w:p>
    <w:p>
      <w:pPr>
        <w:pStyle w:val="4"/>
        <w:tabs>
          <w:tab w:val="left" w:pos="432"/>
        </w:tabs>
        <w:rPr>
          <w:sz w:val="24"/>
          <w:szCs w:val="24"/>
        </w:rPr>
      </w:pPr>
      <w:r>
        <w:rPr>
          <w:rFonts w:hint="eastAsia"/>
          <w:sz w:val="24"/>
          <w:szCs w:val="24"/>
        </w:rPr>
        <w:t>7.3.9无线</w:t>
      </w:r>
      <w:r>
        <w:rPr>
          <w:sz w:val="24"/>
          <w:szCs w:val="24"/>
        </w:rPr>
        <w:t>控制器</w:t>
      </w:r>
    </w:p>
    <w:tbl>
      <w:tblPr>
        <w:tblStyle w:val="35"/>
        <w:tblW w:w="8296" w:type="dxa"/>
        <w:tblInd w:w="0" w:type="dxa"/>
        <w:tblLayout w:type="fixed"/>
        <w:tblCellMar>
          <w:top w:w="0" w:type="dxa"/>
          <w:left w:w="108" w:type="dxa"/>
          <w:bottom w:w="0" w:type="dxa"/>
          <w:right w:w="108" w:type="dxa"/>
        </w:tblCellMar>
      </w:tblPr>
      <w:tblGrid>
        <w:gridCol w:w="1792"/>
        <w:gridCol w:w="6504"/>
      </w:tblGrid>
      <w:tr>
        <w:tblPrEx>
          <w:tblLayout w:type="fixed"/>
          <w:tblCellMar>
            <w:top w:w="0" w:type="dxa"/>
            <w:left w:w="108" w:type="dxa"/>
            <w:bottom w:w="0" w:type="dxa"/>
            <w:right w:w="108" w:type="dxa"/>
          </w:tblCellMar>
        </w:tblPrEx>
        <w:trPr>
          <w:trHeight w:val="270" w:hRule="atLeast"/>
        </w:trPr>
        <w:tc>
          <w:tcPr>
            <w:tcW w:w="17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指标项</w:t>
            </w:r>
          </w:p>
        </w:tc>
        <w:tc>
          <w:tcPr>
            <w:tcW w:w="650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指标要求</w:t>
            </w:r>
          </w:p>
        </w:tc>
      </w:tr>
      <w:tr>
        <w:tblPrEx>
          <w:tblLayout w:type="fixed"/>
          <w:tblCellMar>
            <w:top w:w="0" w:type="dxa"/>
            <w:left w:w="108" w:type="dxa"/>
            <w:bottom w:w="0" w:type="dxa"/>
            <w:right w:w="108" w:type="dxa"/>
          </w:tblCellMar>
        </w:tblPrEx>
        <w:trPr>
          <w:trHeight w:val="510" w:hRule="atLeast"/>
        </w:trPr>
        <w:tc>
          <w:tcPr>
            <w:tcW w:w="179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可管理的AP数</w:t>
            </w: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最大管理AP数≥1024，可配置最大AP数≥4096，同时支持802.11a/b/g/n/ac AP的管理</w:t>
            </w:r>
          </w:p>
        </w:tc>
      </w:tr>
      <w:tr>
        <w:tblPrEx>
          <w:tblLayout w:type="fixed"/>
          <w:tblCellMar>
            <w:top w:w="0" w:type="dxa"/>
            <w:left w:w="108" w:type="dxa"/>
            <w:bottom w:w="0" w:type="dxa"/>
            <w:right w:w="108" w:type="dxa"/>
          </w:tblCellMar>
        </w:tblPrEx>
        <w:trPr>
          <w:trHeight w:val="270" w:hRule="atLeast"/>
        </w:trPr>
        <w:tc>
          <w:tcPr>
            <w:tcW w:w="179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接口类型</w:t>
            </w: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千兆光电接口≥8,万兆光接口≥2，管理端口≥1</w:t>
            </w:r>
          </w:p>
        </w:tc>
      </w:tr>
      <w:tr>
        <w:tblPrEx>
          <w:tblLayout w:type="fixed"/>
          <w:tblCellMar>
            <w:top w:w="0" w:type="dxa"/>
            <w:left w:w="108" w:type="dxa"/>
            <w:bottom w:w="0" w:type="dxa"/>
            <w:right w:w="108" w:type="dxa"/>
          </w:tblCellMar>
        </w:tblPrEx>
        <w:trPr>
          <w:trHeight w:val="270" w:hRule="atLeast"/>
        </w:trPr>
        <w:tc>
          <w:tcPr>
            <w:tcW w:w="1792" w:type="dxa"/>
            <w:vMerge w:val="restart"/>
            <w:tcBorders>
              <w:top w:val="nil"/>
              <w:left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配置要求</w:t>
            </w: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本次配置AP管理数≥512，5m万兆堆叠电缆≥1</w:t>
            </w:r>
          </w:p>
        </w:tc>
      </w:tr>
      <w:tr>
        <w:tblPrEx>
          <w:tblLayout w:type="fixed"/>
          <w:tblCellMar>
            <w:top w:w="0" w:type="dxa"/>
            <w:left w:w="108" w:type="dxa"/>
            <w:bottom w:w="0" w:type="dxa"/>
            <w:right w:w="108" w:type="dxa"/>
          </w:tblCellMar>
        </w:tblPrEx>
        <w:trPr>
          <w:trHeight w:val="270" w:hRule="atLeast"/>
        </w:trPr>
        <w:tc>
          <w:tcPr>
            <w:tcW w:w="1792" w:type="dxa"/>
            <w:vMerge w:val="continue"/>
            <w:tcBorders>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Cs w:val="21"/>
              </w:rPr>
            </w:pPr>
          </w:p>
        </w:tc>
        <w:tc>
          <w:tcPr>
            <w:tcW w:w="6504" w:type="dxa"/>
            <w:tcBorders>
              <w:top w:val="nil"/>
              <w:left w:val="nil"/>
              <w:bottom w:val="single" w:color="auto" w:sz="4" w:space="0"/>
              <w:right w:val="single" w:color="auto" w:sz="4" w:space="0"/>
            </w:tcBorders>
            <w:vAlign w:val="center"/>
          </w:tcPr>
          <w:p>
            <w:pPr>
              <w:widowControl/>
              <w:rPr>
                <w:rFonts w:hint="eastAsia" w:ascii="宋体" w:hAnsi="宋体" w:cs="宋体"/>
                <w:color w:val="000000"/>
                <w:kern w:val="0"/>
                <w:szCs w:val="21"/>
              </w:rPr>
            </w:pPr>
            <w:r>
              <w:rPr>
                <w:rFonts w:hint="eastAsia"/>
                <w:lang w:eastAsia="zh-CN"/>
              </w:rPr>
              <w:t>吞吐量≥</w:t>
            </w:r>
            <w:r>
              <w:rPr>
                <w:rFonts w:hint="eastAsia"/>
                <w:lang w:val="en-US" w:eastAsia="zh-CN"/>
              </w:rPr>
              <w:t>20Gbps</w:t>
            </w:r>
          </w:p>
        </w:tc>
      </w:tr>
      <w:tr>
        <w:tblPrEx>
          <w:tblLayout w:type="fixed"/>
        </w:tblPrEx>
        <w:trPr>
          <w:trHeight w:val="765" w:hRule="atLeast"/>
        </w:trPr>
        <w:tc>
          <w:tcPr>
            <w:tcW w:w="179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CAPWAP协议</w:t>
            </w: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支持自动输入AP序列号，支持AC发现（DHCP option43、DNS方式），支持IPv6隧道、时钟同步、jumbo帧发送，AC与AP间支持穿越NAT。</w:t>
            </w:r>
          </w:p>
        </w:tc>
      </w:tr>
      <w:tr>
        <w:tblPrEx>
          <w:tblLayout w:type="fixed"/>
          <w:tblCellMar>
            <w:top w:w="0" w:type="dxa"/>
            <w:left w:w="108" w:type="dxa"/>
            <w:bottom w:w="0" w:type="dxa"/>
            <w:right w:w="108" w:type="dxa"/>
          </w:tblCellMar>
        </w:tblPrEx>
        <w:trPr>
          <w:trHeight w:val="510" w:hRule="atLeast"/>
        </w:trPr>
        <w:tc>
          <w:tcPr>
            <w:tcW w:w="179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VLAN特性</w:t>
            </w: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支持4K 可用VLAN，支持基于端口的VLAN，支持基于SSID的VLAN，支持基于用户的VLAN</w:t>
            </w:r>
          </w:p>
        </w:tc>
      </w:tr>
      <w:tr>
        <w:tblPrEx>
          <w:tblLayout w:type="fixed"/>
          <w:tblCellMar>
            <w:top w:w="0" w:type="dxa"/>
            <w:left w:w="108" w:type="dxa"/>
            <w:bottom w:w="0" w:type="dxa"/>
            <w:right w:w="108" w:type="dxa"/>
          </w:tblCellMar>
        </w:tblPrEx>
        <w:trPr>
          <w:trHeight w:val="765" w:hRule="atLeast"/>
        </w:trPr>
        <w:tc>
          <w:tcPr>
            <w:tcW w:w="179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流量控制功能</w:t>
            </w: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可以实现流量限制，且限制流量的速率误差小于10%；实现基于源MAC地址进行流分类；实现基于目的MAC地址进行流分类；实现流量整形功能，且速率误差小于10%；</w:t>
            </w:r>
          </w:p>
        </w:tc>
      </w:tr>
      <w:tr>
        <w:tblPrEx>
          <w:tblLayout w:type="fixed"/>
          <w:tblCellMar>
            <w:top w:w="0" w:type="dxa"/>
            <w:left w:w="108" w:type="dxa"/>
            <w:bottom w:w="0" w:type="dxa"/>
            <w:right w:w="108" w:type="dxa"/>
          </w:tblCellMar>
        </w:tblPrEx>
        <w:trPr>
          <w:trHeight w:val="270" w:hRule="atLeast"/>
        </w:trPr>
        <w:tc>
          <w:tcPr>
            <w:tcW w:w="179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IPv6</w:t>
            </w: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支持IPv4/IPv6双协议栈</w:t>
            </w:r>
          </w:p>
        </w:tc>
      </w:tr>
      <w:tr>
        <w:tblPrEx>
          <w:tblLayout w:type="fixed"/>
          <w:tblCellMar>
            <w:top w:w="0" w:type="dxa"/>
            <w:left w:w="108" w:type="dxa"/>
            <w:bottom w:w="0" w:type="dxa"/>
            <w:right w:w="108" w:type="dxa"/>
          </w:tblCellMar>
        </w:tblPrEx>
        <w:trPr>
          <w:trHeight w:val="270" w:hRule="atLeast"/>
        </w:trPr>
        <w:tc>
          <w:tcPr>
            <w:tcW w:w="179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lang w:eastAsia="zh-CN"/>
              </w:rPr>
              <w:t>高可用性</w:t>
            </w:r>
          </w:p>
        </w:tc>
        <w:tc>
          <w:tcPr>
            <w:tcW w:w="6504" w:type="dxa"/>
            <w:tcBorders>
              <w:top w:val="nil"/>
              <w:left w:val="nil"/>
              <w:bottom w:val="single" w:color="auto" w:sz="4" w:space="0"/>
              <w:right w:val="single" w:color="auto" w:sz="4" w:space="0"/>
            </w:tcBorders>
            <w:vAlign w:val="center"/>
          </w:tcPr>
          <w:p>
            <w:pPr>
              <w:widowControl/>
              <w:rPr>
                <w:rFonts w:hint="eastAsia" w:ascii="宋体" w:hAnsi="宋体" w:eastAsia="宋体" w:cs="宋体"/>
                <w:color w:val="auto"/>
                <w:kern w:val="0"/>
                <w:szCs w:val="21"/>
                <w:lang w:val="en-US" w:eastAsia="zh-CN"/>
              </w:rPr>
            </w:pPr>
            <w:r>
              <w:rPr>
                <w:rFonts w:hint="eastAsia"/>
                <w:color w:val="auto"/>
              </w:rPr>
              <w:t>支持虚拟化或热备，必须配置足够数量的</w:t>
            </w:r>
            <w:r>
              <w:rPr>
                <w:rFonts w:hint="eastAsia" w:ascii="宋体" w:hAnsi="宋体" w:cs="宋体"/>
                <w:color w:val="auto"/>
                <w:kern w:val="0"/>
                <w:szCs w:val="21"/>
              </w:rPr>
              <w:t>License（含备份）</w:t>
            </w:r>
            <w:r>
              <w:rPr>
                <w:rFonts w:hint="eastAsia" w:ascii="宋体" w:hAnsi="宋体" w:cs="宋体"/>
                <w:color w:val="auto"/>
                <w:kern w:val="0"/>
                <w:szCs w:val="21"/>
                <w:lang w:eastAsia="zh-CN"/>
              </w:rPr>
              <w:t>。</w:t>
            </w:r>
          </w:p>
        </w:tc>
      </w:tr>
      <w:tr>
        <w:tblPrEx>
          <w:tblLayout w:type="fixed"/>
          <w:tblCellMar>
            <w:top w:w="0" w:type="dxa"/>
            <w:left w:w="108" w:type="dxa"/>
            <w:bottom w:w="0" w:type="dxa"/>
            <w:right w:w="108" w:type="dxa"/>
          </w:tblCellMar>
        </w:tblPrEx>
        <w:trPr>
          <w:trHeight w:val="510" w:hRule="atLeast"/>
        </w:trPr>
        <w:tc>
          <w:tcPr>
            <w:tcW w:w="179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射频管理</w:t>
            </w: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自动调整功率和信道，故障AP覆盖黑洞补偿，支持基于流量和基于用户数的AP负载分担，支持无线射频干扰监测和规避</w:t>
            </w:r>
          </w:p>
        </w:tc>
      </w:tr>
      <w:tr>
        <w:tblPrEx>
          <w:tblLayout w:type="fixed"/>
        </w:tblPrEx>
        <w:trPr>
          <w:trHeight w:val="765" w:hRule="atLeast"/>
        </w:trPr>
        <w:tc>
          <w:tcPr>
            <w:tcW w:w="179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用户访问控制</w:t>
            </w: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可为远程连接用户提供访问控制，拒绝未通过验证的连接，可以为用户分配不同权限，每个用户只能进行其权限所允许的操作；</w:t>
            </w:r>
          </w:p>
        </w:tc>
      </w:tr>
      <w:tr>
        <w:tblPrEx>
          <w:tblLayout w:type="fixed"/>
          <w:tblCellMar>
            <w:top w:w="0" w:type="dxa"/>
            <w:left w:w="108" w:type="dxa"/>
            <w:bottom w:w="0" w:type="dxa"/>
            <w:right w:w="108" w:type="dxa"/>
          </w:tblCellMar>
        </w:tblPrEx>
        <w:trPr>
          <w:trHeight w:val="510" w:hRule="atLeast"/>
        </w:trPr>
        <w:tc>
          <w:tcPr>
            <w:tcW w:w="179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ACL及QOS</w:t>
            </w: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支持基本ACL、扩展ACL、时间段ACL、基于VLAN的ACL，支持IPv6 ACL，支持速率限制，粒度≤8Kbit/s</w:t>
            </w:r>
          </w:p>
        </w:tc>
      </w:tr>
      <w:tr>
        <w:tblPrEx>
          <w:tblLayout w:type="fixed"/>
          <w:tblCellMar>
            <w:top w:w="0" w:type="dxa"/>
            <w:left w:w="108" w:type="dxa"/>
            <w:bottom w:w="0" w:type="dxa"/>
            <w:right w:w="108" w:type="dxa"/>
          </w:tblCellMar>
        </w:tblPrEx>
        <w:trPr>
          <w:trHeight w:val="1020" w:hRule="atLeast"/>
        </w:trPr>
        <w:tc>
          <w:tcPr>
            <w:tcW w:w="179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安全审计</w:t>
            </w: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支持安全日志功能，日志内容包括安全事件来源、发生时间、事件描述等；对本地操作日志中对用户登录IP地址、登陆时间、所进行的操作、退出时间进行记录，可以将操作日志输出至日志服务期；</w:t>
            </w:r>
          </w:p>
        </w:tc>
      </w:tr>
      <w:tr>
        <w:tblPrEx>
          <w:tblLayout w:type="fixed"/>
          <w:tblCellMar>
            <w:top w:w="0" w:type="dxa"/>
            <w:left w:w="108" w:type="dxa"/>
            <w:bottom w:w="0" w:type="dxa"/>
            <w:right w:w="108" w:type="dxa"/>
          </w:tblCellMar>
        </w:tblPrEx>
        <w:trPr>
          <w:trHeight w:val="510" w:hRule="atLeast"/>
        </w:trPr>
        <w:tc>
          <w:tcPr>
            <w:tcW w:w="1792"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分层AC</w:t>
            </w: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支持一个核心AC下挂多个接入AC，接入AC实现AP接入和数据转发；核心层AC作为接入集中认证点和管理点；</w:t>
            </w:r>
          </w:p>
        </w:tc>
      </w:tr>
      <w:tr>
        <w:tblPrEx>
          <w:tblLayout w:type="fixed"/>
          <w:tblCellMar>
            <w:top w:w="0" w:type="dxa"/>
            <w:left w:w="108" w:type="dxa"/>
            <w:bottom w:w="0" w:type="dxa"/>
            <w:right w:w="108" w:type="dxa"/>
          </w:tblCellMar>
        </w:tblPrEx>
        <w:trPr>
          <w:trHeight w:val="270" w:hRule="atLeast"/>
        </w:trPr>
        <w:tc>
          <w:tcPr>
            <w:tcW w:w="17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核心层AC对接入层AC以及下属AP统一进行版本管理和配置管理；</w:t>
            </w:r>
          </w:p>
        </w:tc>
      </w:tr>
      <w:tr>
        <w:tblPrEx>
          <w:tblLayout w:type="fixed"/>
          <w:tblCellMar>
            <w:top w:w="0" w:type="dxa"/>
            <w:left w:w="108" w:type="dxa"/>
            <w:bottom w:w="0" w:type="dxa"/>
            <w:right w:w="108" w:type="dxa"/>
          </w:tblCellMar>
        </w:tblPrEx>
        <w:trPr>
          <w:trHeight w:val="270" w:hRule="atLeast"/>
        </w:trPr>
        <w:tc>
          <w:tcPr>
            <w:tcW w:w="17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垂直备份：接入层AC故障时，核心层AC可起到备份作用；</w:t>
            </w:r>
          </w:p>
        </w:tc>
      </w:tr>
      <w:tr>
        <w:tblPrEx>
          <w:tblLayout w:type="fixed"/>
        </w:tblPrEx>
        <w:trPr>
          <w:trHeight w:val="270" w:hRule="atLeast"/>
        </w:trPr>
        <w:tc>
          <w:tcPr>
            <w:tcW w:w="17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高可靠：核心层AC和接入层AC之间链路故障时，接入层AC和AP可独立工作；</w:t>
            </w:r>
          </w:p>
        </w:tc>
      </w:tr>
      <w:tr>
        <w:tblPrEx>
          <w:tblLayout w:type="fixed"/>
          <w:tblCellMar>
            <w:top w:w="0" w:type="dxa"/>
            <w:left w:w="108" w:type="dxa"/>
            <w:bottom w:w="0" w:type="dxa"/>
            <w:right w:w="108" w:type="dxa"/>
          </w:tblCellMar>
        </w:tblPrEx>
        <w:trPr>
          <w:trHeight w:val="270" w:hRule="atLeast"/>
        </w:trPr>
        <w:tc>
          <w:tcPr>
            <w:tcW w:w="17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License共享：License安装在核心层AC上，接入层AC无需License；</w:t>
            </w:r>
          </w:p>
        </w:tc>
      </w:tr>
      <w:tr>
        <w:tblPrEx>
          <w:tblLayout w:type="fixed"/>
          <w:tblCellMar>
            <w:top w:w="0" w:type="dxa"/>
            <w:left w:w="108" w:type="dxa"/>
            <w:bottom w:w="0" w:type="dxa"/>
            <w:right w:w="108" w:type="dxa"/>
          </w:tblCellMar>
        </w:tblPrEx>
        <w:trPr>
          <w:trHeight w:val="510" w:hRule="atLeast"/>
        </w:trPr>
        <w:tc>
          <w:tcPr>
            <w:tcW w:w="17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分级分权管理：核心层AC可进行全局管理工作，接入层AC可进行本地差异化管理工作；</w:t>
            </w:r>
          </w:p>
        </w:tc>
      </w:tr>
      <w:tr>
        <w:tblPrEx>
          <w:tblLayout w:type="fixed"/>
          <w:tblCellMar>
            <w:top w:w="0" w:type="dxa"/>
            <w:left w:w="108" w:type="dxa"/>
            <w:bottom w:w="0" w:type="dxa"/>
            <w:right w:w="108" w:type="dxa"/>
          </w:tblCellMar>
        </w:tblPrEx>
        <w:trPr>
          <w:trHeight w:val="270" w:hRule="atLeast"/>
        </w:trPr>
        <w:tc>
          <w:tcPr>
            <w:tcW w:w="17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认证点自由选择：可支持核心层AC和接入层AC同时做认证点；</w:t>
            </w:r>
          </w:p>
        </w:tc>
      </w:tr>
      <w:tr>
        <w:tblPrEx>
          <w:tblLayout w:type="fixed"/>
          <w:tblCellMar>
            <w:top w:w="0" w:type="dxa"/>
            <w:left w:w="108" w:type="dxa"/>
            <w:bottom w:w="0" w:type="dxa"/>
            <w:right w:w="108" w:type="dxa"/>
          </w:tblCellMar>
        </w:tblPrEx>
        <w:trPr>
          <w:trHeight w:val="270" w:hRule="atLeast"/>
        </w:trPr>
        <w:tc>
          <w:tcPr>
            <w:tcW w:w="179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无线漫游</w:t>
            </w: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支持AC内漫游，支持跨AC间漫游，单AC内漫游时间不超过50ms</w:t>
            </w:r>
          </w:p>
        </w:tc>
      </w:tr>
      <w:tr>
        <w:tblPrEx>
          <w:tblLayout w:type="fixed"/>
          <w:tblCellMar>
            <w:top w:w="0" w:type="dxa"/>
            <w:left w:w="108" w:type="dxa"/>
            <w:bottom w:w="0" w:type="dxa"/>
            <w:right w:w="108" w:type="dxa"/>
          </w:tblCellMar>
        </w:tblPrEx>
        <w:trPr>
          <w:trHeight w:val="510" w:hRule="atLeast"/>
        </w:trPr>
        <w:tc>
          <w:tcPr>
            <w:tcW w:w="179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备份机制</w:t>
            </w: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AC支持1+1备份、N+1备份、N+N备份三种机制，支持Portal双机热备，1+1备份时，支持100毫秒业务备份</w:t>
            </w:r>
          </w:p>
        </w:tc>
      </w:tr>
      <w:tr>
        <w:tblPrEx>
          <w:tblLayout w:type="fixed"/>
        </w:tblPrEx>
        <w:trPr>
          <w:trHeight w:val="765" w:hRule="atLeast"/>
        </w:trPr>
        <w:tc>
          <w:tcPr>
            <w:tcW w:w="179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管理特性</w:t>
            </w: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支持CLI、SNMP V1/V2/V3，支持WEB管理、SSH管理，有线无线一体化管理，在同一网管视图下可以看到有线、无线设备统一网络拓扑。</w:t>
            </w:r>
          </w:p>
        </w:tc>
      </w:tr>
      <w:tr>
        <w:tblPrEx>
          <w:tblLayout w:type="fixed"/>
          <w:tblCellMar>
            <w:top w:w="0" w:type="dxa"/>
            <w:left w:w="108" w:type="dxa"/>
            <w:bottom w:w="0" w:type="dxa"/>
            <w:right w:w="108" w:type="dxa"/>
          </w:tblCellMar>
        </w:tblPrEx>
        <w:trPr>
          <w:trHeight w:val="270" w:hRule="atLeast"/>
        </w:trPr>
        <w:tc>
          <w:tcPr>
            <w:tcW w:w="1792"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基本功能</w:t>
            </w: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可以通过管理平台自行开户，实现设备自动上线</w:t>
            </w:r>
          </w:p>
        </w:tc>
      </w:tr>
      <w:tr>
        <w:tblPrEx>
          <w:tblLayout w:type="fixed"/>
          <w:tblCellMar>
            <w:top w:w="0" w:type="dxa"/>
            <w:left w:w="108" w:type="dxa"/>
            <w:bottom w:w="0" w:type="dxa"/>
            <w:right w:w="108" w:type="dxa"/>
          </w:tblCellMar>
        </w:tblPrEx>
        <w:trPr>
          <w:trHeight w:val="270" w:hRule="atLeast"/>
        </w:trPr>
        <w:tc>
          <w:tcPr>
            <w:tcW w:w="17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支持分级分权多租户精细化运维管理</w:t>
            </w:r>
          </w:p>
        </w:tc>
      </w:tr>
      <w:tr>
        <w:tblPrEx>
          <w:tblLayout w:type="fixed"/>
          <w:tblCellMar>
            <w:top w:w="0" w:type="dxa"/>
            <w:left w:w="108" w:type="dxa"/>
            <w:bottom w:w="0" w:type="dxa"/>
            <w:right w:w="108" w:type="dxa"/>
          </w:tblCellMar>
        </w:tblPrEx>
        <w:trPr>
          <w:trHeight w:val="270" w:hRule="atLeast"/>
        </w:trPr>
        <w:tc>
          <w:tcPr>
            <w:tcW w:w="17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备份认证支持：认证方式支持固定账号认证、portal认证、短信认证</w:t>
            </w:r>
          </w:p>
        </w:tc>
      </w:tr>
      <w:tr>
        <w:tblPrEx>
          <w:tblLayout w:type="fixed"/>
          <w:tblCellMar>
            <w:top w:w="0" w:type="dxa"/>
            <w:left w:w="108" w:type="dxa"/>
            <w:bottom w:w="0" w:type="dxa"/>
            <w:right w:w="108" w:type="dxa"/>
          </w:tblCellMar>
        </w:tblPrEx>
        <w:trPr>
          <w:trHeight w:val="510" w:hRule="atLeast"/>
        </w:trPr>
        <w:tc>
          <w:tcPr>
            <w:tcW w:w="17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可实现对无线控制器、无线AP的统一管理，实现网络配置、网络规划、增加设备的操作</w:t>
            </w:r>
          </w:p>
        </w:tc>
      </w:tr>
      <w:tr>
        <w:tblPrEx>
          <w:tblLayout w:type="fixed"/>
          <w:tblCellMar>
            <w:top w:w="0" w:type="dxa"/>
            <w:left w:w="108" w:type="dxa"/>
            <w:bottom w:w="0" w:type="dxa"/>
            <w:right w:w="108" w:type="dxa"/>
          </w:tblCellMar>
        </w:tblPrEx>
        <w:trPr>
          <w:trHeight w:val="510" w:hRule="atLeast"/>
        </w:trPr>
        <w:tc>
          <w:tcPr>
            <w:tcW w:w="17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支持终端用户认证类型人数统计，支持终端操作系统识别，支持显示在网终端系统类型统计；支持终端驻留时间统计</w:t>
            </w:r>
          </w:p>
        </w:tc>
      </w:tr>
      <w:tr>
        <w:tblPrEx>
          <w:tblLayout w:type="fixed"/>
        </w:tblPrEx>
        <w:trPr>
          <w:trHeight w:val="1020" w:hRule="atLeast"/>
        </w:trPr>
        <w:tc>
          <w:tcPr>
            <w:tcW w:w="17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第三方应用扩展（数据调用不受被调用端数目限制，也不受被调用端下联设备数目限制），并免费开放对接接口，对第三方平台数据调用响应至少应包含：AC身份信息及工作状态、带宽状况、系统综合健康度、AP在线率、AP关联终端数、区域内无线用户分布情况、AP告警指标信息等</w:t>
            </w:r>
          </w:p>
        </w:tc>
      </w:tr>
      <w:tr>
        <w:tblPrEx>
          <w:tblLayout w:type="fixed"/>
          <w:tblCellMar>
            <w:top w:w="0" w:type="dxa"/>
            <w:left w:w="108" w:type="dxa"/>
            <w:bottom w:w="0" w:type="dxa"/>
            <w:right w:w="108" w:type="dxa"/>
          </w:tblCellMar>
        </w:tblPrEx>
        <w:trPr>
          <w:trHeight w:val="270" w:hRule="atLeast"/>
        </w:trPr>
        <w:tc>
          <w:tcPr>
            <w:tcW w:w="17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 AP下线，软件升级失败等告警，并支持短信通知或微信通知</w:t>
            </w:r>
          </w:p>
        </w:tc>
      </w:tr>
      <w:tr>
        <w:tblPrEx>
          <w:tblLayout w:type="fixed"/>
          <w:tblCellMar>
            <w:top w:w="0" w:type="dxa"/>
            <w:left w:w="108" w:type="dxa"/>
            <w:bottom w:w="0" w:type="dxa"/>
            <w:right w:w="108" w:type="dxa"/>
          </w:tblCellMar>
        </w:tblPrEx>
        <w:trPr>
          <w:trHeight w:val="510" w:hRule="atLeast"/>
        </w:trPr>
        <w:tc>
          <w:tcPr>
            <w:tcW w:w="1792"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运维功能</w:t>
            </w: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实配无线运营管理平台一套，平台支持自行开户功能，可实现设备自动上线，</w:t>
            </w:r>
          </w:p>
        </w:tc>
      </w:tr>
      <w:tr>
        <w:tblPrEx>
          <w:tblLayout w:type="fixed"/>
          <w:tblCellMar>
            <w:top w:w="0" w:type="dxa"/>
            <w:left w:w="108" w:type="dxa"/>
            <w:bottom w:w="0" w:type="dxa"/>
            <w:right w:w="108" w:type="dxa"/>
          </w:tblCellMar>
        </w:tblPrEx>
        <w:trPr>
          <w:trHeight w:val="510" w:hRule="atLeast"/>
        </w:trPr>
        <w:tc>
          <w:tcPr>
            <w:tcW w:w="17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支持分级分权多租户精细化运维管理功能，可实现对无线控制器、无线AP的统一管理，可实现网络配置、网络规划、增加设备的操作，</w:t>
            </w:r>
          </w:p>
        </w:tc>
      </w:tr>
      <w:tr>
        <w:tblPrEx>
          <w:tblLayout w:type="fixed"/>
          <w:tblCellMar>
            <w:top w:w="0" w:type="dxa"/>
            <w:left w:w="108" w:type="dxa"/>
            <w:bottom w:w="0" w:type="dxa"/>
            <w:right w:w="108" w:type="dxa"/>
          </w:tblCellMar>
        </w:tblPrEx>
        <w:trPr>
          <w:trHeight w:val="765" w:hRule="atLeast"/>
        </w:trPr>
        <w:tc>
          <w:tcPr>
            <w:tcW w:w="17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支持固定账号认证、portal认证、短信认证功能，支持终端用户认证类型人数统计功能，支持终端操作系统识别功能，支持显示在网终端系统类型统计功能；支持终端驻留时间统计功能，</w:t>
            </w:r>
          </w:p>
        </w:tc>
      </w:tr>
      <w:tr>
        <w:tblPrEx>
          <w:tblLayout w:type="fixed"/>
          <w:tblCellMar>
            <w:top w:w="0" w:type="dxa"/>
            <w:left w:w="108" w:type="dxa"/>
            <w:bottom w:w="0" w:type="dxa"/>
            <w:right w:w="108" w:type="dxa"/>
          </w:tblCellMar>
        </w:tblPrEx>
        <w:trPr>
          <w:trHeight w:val="70" w:hRule="atLeast"/>
        </w:trPr>
        <w:tc>
          <w:tcPr>
            <w:tcW w:w="17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实配 AP下线，软件升级失败等告警功能，支持短信通知或微信通知功能，实配空口资源、负载测量功能，提供无线优化参考数据，对关键链路的实时状态具备智能检测功能，能够智能快速的定位故障点，并支持以多种告警形式通知管理员，以便使网络尽快恢复正常，</w:t>
            </w:r>
          </w:p>
        </w:tc>
      </w:tr>
      <w:tr>
        <w:tblPrEx>
          <w:tblLayout w:type="fixed"/>
        </w:tblPrEx>
        <w:trPr>
          <w:trHeight w:val="510" w:hRule="atLeast"/>
        </w:trPr>
        <w:tc>
          <w:tcPr>
            <w:tcW w:w="179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服务</w:t>
            </w:r>
          </w:p>
        </w:tc>
        <w:tc>
          <w:tcPr>
            <w:tcW w:w="6504"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kern w:val="0"/>
                <w:szCs w:val="21"/>
              </w:rPr>
              <w:t>电源、相关缆线及上机柜的配套设备必须齐全并满足机房实际布局连接要求，在售后服务期内，电话响应、现场支持、故障备件更换都不予另行收费。</w:t>
            </w:r>
          </w:p>
        </w:tc>
      </w:tr>
    </w:tbl>
    <w:p>
      <w:pPr>
        <w:widowControl/>
        <w:jc w:val="left"/>
      </w:pPr>
    </w:p>
    <w:p>
      <w:pPr>
        <w:pStyle w:val="4"/>
        <w:tabs>
          <w:tab w:val="left" w:pos="432"/>
        </w:tabs>
        <w:rPr>
          <w:sz w:val="24"/>
          <w:szCs w:val="24"/>
        </w:rPr>
      </w:pPr>
      <w:r>
        <w:rPr>
          <w:rFonts w:hint="eastAsia"/>
          <w:sz w:val="24"/>
          <w:szCs w:val="24"/>
        </w:rPr>
        <w:t>7.3.10 放装AP</w:t>
      </w:r>
    </w:p>
    <w:tbl>
      <w:tblPr>
        <w:tblStyle w:val="35"/>
        <w:tblW w:w="8296" w:type="dxa"/>
        <w:tblInd w:w="0" w:type="dxa"/>
        <w:tblLayout w:type="fixed"/>
        <w:tblCellMar>
          <w:top w:w="0" w:type="dxa"/>
          <w:left w:w="108" w:type="dxa"/>
          <w:bottom w:w="0" w:type="dxa"/>
          <w:right w:w="108" w:type="dxa"/>
        </w:tblCellMar>
      </w:tblPr>
      <w:tblGrid>
        <w:gridCol w:w="1838"/>
        <w:gridCol w:w="6458"/>
      </w:tblGrid>
      <w:tr>
        <w:tblPrEx>
          <w:tblLayout w:type="fixed"/>
          <w:tblCellMar>
            <w:top w:w="0" w:type="dxa"/>
            <w:left w:w="108" w:type="dxa"/>
            <w:bottom w:w="0" w:type="dxa"/>
            <w:right w:w="108" w:type="dxa"/>
          </w:tblCellMar>
        </w:tblPrEx>
        <w:trPr>
          <w:trHeight w:val="285" w:hRule="atLeast"/>
        </w:trPr>
        <w:tc>
          <w:tcPr>
            <w:tcW w:w="183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指标项</w:t>
            </w:r>
          </w:p>
        </w:tc>
        <w:tc>
          <w:tcPr>
            <w:tcW w:w="645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指标要求</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品牌</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与无线控制器为同一品牌</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工作模式</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支持802.11ac Wave2协议，支持MU-MIMO。</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协议支持</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同时支持802.11a/n/ac/ac Wave2和802.11b/g/n工作</w:t>
            </w:r>
          </w:p>
        </w:tc>
      </w:tr>
      <w:tr>
        <w:tblPrEx>
          <w:tblLayout w:type="fixed"/>
          <w:tblCellMar>
            <w:top w:w="0" w:type="dxa"/>
            <w:left w:w="108" w:type="dxa"/>
            <w:bottom w:w="0" w:type="dxa"/>
            <w:right w:w="108" w:type="dxa"/>
          </w:tblCellMar>
        </w:tblPrEx>
        <w:trPr>
          <w:trHeight w:val="765"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接口</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≥2个10/100/1000Mbps(RJ45)，双网口PoE供电，单网口出现故障后，另一网口能保证业务的正常运行。</w:t>
            </w:r>
          </w:p>
        </w:tc>
      </w:tr>
      <w:tr>
        <w:tblPrEx>
          <w:tblLayout w:type="fixed"/>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天线</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内置天线</w:t>
            </w:r>
          </w:p>
        </w:tc>
      </w:tr>
      <w:tr>
        <w:tblPrEx>
          <w:tblLayout w:type="fixed"/>
          <w:tblCellMar>
            <w:top w:w="0" w:type="dxa"/>
            <w:left w:w="108" w:type="dxa"/>
            <w:bottom w:w="0" w:type="dxa"/>
            <w:right w:w="108" w:type="dxa"/>
          </w:tblCellMar>
        </w:tblPrEx>
        <w:trPr>
          <w:trHeight w:val="153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准入控制</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从控制用户终端安全接入网络的角度入手，整合网络接入控制与终端安全产品，对接入网络的用户终端强制实施企业安全策略，通过与安全策略服务器的联动，可以对感染病毒或存在系统漏洞等不合格的无线客户端进行下线、隔离、提醒或监控等多种方式的处理，只有无线客户端符合相应的安全策略之后才允许正常访问网络，从而提高了无线网络的整体安全性。</w:t>
            </w:r>
          </w:p>
        </w:tc>
      </w:tr>
      <w:tr>
        <w:tblPrEx>
          <w:tblLayout w:type="fixed"/>
          <w:tblCellMar>
            <w:top w:w="0" w:type="dxa"/>
            <w:left w:w="108" w:type="dxa"/>
            <w:bottom w:w="0" w:type="dxa"/>
            <w:right w:w="108" w:type="dxa"/>
          </w:tblCellMar>
        </w:tblPrEx>
        <w:trPr>
          <w:trHeight w:val="270" w:hRule="atLeast"/>
        </w:trPr>
        <w:tc>
          <w:tcPr>
            <w:tcW w:w="1838"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核准频段</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802.11a/n/ac : 5.725GHz-5.850GHz (中国)</w:t>
            </w:r>
          </w:p>
        </w:tc>
      </w:tr>
      <w:tr>
        <w:tblPrEx>
          <w:tblLayout w:type="fixed"/>
          <w:tblCellMar>
            <w:top w:w="0" w:type="dxa"/>
            <w:left w:w="108" w:type="dxa"/>
            <w:bottom w:w="0" w:type="dxa"/>
            <w:right w:w="108" w:type="dxa"/>
          </w:tblCellMar>
        </w:tblPrEx>
        <w:trPr>
          <w:trHeight w:val="27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802.11b/g/n : 2.4GHz-2.483GHz (中国)</w:t>
            </w:r>
          </w:p>
        </w:tc>
      </w:tr>
      <w:tr>
        <w:tblPrEx>
          <w:tblLayout w:type="fixed"/>
          <w:tblCellMar>
            <w:top w:w="0" w:type="dxa"/>
            <w:left w:w="108" w:type="dxa"/>
            <w:bottom w:w="0" w:type="dxa"/>
            <w:right w:w="108" w:type="dxa"/>
          </w:tblCellMar>
        </w:tblPrEx>
        <w:trPr>
          <w:trHeight w:val="585"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负载均衡</w:t>
            </w:r>
          </w:p>
        </w:tc>
        <w:tc>
          <w:tcPr>
            <w:tcW w:w="6458" w:type="dxa"/>
            <w:tcBorders>
              <w:top w:val="nil"/>
              <w:left w:val="nil"/>
              <w:bottom w:val="single" w:color="auto" w:sz="4" w:space="0"/>
              <w:right w:val="single" w:color="auto" w:sz="4" w:space="0"/>
            </w:tcBorders>
            <w:vAlign w:val="center"/>
          </w:tcPr>
          <w:p>
            <w:pPr>
              <w:pStyle w:val="9"/>
              <w:rPr>
                <w:rFonts w:ascii="宋体" w:hAnsi="宋体" w:cs="宋体"/>
                <w:color w:val="000000"/>
                <w:kern w:val="0"/>
                <w:szCs w:val="21"/>
              </w:rPr>
            </w:pPr>
            <w:r>
              <w:rPr>
                <w:rFonts w:hint="eastAsia" w:ascii="宋体" w:hAnsi="宋体" w:cs="宋体"/>
                <w:kern w:val="0"/>
                <w:szCs w:val="21"/>
              </w:rPr>
              <w:t>支持智能负载均衡技术，实现接入用户科学调配，提高资源有效利用和配比。</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供电</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RJ45网线供电或本地电源适配器</w:t>
            </w:r>
          </w:p>
        </w:tc>
      </w:tr>
      <w:tr>
        <w:tblPrEx>
          <w:tblLayout w:type="fixed"/>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加密</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支持64、128位WEP加密，WPA，802.11i和WAPI。</w:t>
            </w:r>
          </w:p>
        </w:tc>
      </w:tr>
      <w:tr>
        <w:tblPrEx>
          <w:tblLayout w:type="fixed"/>
          <w:tblCellMar>
            <w:top w:w="0" w:type="dxa"/>
            <w:left w:w="108" w:type="dxa"/>
            <w:bottom w:w="0" w:type="dxa"/>
            <w:right w:w="108" w:type="dxa"/>
          </w:tblCellMar>
        </w:tblPrEx>
        <w:trPr>
          <w:trHeight w:val="270" w:hRule="atLeast"/>
        </w:trPr>
        <w:tc>
          <w:tcPr>
            <w:tcW w:w="1838"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认证</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配合AC支持：</w:t>
            </w:r>
          </w:p>
        </w:tc>
      </w:tr>
      <w:tr>
        <w:tblPrEx>
          <w:tblLayout w:type="fixed"/>
          <w:tblCellMar>
            <w:top w:w="0" w:type="dxa"/>
            <w:left w:w="108" w:type="dxa"/>
            <w:bottom w:w="0" w:type="dxa"/>
            <w:right w:w="108" w:type="dxa"/>
          </w:tblCellMar>
        </w:tblPrEx>
        <w:trPr>
          <w:trHeight w:val="1275"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 xml:space="preserve">PORTAL认证(远程,外挂服务器)、基于SSID的Portal页面推送、基于AP的Portal页面推送、Portal支持代理功能、Portal双机热备、[EAP-TLS、EAP-TTLS、EAP-PEAP、EAP-MD5、EAP-SIM、LEAP、EAP-FAST、EAP offload (仅支持TLS, PEAP)]、SSID防假冒(用户名与SSID绑定)、LDAP </w:t>
            </w:r>
          </w:p>
        </w:tc>
      </w:tr>
      <w:tr>
        <w:tblPrEx>
          <w:tblLayout w:type="fixed"/>
          <w:tblCellMar>
            <w:top w:w="0" w:type="dxa"/>
            <w:left w:w="108" w:type="dxa"/>
            <w:bottom w:w="0" w:type="dxa"/>
            <w:right w:w="108" w:type="dxa"/>
          </w:tblCellMar>
        </w:tblPrEx>
        <w:trPr>
          <w:trHeight w:val="27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(1. 支持802.1X与Portal接入</w:t>
            </w:r>
          </w:p>
        </w:tc>
      </w:tr>
      <w:tr>
        <w:tblPrEx>
          <w:tblLayout w:type="fixed"/>
          <w:tblCellMar>
            <w:top w:w="0" w:type="dxa"/>
            <w:left w:w="108" w:type="dxa"/>
            <w:bottom w:w="0" w:type="dxa"/>
            <w:right w:w="108" w:type="dxa"/>
          </w:tblCellMar>
        </w:tblPrEx>
        <w:trPr>
          <w:trHeight w:val="27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2. 802.1X接入时,支持EAP-GTC和EAP-TLS两种)</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QoS策略映射</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支持不同SSID/VLAN映射不同的QoS策略</w:t>
            </w:r>
          </w:p>
        </w:tc>
      </w:tr>
      <w:tr>
        <w:tblPrEx>
          <w:tblLayout w:type="fixed"/>
        </w:tblPrEx>
        <w:trPr>
          <w:trHeight w:val="270" w:hRule="atLeast"/>
        </w:trPr>
        <w:tc>
          <w:tcPr>
            <w:tcW w:w="1838"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智能带宽限速</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1、基于带宽均分算法</w:t>
            </w:r>
          </w:p>
        </w:tc>
      </w:tr>
      <w:tr>
        <w:tblPrEx>
          <w:tblLayout w:type="fixed"/>
          <w:tblCellMar>
            <w:top w:w="0" w:type="dxa"/>
            <w:left w:w="108" w:type="dxa"/>
            <w:bottom w:w="0" w:type="dxa"/>
            <w:right w:w="108" w:type="dxa"/>
          </w:tblCellMar>
        </w:tblPrEx>
        <w:trPr>
          <w:trHeight w:val="27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2、基于每用户指定带宽的算法</w:t>
            </w:r>
          </w:p>
        </w:tc>
      </w:tr>
      <w:tr>
        <w:tblPrEx>
          <w:tblLayout w:type="fixed"/>
          <w:tblCellMar>
            <w:top w:w="0" w:type="dxa"/>
            <w:left w:w="108" w:type="dxa"/>
            <w:bottom w:w="0" w:type="dxa"/>
            <w:right w:w="108" w:type="dxa"/>
          </w:tblCellMar>
        </w:tblPrEx>
        <w:trPr>
          <w:trHeight w:val="51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3、在流量未拥塞时，确保不同优先级SSID下的报文都可以自由通过；在流量拥塞时，确保每个SSID可以保持各自约定的最小带宽</w:t>
            </w:r>
          </w:p>
        </w:tc>
      </w:tr>
      <w:tr>
        <w:tblPrEx>
          <w:tblLayout w:type="fixed"/>
          <w:tblCellMar>
            <w:top w:w="0" w:type="dxa"/>
            <w:left w:w="108" w:type="dxa"/>
            <w:bottom w:w="0" w:type="dxa"/>
            <w:right w:w="108" w:type="dxa"/>
          </w:tblCellMar>
        </w:tblPrEx>
        <w:trPr>
          <w:trHeight w:val="51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服务</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kern w:val="0"/>
                <w:szCs w:val="21"/>
              </w:rPr>
              <w:t>电源、相关缆线及上机柜的配套设备必须齐全并满足机房实际布局连接要求，在售后服务期内，电话响应、现场支持、故障备件更换都不予另行收费。</w:t>
            </w:r>
          </w:p>
        </w:tc>
      </w:tr>
    </w:tbl>
    <w:p>
      <w:pPr>
        <w:widowControl/>
        <w:jc w:val="left"/>
      </w:pPr>
    </w:p>
    <w:p>
      <w:pPr>
        <w:pStyle w:val="4"/>
        <w:tabs>
          <w:tab w:val="left" w:pos="432"/>
        </w:tabs>
        <w:rPr>
          <w:sz w:val="24"/>
          <w:szCs w:val="24"/>
        </w:rPr>
      </w:pPr>
      <w:r>
        <w:rPr>
          <w:rFonts w:hint="eastAsia"/>
          <w:sz w:val="24"/>
          <w:szCs w:val="24"/>
        </w:rPr>
        <w:t>7.3.11 高密AP</w:t>
      </w:r>
    </w:p>
    <w:tbl>
      <w:tblPr>
        <w:tblStyle w:val="35"/>
        <w:tblW w:w="8296" w:type="dxa"/>
        <w:tblInd w:w="0" w:type="dxa"/>
        <w:tblLayout w:type="fixed"/>
        <w:tblCellMar>
          <w:top w:w="0" w:type="dxa"/>
          <w:left w:w="108" w:type="dxa"/>
          <w:bottom w:w="0" w:type="dxa"/>
          <w:right w:w="108" w:type="dxa"/>
        </w:tblCellMar>
      </w:tblPr>
      <w:tblGrid>
        <w:gridCol w:w="1838"/>
        <w:gridCol w:w="6458"/>
      </w:tblGrid>
      <w:tr>
        <w:tblPrEx>
          <w:tblLayout w:type="fixed"/>
          <w:tblCellMar>
            <w:top w:w="0" w:type="dxa"/>
            <w:left w:w="108" w:type="dxa"/>
            <w:bottom w:w="0" w:type="dxa"/>
            <w:right w:w="108" w:type="dxa"/>
          </w:tblCellMar>
        </w:tblPrEx>
        <w:trPr>
          <w:trHeight w:val="270" w:hRule="atLeast"/>
        </w:trPr>
        <w:tc>
          <w:tcPr>
            <w:tcW w:w="183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指标项</w:t>
            </w:r>
          </w:p>
        </w:tc>
        <w:tc>
          <w:tcPr>
            <w:tcW w:w="645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指标要求</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品牌</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与无线控制器为同一品牌</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工作模式</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可支持胖/瘦AP两种工作模式，支持802.11ac Wave2协议，支持MU-MIMO。</w:t>
            </w:r>
          </w:p>
        </w:tc>
      </w:tr>
      <w:tr>
        <w:tblPrEx>
          <w:tblLayout w:type="fixed"/>
          <w:tblCellMar>
            <w:top w:w="0" w:type="dxa"/>
            <w:left w:w="108" w:type="dxa"/>
            <w:bottom w:w="0" w:type="dxa"/>
            <w:right w:w="108" w:type="dxa"/>
          </w:tblCellMar>
        </w:tblPrEx>
        <w:trPr>
          <w:trHeight w:val="765" w:hRule="atLeast"/>
        </w:trPr>
        <w:tc>
          <w:tcPr>
            <w:tcW w:w="1838"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接入能力</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单个AP同时具备三个射频，一个射频支持2.4GHz频段，一个射频支持5GHz频段，第三个射频可根据终端情况在2.4GHz和5GHz之间可调；</w:t>
            </w:r>
          </w:p>
        </w:tc>
      </w:tr>
      <w:tr>
        <w:tblPrEx>
          <w:tblLayout w:type="fixed"/>
          <w:tblCellMar>
            <w:top w:w="0" w:type="dxa"/>
            <w:left w:w="108" w:type="dxa"/>
            <w:bottom w:w="0" w:type="dxa"/>
            <w:right w:w="108" w:type="dxa"/>
          </w:tblCellMar>
        </w:tblPrEx>
        <w:trPr>
          <w:trHeight w:val="27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整机能够支持768个用户同时上线，</w:t>
            </w:r>
          </w:p>
        </w:tc>
      </w:tr>
      <w:tr>
        <w:tblPrEx>
          <w:tblLayout w:type="fixed"/>
        </w:tblPrEx>
        <w:trPr>
          <w:trHeight w:val="270" w:hRule="atLeast"/>
        </w:trPr>
        <w:tc>
          <w:tcPr>
            <w:tcW w:w="1838"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协议支持</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同时支持802.11a/n/ac和802.11b/g/n工作</w:t>
            </w:r>
          </w:p>
        </w:tc>
      </w:tr>
      <w:tr>
        <w:tblPrEx>
          <w:tblLayout w:type="fixed"/>
          <w:tblCellMar>
            <w:top w:w="0" w:type="dxa"/>
            <w:left w:w="108" w:type="dxa"/>
            <w:bottom w:w="0" w:type="dxa"/>
            <w:right w:w="108" w:type="dxa"/>
          </w:tblCellMar>
        </w:tblPrEx>
        <w:trPr>
          <w:trHeight w:val="27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802.11ac/n/a : 5.725GHz-5.850GHz ; 5.15~5.35GHz (中国)</w:t>
            </w:r>
          </w:p>
        </w:tc>
      </w:tr>
      <w:tr>
        <w:tblPrEx>
          <w:tblLayout w:type="fixed"/>
          <w:tblCellMar>
            <w:top w:w="0" w:type="dxa"/>
            <w:left w:w="108" w:type="dxa"/>
            <w:bottom w:w="0" w:type="dxa"/>
            <w:right w:w="108" w:type="dxa"/>
          </w:tblCellMar>
        </w:tblPrEx>
        <w:trPr>
          <w:trHeight w:val="27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802.11b/g/n : 2.4GHz-2.483GHz (中国), 2.4GHz/5GHz</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协商速率</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整机协商速率不低于</w:t>
            </w:r>
            <w:r>
              <w:rPr>
                <w:rFonts w:hint="eastAsia"/>
                <w:lang w:val="en-US" w:eastAsia="zh-CN"/>
              </w:rPr>
              <w:t>2950Mbps</w:t>
            </w:r>
            <w:r>
              <w:rPr>
                <w:rFonts w:hint="eastAsia" w:ascii="宋体" w:hAnsi="宋体" w:cs="宋体"/>
                <w:color w:val="000000"/>
                <w:kern w:val="0"/>
                <w:szCs w:val="21"/>
              </w:rPr>
              <w:t>，用于高密度接入场景使用，</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接口</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 xml:space="preserve">≥2个10/100/1000Mbps(RJ45) </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天线</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由于AP部署环境复杂，要求为内置天线，提高三防能力</w:t>
            </w:r>
          </w:p>
        </w:tc>
      </w:tr>
      <w:tr>
        <w:tblPrEx>
          <w:tblLayout w:type="fixed"/>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供电</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PoE+或本地电源适配器，要求双网口可同时进行POE供电，</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IPv6支持</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支持IPv4/IPv6双协议栈、Native原生，特别支持IPv6 Portal、IPv6 SAVI</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灵活转发</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w:t>
            </w:r>
          </w:p>
        </w:tc>
      </w:tr>
      <w:tr>
        <w:tblPrEx>
          <w:tblLayout w:type="fixed"/>
          <w:tblCellMar>
            <w:top w:w="0" w:type="dxa"/>
            <w:left w:w="108" w:type="dxa"/>
            <w:bottom w:w="0" w:type="dxa"/>
            <w:right w:w="108" w:type="dxa"/>
          </w:tblCellMar>
        </w:tblPrEx>
        <w:trPr>
          <w:trHeight w:val="102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远程探针分析</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作为远程探针分析的Sensor设备，可以对覆盖区内的Wi-Fi报文进行侦听捕获并实时镜像到本地分析设备供网络管理员进行故障排查、优化分析。远程探针分析功能既可以针对工作信道进行无收敛镜像，也可以对所有信道轮询采样，灵活满足无线网络监控运维要求，</w:t>
            </w:r>
          </w:p>
        </w:tc>
      </w:tr>
      <w:tr>
        <w:tblPrEx>
          <w:tblLayout w:type="fixed"/>
          <w:tblCellMar>
            <w:top w:w="0" w:type="dxa"/>
            <w:left w:w="108" w:type="dxa"/>
            <w:bottom w:w="0" w:type="dxa"/>
            <w:right w:w="108" w:type="dxa"/>
          </w:tblCellMar>
        </w:tblPrEx>
        <w:trPr>
          <w:trHeight w:val="608"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负载均衡</w:t>
            </w:r>
          </w:p>
        </w:tc>
        <w:tc>
          <w:tcPr>
            <w:tcW w:w="6458" w:type="dxa"/>
            <w:tcBorders>
              <w:top w:val="nil"/>
              <w:left w:val="nil"/>
              <w:bottom w:val="single" w:color="auto" w:sz="4" w:space="0"/>
              <w:right w:val="single" w:color="auto" w:sz="4" w:space="0"/>
            </w:tcBorders>
            <w:vAlign w:val="center"/>
          </w:tcPr>
          <w:p>
            <w:pPr>
              <w:pStyle w:val="9"/>
              <w:rPr>
                <w:rFonts w:ascii="宋体" w:hAnsi="宋体" w:cs="宋体"/>
                <w:kern w:val="0"/>
                <w:szCs w:val="21"/>
              </w:rPr>
            </w:pPr>
            <w:r>
              <w:rPr>
                <w:rFonts w:hint="eastAsia" w:ascii="宋体" w:hAnsi="宋体" w:cs="宋体"/>
                <w:kern w:val="0"/>
                <w:szCs w:val="21"/>
              </w:rPr>
              <w:t>支持智能负载均衡技术，实现接入用户科学调配，提高资源有效利用和配比。</w:t>
            </w:r>
          </w:p>
        </w:tc>
      </w:tr>
      <w:tr>
        <w:tblPrEx>
          <w:tblLayout w:type="fixed"/>
          <w:tblCellMar>
            <w:top w:w="0" w:type="dxa"/>
            <w:left w:w="108" w:type="dxa"/>
            <w:bottom w:w="0" w:type="dxa"/>
            <w:right w:w="108" w:type="dxa"/>
          </w:tblCellMar>
        </w:tblPrEx>
        <w:trPr>
          <w:trHeight w:val="51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性能测试</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整机接入200用户，同时播放1M码流的视频文件时，视频点播流畅无卡顿，</w:t>
            </w:r>
          </w:p>
        </w:tc>
      </w:tr>
      <w:tr>
        <w:tblPrEx>
          <w:tblLayout w:type="fixed"/>
        </w:tblPrEx>
        <w:trPr>
          <w:trHeight w:val="270" w:hRule="atLeast"/>
        </w:trPr>
        <w:tc>
          <w:tcPr>
            <w:tcW w:w="1838"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认证</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配合AC支持：</w:t>
            </w:r>
          </w:p>
        </w:tc>
      </w:tr>
      <w:tr>
        <w:tblPrEx>
          <w:tblLayout w:type="fixed"/>
          <w:tblCellMar>
            <w:top w:w="0" w:type="dxa"/>
            <w:left w:w="108" w:type="dxa"/>
            <w:bottom w:w="0" w:type="dxa"/>
            <w:right w:w="108" w:type="dxa"/>
          </w:tblCellMar>
        </w:tblPrEx>
        <w:trPr>
          <w:trHeight w:val="369"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 xml:space="preserve">PORTAL认证(远程,外挂服务器)、基于SSID的Portal页面推送、基于AP的Portal页面推送、Portal支持代理功能、Portal双机热备、[EAP-TLS、EAP-TTLS、EAP-PEAP、EAP-MD5、EAP-SIM、LEAP、EAP-FAST、EAP offload (仅支持TLS, PEAP)]、SSID防假冒(用户名与SSID绑定)、LDAP </w:t>
            </w:r>
          </w:p>
        </w:tc>
      </w:tr>
      <w:tr>
        <w:tblPrEx>
          <w:tblLayout w:type="fixed"/>
          <w:tblCellMar>
            <w:top w:w="0" w:type="dxa"/>
            <w:left w:w="108" w:type="dxa"/>
            <w:bottom w:w="0" w:type="dxa"/>
            <w:right w:w="108" w:type="dxa"/>
          </w:tblCellMar>
        </w:tblPrEx>
        <w:trPr>
          <w:trHeight w:val="27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(1. 支持802.1X与Portal接入</w:t>
            </w:r>
          </w:p>
        </w:tc>
      </w:tr>
      <w:tr>
        <w:tblPrEx>
          <w:tblLayout w:type="fixed"/>
          <w:tblCellMar>
            <w:top w:w="0" w:type="dxa"/>
            <w:left w:w="108" w:type="dxa"/>
            <w:bottom w:w="0" w:type="dxa"/>
            <w:right w:w="108" w:type="dxa"/>
          </w:tblCellMar>
        </w:tblPrEx>
        <w:trPr>
          <w:trHeight w:val="27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2. 802.1X接入时,支持EAP-GTC和EAP-TLS两种)</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QoS策略映射</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支持不同SSID/VLAN映射不同的QoS策略</w:t>
            </w:r>
          </w:p>
        </w:tc>
      </w:tr>
      <w:tr>
        <w:tblPrEx>
          <w:tblLayout w:type="fixed"/>
          <w:tblCellMar>
            <w:top w:w="0" w:type="dxa"/>
            <w:left w:w="108" w:type="dxa"/>
            <w:bottom w:w="0" w:type="dxa"/>
            <w:right w:w="108" w:type="dxa"/>
          </w:tblCellMar>
        </w:tblPrEx>
        <w:trPr>
          <w:trHeight w:val="90" w:hRule="atLeast"/>
        </w:trPr>
        <w:tc>
          <w:tcPr>
            <w:tcW w:w="1838"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智能带宽限速</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1、基于带宽均分算法</w:t>
            </w:r>
          </w:p>
        </w:tc>
      </w:tr>
      <w:tr>
        <w:tblPrEx>
          <w:tblLayout w:type="fixed"/>
        </w:tblPrEx>
        <w:trPr>
          <w:trHeight w:val="27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2、基于每用户指定带宽的算法</w:t>
            </w:r>
          </w:p>
        </w:tc>
      </w:tr>
      <w:tr>
        <w:tblPrEx>
          <w:tblLayout w:type="fixed"/>
          <w:tblCellMar>
            <w:top w:w="0" w:type="dxa"/>
            <w:left w:w="108" w:type="dxa"/>
            <w:bottom w:w="0" w:type="dxa"/>
            <w:right w:w="108" w:type="dxa"/>
          </w:tblCellMar>
        </w:tblPrEx>
        <w:trPr>
          <w:trHeight w:val="51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3、在流量未拥塞时，确保不同优先级SSID下的报文都可以自由通过；在流量拥塞时，确保每个SSID可以保持各自约定的最小带宽</w:t>
            </w:r>
          </w:p>
        </w:tc>
      </w:tr>
      <w:tr>
        <w:tblPrEx>
          <w:tblLayout w:type="fixed"/>
          <w:tblCellMar>
            <w:top w:w="0" w:type="dxa"/>
            <w:left w:w="108" w:type="dxa"/>
            <w:bottom w:w="0" w:type="dxa"/>
            <w:right w:w="108" w:type="dxa"/>
          </w:tblCellMar>
        </w:tblPrEx>
        <w:trPr>
          <w:trHeight w:val="51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服务</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kern w:val="0"/>
                <w:szCs w:val="21"/>
              </w:rPr>
              <w:t>电源、相关缆线及上机柜的配套设备必须齐全并满足机房实际布局连接要求，在售后服务期内，电话响应、现场支持、故障备件更换都不予另行收费。</w:t>
            </w:r>
          </w:p>
        </w:tc>
      </w:tr>
    </w:tbl>
    <w:p/>
    <w:p>
      <w:pPr>
        <w:pStyle w:val="4"/>
        <w:tabs>
          <w:tab w:val="left" w:pos="432"/>
        </w:tabs>
        <w:rPr>
          <w:sz w:val="24"/>
          <w:szCs w:val="24"/>
        </w:rPr>
      </w:pPr>
      <w:r>
        <w:rPr>
          <w:rFonts w:hint="eastAsia"/>
          <w:sz w:val="24"/>
          <w:szCs w:val="24"/>
        </w:rPr>
        <w:t xml:space="preserve">7.3.12 </w:t>
      </w:r>
      <w:r>
        <w:rPr>
          <w:sz w:val="24"/>
          <w:szCs w:val="24"/>
        </w:rPr>
        <w:t>本体</w:t>
      </w:r>
      <w:r>
        <w:rPr>
          <w:rFonts w:hint="eastAsia"/>
          <w:sz w:val="24"/>
          <w:szCs w:val="24"/>
        </w:rPr>
        <w:t>AP</w:t>
      </w:r>
    </w:p>
    <w:tbl>
      <w:tblPr>
        <w:tblStyle w:val="35"/>
        <w:tblW w:w="8296" w:type="dxa"/>
        <w:tblInd w:w="0" w:type="dxa"/>
        <w:tblLayout w:type="fixed"/>
        <w:tblCellMar>
          <w:top w:w="0" w:type="dxa"/>
          <w:left w:w="108" w:type="dxa"/>
          <w:bottom w:w="0" w:type="dxa"/>
          <w:right w:w="108" w:type="dxa"/>
        </w:tblCellMar>
      </w:tblPr>
      <w:tblGrid>
        <w:gridCol w:w="1838"/>
        <w:gridCol w:w="6458"/>
      </w:tblGrid>
      <w:tr>
        <w:tblPrEx>
          <w:tblLayout w:type="fixed"/>
          <w:tblCellMar>
            <w:top w:w="0" w:type="dxa"/>
            <w:left w:w="108" w:type="dxa"/>
            <w:bottom w:w="0" w:type="dxa"/>
            <w:right w:w="108" w:type="dxa"/>
          </w:tblCellMar>
        </w:tblPrEx>
        <w:trPr>
          <w:trHeight w:val="270" w:hRule="atLeast"/>
        </w:trPr>
        <w:tc>
          <w:tcPr>
            <w:tcW w:w="183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指标项</w:t>
            </w:r>
          </w:p>
        </w:tc>
        <w:tc>
          <w:tcPr>
            <w:tcW w:w="645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指标要求</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品牌</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与无线控制器为同一品牌</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可管理AP数</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集中转发模式下单台支持管理下属AP的能力不小于24台</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网络接口</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千兆电接口不小于24个，万兆光接口不少于4个。</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ACL数量</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不小于2K。</w:t>
            </w:r>
          </w:p>
        </w:tc>
      </w:tr>
      <w:tr>
        <w:tblPrEx>
          <w:tblLayout w:type="fixed"/>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POE供电</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网络接口支持POE供电，供电端口不少于24个。</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SSID</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支持中文SSID</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加密方式</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支持64、128位WEP加密，WPA，802.11i和WAPI。</w:t>
            </w:r>
          </w:p>
        </w:tc>
      </w:tr>
      <w:tr>
        <w:tblPrEx>
          <w:tblLayout w:type="fixed"/>
          <w:tblCellMar>
            <w:top w:w="0" w:type="dxa"/>
            <w:left w:w="108" w:type="dxa"/>
            <w:bottom w:w="0" w:type="dxa"/>
            <w:right w:w="108" w:type="dxa"/>
          </w:tblCellMar>
        </w:tblPrEx>
        <w:trPr>
          <w:trHeight w:val="270" w:hRule="atLeast"/>
        </w:trPr>
        <w:tc>
          <w:tcPr>
            <w:tcW w:w="1838"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服务质量</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支持用户数负载均衡</w:t>
            </w:r>
          </w:p>
        </w:tc>
      </w:tr>
      <w:tr>
        <w:tblPrEx>
          <w:tblLayout w:type="fixed"/>
          <w:tblCellMar>
            <w:top w:w="0" w:type="dxa"/>
            <w:left w:w="108" w:type="dxa"/>
            <w:bottom w:w="0" w:type="dxa"/>
            <w:right w:w="108" w:type="dxa"/>
          </w:tblCellMar>
        </w:tblPrEx>
        <w:trPr>
          <w:trHeight w:val="51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在流量未拥塞时，确保不同优先级SSID下的报文都可以自由通过；在流量拥塞时，确保每个SSID可以保持各自约定的最小带宽</w:t>
            </w:r>
          </w:p>
        </w:tc>
      </w:tr>
      <w:tr>
        <w:tblPrEx>
          <w:tblLayout w:type="fixed"/>
          <w:tblCellMar>
            <w:top w:w="0" w:type="dxa"/>
            <w:left w:w="108" w:type="dxa"/>
            <w:bottom w:w="0" w:type="dxa"/>
            <w:right w:w="108" w:type="dxa"/>
          </w:tblCellMar>
        </w:tblPrEx>
        <w:trPr>
          <w:trHeight w:val="27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支持不同SSID/VLAN映射不同的QoS策略</w:t>
            </w:r>
          </w:p>
        </w:tc>
      </w:tr>
      <w:tr>
        <w:tblPrEx>
          <w:tblLayout w:type="fixed"/>
        </w:tblPrEx>
        <w:trPr>
          <w:trHeight w:val="270" w:hRule="atLeast"/>
        </w:trPr>
        <w:tc>
          <w:tcPr>
            <w:tcW w:w="1838"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二层支持</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支持vlan数量不少于4094个</w:t>
            </w:r>
          </w:p>
        </w:tc>
      </w:tr>
      <w:tr>
        <w:tblPrEx>
          <w:tblLayout w:type="fixed"/>
          <w:tblCellMar>
            <w:top w:w="0" w:type="dxa"/>
            <w:left w:w="108" w:type="dxa"/>
            <w:bottom w:w="0" w:type="dxa"/>
            <w:right w:w="108" w:type="dxa"/>
          </w:tblCellMar>
        </w:tblPrEx>
        <w:trPr>
          <w:trHeight w:val="27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支持多SSID之间的隔离</w:t>
            </w:r>
          </w:p>
        </w:tc>
      </w:tr>
      <w:tr>
        <w:tblPrEx>
          <w:tblLayout w:type="fixed"/>
          <w:tblCellMar>
            <w:top w:w="0" w:type="dxa"/>
            <w:left w:w="108" w:type="dxa"/>
            <w:bottom w:w="0" w:type="dxa"/>
            <w:right w:w="108" w:type="dxa"/>
          </w:tblCellMar>
        </w:tblPrEx>
        <w:trPr>
          <w:trHeight w:val="395"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远程探针分析</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作为远程探针分析的Sensor设备，可以对覆盖区内的Wi-Fi报文进行侦听捕获并实时镜像到本地分析设备供网络管理员进行故障排查、优化分析。远程探针分析功能既可以针对工作信道进行无收敛镜像，也可以对所有信道轮询采样，灵活满足无线网络监控运维要求。</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路由支持</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支持IPv4/IPv6双协议栈、Native原生，特别支持IPv6 Portal、IPv6 SAVI</w:t>
            </w:r>
          </w:p>
        </w:tc>
      </w:tr>
      <w:tr>
        <w:tblPrEx>
          <w:tblLayout w:type="fixed"/>
          <w:tblCellMar>
            <w:top w:w="0" w:type="dxa"/>
            <w:left w:w="108" w:type="dxa"/>
            <w:bottom w:w="0" w:type="dxa"/>
            <w:right w:w="108" w:type="dxa"/>
          </w:tblCellMar>
        </w:tblPrEx>
        <w:trPr>
          <w:trHeight w:val="558"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负载均衡</w:t>
            </w:r>
          </w:p>
        </w:tc>
        <w:tc>
          <w:tcPr>
            <w:tcW w:w="6458" w:type="dxa"/>
            <w:tcBorders>
              <w:top w:val="nil"/>
              <w:left w:val="nil"/>
              <w:bottom w:val="single" w:color="auto" w:sz="4" w:space="0"/>
              <w:right w:val="single" w:color="auto" w:sz="4" w:space="0"/>
            </w:tcBorders>
            <w:vAlign w:val="center"/>
          </w:tcPr>
          <w:p>
            <w:pPr>
              <w:pStyle w:val="9"/>
              <w:rPr>
                <w:rFonts w:ascii="宋体" w:hAnsi="宋体" w:cs="宋体"/>
                <w:kern w:val="0"/>
                <w:szCs w:val="21"/>
              </w:rPr>
            </w:pPr>
            <w:r>
              <w:rPr>
                <w:rFonts w:hint="eastAsia" w:ascii="宋体" w:hAnsi="宋体" w:cs="宋体"/>
                <w:kern w:val="0"/>
                <w:szCs w:val="21"/>
              </w:rPr>
              <w:t>支持智能负载均衡技术，实现接入用户科学调配，提高资源有效利用和配比。</w:t>
            </w:r>
          </w:p>
        </w:tc>
      </w:tr>
      <w:tr>
        <w:tblPrEx>
          <w:tblLayout w:type="fixed"/>
          <w:tblCellMar>
            <w:top w:w="0" w:type="dxa"/>
            <w:left w:w="108" w:type="dxa"/>
            <w:bottom w:w="0" w:type="dxa"/>
            <w:right w:w="108" w:type="dxa"/>
          </w:tblCellMar>
        </w:tblPrEx>
        <w:trPr>
          <w:trHeight w:val="765"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统一性</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本次配置的无线物联网系统（无线转发及供电设备+物联网 AP）支持物联网扩展能力，为保证医院部署的灵活性，要求无线转发及供电设备及物联网AP 均可扩展物联网功能，同时必须保证医院病房与病房之间现实无漫游查房</w:t>
            </w:r>
          </w:p>
        </w:tc>
      </w:tr>
      <w:tr>
        <w:tblPrEx>
          <w:tblLayout w:type="fixed"/>
        </w:tblPrEx>
        <w:trPr>
          <w:trHeight w:val="510" w:hRule="atLeast"/>
        </w:trPr>
        <w:tc>
          <w:tcPr>
            <w:tcW w:w="1838"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服务</w:t>
            </w:r>
          </w:p>
        </w:tc>
        <w:tc>
          <w:tcPr>
            <w:tcW w:w="6458" w:type="dxa"/>
            <w:tcBorders>
              <w:top w:val="nil"/>
              <w:left w:val="nil"/>
              <w:bottom w:val="single" w:color="auto" w:sz="4" w:space="0"/>
              <w:right w:val="single" w:color="auto" w:sz="4" w:space="0"/>
            </w:tcBorders>
            <w:shd w:val="clear" w:color="000000" w:fill="FFFFFF"/>
            <w:vAlign w:val="center"/>
          </w:tcPr>
          <w:p>
            <w:pPr>
              <w:widowControl/>
              <w:rPr>
                <w:rFonts w:ascii="宋体" w:hAnsi="宋体" w:cs="宋体"/>
                <w:color w:val="000000"/>
                <w:kern w:val="0"/>
                <w:szCs w:val="21"/>
              </w:rPr>
            </w:pPr>
            <w:r>
              <w:rPr>
                <w:rFonts w:hint="eastAsia" w:ascii="宋体" w:hAnsi="宋体" w:cs="宋体"/>
                <w:kern w:val="0"/>
                <w:szCs w:val="21"/>
              </w:rPr>
              <w:t>电源、相关缆线及上机柜的配套设备必须齐全并满足机房实际布局连接要求，在售后服务期内，电话响应、现场支持、故障备件更换都不予另行收费。</w:t>
            </w:r>
          </w:p>
        </w:tc>
      </w:tr>
    </w:tbl>
    <w:p/>
    <w:p>
      <w:pPr>
        <w:pStyle w:val="4"/>
        <w:tabs>
          <w:tab w:val="left" w:pos="432"/>
        </w:tabs>
        <w:rPr>
          <w:sz w:val="24"/>
          <w:szCs w:val="24"/>
        </w:rPr>
      </w:pPr>
      <w:r>
        <w:rPr>
          <w:rFonts w:hint="eastAsia"/>
          <w:sz w:val="24"/>
          <w:szCs w:val="24"/>
        </w:rPr>
        <w:t xml:space="preserve">7.3.13 </w:t>
      </w:r>
      <w:r>
        <w:rPr>
          <w:sz w:val="24"/>
          <w:szCs w:val="24"/>
        </w:rPr>
        <w:t>分体</w:t>
      </w:r>
      <w:r>
        <w:rPr>
          <w:rFonts w:hint="eastAsia"/>
          <w:sz w:val="24"/>
          <w:szCs w:val="24"/>
        </w:rPr>
        <w:t>AP</w:t>
      </w:r>
    </w:p>
    <w:tbl>
      <w:tblPr>
        <w:tblStyle w:val="35"/>
        <w:tblW w:w="8296" w:type="dxa"/>
        <w:tblInd w:w="0" w:type="dxa"/>
        <w:tblLayout w:type="fixed"/>
        <w:tblCellMar>
          <w:top w:w="0" w:type="dxa"/>
          <w:left w:w="108" w:type="dxa"/>
          <w:bottom w:w="0" w:type="dxa"/>
          <w:right w:w="108" w:type="dxa"/>
        </w:tblCellMar>
      </w:tblPr>
      <w:tblGrid>
        <w:gridCol w:w="1838"/>
        <w:gridCol w:w="6458"/>
      </w:tblGrid>
      <w:tr>
        <w:tblPrEx>
          <w:tblLayout w:type="fixed"/>
          <w:tblCellMar>
            <w:top w:w="0" w:type="dxa"/>
            <w:left w:w="108" w:type="dxa"/>
            <w:bottom w:w="0" w:type="dxa"/>
            <w:right w:w="108" w:type="dxa"/>
          </w:tblCellMar>
        </w:tblPrEx>
        <w:trPr>
          <w:trHeight w:val="270" w:hRule="atLeast"/>
        </w:trPr>
        <w:tc>
          <w:tcPr>
            <w:tcW w:w="183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指标项</w:t>
            </w:r>
          </w:p>
        </w:tc>
        <w:tc>
          <w:tcPr>
            <w:tcW w:w="645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指标要求</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品牌</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与无线控制器为同一品牌</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工作模式</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支持802.11ac Wave2协议</w:t>
            </w:r>
          </w:p>
        </w:tc>
      </w:tr>
      <w:tr>
        <w:tblPrEx>
          <w:tblLayout w:type="fixed"/>
          <w:tblCellMar>
            <w:top w:w="0" w:type="dxa"/>
            <w:left w:w="108" w:type="dxa"/>
            <w:bottom w:w="0" w:type="dxa"/>
            <w:right w:w="108" w:type="dxa"/>
          </w:tblCellMar>
        </w:tblPrEx>
        <w:trPr>
          <w:trHeight w:val="270" w:hRule="atLeast"/>
        </w:trPr>
        <w:tc>
          <w:tcPr>
            <w:tcW w:w="1838"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协议支持</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同时支持802.11a/n/ac和802.11b/g/n工作</w:t>
            </w:r>
          </w:p>
        </w:tc>
      </w:tr>
      <w:tr>
        <w:tblPrEx>
          <w:tblLayout w:type="fixed"/>
          <w:tblCellMar>
            <w:top w:w="0" w:type="dxa"/>
            <w:left w:w="108" w:type="dxa"/>
            <w:bottom w:w="0" w:type="dxa"/>
            <w:right w:w="108" w:type="dxa"/>
          </w:tblCellMar>
        </w:tblPrEx>
        <w:trPr>
          <w:trHeight w:val="27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802.11ac/n/a : 5.725GHz-5.850GHz ; 5.15~5.35GHz (中国)</w:t>
            </w:r>
          </w:p>
        </w:tc>
      </w:tr>
      <w:tr>
        <w:tblPrEx>
          <w:tblLayout w:type="fixed"/>
        </w:tblPrEx>
        <w:trPr>
          <w:trHeight w:val="27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802.11b/g/n : 2.4GHz-2.483GHz (中国), 2.4GHz/5GHz双频段同时工作</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协商速率</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要求整机最大协商速率≥1167Mbps</w:t>
            </w:r>
          </w:p>
        </w:tc>
      </w:tr>
      <w:tr>
        <w:tblPrEx>
          <w:tblLayout w:type="fixed"/>
          <w:tblCellMar>
            <w:top w:w="0" w:type="dxa"/>
            <w:left w:w="108" w:type="dxa"/>
            <w:bottom w:w="0" w:type="dxa"/>
            <w:right w:w="108" w:type="dxa"/>
          </w:tblCellMar>
        </w:tblPrEx>
        <w:trPr>
          <w:trHeight w:val="270" w:hRule="atLeast"/>
        </w:trPr>
        <w:tc>
          <w:tcPr>
            <w:tcW w:w="1838"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LAN接口</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≥4个10/100/1000Mbps(RJ45)下行口（包含1个IOT端口）</w:t>
            </w:r>
          </w:p>
        </w:tc>
      </w:tr>
      <w:tr>
        <w:tblPrEx>
          <w:tblLayout w:type="fixed"/>
          <w:tblCellMar>
            <w:top w:w="0" w:type="dxa"/>
            <w:left w:w="108" w:type="dxa"/>
            <w:bottom w:w="0" w:type="dxa"/>
            <w:right w:w="108" w:type="dxa"/>
          </w:tblCellMar>
        </w:tblPrEx>
        <w:trPr>
          <w:trHeight w:val="27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1个下行口可做IOT口，外接物联网模块，提供完整的物联网解决方案</w:t>
            </w:r>
          </w:p>
        </w:tc>
      </w:tr>
      <w:tr>
        <w:tblPrEx>
          <w:tblLayout w:type="fixed"/>
          <w:tblCellMar>
            <w:top w:w="0" w:type="dxa"/>
            <w:left w:w="108" w:type="dxa"/>
            <w:bottom w:w="0" w:type="dxa"/>
            <w:right w:w="108" w:type="dxa"/>
          </w:tblCellMar>
        </w:tblPrEx>
        <w:trPr>
          <w:trHeight w:val="27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FF0000"/>
                <w:kern w:val="0"/>
                <w:szCs w:val="21"/>
              </w:rPr>
            </w:pPr>
          </w:p>
        </w:tc>
      </w:tr>
      <w:tr>
        <w:tblPrEx>
          <w:tblLayout w:type="fixed"/>
          <w:tblCellMar>
            <w:top w:w="0" w:type="dxa"/>
            <w:left w:w="108" w:type="dxa"/>
            <w:bottom w:w="0" w:type="dxa"/>
            <w:right w:w="108" w:type="dxa"/>
          </w:tblCellMar>
        </w:tblPrEx>
        <w:trPr>
          <w:trHeight w:val="27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在设备断电状态下，可传输数据接口≥1个</w:t>
            </w:r>
          </w:p>
        </w:tc>
      </w:tr>
      <w:tr>
        <w:tblPrEx>
          <w:tblLayout w:type="fixed"/>
        </w:tblPrEx>
        <w:trPr>
          <w:trHeight w:val="27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≥1个10/100/1000Mbps(RJ45)透传口</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WAN接口</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≥1个10/100/1000Mbps(RJ45)</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协商速率</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5GHz: 866Mbps   2.4GHz: 300Mbps</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天线</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内置低辐射全向天线</w:t>
            </w:r>
          </w:p>
        </w:tc>
      </w:tr>
      <w:tr>
        <w:tblPrEx>
          <w:tblLayout w:type="fixed"/>
          <w:tblCellMar>
            <w:top w:w="0" w:type="dxa"/>
            <w:left w:w="108" w:type="dxa"/>
            <w:bottom w:w="0" w:type="dxa"/>
            <w:right w:w="108" w:type="dxa"/>
          </w:tblCellMar>
        </w:tblPrEx>
        <w:trPr>
          <w:trHeight w:val="51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实时频谱防护</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支持内置射频采集模块，实现深度融合的射频监控和实时频谱防护，</w:t>
            </w:r>
          </w:p>
        </w:tc>
      </w:tr>
      <w:tr>
        <w:tblPrEx>
          <w:tblLayout w:type="fixed"/>
          <w:tblCellMar>
            <w:top w:w="0" w:type="dxa"/>
            <w:left w:w="108" w:type="dxa"/>
            <w:bottom w:w="0" w:type="dxa"/>
            <w:right w:w="108" w:type="dxa"/>
          </w:tblCellMar>
        </w:tblPrEx>
        <w:trPr>
          <w:trHeight w:val="51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IPv6支持</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支持IPv4/IPv6双协议栈、Native原生，特别支持IPv6 Portal、IPv6 SAVI</w:t>
            </w:r>
          </w:p>
        </w:tc>
      </w:tr>
      <w:tr>
        <w:tblPrEx>
          <w:tblLayout w:type="fixed"/>
        </w:tblPrEx>
        <w:trPr>
          <w:trHeight w:val="1275"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远程探针分析</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作为远程探针分析的Sensor设备，可以对覆盖区内的Wi-Fi报文进行侦听捕获并实时镜像到本地分析设备供网络管理员进行故障排查、优化分析。远程探针分析功能既可以针对工作信道进行无收敛镜像，也可以对所有信道轮询采样，灵活满足无线网络监控运维要求。</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灵活转发</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TR-069动态分支管理</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加密</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支持64、128位WEP加密，WPA，802.11i和WAPI。</w:t>
            </w:r>
          </w:p>
        </w:tc>
      </w:tr>
      <w:tr>
        <w:tblPrEx>
          <w:tblLayout w:type="fixed"/>
          <w:tblCellMar>
            <w:top w:w="0" w:type="dxa"/>
            <w:left w:w="108" w:type="dxa"/>
            <w:bottom w:w="0" w:type="dxa"/>
            <w:right w:w="108" w:type="dxa"/>
          </w:tblCellMar>
        </w:tblPrEx>
        <w:trPr>
          <w:trHeight w:val="449"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负载均衡</w:t>
            </w:r>
          </w:p>
        </w:tc>
        <w:tc>
          <w:tcPr>
            <w:tcW w:w="6458" w:type="dxa"/>
            <w:tcBorders>
              <w:top w:val="nil"/>
              <w:left w:val="nil"/>
              <w:bottom w:val="single" w:color="auto" w:sz="4" w:space="0"/>
              <w:right w:val="single" w:color="auto" w:sz="4" w:space="0"/>
            </w:tcBorders>
            <w:vAlign w:val="center"/>
          </w:tcPr>
          <w:p>
            <w:pPr>
              <w:pStyle w:val="9"/>
              <w:rPr>
                <w:rFonts w:ascii="宋体" w:hAnsi="宋体" w:cs="宋体"/>
                <w:kern w:val="0"/>
                <w:szCs w:val="21"/>
              </w:rPr>
            </w:pPr>
            <w:r>
              <w:rPr>
                <w:rFonts w:hint="eastAsia" w:ascii="宋体" w:hAnsi="宋体" w:cs="宋体"/>
                <w:kern w:val="0"/>
                <w:szCs w:val="21"/>
              </w:rPr>
              <w:t>支持智能负载均衡技术，实现接入用户科学调配，提高资源有效利用和配比。</w:t>
            </w:r>
          </w:p>
        </w:tc>
      </w:tr>
      <w:tr>
        <w:tblPrEx>
          <w:tblLayout w:type="fixed"/>
          <w:tblCellMar>
            <w:top w:w="0" w:type="dxa"/>
            <w:left w:w="108" w:type="dxa"/>
            <w:bottom w:w="0" w:type="dxa"/>
            <w:right w:w="108" w:type="dxa"/>
          </w:tblCellMar>
        </w:tblPrEx>
        <w:trPr>
          <w:trHeight w:val="270" w:hRule="atLeast"/>
        </w:trPr>
        <w:tc>
          <w:tcPr>
            <w:tcW w:w="1838"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用户隔离</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支持AP上二层转发抑制</w:t>
            </w:r>
          </w:p>
        </w:tc>
      </w:tr>
      <w:tr>
        <w:tblPrEx>
          <w:tblLayout w:type="fixed"/>
        </w:tblPrEx>
        <w:trPr>
          <w:trHeight w:val="27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支持虚拟AP(多SSID)之间的隔离</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报文过滤</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IPv6 SAVI</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终端感知准入</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实时频谱防护</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wIPS 探针</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w:t>
            </w:r>
          </w:p>
        </w:tc>
      </w:tr>
      <w:tr>
        <w:tblPrEx>
          <w:tblLayout w:type="fixed"/>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广播抑制</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SSID隐藏</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w:t>
            </w:r>
          </w:p>
        </w:tc>
      </w:tr>
      <w:tr>
        <w:tblPrEx>
          <w:tblLayout w:type="fixed"/>
          <w:tblCellMar>
            <w:top w:w="0" w:type="dxa"/>
            <w:left w:w="108" w:type="dxa"/>
            <w:bottom w:w="0" w:type="dxa"/>
            <w:right w:w="108" w:type="dxa"/>
          </w:tblCellMar>
        </w:tblPrEx>
        <w:trPr>
          <w:trHeight w:val="270" w:hRule="atLeast"/>
        </w:trPr>
        <w:tc>
          <w:tcPr>
            <w:tcW w:w="1838"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认证</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配合AC支持：</w:t>
            </w:r>
          </w:p>
        </w:tc>
      </w:tr>
      <w:tr>
        <w:tblPrEx>
          <w:tblLayout w:type="fixed"/>
          <w:tblCellMar>
            <w:top w:w="0" w:type="dxa"/>
            <w:left w:w="108" w:type="dxa"/>
            <w:bottom w:w="0" w:type="dxa"/>
            <w:right w:w="108" w:type="dxa"/>
          </w:tblCellMar>
        </w:tblPrEx>
        <w:trPr>
          <w:trHeight w:val="9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 xml:space="preserve">PORTAL认证(远程,外挂服务器)、基于SSID的Portal页面推送、基于AP的Portal页面推送、Portal支持代理功能、Portal双机热备、[EAP-TLS、EAP-TTLS、EAP-PEAP、EAP-MD5、EAP-SIM、LEAP、EAP-FAST、EAP offload (仅支持TLS, PEAP)]、SSID防假冒(用户名与SSID绑定)、LDAP </w:t>
            </w:r>
          </w:p>
        </w:tc>
      </w:tr>
      <w:tr>
        <w:tblPrEx>
          <w:tblLayout w:type="fixed"/>
          <w:tblCellMar>
            <w:top w:w="0" w:type="dxa"/>
            <w:left w:w="108" w:type="dxa"/>
            <w:bottom w:w="0" w:type="dxa"/>
            <w:right w:w="108" w:type="dxa"/>
          </w:tblCellMar>
        </w:tblPrEx>
        <w:trPr>
          <w:trHeight w:val="27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1. 支持802.1X与Portal接入</w:t>
            </w:r>
          </w:p>
        </w:tc>
      </w:tr>
      <w:tr>
        <w:tblPrEx>
          <w:tblLayout w:type="fixed"/>
          <w:tblCellMar>
            <w:top w:w="0" w:type="dxa"/>
            <w:left w:w="108" w:type="dxa"/>
            <w:bottom w:w="0" w:type="dxa"/>
            <w:right w:w="108" w:type="dxa"/>
          </w:tblCellMar>
        </w:tblPrEx>
        <w:trPr>
          <w:trHeight w:val="27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2. 802.1X接入时,支持EAP-GTC和EAP-TLS两种)</w:t>
            </w:r>
          </w:p>
        </w:tc>
      </w:tr>
      <w:tr>
        <w:tblPrEx>
          <w:tblLayout w:type="fixed"/>
        </w:tblPrEx>
        <w:trPr>
          <w:trHeight w:val="270" w:hRule="atLeast"/>
        </w:trPr>
        <w:tc>
          <w:tcPr>
            <w:tcW w:w="1838"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智能带宽限速</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1、基于带宽均分算法</w:t>
            </w:r>
          </w:p>
        </w:tc>
      </w:tr>
      <w:tr>
        <w:tblPrEx>
          <w:tblLayout w:type="fixed"/>
          <w:tblCellMar>
            <w:top w:w="0" w:type="dxa"/>
            <w:left w:w="108" w:type="dxa"/>
            <w:bottom w:w="0" w:type="dxa"/>
            <w:right w:w="108" w:type="dxa"/>
          </w:tblCellMar>
        </w:tblPrEx>
        <w:trPr>
          <w:trHeight w:val="27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2、基于每用户指定带宽的算法</w:t>
            </w:r>
          </w:p>
        </w:tc>
      </w:tr>
      <w:tr>
        <w:tblPrEx>
          <w:tblLayout w:type="fixed"/>
          <w:tblCellMar>
            <w:top w:w="0" w:type="dxa"/>
            <w:left w:w="108" w:type="dxa"/>
            <w:bottom w:w="0" w:type="dxa"/>
            <w:right w:w="108" w:type="dxa"/>
          </w:tblCellMar>
        </w:tblPrEx>
        <w:trPr>
          <w:trHeight w:val="51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3、在流量未拥塞时，确保不同优先级SSID下的报文都可以自由通过；在流量拥塞时，确保每个SSID可以保持各自约定的最小带宽</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型号核准证</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要求投标产品提供无线管理委员会型号核准证书</w:t>
            </w:r>
          </w:p>
        </w:tc>
      </w:tr>
      <w:tr>
        <w:tblPrEx>
          <w:tblLayout w:type="fixed"/>
          <w:tblCellMar>
            <w:top w:w="0" w:type="dxa"/>
            <w:left w:w="108" w:type="dxa"/>
            <w:bottom w:w="0" w:type="dxa"/>
            <w:right w:w="108" w:type="dxa"/>
          </w:tblCellMar>
        </w:tblPrEx>
        <w:trPr>
          <w:trHeight w:val="51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服务</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kern w:val="0"/>
                <w:szCs w:val="21"/>
              </w:rPr>
              <w:t>电源、相关缆线及上机柜的配套设备必须齐全并满足机房实际布局连接要求，在售后服务期内，电话响应、现场支持、故障备件更换都不予另行收费。</w:t>
            </w:r>
          </w:p>
        </w:tc>
      </w:tr>
    </w:tbl>
    <w:p/>
    <w:p>
      <w:pPr>
        <w:pStyle w:val="4"/>
        <w:tabs>
          <w:tab w:val="left" w:pos="432"/>
        </w:tabs>
        <w:rPr>
          <w:sz w:val="24"/>
          <w:szCs w:val="24"/>
        </w:rPr>
      </w:pPr>
      <w:r>
        <w:rPr>
          <w:rFonts w:hint="eastAsia"/>
          <w:sz w:val="24"/>
          <w:szCs w:val="24"/>
        </w:rPr>
        <w:t>7.3.14 室外AP</w:t>
      </w:r>
    </w:p>
    <w:tbl>
      <w:tblPr>
        <w:tblStyle w:val="35"/>
        <w:tblW w:w="8296" w:type="dxa"/>
        <w:tblInd w:w="0" w:type="dxa"/>
        <w:tblLayout w:type="fixed"/>
        <w:tblCellMar>
          <w:top w:w="0" w:type="dxa"/>
          <w:left w:w="108" w:type="dxa"/>
          <w:bottom w:w="0" w:type="dxa"/>
          <w:right w:w="108" w:type="dxa"/>
        </w:tblCellMar>
      </w:tblPr>
      <w:tblGrid>
        <w:gridCol w:w="1838"/>
        <w:gridCol w:w="6458"/>
      </w:tblGrid>
      <w:tr>
        <w:tblPrEx>
          <w:tblLayout w:type="fixed"/>
          <w:tblCellMar>
            <w:top w:w="0" w:type="dxa"/>
            <w:left w:w="108" w:type="dxa"/>
            <w:bottom w:w="0" w:type="dxa"/>
            <w:right w:w="108" w:type="dxa"/>
          </w:tblCellMar>
        </w:tblPrEx>
        <w:trPr>
          <w:trHeight w:val="285" w:hRule="atLeast"/>
        </w:trPr>
        <w:tc>
          <w:tcPr>
            <w:tcW w:w="183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指标项</w:t>
            </w:r>
          </w:p>
        </w:tc>
        <w:tc>
          <w:tcPr>
            <w:tcW w:w="645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指标要求</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品牌</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与无线控制器为同一品牌</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工作模式</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支持802.11ac Wave2协议，支持MU-MIMO。</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协议支持</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同时支持802.11a/n/ac/ac Wave2和802.11b/g/n工作</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协商速率</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5GHz频段867Mbps，2.4GHz频段400Mbps</w:t>
            </w:r>
          </w:p>
        </w:tc>
      </w:tr>
      <w:tr>
        <w:tblPrEx>
          <w:tblLayout w:type="fixed"/>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以太端口</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≥2个</w:t>
            </w:r>
          </w:p>
        </w:tc>
      </w:tr>
      <w:tr>
        <w:tblPrEx>
          <w:tblLayout w:type="fixed"/>
          <w:tblCellMar>
            <w:top w:w="0" w:type="dxa"/>
            <w:left w:w="108" w:type="dxa"/>
            <w:bottom w:w="0" w:type="dxa"/>
            <w:right w:w="108" w:type="dxa"/>
          </w:tblCellMar>
        </w:tblPrEx>
        <w:trPr>
          <w:trHeight w:val="270" w:hRule="atLeast"/>
        </w:trPr>
        <w:tc>
          <w:tcPr>
            <w:tcW w:w="1838"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物联网扩展</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要求支持物理网扩展能力，物联网端口个数≥1；</w:t>
            </w:r>
          </w:p>
        </w:tc>
      </w:tr>
      <w:tr>
        <w:tblPrEx>
          <w:tblLayout w:type="fixed"/>
          <w:tblCellMar>
            <w:top w:w="0" w:type="dxa"/>
            <w:left w:w="108" w:type="dxa"/>
            <w:bottom w:w="0" w:type="dxa"/>
            <w:right w:w="108" w:type="dxa"/>
          </w:tblCellMar>
        </w:tblPrEx>
        <w:trPr>
          <w:trHeight w:val="321"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pStyle w:val="9"/>
              <w:rPr>
                <w:rFonts w:ascii="宋体" w:hAnsi="宋体" w:cs="宋体"/>
                <w:color w:val="000000"/>
                <w:kern w:val="0"/>
                <w:szCs w:val="21"/>
              </w:rPr>
            </w:pPr>
            <w:r>
              <w:rPr>
                <w:rFonts w:hint="eastAsia" w:ascii="宋体" w:hAnsi="宋体" w:cs="宋体"/>
                <w:color w:val="000000"/>
                <w:kern w:val="0"/>
                <w:szCs w:val="21"/>
              </w:rPr>
              <w:t>支持对Zigbee、RFID等全制式物联网协议的扩展，根据用户需求定制化相应的业务</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天线</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内置硬件智能天线</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发射功率(最大)</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27dBm</w:t>
            </w:r>
          </w:p>
        </w:tc>
      </w:tr>
      <w:tr>
        <w:tblPrEx>
          <w:tblLayout w:type="fixed"/>
          <w:tblCellMar>
            <w:top w:w="0" w:type="dxa"/>
            <w:left w:w="108" w:type="dxa"/>
            <w:bottom w:w="0" w:type="dxa"/>
            <w:right w:w="108" w:type="dxa"/>
          </w:tblCellMar>
        </w:tblPrEx>
        <w:trPr>
          <w:trHeight w:val="270" w:hRule="atLeast"/>
        </w:trPr>
        <w:tc>
          <w:tcPr>
            <w:tcW w:w="1838"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核准频段</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802.11a/n/ac : 5.725GHz-5.850GHz (中国)</w:t>
            </w:r>
          </w:p>
        </w:tc>
      </w:tr>
      <w:tr>
        <w:tblPrEx>
          <w:tblLayout w:type="fixed"/>
        </w:tblPrEx>
        <w:trPr>
          <w:trHeight w:val="27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802.11b/g/n : 2.4GHz-2.483GHz (中国)</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防护等级</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IP68</w:t>
            </w:r>
          </w:p>
        </w:tc>
      </w:tr>
      <w:tr>
        <w:tblPrEx>
          <w:tblLayout w:type="fixed"/>
          <w:tblCellMar>
            <w:top w:w="0" w:type="dxa"/>
            <w:left w:w="108" w:type="dxa"/>
            <w:bottom w:w="0" w:type="dxa"/>
            <w:right w:w="108" w:type="dxa"/>
          </w:tblCellMar>
        </w:tblPrEx>
        <w:trPr>
          <w:trHeight w:val="153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远程探针分析</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作为远程探针分析的Sensor设备，可以对覆盖区内的Wi-Fi报文进行侦听捕获并实时镜像到本地分析设备供网络管理员进行故障排查、优化分析。远程探针分析功能既可以针对工作信道进行无收敛镜像，也可以对所有信道轮询采样，灵活满足无线网络监控运维要求。</w:t>
            </w:r>
          </w:p>
        </w:tc>
      </w:tr>
      <w:tr>
        <w:tblPrEx>
          <w:tblLayout w:type="fixed"/>
          <w:tblCellMar>
            <w:top w:w="0" w:type="dxa"/>
            <w:left w:w="108" w:type="dxa"/>
            <w:bottom w:w="0" w:type="dxa"/>
            <w:right w:w="108" w:type="dxa"/>
          </w:tblCellMar>
        </w:tblPrEx>
        <w:trPr>
          <w:trHeight w:val="51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安全规范</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GB4943、EN60601-1-2(医疗)、UL/CSA 60950-1、EN/IEC 60950-1、EN/IEC 60950-22</w:t>
            </w:r>
          </w:p>
        </w:tc>
      </w:tr>
      <w:tr>
        <w:tblPrEx>
          <w:tblLayout w:type="fixed"/>
          <w:tblCellMar>
            <w:top w:w="0" w:type="dxa"/>
            <w:left w:w="108" w:type="dxa"/>
            <w:bottom w:w="0" w:type="dxa"/>
            <w:right w:w="108" w:type="dxa"/>
          </w:tblCellMar>
        </w:tblPrEx>
        <w:trPr>
          <w:trHeight w:val="27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MTBF</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&gt;250000H</w:t>
            </w:r>
          </w:p>
        </w:tc>
      </w:tr>
      <w:tr>
        <w:tblPrEx>
          <w:tblLayout w:type="fixed"/>
          <w:tblCellMar>
            <w:top w:w="0" w:type="dxa"/>
            <w:left w:w="108" w:type="dxa"/>
            <w:bottom w:w="0" w:type="dxa"/>
            <w:right w:w="108" w:type="dxa"/>
          </w:tblCellMar>
        </w:tblPrEx>
        <w:trPr>
          <w:trHeight w:val="51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IPv6支持</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支持IPv4/IPv6双协议栈、Native原生，特别支持IPv6 Portal、IPv6 SAVI</w:t>
            </w:r>
          </w:p>
        </w:tc>
      </w:tr>
      <w:tr>
        <w:tblPrEx>
          <w:tblLayout w:type="fixed"/>
        </w:tblPrEx>
        <w:trPr>
          <w:trHeight w:val="270" w:hRule="atLeast"/>
        </w:trPr>
        <w:tc>
          <w:tcPr>
            <w:tcW w:w="1838"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认证</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配合AC支持：</w:t>
            </w:r>
          </w:p>
        </w:tc>
      </w:tr>
      <w:tr>
        <w:tblPrEx>
          <w:tblLayout w:type="fixed"/>
          <w:tblCellMar>
            <w:top w:w="0" w:type="dxa"/>
            <w:left w:w="108" w:type="dxa"/>
            <w:bottom w:w="0" w:type="dxa"/>
            <w:right w:w="108" w:type="dxa"/>
          </w:tblCellMar>
        </w:tblPrEx>
        <w:trPr>
          <w:trHeight w:val="1275"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 xml:space="preserve">PORTAL认证(远程,外挂服务器)、基于SSID的Portal页面推送、基于AP的Portal页面推送、Portal支持代理功能、Portal双机热备、[EAP-TLS、EAP-TTLS、EAP-PEAP、EAP-MD5、EAP-SIM、LEAP、EAP-FAST、EAP offload (仅支持TLS, PEAP)]、SSID防假冒(用户名与SSID绑定)、LDAP </w:t>
            </w:r>
          </w:p>
        </w:tc>
      </w:tr>
      <w:tr>
        <w:tblPrEx>
          <w:tblLayout w:type="fixed"/>
          <w:tblCellMar>
            <w:top w:w="0" w:type="dxa"/>
            <w:left w:w="108" w:type="dxa"/>
            <w:bottom w:w="0" w:type="dxa"/>
            <w:right w:w="108" w:type="dxa"/>
          </w:tblCellMar>
        </w:tblPrEx>
        <w:trPr>
          <w:trHeight w:val="27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(1. 支持802.1X与Portal接入</w:t>
            </w:r>
          </w:p>
        </w:tc>
      </w:tr>
      <w:tr>
        <w:tblPrEx>
          <w:tblLayout w:type="fixed"/>
          <w:tblCellMar>
            <w:top w:w="0" w:type="dxa"/>
            <w:left w:w="108" w:type="dxa"/>
            <w:bottom w:w="0" w:type="dxa"/>
            <w:right w:w="108" w:type="dxa"/>
          </w:tblCellMar>
        </w:tblPrEx>
        <w:trPr>
          <w:trHeight w:val="27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2. 802.1X接入时,支持EAP-GTC和EAP-TLS两种)</w:t>
            </w:r>
          </w:p>
        </w:tc>
      </w:tr>
      <w:tr>
        <w:tblPrEx>
          <w:tblLayout w:type="fixed"/>
          <w:tblCellMar>
            <w:top w:w="0" w:type="dxa"/>
            <w:left w:w="108" w:type="dxa"/>
            <w:bottom w:w="0" w:type="dxa"/>
            <w:right w:w="108" w:type="dxa"/>
          </w:tblCellMar>
        </w:tblPrEx>
        <w:trPr>
          <w:trHeight w:val="270" w:hRule="atLeast"/>
        </w:trPr>
        <w:tc>
          <w:tcPr>
            <w:tcW w:w="1838"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智能带宽限速</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1、基于带宽均分算法</w:t>
            </w:r>
          </w:p>
        </w:tc>
      </w:tr>
      <w:tr>
        <w:tblPrEx>
          <w:tblLayout w:type="fixed"/>
          <w:tblCellMar>
            <w:top w:w="0" w:type="dxa"/>
            <w:left w:w="108" w:type="dxa"/>
            <w:bottom w:w="0" w:type="dxa"/>
            <w:right w:w="108" w:type="dxa"/>
          </w:tblCellMar>
        </w:tblPrEx>
        <w:trPr>
          <w:trHeight w:val="270"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2、基于每用户指定带宽的算法</w:t>
            </w:r>
          </w:p>
        </w:tc>
      </w:tr>
      <w:tr>
        <w:tblPrEx>
          <w:tblLayout w:type="fixed"/>
        </w:tblPrEx>
        <w:trPr>
          <w:trHeight w:val="765" w:hRule="atLeast"/>
        </w:trPr>
        <w:tc>
          <w:tcPr>
            <w:tcW w:w="18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3、在流量未拥塞时，确保不同优先级SSID下的报文都可以自由通过；在流量拥塞时，确保每个SSID可以保持各自约定的最小带宽</w:t>
            </w:r>
          </w:p>
        </w:tc>
      </w:tr>
      <w:tr>
        <w:tblPrEx>
          <w:tblLayout w:type="fixed"/>
          <w:tblCellMar>
            <w:top w:w="0" w:type="dxa"/>
            <w:left w:w="108" w:type="dxa"/>
            <w:bottom w:w="0" w:type="dxa"/>
            <w:right w:w="108" w:type="dxa"/>
          </w:tblCellMar>
        </w:tblPrEx>
        <w:trPr>
          <w:trHeight w:val="510" w:hRule="atLeast"/>
        </w:trPr>
        <w:tc>
          <w:tcPr>
            <w:tcW w:w="18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服务</w:t>
            </w:r>
          </w:p>
        </w:tc>
        <w:tc>
          <w:tcPr>
            <w:tcW w:w="6458"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kern w:val="0"/>
                <w:szCs w:val="21"/>
              </w:rPr>
              <w:t>电源、相关缆线及上机柜的配套设备必须齐全并满足机房实际布局连接要求，在售后服务期内，电话响应、现场支持、故障备件更换都不予另行收费。</w:t>
            </w:r>
          </w:p>
        </w:tc>
      </w:tr>
    </w:tbl>
    <w:p>
      <w:pPr>
        <w:widowControl/>
        <w:jc w:val="left"/>
      </w:pPr>
    </w:p>
    <w:p>
      <w:pPr>
        <w:pStyle w:val="4"/>
        <w:tabs>
          <w:tab w:val="left" w:pos="432"/>
        </w:tabs>
        <w:rPr>
          <w:sz w:val="24"/>
          <w:szCs w:val="24"/>
        </w:rPr>
      </w:pPr>
      <w:r>
        <w:rPr>
          <w:rFonts w:hint="eastAsia"/>
          <w:sz w:val="24"/>
          <w:szCs w:val="24"/>
        </w:rPr>
        <w:t>7.3.15 网络管理系统</w:t>
      </w:r>
    </w:p>
    <w:tbl>
      <w:tblPr>
        <w:tblStyle w:val="35"/>
        <w:tblW w:w="8296" w:type="dxa"/>
        <w:tblInd w:w="0" w:type="dxa"/>
        <w:tblLayout w:type="fixed"/>
        <w:tblCellMar>
          <w:top w:w="0" w:type="dxa"/>
          <w:left w:w="108" w:type="dxa"/>
          <w:bottom w:w="0" w:type="dxa"/>
          <w:right w:w="108" w:type="dxa"/>
        </w:tblCellMar>
      </w:tblPr>
      <w:tblGrid>
        <w:gridCol w:w="2171"/>
        <w:gridCol w:w="6125"/>
      </w:tblGrid>
      <w:tr>
        <w:tblPrEx>
          <w:tblLayout w:type="fixed"/>
          <w:tblCellMar>
            <w:top w:w="0" w:type="dxa"/>
            <w:left w:w="108" w:type="dxa"/>
            <w:bottom w:w="0" w:type="dxa"/>
            <w:right w:w="108" w:type="dxa"/>
          </w:tblCellMar>
        </w:tblPrEx>
        <w:trPr>
          <w:trHeight w:val="270" w:hRule="atLeast"/>
        </w:trPr>
        <w:tc>
          <w:tcPr>
            <w:tcW w:w="217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指标项</w:t>
            </w:r>
          </w:p>
        </w:tc>
        <w:tc>
          <w:tcPr>
            <w:tcW w:w="612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技术指标要求</w:t>
            </w:r>
          </w:p>
        </w:tc>
      </w:tr>
      <w:tr>
        <w:tblPrEx>
          <w:tblLayout w:type="fixed"/>
          <w:tblCellMar>
            <w:top w:w="0" w:type="dxa"/>
            <w:left w:w="108" w:type="dxa"/>
            <w:bottom w:w="0" w:type="dxa"/>
            <w:right w:w="108" w:type="dxa"/>
          </w:tblCellMar>
        </w:tblPrEx>
        <w:trPr>
          <w:trHeight w:val="510" w:hRule="atLeast"/>
        </w:trPr>
        <w:tc>
          <w:tcPr>
            <w:tcW w:w="2171"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支持有线无线一体化管理</w:t>
            </w:r>
          </w:p>
        </w:tc>
        <w:tc>
          <w:tcPr>
            <w:tcW w:w="6125" w:type="dxa"/>
            <w:tcBorders>
              <w:top w:val="nil"/>
              <w:left w:val="nil"/>
              <w:bottom w:val="single" w:color="auto" w:sz="4" w:space="0"/>
              <w:right w:val="single" w:color="auto" w:sz="4" w:space="0"/>
            </w:tcBorders>
            <w:shd w:val="clear" w:color="000000" w:fill="FFFFFF"/>
            <w:vAlign w:val="center"/>
          </w:tcPr>
          <w:p>
            <w:pPr>
              <w:widowControl/>
              <w:rPr>
                <w:rFonts w:ascii="宋体" w:hAnsi="宋体" w:cs="宋体"/>
                <w:color w:val="000000"/>
                <w:kern w:val="0"/>
                <w:szCs w:val="21"/>
              </w:rPr>
            </w:pPr>
            <w:r>
              <w:rPr>
                <w:rFonts w:hint="eastAsia" w:ascii="宋体" w:hAnsi="宋体" w:cs="宋体"/>
                <w:color w:val="000000"/>
                <w:kern w:val="0"/>
                <w:szCs w:val="21"/>
              </w:rPr>
              <w:t>可统一管理AC、Fat/Fit AP、无线终端、PoE交换机等设备，支持在拓扑上支持展示设备告警、状态，可以十分逼真的展示全网的网络结构</w:t>
            </w:r>
          </w:p>
        </w:tc>
      </w:tr>
      <w:tr>
        <w:tblPrEx>
          <w:tblLayout w:type="fixed"/>
          <w:tblCellMar>
            <w:top w:w="0" w:type="dxa"/>
            <w:left w:w="108" w:type="dxa"/>
            <w:bottom w:w="0" w:type="dxa"/>
            <w:right w:w="108" w:type="dxa"/>
          </w:tblCellMar>
        </w:tblPrEx>
        <w:trPr>
          <w:trHeight w:val="270" w:hRule="atLeast"/>
        </w:trPr>
        <w:tc>
          <w:tcPr>
            <w:tcW w:w="2171"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无线位置视图拓扑</w:t>
            </w:r>
          </w:p>
        </w:tc>
        <w:tc>
          <w:tcPr>
            <w:tcW w:w="6125" w:type="dxa"/>
            <w:tcBorders>
              <w:top w:val="nil"/>
              <w:left w:val="nil"/>
              <w:bottom w:val="single" w:color="auto" w:sz="4" w:space="0"/>
              <w:right w:val="single" w:color="auto" w:sz="4" w:space="0"/>
            </w:tcBorders>
            <w:shd w:val="clear" w:color="000000" w:fill="FFFFFF"/>
            <w:vAlign w:val="center"/>
          </w:tcPr>
          <w:p>
            <w:pPr>
              <w:widowControl/>
              <w:rPr>
                <w:rFonts w:ascii="宋体" w:hAnsi="宋体" w:cs="宋体"/>
                <w:color w:val="000000"/>
                <w:kern w:val="0"/>
                <w:szCs w:val="21"/>
              </w:rPr>
            </w:pPr>
            <w:r>
              <w:rPr>
                <w:rFonts w:hint="eastAsia" w:ascii="宋体" w:hAnsi="宋体" w:cs="宋体"/>
                <w:color w:val="000000"/>
                <w:kern w:val="0"/>
                <w:szCs w:val="21"/>
              </w:rPr>
              <w:t>按照设备所在区域，能够在位置视图中查看AP设备的物理位置</w:t>
            </w:r>
          </w:p>
        </w:tc>
      </w:tr>
      <w:tr>
        <w:tblPrEx>
          <w:tblLayout w:type="fixed"/>
          <w:tblCellMar>
            <w:top w:w="0" w:type="dxa"/>
            <w:left w:w="108" w:type="dxa"/>
            <w:bottom w:w="0" w:type="dxa"/>
            <w:right w:w="108" w:type="dxa"/>
          </w:tblCellMar>
        </w:tblPrEx>
        <w:trPr>
          <w:trHeight w:val="765" w:hRule="atLeast"/>
        </w:trPr>
        <w:tc>
          <w:tcPr>
            <w:tcW w:w="217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支持自定义视图并且在视图上显示设备告警和实时状态</w:t>
            </w:r>
          </w:p>
        </w:tc>
        <w:tc>
          <w:tcPr>
            <w:tcW w:w="6125"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可以导入背景图，方便管理员按需进行重点设备的重点管理；在拓扑上支持查看AP当前在线Station及详细信息，可以实现设备和用户的统一管理，支持进行Station上线历史记录浏览</w:t>
            </w:r>
          </w:p>
        </w:tc>
      </w:tr>
      <w:tr>
        <w:tblPrEx>
          <w:tblLayout w:type="fixed"/>
          <w:tblCellMar>
            <w:top w:w="0" w:type="dxa"/>
            <w:left w:w="108" w:type="dxa"/>
            <w:bottom w:w="0" w:type="dxa"/>
            <w:right w:w="108" w:type="dxa"/>
          </w:tblCellMar>
        </w:tblPrEx>
        <w:trPr>
          <w:trHeight w:val="510" w:hRule="atLeast"/>
        </w:trPr>
        <w:tc>
          <w:tcPr>
            <w:tcW w:w="217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显示AP的RF覆盖范围</w:t>
            </w:r>
          </w:p>
        </w:tc>
        <w:tc>
          <w:tcPr>
            <w:tcW w:w="6125"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支持按信号强度、速率和信道显示RF覆盖范围，支持频段及类型（11a/11b/11g/11an/11gn）的显示</w:t>
            </w:r>
          </w:p>
        </w:tc>
      </w:tr>
      <w:tr>
        <w:tblPrEx>
          <w:tblLayout w:type="fixed"/>
        </w:tblPrEx>
        <w:trPr>
          <w:trHeight w:val="510" w:hRule="atLeast"/>
        </w:trPr>
        <w:tc>
          <w:tcPr>
            <w:tcW w:w="217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支持带障碍物的RF覆盖显示</w:t>
            </w:r>
          </w:p>
        </w:tc>
        <w:tc>
          <w:tcPr>
            <w:tcW w:w="6125"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位置视图中可以添加障碍物，通过不同障碍物的衰减情况，绘制不规则的RF覆盖图形</w:t>
            </w:r>
          </w:p>
        </w:tc>
      </w:tr>
      <w:tr>
        <w:tblPrEx>
          <w:tblLayout w:type="fixed"/>
          <w:tblCellMar>
            <w:top w:w="0" w:type="dxa"/>
            <w:left w:w="108" w:type="dxa"/>
            <w:bottom w:w="0" w:type="dxa"/>
            <w:right w:w="108" w:type="dxa"/>
          </w:tblCellMar>
        </w:tblPrEx>
        <w:trPr>
          <w:trHeight w:val="765" w:hRule="atLeast"/>
        </w:trPr>
        <w:tc>
          <w:tcPr>
            <w:tcW w:w="217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支持对移动终端的信息进行查看</w:t>
            </w:r>
          </w:p>
        </w:tc>
        <w:tc>
          <w:tcPr>
            <w:tcW w:w="6125"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包括MAC地址、信号强度、发射速率集、RSSI、SSID、使用信道、所在AC设备、所在AP设备等、所在Radio等等。同时可以查看终端的漫游轨迹动画，漫游记录报表。使管理员随时了解最终接入用户的情况，并对其接入轨迹进行审计</w:t>
            </w:r>
          </w:p>
        </w:tc>
      </w:tr>
      <w:tr>
        <w:tblPrEx>
          <w:tblLayout w:type="fixed"/>
          <w:tblCellMar>
            <w:top w:w="0" w:type="dxa"/>
            <w:left w:w="108" w:type="dxa"/>
            <w:bottom w:w="0" w:type="dxa"/>
            <w:right w:w="108" w:type="dxa"/>
          </w:tblCellMar>
        </w:tblPrEx>
        <w:trPr>
          <w:trHeight w:val="765" w:hRule="atLeast"/>
        </w:trPr>
        <w:tc>
          <w:tcPr>
            <w:tcW w:w="217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无线网络安全检测</w:t>
            </w:r>
          </w:p>
        </w:tc>
        <w:tc>
          <w:tcPr>
            <w:tcW w:w="6125"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支持检测Ad hoc网络、AP MAC地址仿冒、无线客户端MAC地址仿冒、非法信道等威胁，并与消除措施相关联，根据安全事件的严重程度，人工或自动采取反制、忽略、禁用、信任等消除措施</w:t>
            </w:r>
          </w:p>
        </w:tc>
      </w:tr>
      <w:tr>
        <w:tblPrEx>
          <w:tblLayout w:type="fixed"/>
          <w:tblCellMar>
            <w:top w:w="0" w:type="dxa"/>
            <w:left w:w="108" w:type="dxa"/>
            <w:bottom w:w="0" w:type="dxa"/>
            <w:right w:w="108" w:type="dxa"/>
          </w:tblCellMar>
        </w:tblPrEx>
        <w:trPr>
          <w:trHeight w:val="510" w:hRule="atLeast"/>
        </w:trPr>
        <w:tc>
          <w:tcPr>
            <w:tcW w:w="217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提供实时安全状态查看</w:t>
            </w:r>
          </w:p>
        </w:tc>
        <w:tc>
          <w:tcPr>
            <w:tcW w:w="6125"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按事件类型统计，按检测AP统计，按虚拟安全域统计；实时安全事件查看，历史安全事件回放，事件关联分析；支持对非法设备与终端的定位</w:t>
            </w:r>
          </w:p>
        </w:tc>
      </w:tr>
      <w:tr>
        <w:tblPrEx>
          <w:tblLayout w:type="fixed"/>
          <w:tblCellMar>
            <w:top w:w="0" w:type="dxa"/>
            <w:left w:w="108" w:type="dxa"/>
            <w:bottom w:w="0" w:type="dxa"/>
            <w:right w:w="108" w:type="dxa"/>
          </w:tblCellMar>
        </w:tblPrEx>
        <w:trPr>
          <w:trHeight w:val="510" w:hRule="atLeast"/>
        </w:trPr>
        <w:tc>
          <w:tcPr>
            <w:tcW w:w="217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支持蓝牙、微波炉等干扰源的实时检测</w:t>
            </w:r>
          </w:p>
        </w:tc>
        <w:tc>
          <w:tcPr>
            <w:tcW w:w="6125"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支持丰富的频谱分析图表，包括实时FFT图，duty cycle图，信道利用率图以及信道质量图等,支持历史频谱数据的保存和回放,支持干扰源位置定位</w:t>
            </w:r>
          </w:p>
        </w:tc>
      </w:tr>
      <w:tr>
        <w:tblPrEx>
          <w:tblLayout w:type="fixed"/>
          <w:tblCellMar>
            <w:top w:w="0" w:type="dxa"/>
            <w:left w:w="108" w:type="dxa"/>
            <w:bottom w:w="0" w:type="dxa"/>
            <w:right w:w="108" w:type="dxa"/>
          </w:tblCellMar>
        </w:tblPrEx>
        <w:trPr>
          <w:trHeight w:val="270" w:hRule="atLeast"/>
        </w:trPr>
        <w:tc>
          <w:tcPr>
            <w:tcW w:w="217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支持AP接入端口管理</w:t>
            </w:r>
          </w:p>
        </w:tc>
        <w:tc>
          <w:tcPr>
            <w:tcW w:w="6125"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支持PoE功能的设备，可以通过禁止、使能PoE供电功能使AP重启</w:t>
            </w:r>
          </w:p>
        </w:tc>
      </w:tr>
      <w:tr>
        <w:tblPrEx>
          <w:tblLayout w:type="fixed"/>
        </w:tblPrEx>
        <w:trPr>
          <w:trHeight w:val="510" w:hRule="atLeast"/>
        </w:trPr>
        <w:tc>
          <w:tcPr>
            <w:tcW w:w="217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绿色节能管理</w:t>
            </w:r>
          </w:p>
        </w:tc>
        <w:tc>
          <w:tcPr>
            <w:tcW w:w="6125"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按指定时间控制无线射频的开闭，节约能源，降低辐射；按指定时间控制AP、SSID、PoE的开闭，从而达到控制无线用户上网时间效果</w:t>
            </w:r>
          </w:p>
        </w:tc>
      </w:tr>
      <w:tr>
        <w:tblPrEx>
          <w:tblLayout w:type="fixed"/>
          <w:tblCellMar>
            <w:top w:w="0" w:type="dxa"/>
            <w:left w:w="108" w:type="dxa"/>
            <w:bottom w:w="0" w:type="dxa"/>
            <w:right w:w="108" w:type="dxa"/>
          </w:tblCellMar>
        </w:tblPrEx>
        <w:trPr>
          <w:trHeight w:val="270" w:hRule="atLeast"/>
        </w:trPr>
        <w:tc>
          <w:tcPr>
            <w:tcW w:w="217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能耗分析</w:t>
            </w:r>
          </w:p>
        </w:tc>
        <w:tc>
          <w:tcPr>
            <w:tcW w:w="6125"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定期采集功耗指标形成报表，分析能耗趋势及节能效果</w:t>
            </w:r>
          </w:p>
        </w:tc>
      </w:tr>
      <w:tr>
        <w:tblPrEx>
          <w:tblLayout w:type="fixed"/>
          <w:tblCellMar>
            <w:top w:w="0" w:type="dxa"/>
            <w:left w:w="108" w:type="dxa"/>
            <w:bottom w:w="0" w:type="dxa"/>
            <w:right w:w="108" w:type="dxa"/>
          </w:tblCellMar>
        </w:tblPrEx>
        <w:trPr>
          <w:trHeight w:val="765" w:hRule="atLeast"/>
        </w:trPr>
        <w:tc>
          <w:tcPr>
            <w:tcW w:w="217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无线网络质量评估</w:t>
            </w:r>
          </w:p>
        </w:tc>
        <w:tc>
          <w:tcPr>
            <w:tcW w:w="6125"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通过人性化的优化向导设置，建立网络评估任务对无线网络运行状况进行评估，了解WLAN网络运行状况；生成基于拓扑，AP，终端三个维度的网络优化报告，发现薄弱区域，确认需要补点的位置，通过专业报表给未来网络优化提供建议</w:t>
            </w:r>
          </w:p>
        </w:tc>
      </w:tr>
      <w:tr>
        <w:tblPrEx>
          <w:tblLayout w:type="fixed"/>
          <w:tblCellMar>
            <w:top w:w="0" w:type="dxa"/>
            <w:left w:w="108" w:type="dxa"/>
            <w:bottom w:w="0" w:type="dxa"/>
            <w:right w:w="108" w:type="dxa"/>
          </w:tblCellMar>
        </w:tblPrEx>
        <w:trPr>
          <w:trHeight w:val="510" w:hRule="atLeast"/>
        </w:trPr>
        <w:tc>
          <w:tcPr>
            <w:tcW w:w="2171"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智能分析功能</w:t>
            </w:r>
          </w:p>
        </w:tc>
        <w:tc>
          <w:tcPr>
            <w:tcW w:w="6125"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无线数据解析功能具备快速非结构化转换结构化的能力，能将无线日志数据及时分词、建立索引、结构化存储。</w:t>
            </w:r>
          </w:p>
        </w:tc>
      </w:tr>
      <w:tr>
        <w:tblPrEx>
          <w:tblLayout w:type="fixed"/>
          <w:tblCellMar>
            <w:top w:w="0" w:type="dxa"/>
            <w:left w:w="108" w:type="dxa"/>
            <w:bottom w:w="0" w:type="dxa"/>
            <w:right w:w="108" w:type="dxa"/>
          </w:tblCellMar>
        </w:tblPrEx>
        <w:trPr>
          <w:trHeight w:val="270" w:hRule="atLeast"/>
        </w:trPr>
        <w:tc>
          <w:tcPr>
            <w:tcW w:w="217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125"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用户终端类别识别、统计功能。</w:t>
            </w:r>
          </w:p>
        </w:tc>
      </w:tr>
      <w:tr>
        <w:tblPrEx>
          <w:tblLayout w:type="fixed"/>
          <w:tblCellMar>
            <w:top w:w="0" w:type="dxa"/>
            <w:left w:w="108" w:type="dxa"/>
            <w:bottom w:w="0" w:type="dxa"/>
            <w:right w:w="108" w:type="dxa"/>
          </w:tblCellMar>
        </w:tblPrEx>
        <w:trPr>
          <w:trHeight w:val="510" w:hRule="atLeast"/>
        </w:trPr>
        <w:tc>
          <w:tcPr>
            <w:tcW w:w="217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125"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轨迹分析功能。包括历史轨迹查询，实时轨迹呈现、区域主流时间可视化等功能，可以根据电话号码、手机Mac查找特定人物的轨迹，</w:t>
            </w:r>
          </w:p>
        </w:tc>
      </w:tr>
      <w:tr>
        <w:tblPrEx>
          <w:tblLayout w:type="fixed"/>
        </w:tblPrEx>
        <w:trPr>
          <w:trHeight w:val="270" w:hRule="atLeast"/>
        </w:trPr>
        <w:tc>
          <w:tcPr>
            <w:tcW w:w="217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125"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无线人群统计分析功能。能够识别无线人群，并能统计分析，查询人群轨迹。</w:t>
            </w:r>
          </w:p>
        </w:tc>
      </w:tr>
      <w:tr>
        <w:tblPrEx>
          <w:tblLayout w:type="fixed"/>
          <w:tblCellMar>
            <w:top w:w="0" w:type="dxa"/>
            <w:left w:w="108" w:type="dxa"/>
            <w:bottom w:w="0" w:type="dxa"/>
            <w:right w:w="108" w:type="dxa"/>
          </w:tblCellMar>
        </w:tblPrEx>
        <w:trPr>
          <w:trHeight w:val="270" w:hRule="atLeast"/>
        </w:trPr>
        <w:tc>
          <w:tcPr>
            <w:tcW w:w="217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125"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定位引擎及数据分析:数据分析平台后台系统，支持TB数据级别的定位数据分析。</w:t>
            </w:r>
          </w:p>
        </w:tc>
      </w:tr>
      <w:tr>
        <w:tblPrEx>
          <w:tblLayout w:type="fixed"/>
          <w:tblCellMar>
            <w:top w:w="0" w:type="dxa"/>
            <w:left w:w="108" w:type="dxa"/>
            <w:bottom w:w="0" w:type="dxa"/>
            <w:right w:w="108" w:type="dxa"/>
          </w:tblCellMar>
        </w:tblPrEx>
        <w:trPr>
          <w:trHeight w:val="270" w:hRule="atLeast"/>
        </w:trPr>
        <w:tc>
          <w:tcPr>
            <w:tcW w:w="217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125"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支持监控并记录各区域接入网络的终端数量</w:t>
            </w:r>
          </w:p>
        </w:tc>
      </w:tr>
      <w:tr>
        <w:tblPrEx>
          <w:tblLayout w:type="fixed"/>
          <w:tblCellMar>
            <w:top w:w="0" w:type="dxa"/>
            <w:left w:w="108" w:type="dxa"/>
            <w:bottom w:w="0" w:type="dxa"/>
            <w:right w:w="108" w:type="dxa"/>
          </w:tblCellMar>
        </w:tblPrEx>
        <w:trPr>
          <w:trHeight w:val="270" w:hRule="atLeast"/>
        </w:trPr>
        <w:tc>
          <w:tcPr>
            <w:tcW w:w="217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125"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根据用户提供的规则，建立人流密度预警机制</w:t>
            </w:r>
          </w:p>
        </w:tc>
      </w:tr>
      <w:tr>
        <w:tblPrEx>
          <w:tblLayout w:type="fixed"/>
          <w:tblCellMar>
            <w:top w:w="0" w:type="dxa"/>
            <w:left w:w="108" w:type="dxa"/>
            <w:bottom w:w="0" w:type="dxa"/>
            <w:right w:w="108" w:type="dxa"/>
          </w:tblCellMar>
        </w:tblPrEx>
        <w:trPr>
          <w:trHeight w:val="270" w:hRule="atLeast"/>
        </w:trPr>
        <w:tc>
          <w:tcPr>
            <w:tcW w:w="217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125"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基于位置数据分析公共资源使用情况。</w:t>
            </w:r>
          </w:p>
        </w:tc>
      </w:tr>
      <w:tr>
        <w:tblPrEx>
          <w:tblLayout w:type="fixed"/>
          <w:tblCellMar>
            <w:top w:w="0" w:type="dxa"/>
            <w:left w:w="108" w:type="dxa"/>
            <w:bottom w:w="0" w:type="dxa"/>
            <w:right w:w="108" w:type="dxa"/>
          </w:tblCellMar>
        </w:tblPrEx>
        <w:trPr>
          <w:trHeight w:val="270" w:hRule="atLeast"/>
        </w:trPr>
        <w:tc>
          <w:tcPr>
            <w:tcW w:w="217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125"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提供无线实时统计功能。</w:t>
            </w:r>
          </w:p>
        </w:tc>
      </w:tr>
      <w:tr>
        <w:tblPrEx>
          <w:tblLayout w:type="fixed"/>
        </w:tblPrEx>
        <w:trPr>
          <w:trHeight w:val="270" w:hRule="atLeast"/>
        </w:trPr>
        <w:tc>
          <w:tcPr>
            <w:tcW w:w="217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125"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提供外部消息分发接口以支持用户通过外部APP查询公共区域实时人员密度</w:t>
            </w:r>
          </w:p>
        </w:tc>
      </w:tr>
      <w:tr>
        <w:tblPrEx>
          <w:tblLayout w:type="fixed"/>
          <w:tblCellMar>
            <w:top w:w="0" w:type="dxa"/>
            <w:left w:w="108" w:type="dxa"/>
            <w:bottom w:w="0" w:type="dxa"/>
            <w:right w:w="108" w:type="dxa"/>
          </w:tblCellMar>
        </w:tblPrEx>
        <w:trPr>
          <w:trHeight w:val="270" w:hRule="atLeast"/>
        </w:trPr>
        <w:tc>
          <w:tcPr>
            <w:tcW w:w="217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125"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基于用户提供的规则（如：7日未连接WIFI等）过滤出特征用户</w:t>
            </w:r>
          </w:p>
        </w:tc>
      </w:tr>
      <w:tr>
        <w:tblPrEx>
          <w:tblLayout w:type="fixed"/>
          <w:tblCellMar>
            <w:top w:w="0" w:type="dxa"/>
            <w:left w:w="108" w:type="dxa"/>
            <w:bottom w:w="0" w:type="dxa"/>
            <w:right w:w="108" w:type="dxa"/>
          </w:tblCellMar>
        </w:tblPrEx>
        <w:trPr>
          <w:trHeight w:val="270" w:hRule="atLeast"/>
        </w:trPr>
        <w:tc>
          <w:tcPr>
            <w:tcW w:w="217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授权配置</w:t>
            </w:r>
          </w:p>
        </w:tc>
        <w:tc>
          <w:tcPr>
            <w:tcW w:w="6125"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配置≥1000个无线设备管理授权，支持≥2000个终端在线认证</w:t>
            </w:r>
          </w:p>
        </w:tc>
      </w:tr>
      <w:tr>
        <w:tblPrEx>
          <w:tblLayout w:type="fixed"/>
          <w:tblCellMar>
            <w:top w:w="0" w:type="dxa"/>
            <w:left w:w="108" w:type="dxa"/>
            <w:bottom w:w="0" w:type="dxa"/>
            <w:right w:w="108" w:type="dxa"/>
          </w:tblCellMar>
        </w:tblPrEx>
        <w:trPr>
          <w:trHeight w:val="270" w:hRule="atLeast"/>
        </w:trPr>
        <w:tc>
          <w:tcPr>
            <w:tcW w:w="217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服务</w:t>
            </w:r>
          </w:p>
        </w:tc>
        <w:tc>
          <w:tcPr>
            <w:tcW w:w="6125"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kern w:val="0"/>
                <w:szCs w:val="21"/>
              </w:rPr>
              <w:t>电源、相关缆线及上机柜的配套设备必须齐全并满足机房实际布局连接要求，在售后服务期内，电话响应、现场支持、故障备件更换都不予另行收费。</w:t>
            </w:r>
          </w:p>
        </w:tc>
      </w:tr>
    </w:tbl>
    <w:p>
      <w:pPr>
        <w:widowControl/>
        <w:jc w:val="left"/>
      </w:pPr>
    </w:p>
    <w:p>
      <w:pPr>
        <w:pStyle w:val="4"/>
        <w:tabs>
          <w:tab w:val="left" w:pos="432"/>
        </w:tabs>
        <w:rPr>
          <w:sz w:val="24"/>
          <w:szCs w:val="24"/>
        </w:rPr>
      </w:pPr>
      <w:r>
        <w:rPr>
          <w:rFonts w:hint="eastAsia"/>
          <w:sz w:val="24"/>
          <w:szCs w:val="24"/>
        </w:rPr>
        <w:t>7.3.16 互联网出口下一代防火墙</w:t>
      </w:r>
    </w:p>
    <w:p>
      <w:pPr>
        <w:rPr>
          <w:vanish/>
        </w:rPr>
      </w:pPr>
    </w:p>
    <w:tbl>
      <w:tblPr>
        <w:tblStyle w:val="35"/>
        <w:tblW w:w="83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066"/>
        <w:gridCol w:w="6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jc w:val="center"/>
        </w:trPr>
        <w:tc>
          <w:tcPr>
            <w:tcW w:w="1738" w:type="dxa"/>
            <w:gridSpan w:val="2"/>
            <w:vAlign w:val="center"/>
          </w:tcPr>
          <w:p>
            <w:pPr>
              <w:rPr>
                <w:rFonts w:ascii="宋体" w:hAnsi="宋体"/>
                <w:szCs w:val="21"/>
              </w:rPr>
            </w:pPr>
            <w:r>
              <w:rPr>
                <w:rFonts w:hint="eastAsia" w:ascii="宋体" w:hAnsi="宋体" w:cs="宋体"/>
                <w:kern w:val="0"/>
                <w:szCs w:val="21"/>
              </w:rPr>
              <w:t>指标项</w:t>
            </w:r>
          </w:p>
        </w:tc>
        <w:tc>
          <w:tcPr>
            <w:tcW w:w="6649" w:type="dxa"/>
            <w:vAlign w:val="center"/>
          </w:tcPr>
          <w:p>
            <w:pPr>
              <w:rPr>
                <w:rFonts w:ascii="宋体" w:hAnsi="宋体"/>
                <w:szCs w:val="21"/>
              </w:rPr>
            </w:pPr>
            <w:r>
              <w:rPr>
                <w:rFonts w:hint="eastAsia" w:ascii="宋体" w:hAnsi="宋体" w:cs="宋体"/>
                <w:kern w:val="0"/>
                <w:szCs w:val="21"/>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jc w:val="center"/>
        </w:trPr>
        <w:tc>
          <w:tcPr>
            <w:tcW w:w="672" w:type="dxa"/>
            <w:vAlign w:val="center"/>
          </w:tcPr>
          <w:p>
            <w:pPr>
              <w:jc w:val="center"/>
              <w:rPr>
                <w:rFonts w:ascii="宋体" w:hAnsi="宋体"/>
                <w:b/>
                <w:szCs w:val="21"/>
              </w:rPr>
            </w:pPr>
            <w:r>
              <w:rPr>
                <w:rFonts w:hint="eastAsia" w:ascii="宋体" w:hAnsi="宋体"/>
                <w:b/>
                <w:szCs w:val="21"/>
              </w:rPr>
              <w:t>基本要求</w:t>
            </w:r>
          </w:p>
        </w:tc>
        <w:tc>
          <w:tcPr>
            <w:tcW w:w="1066" w:type="dxa"/>
            <w:vAlign w:val="center"/>
          </w:tcPr>
          <w:p>
            <w:pPr>
              <w:rPr>
                <w:rFonts w:ascii="宋体" w:hAnsi="宋体"/>
                <w:szCs w:val="21"/>
              </w:rPr>
            </w:pPr>
            <w:r>
              <w:rPr>
                <w:rFonts w:hint="eastAsia" w:ascii="宋体" w:hAnsi="宋体"/>
                <w:szCs w:val="21"/>
              </w:rPr>
              <w:t>操作</w:t>
            </w:r>
            <w:r>
              <w:rPr>
                <w:rFonts w:ascii="宋体" w:hAnsi="宋体"/>
                <w:szCs w:val="21"/>
              </w:rPr>
              <w:t>系统</w:t>
            </w:r>
          </w:p>
        </w:tc>
        <w:tc>
          <w:tcPr>
            <w:tcW w:w="6649" w:type="dxa"/>
            <w:vAlign w:val="center"/>
          </w:tcPr>
          <w:p>
            <w:pPr>
              <w:rPr>
                <w:rFonts w:ascii="宋体" w:hAnsi="宋体"/>
                <w:szCs w:val="21"/>
              </w:rPr>
            </w:pPr>
            <w:r>
              <w:rPr>
                <w:rFonts w:hint="eastAsia" w:ascii="宋体" w:hAnsi="宋体"/>
                <w:szCs w:val="21"/>
              </w:rPr>
              <w:t>要求采用先进的多核网络专用架构多核硬件平台，x86多核处理器，非MIPS的多核架构或ASIC架构；</w:t>
            </w:r>
            <w:r>
              <w:rPr>
                <w:rFonts w:ascii="宋体" w:hAnsi="宋体"/>
                <w:szCs w:val="21"/>
              </w:rPr>
              <w:t>安全操作系统</w:t>
            </w:r>
            <w:r>
              <w:rPr>
                <w:rFonts w:hint="eastAsia" w:ascii="宋体" w:hAnsi="宋体"/>
                <w:szCs w:val="21"/>
              </w:rPr>
              <w:t>采用</w:t>
            </w:r>
            <w:r>
              <w:rPr>
                <w:rFonts w:ascii="宋体" w:hAnsi="宋体"/>
                <w:szCs w:val="21"/>
              </w:rPr>
              <w:t>冗余设计</w:t>
            </w:r>
            <w:r>
              <w:rPr>
                <w:rFonts w:hint="eastAsia" w:ascii="宋体" w:hAnsi="宋体"/>
                <w:szCs w:val="21"/>
              </w:rPr>
              <w:t>，系统运行的可靠性与稳定性，要求信息安全设备、系统软件的开发、生产符合</w:t>
            </w:r>
            <w:r>
              <w:rPr>
                <w:rFonts w:hint="eastAsia"/>
              </w:rPr>
              <w:t>IOS9001</w:t>
            </w:r>
            <w:r>
              <w:rPr>
                <w:rFonts w:hint="eastAsia" w:ascii="宋体" w:hAnsi="宋体"/>
                <w:szCs w:val="21"/>
              </w:rPr>
              <w:t>标准，提供相关证明；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8" w:hRule="atLeast"/>
          <w:jc w:val="center"/>
        </w:trPr>
        <w:tc>
          <w:tcPr>
            <w:tcW w:w="672" w:type="dxa"/>
            <w:vAlign w:val="center"/>
          </w:tcPr>
          <w:p>
            <w:pPr>
              <w:jc w:val="center"/>
              <w:rPr>
                <w:rFonts w:ascii="宋体" w:hAnsi="宋体"/>
                <w:b/>
                <w:szCs w:val="21"/>
              </w:rPr>
            </w:pPr>
            <w:r>
              <w:rPr>
                <w:rFonts w:hint="eastAsia" w:ascii="宋体" w:hAnsi="宋体"/>
                <w:b/>
                <w:szCs w:val="21"/>
              </w:rPr>
              <w:t>系统</w:t>
            </w:r>
            <w:r>
              <w:rPr>
                <w:rFonts w:ascii="宋体" w:hAnsi="宋体"/>
                <w:b/>
                <w:szCs w:val="21"/>
              </w:rPr>
              <w:t>性能</w:t>
            </w:r>
          </w:p>
        </w:tc>
        <w:tc>
          <w:tcPr>
            <w:tcW w:w="1066" w:type="dxa"/>
            <w:vAlign w:val="center"/>
          </w:tcPr>
          <w:p>
            <w:pPr>
              <w:rPr>
                <w:rFonts w:ascii="宋体" w:hAnsi="宋体"/>
                <w:szCs w:val="21"/>
              </w:rPr>
            </w:pPr>
            <w:r>
              <w:rPr>
                <w:rFonts w:hint="eastAsia" w:ascii="宋体" w:hAnsi="宋体"/>
                <w:szCs w:val="21"/>
              </w:rPr>
              <w:t>系统配置</w:t>
            </w:r>
          </w:p>
        </w:tc>
        <w:tc>
          <w:tcPr>
            <w:tcW w:w="6649" w:type="dxa"/>
            <w:vAlign w:val="center"/>
          </w:tcPr>
          <w:p>
            <w:pPr>
              <w:jc w:val="left"/>
              <w:rPr>
                <w:rFonts w:ascii="宋体" w:hAnsi="宋体"/>
                <w:szCs w:val="21"/>
              </w:rPr>
            </w:pPr>
            <w:r>
              <w:rPr>
                <w:rFonts w:ascii="宋体" w:hAnsi="宋体"/>
                <w:szCs w:val="21"/>
              </w:rPr>
              <w:t>1</w:t>
            </w:r>
            <w:r>
              <w:rPr>
                <w:rFonts w:hint="eastAsia" w:ascii="宋体" w:hAnsi="宋体"/>
                <w:szCs w:val="21"/>
              </w:rPr>
              <w:t>U机架式机型，标配</w:t>
            </w:r>
            <w:r>
              <w:rPr>
                <w:rFonts w:ascii="宋体" w:hAnsi="宋体"/>
                <w:szCs w:val="21"/>
              </w:rPr>
              <w:t>6</w:t>
            </w:r>
            <w:r>
              <w:rPr>
                <w:rFonts w:hint="eastAsia" w:ascii="宋体" w:hAnsi="宋体"/>
                <w:szCs w:val="21"/>
              </w:rPr>
              <w:t>个10/100/1000MBase-T端口，</w:t>
            </w:r>
            <w:r>
              <w:rPr>
                <w:rFonts w:ascii="宋体" w:hAnsi="宋体"/>
                <w:szCs w:val="21"/>
              </w:rPr>
              <w:t>4</w:t>
            </w:r>
            <w:r>
              <w:rPr>
                <w:rFonts w:hint="eastAsia" w:ascii="宋体" w:hAnsi="宋体"/>
                <w:szCs w:val="21"/>
              </w:rPr>
              <w:t>个SFP扩展插槽，</w:t>
            </w:r>
            <w:r>
              <w:rPr>
                <w:rFonts w:ascii="宋体" w:hAnsi="宋体"/>
                <w:szCs w:val="21"/>
              </w:rPr>
              <w:t>4</w:t>
            </w:r>
            <w:r>
              <w:rPr>
                <w:rFonts w:hint="eastAsia" w:ascii="宋体" w:hAnsi="宋体"/>
                <w:szCs w:val="21"/>
              </w:rPr>
              <w:t>个SFP光模块；1</w:t>
            </w:r>
            <w:r>
              <w:rPr>
                <w:rFonts w:ascii="宋体" w:hAnsi="宋体"/>
                <w:szCs w:val="21"/>
              </w:rPr>
              <w:t>TB</w:t>
            </w:r>
            <w:r>
              <w:rPr>
                <w:rFonts w:hint="eastAsia" w:ascii="宋体" w:hAnsi="宋体"/>
                <w:szCs w:val="21"/>
              </w:rPr>
              <w:t>硬盘。模块化冗余电源；整机吞吐率：&gt;1</w:t>
            </w:r>
            <w:r>
              <w:rPr>
                <w:rFonts w:ascii="宋体" w:hAnsi="宋体"/>
                <w:szCs w:val="21"/>
              </w:rPr>
              <w:t>2</w:t>
            </w:r>
            <w:r>
              <w:rPr>
                <w:rFonts w:hint="eastAsia" w:ascii="宋体" w:hAnsi="宋体"/>
                <w:szCs w:val="21"/>
              </w:rPr>
              <w:t>Gbps；应用层吞吐率：</w:t>
            </w:r>
            <w:r>
              <w:rPr>
                <w:rFonts w:ascii="宋体" w:hAnsi="宋体"/>
                <w:szCs w:val="21"/>
              </w:rPr>
              <w:t>4</w:t>
            </w:r>
            <w:r>
              <w:rPr>
                <w:rFonts w:hint="eastAsia" w:ascii="宋体" w:hAnsi="宋体"/>
                <w:szCs w:val="21"/>
              </w:rPr>
              <w:t>Gbps；最大并发连接数：&gt;400W，配置IPS攻击规则特征库三年许可；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restart"/>
            <w:vAlign w:val="center"/>
          </w:tcPr>
          <w:p>
            <w:pPr>
              <w:jc w:val="center"/>
              <w:rPr>
                <w:rFonts w:ascii="宋体" w:hAnsi="宋体"/>
                <w:b/>
                <w:szCs w:val="21"/>
              </w:rPr>
            </w:pPr>
            <w:r>
              <w:rPr>
                <w:rFonts w:hint="eastAsia" w:ascii="宋体" w:hAnsi="宋体"/>
                <w:b/>
                <w:szCs w:val="21"/>
              </w:rPr>
              <w:t>网络</w:t>
            </w:r>
          </w:p>
          <w:p>
            <w:pPr>
              <w:jc w:val="center"/>
              <w:rPr>
                <w:rFonts w:ascii="宋体" w:hAnsi="宋体"/>
                <w:b/>
                <w:szCs w:val="21"/>
              </w:rPr>
            </w:pPr>
            <w:r>
              <w:rPr>
                <w:rFonts w:ascii="宋体" w:hAnsi="宋体"/>
                <w:b/>
                <w:szCs w:val="21"/>
              </w:rPr>
              <w:t>接入</w:t>
            </w:r>
          </w:p>
        </w:tc>
        <w:tc>
          <w:tcPr>
            <w:tcW w:w="1066" w:type="dxa"/>
            <w:vAlign w:val="center"/>
          </w:tcPr>
          <w:p>
            <w:pPr>
              <w:rPr>
                <w:rFonts w:ascii="宋体" w:hAnsi="宋体"/>
                <w:szCs w:val="21"/>
              </w:rPr>
            </w:pPr>
            <w:r>
              <w:rPr>
                <w:rFonts w:hint="eastAsia" w:ascii="宋体" w:hAnsi="宋体"/>
                <w:szCs w:val="21"/>
              </w:rPr>
              <w:t>工作</w:t>
            </w:r>
            <w:r>
              <w:rPr>
                <w:rFonts w:ascii="宋体" w:hAnsi="宋体"/>
                <w:szCs w:val="21"/>
              </w:rPr>
              <w:t>模式</w:t>
            </w:r>
          </w:p>
        </w:tc>
        <w:tc>
          <w:tcPr>
            <w:tcW w:w="6649" w:type="dxa"/>
            <w:vAlign w:val="center"/>
          </w:tcPr>
          <w:p>
            <w:pPr>
              <w:rPr>
                <w:rFonts w:ascii="宋体" w:hAnsi="宋体"/>
                <w:szCs w:val="21"/>
              </w:rPr>
            </w:pPr>
            <w:r>
              <w:rPr>
                <w:rFonts w:ascii="宋体" w:hAnsi="宋体"/>
                <w:szCs w:val="21"/>
              </w:rPr>
              <w:t>支持路由、交换、混合</w:t>
            </w:r>
            <w:r>
              <w:rPr>
                <w:rFonts w:hint="eastAsia" w:ascii="宋体" w:hAnsi="宋体"/>
                <w:szCs w:val="21"/>
              </w:rPr>
              <w:t>、</w:t>
            </w:r>
            <w:r>
              <w:rPr>
                <w:rFonts w:ascii="宋体" w:hAnsi="宋体"/>
                <w:szCs w:val="21"/>
              </w:rPr>
              <w:t>工作模式</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continue"/>
            <w:vAlign w:val="center"/>
          </w:tcPr>
          <w:p>
            <w:pPr>
              <w:jc w:val="center"/>
              <w:rPr>
                <w:rFonts w:ascii="宋体" w:hAnsi="宋体"/>
                <w:b/>
                <w:szCs w:val="21"/>
              </w:rPr>
            </w:pPr>
          </w:p>
        </w:tc>
        <w:tc>
          <w:tcPr>
            <w:tcW w:w="1066" w:type="dxa"/>
            <w:vMerge w:val="restart"/>
            <w:vAlign w:val="center"/>
          </w:tcPr>
          <w:p>
            <w:pPr>
              <w:rPr>
                <w:rFonts w:ascii="宋体" w:hAnsi="宋体"/>
                <w:szCs w:val="21"/>
              </w:rPr>
            </w:pPr>
            <w:r>
              <w:rPr>
                <w:rFonts w:hint="eastAsia" w:ascii="宋体" w:hAnsi="宋体"/>
                <w:szCs w:val="21"/>
              </w:rPr>
              <w:t>路由交换</w:t>
            </w:r>
          </w:p>
        </w:tc>
        <w:tc>
          <w:tcPr>
            <w:tcW w:w="6649" w:type="dxa"/>
            <w:vAlign w:val="center"/>
          </w:tcPr>
          <w:p>
            <w:pPr>
              <w:rPr>
                <w:rFonts w:ascii="宋体" w:hAnsi="宋体"/>
                <w:szCs w:val="21"/>
              </w:rPr>
            </w:pPr>
            <w:r>
              <w:rPr>
                <w:rFonts w:hint="eastAsia" w:ascii="宋体" w:hAnsi="宋体"/>
                <w:szCs w:val="21"/>
              </w:rPr>
              <w:t>支持</w:t>
            </w:r>
            <w:r>
              <w:rPr>
                <w:rFonts w:ascii="宋体" w:hAnsi="宋体"/>
                <w:szCs w:val="21"/>
              </w:rPr>
              <w:t>静态路由、</w:t>
            </w:r>
            <w:r>
              <w:rPr>
                <w:rFonts w:hint="eastAsia" w:ascii="宋体" w:hAnsi="宋体"/>
                <w:szCs w:val="21"/>
              </w:rPr>
              <w:t>ISP路由及动态</w:t>
            </w:r>
            <w:r>
              <w:rPr>
                <w:rFonts w:ascii="宋体" w:hAnsi="宋体"/>
                <w:szCs w:val="21"/>
              </w:rPr>
              <w:t>路由协议</w:t>
            </w:r>
            <w:r>
              <w:rPr>
                <w:rFonts w:hint="eastAsia" w:ascii="宋体" w:hAnsi="宋体"/>
                <w:szCs w:val="21"/>
              </w:rPr>
              <w:t>，支持802.1</w:t>
            </w:r>
            <w:r>
              <w:rPr>
                <w:rFonts w:ascii="宋体" w:hAnsi="宋体"/>
                <w:szCs w:val="21"/>
              </w:rPr>
              <w:t>q</w:t>
            </w:r>
            <w:r>
              <w:rPr>
                <w:rFonts w:hint="eastAsia" w:ascii="宋体" w:hAnsi="宋体"/>
                <w:szCs w:val="21"/>
              </w:rPr>
              <w:t>、Q</w:t>
            </w:r>
            <w:r>
              <w:rPr>
                <w:rFonts w:ascii="宋体" w:hAnsi="宋体"/>
                <w:szCs w:val="21"/>
              </w:rPr>
              <w:t>inQ</w:t>
            </w:r>
            <w:r>
              <w:rPr>
                <w:rFonts w:hint="eastAsia" w:ascii="宋体" w:hAnsi="宋体"/>
                <w:szCs w:val="21"/>
              </w:rPr>
              <w:t>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649" w:type="dxa"/>
            <w:vAlign w:val="center"/>
          </w:tcPr>
          <w:p>
            <w:pPr>
              <w:rPr>
                <w:rFonts w:ascii="宋体" w:hAnsi="宋体"/>
                <w:szCs w:val="21"/>
              </w:rPr>
            </w:pPr>
            <w:r>
              <w:rPr>
                <w:rFonts w:hint="eastAsia" w:ascii="宋体" w:hAnsi="宋体"/>
                <w:szCs w:val="21"/>
              </w:rPr>
              <w:t>支持基于</w:t>
            </w:r>
            <w:r>
              <w:rPr>
                <w:rFonts w:ascii="宋体" w:hAnsi="宋体"/>
                <w:szCs w:val="21"/>
              </w:rPr>
              <w:t>源/目的</w:t>
            </w:r>
            <w:r>
              <w:rPr>
                <w:rFonts w:hint="eastAsia" w:ascii="宋体" w:hAnsi="宋体"/>
                <w:szCs w:val="21"/>
              </w:rPr>
              <w:t>地址、</w:t>
            </w:r>
            <w:r>
              <w:rPr>
                <w:rFonts w:ascii="宋体" w:hAnsi="宋体"/>
                <w:szCs w:val="21"/>
              </w:rPr>
              <w:t>源</w:t>
            </w:r>
            <w:r>
              <w:rPr>
                <w:rFonts w:hint="eastAsia" w:ascii="宋体" w:hAnsi="宋体"/>
                <w:szCs w:val="21"/>
              </w:rPr>
              <w:t>/目的</w:t>
            </w:r>
            <w:r>
              <w:rPr>
                <w:rFonts w:ascii="宋体" w:hAnsi="宋体"/>
                <w:szCs w:val="21"/>
              </w:rPr>
              <w:t>端口、</w:t>
            </w:r>
            <w:r>
              <w:rPr>
                <w:rFonts w:hint="eastAsia" w:ascii="宋体" w:hAnsi="宋体"/>
                <w:szCs w:val="21"/>
              </w:rPr>
              <w:t>用户</w:t>
            </w:r>
            <w:r>
              <w:rPr>
                <w:rFonts w:ascii="宋体" w:hAnsi="宋体"/>
                <w:szCs w:val="21"/>
              </w:rPr>
              <w:t>、应用</w:t>
            </w:r>
            <w:r>
              <w:rPr>
                <w:rFonts w:hint="eastAsia" w:ascii="宋体" w:hAnsi="宋体"/>
                <w:szCs w:val="21"/>
              </w:rPr>
              <w:t>的</w:t>
            </w:r>
            <w:r>
              <w:rPr>
                <w:rFonts w:ascii="宋体" w:hAnsi="宋体"/>
                <w:szCs w:val="21"/>
              </w:rPr>
              <w:t>策略路由</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接入功能</w:t>
            </w:r>
          </w:p>
        </w:tc>
        <w:tc>
          <w:tcPr>
            <w:tcW w:w="6649" w:type="dxa"/>
            <w:vAlign w:val="center"/>
          </w:tcPr>
          <w:p>
            <w:pPr>
              <w:rPr>
                <w:rFonts w:ascii="宋体" w:hAnsi="宋体"/>
                <w:szCs w:val="21"/>
              </w:rPr>
            </w:pPr>
            <w:r>
              <w:rPr>
                <w:rFonts w:hint="eastAsia" w:ascii="宋体" w:hAnsi="宋体"/>
                <w:szCs w:val="21"/>
              </w:rPr>
              <w:t>支持GRE与IPSEC VPN接入；IPSEC VPN可</w:t>
            </w:r>
            <w:r>
              <w:rPr>
                <w:rFonts w:ascii="宋体" w:hAnsi="宋体"/>
                <w:szCs w:val="21"/>
              </w:rPr>
              <w:t>提供国密算法；（</w:t>
            </w:r>
            <w:r>
              <w:rPr>
                <w:rFonts w:hint="eastAsia" w:ascii="宋体" w:hAnsi="宋体"/>
                <w:szCs w:val="21"/>
              </w:rPr>
              <w:t>提供软件</w:t>
            </w:r>
            <w:r>
              <w:rPr>
                <w:rFonts w:ascii="宋体" w:hAnsi="宋体"/>
                <w:szCs w:val="21"/>
              </w:rPr>
              <w:t>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链路</w:t>
            </w:r>
            <w:r>
              <w:rPr>
                <w:rFonts w:ascii="宋体" w:hAnsi="宋体"/>
                <w:szCs w:val="21"/>
              </w:rPr>
              <w:t>聚合</w:t>
            </w:r>
          </w:p>
        </w:tc>
        <w:tc>
          <w:tcPr>
            <w:tcW w:w="6649" w:type="dxa"/>
            <w:vAlign w:val="center"/>
          </w:tcPr>
          <w:p>
            <w:pPr>
              <w:rPr>
                <w:rFonts w:ascii="宋体" w:hAnsi="宋体"/>
                <w:szCs w:val="21"/>
              </w:rPr>
            </w:pPr>
            <w:r>
              <w:rPr>
                <w:rFonts w:hint="eastAsia" w:ascii="宋体" w:hAnsi="宋体"/>
                <w:szCs w:val="21"/>
              </w:rPr>
              <w:t>提供</w:t>
            </w:r>
            <w:r>
              <w:rPr>
                <w:rFonts w:ascii="宋体" w:hAnsi="宋体"/>
                <w:szCs w:val="21"/>
              </w:rPr>
              <w:t>不少于</w:t>
            </w:r>
            <w:r>
              <w:rPr>
                <w:rFonts w:hint="eastAsia" w:ascii="宋体" w:hAnsi="宋体"/>
                <w:szCs w:val="21"/>
              </w:rPr>
              <w:t>11种的负载</w:t>
            </w:r>
            <w:r>
              <w:rPr>
                <w:rFonts w:ascii="宋体" w:hAnsi="宋体"/>
                <w:szCs w:val="21"/>
              </w:rPr>
              <w:t>分担算法</w:t>
            </w:r>
            <w:r>
              <w:rPr>
                <w:rFonts w:hint="eastAsia" w:ascii="宋体" w:hAnsi="宋体"/>
                <w:szCs w:val="21"/>
              </w:rPr>
              <w:t>，灵活实现对聚合组内业务流量的负载分担</w:t>
            </w:r>
            <w:r>
              <w:rPr>
                <w:rFonts w:ascii="宋体" w:hAnsi="宋体"/>
                <w:szCs w:val="21"/>
              </w:rPr>
              <w:t>（</w:t>
            </w:r>
            <w:r>
              <w:rPr>
                <w:rFonts w:hint="eastAsia" w:ascii="宋体" w:hAnsi="宋体"/>
                <w:szCs w:val="21"/>
              </w:rPr>
              <w:t>提供软件</w:t>
            </w:r>
            <w:r>
              <w:rPr>
                <w:rFonts w:ascii="宋体" w:hAnsi="宋体"/>
                <w:szCs w:val="21"/>
              </w:rPr>
              <w:t>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地址转换</w:t>
            </w:r>
          </w:p>
        </w:tc>
        <w:tc>
          <w:tcPr>
            <w:tcW w:w="6649" w:type="dxa"/>
            <w:vAlign w:val="center"/>
          </w:tcPr>
          <w:p>
            <w:pPr>
              <w:rPr>
                <w:rFonts w:ascii="宋体" w:hAnsi="宋体"/>
                <w:szCs w:val="21"/>
              </w:rPr>
            </w:pPr>
            <w:r>
              <w:rPr>
                <w:rFonts w:hint="eastAsia" w:ascii="宋体" w:hAnsi="宋体"/>
                <w:szCs w:val="21"/>
              </w:rPr>
              <w:t>支持一对一SNAT、</w:t>
            </w:r>
            <w:r>
              <w:rPr>
                <w:rFonts w:ascii="宋体" w:hAnsi="宋体"/>
                <w:szCs w:val="21"/>
              </w:rPr>
              <w:t>多对一</w:t>
            </w:r>
            <w:r>
              <w:rPr>
                <w:rFonts w:hint="eastAsia" w:ascii="宋体" w:hAnsi="宋体"/>
                <w:szCs w:val="21"/>
              </w:rPr>
              <w:t>SNAT、一对一DNAT、</w:t>
            </w:r>
            <w:r>
              <w:rPr>
                <w:rFonts w:ascii="宋体" w:hAnsi="宋体"/>
                <w:szCs w:val="21"/>
              </w:rPr>
              <w:t>双向</w:t>
            </w:r>
            <w:r>
              <w:rPr>
                <w:rFonts w:hint="eastAsia" w:ascii="宋体" w:hAnsi="宋体"/>
                <w:szCs w:val="21"/>
              </w:rPr>
              <w:t>NAT、N</w:t>
            </w:r>
            <w:r>
              <w:rPr>
                <w:rFonts w:ascii="宋体" w:hAnsi="宋体"/>
                <w:szCs w:val="21"/>
              </w:rPr>
              <w:t>oNAT</w:t>
            </w:r>
            <w:r>
              <w:rPr>
                <w:rFonts w:hint="eastAsia" w:ascii="宋体" w:hAnsi="宋体"/>
                <w:szCs w:val="21"/>
              </w:rPr>
              <w:t>等</w:t>
            </w:r>
            <w:r>
              <w:rPr>
                <w:rFonts w:ascii="宋体" w:hAnsi="宋体"/>
                <w:szCs w:val="21"/>
              </w:rPr>
              <w:t>多种</w:t>
            </w:r>
            <w:r>
              <w:rPr>
                <w:rFonts w:hint="eastAsia" w:ascii="宋体" w:hAnsi="宋体"/>
                <w:szCs w:val="21"/>
              </w:rPr>
              <w:t>转换</w:t>
            </w:r>
            <w:r>
              <w:rPr>
                <w:rFonts w:ascii="宋体" w:hAnsi="宋体"/>
                <w:szCs w:val="21"/>
              </w:rPr>
              <w:t>方式</w:t>
            </w:r>
            <w:r>
              <w:rPr>
                <w:rFonts w:hint="eastAsia" w:ascii="宋体" w:hAnsi="宋体"/>
                <w:szCs w:val="21"/>
              </w:rPr>
              <w:t>；</w:t>
            </w:r>
            <w:r>
              <w:rPr>
                <w:rFonts w:ascii="宋体" w:hAnsi="宋体"/>
                <w:szCs w:val="21"/>
              </w:rPr>
              <w:t>支持</w:t>
            </w:r>
            <w:r>
              <w:rPr>
                <w:rFonts w:hint="eastAsia" w:ascii="宋体" w:hAnsi="宋体"/>
                <w:szCs w:val="21"/>
              </w:rPr>
              <w:t>Sticky NAT开关，使相同源IP的数据包经过地址转换后为其转换的源 IP 地址相同；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智能DNS</w:t>
            </w:r>
          </w:p>
        </w:tc>
        <w:tc>
          <w:tcPr>
            <w:tcW w:w="6649" w:type="dxa"/>
            <w:vAlign w:val="center"/>
          </w:tcPr>
          <w:p>
            <w:pPr>
              <w:rPr>
                <w:rFonts w:ascii="宋体" w:hAnsi="宋体"/>
                <w:szCs w:val="21"/>
              </w:rPr>
            </w:pPr>
            <w:r>
              <w:rPr>
                <w:rFonts w:hint="eastAsia" w:ascii="宋体" w:hAnsi="宋体"/>
                <w:szCs w:val="21"/>
              </w:rPr>
              <w:t>支持智能DNS及</w:t>
            </w:r>
            <w:r>
              <w:rPr>
                <w:rFonts w:ascii="宋体" w:hAnsi="宋体"/>
                <w:szCs w:val="21"/>
              </w:rPr>
              <w:t>DNS Docting</w:t>
            </w:r>
            <w:r>
              <w:rPr>
                <w:rFonts w:hint="eastAsia" w:ascii="宋体" w:hAnsi="宋体"/>
                <w:szCs w:val="21"/>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restart"/>
            <w:vAlign w:val="center"/>
          </w:tcPr>
          <w:p>
            <w:pPr>
              <w:jc w:val="center"/>
              <w:rPr>
                <w:rFonts w:ascii="宋体" w:hAnsi="宋体"/>
                <w:b/>
                <w:szCs w:val="21"/>
              </w:rPr>
            </w:pPr>
            <w:r>
              <w:rPr>
                <w:rFonts w:hint="eastAsia" w:ascii="宋体" w:hAnsi="宋体"/>
                <w:b/>
                <w:szCs w:val="21"/>
              </w:rPr>
              <w:t>IPv6</w:t>
            </w:r>
          </w:p>
        </w:tc>
        <w:tc>
          <w:tcPr>
            <w:tcW w:w="1066" w:type="dxa"/>
            <w:vAlign w:val="center"/>
          </w:tcPr>
          <w:p>
            <w:pPr>
              <w:rPr>
                <w:rFonts w:ascii="宋体" w:hAnsi="宋体"/>
                <w:szCs w:val="21"/>
              </w:rPr>
            </w:pPr>
            <w:r>
              <w:rPr>
                <w:rFonts w:hint="eastAsia" w:ascii="宋体" w:hAnsi="宋体"/>
                <w:szCs w:val="21"/>
              </w:rPr>
              <w:t>双栈模式</w:t>
            </w:r>
          </w:p>
        </w:tc>
        <w:tc>
          <w:tcPr>
            <w:tcW w:w="6649" w:type="dxa"/>
            <w:vAlign w:val="center"/>
          </w:tcPr>
          <w:p>
            <w:pPr>
              <w:rPr>
                <w:rFonts w:ascii="宋体" w:hAnsi="宋体"/>
                <w:szCs w:val="21"/>
              </w:rPr>
            </w:pPr>
            <w:r>
              <w:rPr>
                <w:rFonts w:hint="eastAsia" w:ascii="宋体" w:hAnsi="宋体"/>
                <w:szCs w:val="21"/>
              </w:rPr>
              <w:t>支持IPv4/IPv6双栈工作模式；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访问控制</w:t>
            </w:r>
          </w:p>
        </w:tc>
        <w:tc>
          <w:tcPr>
            <w:tcW w:w="6649" w:type="dxa"/>
            <w:vAlign w:val="center"/>
          </w:tcPr>
          <w:p>
            <w:pPr>
              <w:rPr>
                <w:rFonts w:ascii="宋体" w:hAnsi="宋体"/>
                <w:szCs w:val="21"/>
              </w:rPr>
            </w:pPr>
            <w:r>
              <w:rPr>
                <w:rFonts w:hint="eastAsia" w:ascii="宋体" w:hAnsi="宋体"/>
                <w:szCs w:val="21"/>
              </w:rPr>
              <w:t>支持IPv6安全控制策略设置，能针对IPv6的目的/源地址、目的/源服务端口、区域、服务、时间、扩展头属性等条件进行安全访问规则的设置；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安全防护</w:t>
            </w:r>
          </w:p>
        </w:tc>
        <w:tc>
          <w:tcPr>
            <w:tcW w:w="6649" w:type="dxa"/>
            <w:vAlign w:val="center"/>
          </w:tcPr>
          <w:p>
            <w:pPr>
              <w:rPr>
                <w:rFonts w:ascii="宋体" w:hAnsi="宋体"/>
                <w:szCs w:val="21"/>
              </w:rPr>
            </w:pPr>
            <w:r>
              <w:rPr>
                <w:rFonts w:hint="eastAsia" w:ascii="宋体" w:hAnsi="宋体"/>
                <w:szCs w:val="21"/>
              </w:rPr>
              <w:t>支持基于IPv6的应用层检测（FTP\TFTP）、病毒过滤、URL过滤</w:t>
            </w:r>
            <w:r>
              <w:rPr>
                <w:rFonts w:ascii="宋体" w:hAnsi="宋体"/>
                <w:szCs w:val="21"/>
              </w:rPr>
              <w:t>、</w:t>
            </w:r>
            <w:r>
              <w:rPr>
                <w:rFonts w:hint="eastAsia" w:ascii="宋体" w:hAnsi="宋体"/>
                <w:szCs w:val="21"/>
              </w:rPr>
              <w:t>ADS、IPS检测；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restart"/>
            <w:vAlign w:val="center"/>
          </w:tcPr>
          <w:p>
            <w:pPr>
              <w:jc w:val="center"/>
              <w:rPr>
                <w:rFonts w:ascii="宋体" w:hAnsi="宋体"/>
                <w:b/>
                <w:szCs w:val="21"/>
              </w:rPr>
            </w:pPr>
            <w:r>
              <w:rPr>
                <w:rFonts w:hint="eastAsia" w:ascii="宋体" w:hAnsi="宋体"/>
                <w:b/>
                <w:szCs w:val="21"/>
              </w:rPr>
              <w:t>虚拟</w:t>
            </w:r>
            <w:r>
              <w:rPr>
                <w:rFonts w:ascii="宋体" w:hAnsi="宋体"/>
                <w:b/>
                <w:szCs w:val="21"/>
              </w:rPr>
              <w:t>系统</w:t>
            </w:r>
          </w:p>
        </w:tc>
        <w:tc>
          <w:tcPr>
            <w:tcW w:w="1066" w:type="dxa"/>
            <w:vAlign w:val="center"/>
          </w:tcPr>
          <w:p>
            <w:pPr>
              <w:rPr>
                <w:rFonts w:ascii="宋体" w:hAnsi="宋体"/>
                <w:szCs w:val="21"/>
              </w:rPr>
            </w:pPr>
            <w:r>
              <w:rPr>
                <w:rFonts w:hint="eastAsia" w:ascii="宋体" w:hAnsi="宋体"/>
                <w:szCs w:val="21"/>
              </w:rPr>
              <w:t>资源</w:t>
            </w:r>
            <w:r>
              <w:rPr>
                <w:rFonts w:ascii="宋体" w:hAnsi="宋体"/>
                <w:szCs w:val="21"/>
              </w:rPr>
              <w:t>虚拟化</w:t>
            </w:r>
          </w:p>
        </w:tc>
        <w:tc>
          <w:tcPr>
            <w:tcW w:w="6649" w:type="dxa"/>
            <w:vAlign w:val="center"/>
          </w:tcPr>
          <w:p>
            <w:pPr>
              <w:rPr>
                <w:rFonts w:ascii="宋体" w:hAnsi="宋体"/>
                <w:szCs w:val="21"/>
              </w:rPr>
            </w:pPr>
            <w:r>
              <w:rPr>
                <w:rFonts w:hint="eastAsia" w:ascii="宋体" w:hAnsi="宋体"/>
                <w:szCs w:val="21"/>
              </w:rPr>
              <w:t>支持在一台物理设备上划分出最大4000个相互独立的虚拟</w:t>
            </w:r>
            <w:r>
              <w:rPr>
                <w:rFonts w:ascii="宋体" w:hAnsi="宋体"/>
                <w:szCs w:val="21"/>
              </w:rPr>
              <w:t>系统，</w:t>
            </w:r>
            <w:r>
              <w:rPr>
                <w:rFonts w:hint="eastAsia" w:ascii="宋体" w:hAnsi="宋体"/>
                <w:szCs w:val="21"/>
              </w:rPr>
              <w:t>可根据连接</w:t>
            </w:r>
            <w:r>
              <w:rPr>
                <w:rFonts w:ascii="宋体" w:hAnsi="宋体"/>
                <w:szCs w:val="21"/>
              </w:rPr>
              <w:t>配额及</w:t>
            </w:r>
            <w:r>
              <w:rPr>
                <w:rFonts w:hint="eastAsia" w:ascii="宋体" w:hAnsi="宋体"/>
                <w:szCs w:val="21"/>
              </w:rPr>
              <w:t>连接</w:t>
            </w:r>
            <w:r>
              <w:rPr>
                <w:rFonts w:ascii="宋体" w:hAnsi="宋体"/>
                <w:szCs w:val="21"/>
              </w:rPr>
              <w:t>新建速率</w:t>
            </w:r>
            <w:r>
              <w:rPr>
                <w:rFonts w:hint="eastAsia" w:ascii="宋体" w:hAnsi="宋体"/>
                <w:szCs w:val="21"/>
              </w:rPr>
              <w:t>为</w:t>
            </w:r>
            <w:r>
              <w:rPr>
                <w:rFonts w:ascii="宋体" w:hAnsi="宋体"/>
                <w:szCs w:val="21"/>
              </w:rPr>
              <w:t>每个虚拟系统分配资源</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功能</w:t>
            </w:r>
            <w:r>
              <w:rPr>
                <w:rFonts w:ascii="宋体" w:hAnsi="宋体"/>
                <w:szCs w:val="21"/>
              </w:rPr>
              <w:t>虚拟化</w:t>
            </w:r>
          </w:p>
        </w:tc>
        <w:tc>
          <w:tcPr>
            <w:tcW w:w="6649" w:type="dxa"/>
            <w:vAlign w:val="center"/>
          </w:tcPr>
          <w:p>
            <w:pPr>
              <w:rPr>
                <w:rFonts w:ascii="宋体" w:hAnsi="宋体"/>
                <w:szCs w:val="21"/>
              </w:rPr>
            </w:pPr>
            <w:r>
              <w:rPr>
                <w:rFonts w:ascii="宋体" w:hAnsi="宋体"/>
                <w:szCs w:val="21"/>
              </w:rPr>
              <w:t>支持</w:t>
            </w:r>
            <w:r>
              <w:rPr>
                <w:rFonts w:hint="eastAsia" w:ascii="宋体" w:hAnsi="宋体"/>
                <w:szCs w:val="21"/>
              </w:rPr>
              <w:t>配置</w:t>
            </w:r>
            <w:r>
              <w:rPr>
                <w:rFonts w:ascii="宋体" w:hAnsi="宋体"/>
                <w:szCs w:val="21"/>
              </w:rPr>
              <w:t>文件、</w:t>
            </w:r>
            <w:r>
              <w:rPr>
                <w:rFonts w:hint="eastAsia" w:ascii="宋体" w:hAnsi="宋体"/>
                <w:szCs w:val="21"/>
              </w:rPr>
              <w:t>系统</w:t>
            </w:r>
            <w:r>
              <w:rPr>
                <w:rFonts w:ascii="宋体" w:hAnsi="宋体"/>
                <w:szCs w:val="21"/>
              </w:rPr>
              <w:t>服务</w:t>
            </w:r>
            <w:r>
              <w:rPr>
                <w:rFonts w:hint="eastAsia" w:ascii="宋体" w:hAnsi="宋体"/>
                <w:szCs w:val="21"/>
              </w:rPr>
              <w:t>等系统</w:t>
            </w:r>
            <w:r>
              <w:rPr>
                <w:rFonts w:ascii="宋体" w:hAnsi="宋体"/>
                <w:szCs w:val="21"/>
              </w:rPr>
              <w:t>功能虚拟化</w:t>
            </w:r>
            <w:r>
              <w:rPr>
                <w:rFonts w:hint="eastAsia" w:ascii="宋体" w:hAnsi="宋体"/>
                <w:szCs w:val="21"/>
              </w:rPr>
              <w:t>，支持路由</w:t>
            </w:r>
            <w:r>
              <w:rPr>
                <w:rFonts w:ascii="宋体" w:hAnsi="宋体"/>
                <w:szCs w:val="21"/>
              </w:rPr>
              <w:t>、链路聚合</w:t>
            </w:r>
            <w:r>
              <w:rPr>
                <w:rFonts w:hint="eastAsia" w:ascii="宋体" w:hAnsi="宋体"/>
                <w:szCs w:val="21"/>
              </w:rPr>
              <w:t>等</w:t>
            </w:r>
            <w:r>
              <w:rPr>
                <w:rFonts w:ascii="宋体" w:hAnsi="宋体"/>
                <w:szCs w:val="21"/>
              </w:rPr>
              <w:t>网络</w:t>
            </w:r>
            <w:r>
              <w:rPr>
                <w:rFonts w:hint="eastAsia" w:ascii="宋体" w:hAnsi="宋体"/>
                <w:szCs w:val="21"/>
              </w:rPr>
              <w:t>功能</w:t>
            </w:r>
            <w:r>
              <w:rPr>
                <w:rFonts w:ascii="宋体" w:hAnsi="宋体"/>
                <w:szCs w:val="21"/>
              </w:rPr>
              <w:t>虚拟化</w:t>
            </w:r>
            <w:r>
              <w:rPr>
                <w:rFonts w:hint="eastAsia" w:ascii="宋体" w:hAnsi="宋体"/>
                <w:szCs w:val="21"/>
              </w:rPr>
              <w:t>，支持</w:t>
            </w:r>
            <w:r>
              <w:rPr>
                <w:rFonts w:ascii="宋体" w:hAnsi="宋体"/>
                <w:szCs w:val="21"/>
              </w:rPr>
              <w:t>安全策略、</w:t>
            </w:r>
            <w:r>
              <w:rPr>
                <w:rFonts w:hint="eastAsia" w:ascii="宋体" w:hAnsi="宋体"/>
                <w:szCs w:val="21"/>
              </w:rPr>
              <w:t>NAT策略</w:t>
            </w:r>
            <w:r>
              <w:rPr>
                <w:rFonts w:ascii="宋体" w:hAnsi="宋体"/>
                <w:szCs w:val="21"/>
              </w:rPr>
              <w:t>、带宽管理、</w:t>
            </w:r>
            <w:r>
              <w:rPr>
                <w:rFonts w:hint="eastAsia" w:ascii="宋体" w:hAnsi="宋体"/>
                <w:szCs w:val="21"/>
              </w:rPr>
              <w:t>认证</w:t>
            </w:r>
            <w:r>
              <w:rPr>
                <w:rFonts w:ascii="宋体" w:hAnsi="宋体"/>
                <w:szCs w:val="21"/>
              </w:rPr>
              <w:t>策略、</w:t>
            </w:r>
            <w:r>
              <w:rPr>
                <w:rFonts w:hint="eastAsia" w:ascii="宋体" w:hAnsi="宋体"/>
                <w:szCs w:val="21"/>
              </w:rPr>
              <w:t>IPV6功能</w:t>
            </w:r>
            <w:r>
              <w:rPr>
                <w:rFonts w:ascii="宋体" w:hAnsi="宋体"/>
                <w:szCs w:val="21"/>
              </w:rPr>
              <w:t>、</w:t>
            </w:r>
            <w:r>
              <w:rPr>
                <w:rFonts w:hint="eastAsia" w:ascii="宋体" w:hAnsi="宋体"/>
                <w:szCs w:val="21"/>
              </w:rPr>
              <w:t>URL过滤</w:t>
            </w:r>
            <w:r>
              <w:rPr>
                <w:rFonts w:ascii="宋体" w:hAnsi="宋体"/>
                <w:szCs w:val="21"/>
              </w:rPr>
              <w:t>、</w:t>
            </w:r>
            <w:r>
              <w:rPr>
                <w:rFonts w:hint="eastAsia" w:ascii="宋体" w:hAnsi="宋体"/>
                <w:szCs w:val="21"/>
              </w:rPr>
              <w:t>异常行为</w:t>
            </w:r>
            <w:r>
              <w:rPr>
                <w:rFonts w:ascii="宋体" w:hAnsi="宋体"/>
                <w:szCs w:val="21"/>
              </w:rPr>
              <w:t>分析、</w:t>
            </w:r>
            <w:r>
              <w:rPr>
                <w:rFonts w:hint="eastAsia" w:ascii="宋体" w:hAnsi="宋体"/>
                <w:szCs w:val="21"/>
              </w:rPr>
              <w:t>病毒</w:t>
            </w:r>
            <w:r>
              <w:rPr>
                <w:rFonts w:ascii="宋体" w:hAnsi="宋体"/>
                <w:szCs w:val="21"/>
              </w:rPr>
              <w:t>过滤</w:t>
            </w:r>
            <w:r>
              <w:rPr>
                <w:rFonts w:hint="eastAsia" w:ascii="宋体" w:hAnsi="宋体"/>
                <w:szCs w:val="21"/>
              </w:rPr>
              <w:t>、</w:t>
            </w:r>
            <w:r>
              <w:rPr>
                <w:rFonts w:ascii="宋体" w:hAnsi="宋体"/>
                <w:szCs w:val="21"/>
              </w:rPr>
              <w:t>内容过滤、</w:t>
            </w:r>
            <w:r>
              <w:rPr>
                <w:rFonts w:hint="eastAsia" w:ascii="宋体" w:hAnsi="宋体"/>
                <w:szCs w:val="21"/>
              </w:rPr>
              <w:t>审计、</w:t>
            </w:r>
            <w:r>
              <w:rPr>
                <w:rFonts w:ascii="宋体" w:hAnsi="宋体"/>
                <w:szCs w:val="21"/>
              </w:rPr>
              <w:t>报表</w:t>
            </w:r>
            <w:r>
              <w:rPr>
                <w:rFonts w:hint="eastAsia" w:ascii="宋体" w:hAnsi="宋体"/>
                <w:szCs w:val="21"/>
              </w:rPr>
              <w:t>等</w:t>
            </w:r>
            <w:r>
              <w:rPr>
                <w:rFonts w:ascii="宋体" w:hAnsi="宋体"/>
                <w:szCs w:val="21"/>
              </w:rPr>
              <w:t>安全功能虚拟化</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restart"/>
            <w:vAlign w:val="center"/>
          </w:tcPr>
          <w:p>
            <w:pPr>
              <w:jc w:val="center"/>
              <w:rPr>
                <w:rFonts w:ascii="宋体" w:hAnsi="宋体"/>
                <w:b/>
                <w:szCs w:val="21"/>
              </w:rPr>
            </w:pPr>
            <w:r>
              <w:rPr>
                <w:rFonts w:hint="eastAsia" w:ascii="宋体" w:hAnsi="宋体"/>
                <w:b/>
                <w:szCs w:val="21"/>
              </w:rPr>
              <w:t>用户管控</w:t>
            </w:r>
          </w:p>
        </w:tc>
        <w:tc>
          <w:tcPr>
            <w:tcW w:w="1066" w:type="dxa"/>
            <w:vAlign w:val="center"/>
          </w:tcPr>
          <w:p>
            <w:pPr>
              <w:rPr>
                <w:rFonts w:ascii="宋体" w:hAnsi="宋体"/>
                <w:szCs w:val="21"/>
              </w:rPr>
            </w:pPr>
            <w:r>
              <w:rPr>
                <w:rFonts w:hint="eastAsia" w:ascii="宋体" w:hAnsi="宋体"/>
                <w:szCs w:val="21"/>
              </w:rPr>
              <w:t>认证方式</w:t>
            </w:r>
          </w:p>
        </w:tc>
        <w:tc>
          <w:tcPr>
            <w:tcW w:w="6649" w:type="dxa"/>
            <w:vAlign w:val="center"/>
          </w:tcPr>
          <w:p>
            <w:pPr>
              <w:rPr>
                <w:rFonts w:ascii="宋体" w:hAnsi="宋体"/>
                <w:szCs w:val="21"/>
              </w:rPr>
            </w:pPr>
            <w:r>
              <w:rPr>
                <w:rFonts w:hint="eastAsia" w:ascii="宋体" w:hAnsi="宋体"/>
                <w:szCs w:val="21"/>
              </w:rPr>
              <w:t>内置强大的用户身份管理系统，支持本地</w:t>
            </w:r>
            <w:r>
              <w:rPr>
                <w:rFonts w:ascii="宋体" w:hAnsi="宋体"/>
                <w:szCs w:val="21"/>
              </w:rPr>
              <w:t>认证、</w:t>
            </w:r>
            <w:r>
              <w:rPr>
                <w:rFonts w:hint="eastAsia" w:ascii="宋体" w:hAnsi="宋体"/>
                <w:szCs w:val="21"/>
              </w:rPr>
              <w:t>证书</w:t>
            </w:r>
            <w:r>
              <w:rPr>
                <w:rFonts w:ascii="宋体" w:hAnsi="宋体"/>
                <w:szCs w:val="21"/>
              </w:rPr>
              <w:t>认证</w:t>
            </w:r>
            <w:r>
              <w:rPr>
                <w:rFonts w:hint="eastAsia" w:ascii="宋体" w:hAnsi="宋体"/>
                <w:szCs w:val="21"/>
              </w:rPr>
              <w:t>及</w:t>
            </w:r>
            <w:r>
              <w:rPr>
                <w:rFonts w:ascii="宋体" w:hAnsi="宋体"/>
                <w:szCs w:val="21"/>
              </w:rPr>
              <w:t>免认证等方式，同时支持RADIUS</w:t>
            </w:r>
            <w:r>
              <w:rPr>
                <w:rFonts w:hint="eastAsia" w:ascii="宋体" w:hAnsi="宋体"/>
                <w:szCs w:val="21"/>
              </w:rPr>
              <w:t>、</w:t>
            </w:r>
            <w:r>
              <w:rPr>
                <w:rFonts w:ascii="宋体" w:hAnsi="宋体"/>
                <w:szCs w:val="21"/>
              </w:rPr>
              <w:t>LDAP</w:t>
            </w:r>
            <w:r>
              <w:rPr>
                <w:rFonts w:hint="eastAsia" w:ascii="宋体" w:hAnsi="宋体"/>
                <w:szCs w:val="21"/>
              </w:rPr>
              <w:t>、</w:t>
            </w:r>
            <w:r>
              <w:rPr>
                <w:rFonts w:ascii="宋体" w:hAnsi="宋体"/>
                <w:szCs w:val="21"/>
              </w:rPr>
              <w:t>TACACS</w:t>
            </w:r>
            <w:r>
              <w:rPr>
                <w:rFonts w:hint="eastAsia" w:ascii="宋体" w:hAnsi="宋体"/>
                <w:szCs w:val="21"/>
              </w:rPr>
              <w:t>等多种第三方外部认证设置；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用户管控</w:t>
            </w:r>
          </w:p>
        </w:tc>
        <w:tc>
          <w:tcPr>
            <w:tcW w:w="6649" w:type="dxa"/>
            <w:vAlign w:val="center"/>
          </w:tcPr>
          <w:p>
            <w:pPr>
              <w:rPr>
                <w:rFonts w:ascii="宋体" w:hAnsi="宋体"/>
                <w:szCs w:val="21"/>
              </w:rPr>
            </w:pPr>
            <w:r>
              <w:rPr>
                <w:rFonts w:hint="eastAsia" w:ascii="宋体" w:hAnsi="宋体"/>
                <w:szCs w:val="21"/>
              </w:rPr>
              <w:t>综合运用身份认证与访问控制技术，通过内置智能过滤引擎实现基于用户身份的安全防护策略部署与可视化监控；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672" w:type="dxa"/>
            <w:vMerge w:val="restart"/>
            <w:vAlign w:val="center"/>
          </w:tcPr>
          <w:p>
            <w:pPr>
              <w:jc w:val="center"/>
              <w:rPr>
                <w:rFonts w:ascii="宋体" w:hAnsi="宋体"/>
                <w:b/>
                <w:szCs w:val="21"/>
              </w:rPr>
            </w:pPr>
            <w:r>
              <w:rPr>
                <w:rFonts w:hint="eastAsia" w:ascii="宋体" w:hAnsi="宋体"/>
                <w:b/>
                <w:szCs w:val="21"/>
              </w:rPr>
              <w:t>应用管控</w:t>
            </w:r>
          </w:p>
        </w:tc>
        <w:tc>
          <w:tcPr>
            <w:tcW w:w="1066" w:type="dxa"/>
            <w:vAlign w:val="center"/>
          </w:tcPr>
          <w:p>
            <w:pPr>
              <w:rPr>
                <w:rFonts w:ascii="宋体" w:hAnsi="宋体"/>
                <w:szCs w:val="21"/>
              </w:rPr>
            </w:pPr>
            <w:r>
              <w:rPr>
                <w:rFonts w:hint="eastAsia" w:ascii="宋体" w:hAnsi="宋体"/>
                <w:szCs w:val="21"/>
              </w:rPr>
              <w:t>应用</w:t>
            </w:r>
            <w:r>
              <w:rPr>
                <w:rFonts w:ascii="宋体" w:hAnsi="宋体"/>
                <w:szCs w:val="21"/>
              </w:rPr>
              <w:t>识别</w:t>
            </w:r>
          </w:p>
        </w:tc>
        <w:tc>
          <w:tcPr>
            <w:tcW w:w="6649" w:type="dxa"/>
            <w:vAlign w:val="center"/>
          </w:tcPr>
          <w:p>
            <w:pPr>
              <w:rPr>
                <w:rFonts w:ascii="宋体" w:hAnsi="宋体"/>
                <w:szCs w:val="21"/>
              </w:rPr>
            </w:pPr>
            <w:r>
              <w:rPr>
                <w:rFonts w:hint="eastAsia" w:ascii="宋体" w:hAnsi="宋体"/>
                <w:szCs w:val="21"/>
              </w:rPr>
              <w:t>内置独立应用识别特征库，总数2100种以上，支持应用特征库在线或本地更新，支持应用特征自定义；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带宽</w:t>
            </w:r>
            <w:r>
              <w:rPr>
                <w:rFonts w:ascii="宋体" w:hAnsi="宋体"/>
                <w:szCs w:val="21"/>
              </w:rPr>
              <w:t>管理</w:t>
            </w:r>
          </w:p>
        </w:tc>
        <w:tc>
          <w:tcPr>
            <w:tcW w:w="6649" w:type="dxa"/>
            <w:vAlign w:val="center"/>
          </w:tcPr>
          <w:p>
            <w:pPr>
              <w:rPr>
                <w:rFonts w:ascii="宋体" w:hAnsi="宋体"/>
                <w:szCs w:val="21"/>
              </w:rPr>
            </w:pPr>
            <w:r>
              <w:rPr>
                <w:rFonts w:hint="eastAsia" w:ascii="宋体" w:hAnsi="宋体"/>
                <w:szCs w:val="21"/>
              </w:rPr>
              <w:t>支持基于IP/IP组、用户/用户组、服务/服务组、应用/应用组和时间等配置带宽策略；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672" w:type="dxa"/>
            <w:vMerge w:val="continue"/>
            <w:vAlign w:val="center"/>
          </w:tcPr>
          <w:p>
            <w:pPr>
              <w:jc w:val="center"/>
              <w:rPr>
                <w:rFonts w:ascii="宋体" w:hAnsi="宋体"/>
                <w:b/>
                <w:szCs w:val="21"/>
              </w:rPr>
            </w:pPr>
          </w:p>
        </w:tc>
        <w:tc>
          <w:tcPr>
            <w:tcW w:w="1066" w:type="dxa"/>
            <w:vMerge w:val="restart"/>
            <w:vAlign w:val="center"/>
          </w:tcPr>
          <w:p>
            <w:pPr>
              <w:rPr>
                <w:rFonts w:ascii="宋体" w:hAnsi="宋体"/>
                <w:szCs w:val="21"/>
              </w:rPr>
            </w:pPr>
            <w:r>
              <w:rPr>
                <w:rFonts w:hint="eastAsia" w:ascii="宋体" w:hAnsi="宋体"/>
                <w:szCs w:val="21"/>
              </w:rPr>
              <w:t>连接</w:t>
            </w:r>
            <w:r>
              <w:rPr>
                <w:rFonts w:ascii="宋体" w:hAnsi="宋体"/>
                <w:szCs w:val="21"/>
              </w:rPr>
              <w:t>控制</w:t>
            </w:r>
          </w:p>
        </w:tc>
        <w:tc>
          <w:tcPr>
            <w:tcW w:w="6649" w:type="dxa"/>
            <w:vAlign w:val="center"/>
          </w:tcPr>
          <w:p>
            <w:pPr>
              <w:rPr>
                <w:rFonts w:ascii="宋体" w:hAnsi="宋体"/>
                <w:szCs w:val="21"/>
              </w:rPr>
            </w:pPr>
            <w:r>
              <w:rPr>
                <w:rFonts w:hint="eastAsia" w:ascii="宋体" w:hAnsi="宋体"/>
                <w:szCs w:val="21"/>
              </w:rPr>
              <w:t>支持对单条访问控制策略进行最大并发连接数限制；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649" w:type="dxa"/>
            <w:vAlign w:val="center"/>
          </w:tcPr>
          <w:p>
            <w:pPr>
              <w:rPr>
                <w:rFonts w:ascii="宋体" w:hAnsi="宋体"/>
                <w:szCs w:val="21"/>
              </w:rPr>
            </w:pPr>
            <w:r>
              <w:rPr>
                <w:rFonts w:hint="eastAsia" w:ascii="宋体" w:hAnsi="宋体"/>
                <w:szCs w:val="21"/>
              </w:rPr>
              <w:t>为保护内部网络资源以及合理分配设备系统资源，需支持对指定的源/目的IP地址、MAC地址、应用制定相应的连接限制策略，策略包含三种限制类型：单个IP每秒新建连接限制、单个IP连接数限制及连接总数限制；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649" w:type="dxa"/>
            <w:vAlign w:val="center"/>
          </w:tcPr>
          <w:p>
            <w:pPr>
              <w:rPr>
                <w:rFonts w:ascii="宋体" w:hAnsi="宋体"/>
                <w:szCs w:val="21"/>
              </w:rPr>
            </w:pPr>
            <w:r>
              <w:rPr>
                <w:rFonts w:hint="eastAsia" w:ascii="宋体" w:hAnsi="宋体"/>
                <w:szCs w:val="21"/>
              </w:rPr>
              <w:t>支持</w:t>
            </w:r>
            <w:r>
              <w:rPr>
                <w:rFonts w:ascii="宋体" w:hAnsi="宋体"/>
                <w:szCs w:val="21"/>
              </w:rPr>
              <w:t>监控</w:t>
            </w:r>
            <w:r>
              <w:rPr>
                <w:rFonts w:hint="eastAsia" w:ascii="宋体" w:hAnsi="宋体"/>
                <w:szCs w:val="21"/>
              </w:rPr>
              <w:t>功能</w:t>
            </w:r>
            <w:r>
              <w:rPr>
                <w:rFonts w:ascii="宋体" w:hAnsi="宋体"/>
                <w:szCs w:val="21"/>
              </w:rPr>
              <w:t>，显示</w:t>
            </w:r>
            <w:r>
              <w:rPr>
                <w:rFonts w:hint="eastAsia" w:ascii="宋体" w:hAnsi="宋体"/>
                <w:szCs w:val="21"/>
              </w:rPr>
              <w:t>最近被拦截</w:t>
            </w:r>
            <w:r>
              <w:rPr>
                <w:rFonts w:ascii="宋体" w:hAnsi="宋体"/>
                <w:szCs w:val="21"/>
              </w:rPr>
              <w:t>的</w:t>
            </w:r>
            <w:r>
              <w:rPr>
                <w:rFonts w:hint="eastAsia" w:ascii="宋体" w:hAnsi="宋体"/>
                <w:szCs w:val="21"/>
              </w:rPr>
              <w:t>IP、地址</w:t>
            </w:r>
            <w:r>
              <w:rPr>
                <w:rFonts w:ascii="宋体" w:hAnsi="宋体"/>
                <w:szCs w:val="21"/>
              </w:rPr>
              <w:t>对象及</w:t>
            </w:r>
            <w:r>
              <w:rPr>
                <w:rFonts w:hint="eastAsia" w:ascii="宋体" w:hAnsi="宋体"/>
                <w:szCs w:val="21"/>
              </w:rPr>
              <w:t>应用的节点</w:t>
            </w:r>
            <w:r>
              <w:rPr>
                <w:rFonts w:ascii="宋体" w:hAnsi="宋体"/>
                <w:szCs w:val="21"/>
              </w:rPr>
              <w:t>信息</w:t>
            </w:r>
            <w:r>
              <w:rPr>
                <w:rFonts w:hint="eastAsia" w:ascii="宋体" w:hAnsi="宋体"/>
                <w:szCs w:val="21"/>
              </w:rPr>
              <w:t>；同时</w:t>
            </w:r>
            <w:r>
              <w:rPr>
                <w:rFonts w:ascii="宋体" w:hAnsi="宋体"/>
                <w:szCs w:val="21"/>
              </w:rPr>
              <w:t>支持</w:t>
            </w:r>
            <w:r>
              <w:rPr>
                <w:rFonts w:hint="eastAsia" w:ascii="宋体" w:hAnsi="宋体"/>
                <w:szCs w:val="21"/>
              </w:rPr>
              <w:t>对连接数限制策略匹配信息进行分类统计，方便管理</w:t>
            </w:r>
            <w:r>
              <w:rPr>
                <w:rFonts w:ascii="宋体" w:hAnsi="宋体"/>
                <w:szCs w:val="21"/>
              </w:rPr>
              <w:t>员</w:t>
            </w:r>
            <w:r>
              <w:rPr>
                <w:rFonts w:hint="eastAsia" w:ascii="宋体" w:hAnsi="宋体"/>
                <w:szCs w:val="21"/>
              </w:rPr>
              <w:t>根据统计</w:t>
            </w:r>
            <w:r>
              <w:rPr>
                <w:rFonts w:ascii="宋体" w:hAnsi="宋体"/>
                <w:szCs w:val="21"/>
              </w:rPr>
              <w:t>分析结果</w:t>
            </w:r>
            <w:r>
              <w:rPr>
                <w:rFonts w:hint="eastAsia" w:ascii="宋体" w:hAnsi="宋体"/>
                <w:szCs w:val="21"/>
              </w:rPr>
              <w:t>进行</w:t>
            </w:r>
            <w:r>
              <w:rPr>
                <w:rFonts w:ascii="宋体" w:hAnsi="宋体"/>
                <w:szCs w:val="21"/>
              </w:rPr>
              <w:t>相应的</w:t>
            </w:r>
            <w:r>
              <w:rPr>
                <w:rFonts w:hint="eastAsia" w:ascii="宋体" w:hAnsi="宋体"/>
                <w:szCs w:val="21"/>
              </w:rPr>
              <w:t>防护控制</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672" w:type="dxa"/>
            <w:vMerge w:val="restart"/>
            <w:vAlign w:val="center"/>
          </w:tcPr>
          <w:p>
            <w:pPr>
              <w:jc w:val="center"/>
              <w:rPr>
                <w:rFonts w:ascii="宋体" w:hAnsi="宋体"/>
                <w:b/>
                <w:szCs w:val="21"/>
              </w:rPr>
            </w:pPr>
            <w:r>
              <w:rPr>
                <w:rFonts w:hint="eastAsia" w:ascii="宋体" w:hAnsi="宋体"/>
                <w:b/>
                <w:szCs w:val="21"/>
              </w:rPr>
              <w:t>访问控制</w:t>
            </w:r>
          </w:p>
        </w:tc>
        <w:tc>
          <w:tcPr>
            <w:tcW w:w="1066" w:type="dxa"/>
            <w:vMerge w:val="restart"/>
            <w:vAlign w:val="center"/>
          </w:tcPr>
          <w:p>
            <w:pPr>
              <w:rPr>
                <w:rFonts w:ascii="宋体" w:hAnsi="宋体"/>
                <w:szCs w:val="21"/>
              </w:rPr>
            </w:pPr>
            <w:r>
              <w:rPr>
                <w:rFonts w:hint="eastAsia" w:ascii="宋体" w:hAnsi="宋体"/>
                <w:szCs w:val="21"/>
              </w:rPr>
              <w:t>一体化访问控制</w:t>
            </w:r>
          </w:p>
        </w:tc>
        <w:tc>
          <w:tcPr>
            <w:tcW w:w="6649" w:type="dxa"/>
            <w:vAlign w:val="center"/>
          </w:tcPr>
          <w:p>
            <w:pPr>
              <w:rPr>
                <w:rFonts w:ascii="宋体" w:hAnsi="宋体"/>
                <w:szCs w:val="21"/>
              </w:rPr>
            </w:pPr>
            <w:r>
              <w:rPr>
                <w:rFonts w:hint="eastAsia" w:ascii="宋体" w:hAnsi="宋体"/>
                <w:szCs w:val="21"/>
              </w:rPr>
              <w:t>内置高度集成的一体化智能过滤引擎技术，实现在同一条访问控制策略中配置传统的五元组信息、用户</w:t>
            </w:r>
            <w:r>
              <w:rPr>
                <w:rFonts w:ascii="宋体" w:hAnsi="宋体"/>
                <w:szCs w:val="21"/>
              </w:rPr>
              <w:t>、</w:t>
            </w:r>
            <w:r>
              <w:rPr>
                <w:rFonts w:hint="eastAsia" w:ascii="宋体" w:hAnsi="宋体"/>
                <w:szCs w:val="21"/>
              </w:rPr>
              <w:t>域名等的识别与控制；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649" w:type="dxa"/>
            <w:vAlign w:val="center"/>
          </w:tcPr>
          <w:p>
            <w:pPr>
              <w:rPr>
                <w:rFonts w:ascii="宋体" w:hAnsi="宋体"/>
                <w:szCs w:val="21"/>
              </w:rPr>
            </w:pPr>
            <w:r>
              <w:rPr>
                <w:rFonts w:hint="eastAsia" w:ascii="宋体" w:hAnsi="宋体"/>
                <w:szCs w:val="21"/>
              </w:rPr>
              <w:t>访问</w:t>
            </w:r>
            <w:r>
              <w:rPr>
                <w:rFonts w:ascii="宋体" w:hAnsi="宋体"/>
                <w:szCs w:val="21"/>
              </w:rPr>
              <w:t>控制策略执行动作</w:t>
            </w:r>
            <w:r>
              <w:rPr>
                <w:rFonts w:hint="eastAsia" w:ascii="宋体" w:hAnsi="宋体"/>
                <w:szCs w:val="21"/>
              </w:rPr>
              <w:t>支持允许</w:t>
            </w:r>
            <w:r>
              <w:rPr>
                <w:rFonts w:ascii="宋体" w:hAnsi="宋体"/>
                <w:szCs w:val="21"/>
              </w:rPr>
              <w:t>、禁止</w:t>
            </w:r>
            <w:r>
              <w:rPr>
                <w:rFonts w:hint="eastAsia" w:ascii="宋体" w:hAnsi="宋体"/>
                <w:szCs w:val="21"/>
              </w:rPr>
              <w:t>及</w:t>
            </w:r>
            <w:r>
              <w:rPr>
                <w:rFonts w:ascii="宋体" w:hAnsi="宋体"/>
                <w:szCs w:val="21"/>
              </w:rPr>
              <w:t>认证，</w:t>
            </w:r>
            <w:r>
              <w:rPr>
                <w:rFonts w:hint="eastAsia" w:ascii="宋体" w:hAnsi="宋体"/>
                <w:szCs w:val="21"/>
              </w:rPr>
              <w:t>对符合条件的流量进行Web认证，在</w:t>
            </w:r>
            <w:r>
              <w:rPr>
                <w:rFonts w:ascii="宋体" w:hAnsi="宋体"/>
                <w:szCs w:val="21"/>
              </w:rPr>
              <w:t>策略中可</w:t>
            </w:r>
            <w:r>
              <w:rPr>
                <w:rFonts w:hint="eastAsia" w:ascii="宋体" w:hAnsi="宋体"/>
                <w:szCs w:val="21"/>
              </w:rPr>
              <w:t>设置用户 Web 认证的门户地址；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649" w:type="dxa"/>
            <w:vAlign w:val="center"/>
          </w:tcPr>
          <w:p>
            <w:pPr>
              <w:rPr>
                <w:rFonts w:ascii="宋体" w:hAnsi="宋体"/>
                <w:szCs w:val="21"/>
              </w:rPr>
            </w:pPr>
            <w:r>
              <w:rPr>
                <w:rFonts w:hint="eastAsia" w:ascii="宋体" w:hAnsi="宋体"/>
                <w:szCs w:val="21"/>
              </w:rPr>
              <w:t>提供智能策略分析功能</w:t>
            </w:r>
            <w:r>
              <w:rPr>
                <w:rFonts w:ascii="宋体" w:hAnsi="宋体"/>
                <w:szCs w:val="21"/>
              </w:rPr>
              <w:t>，</w:t>
            </w:r>
            <w:r>
              <w:rPr>
                <w:rFonts w:hint="eastAsia" w:ascii="宋体" w:hAnsi="宋体"/>
                <w:szCs w:val="21"/>
              </w:rPr>
              <w:t>支持</w:t>
            </w:r>
            <w:r>
              <w:rPr>
                <w:rFonts w:ascii="宋体" w:hAnsi="宋体"/>
                <w:szCs w:val="21"/>
              </w:rPr>
              <w:t>策略命中分析、策略</w:t>
            </w:r>
            <w:r>
              <w:rPr>
                <w:rFonts w:hint="eastAsia" w:ascii="宋体" w:hAnsi="宋体"/>
                <w:szCs w:val="21"/>
              </w:rPr>
              <w:t>冗余</w:t>
            </w:r>
            <w:r>
              <w:rPr>
                <w:rFonts w:ascii="宋体" w:hAnsi="宋体"/>
                <w:szCs w:val="21"/>
              </w:rPr>
              <w:t>分析、策略</w:t>
            </w:r>
            <w:r>
              <w:rPr>
                <w:rFonts w:hint="eastAsia" w:ascii="宋体" w:hAnsi="宋体"/>
                <w:szCs w:val="21"/>
              </w:rPr>
              <w:t>冲突检查</w:t>
            </w:r>
            <w:r>
              <w:rPr>
                <w:rFonts w:ascii="宋体" w:hAnsi="宋体"/>
                <w:szCs w:val="21"/>
              </w:rPr>
              <w:t>，</w:t>
            </w:r>
            <w:r>
              <w:rPr>
                <w:rFonts w:hint="eastAsia" w:ascii="宋体" w:hAnsi="宋体"/>
                <w:szCs w:val="21"/>
              </w:rPr>
              <w:t>并且可在WEB界面显示检测结果；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649" w:type="dxa"/>
            <w:vAlign w:val="center"/>
          </w:tcPr>
          <w:p>
            <w:pPr>
              <w:rPr>
                <w:rFonts w:ascii="宋体" w:hAnsi="宋体"/>
                <w:szCs w:val="21"/>
              </w:rPr>
            </w:pPr>
            <w:r>
              <w:rPr>
                <w:rFonts w:hint="eastAsia" w:ascii="宋体" w:hAnsi="宋体"/>
                <w:szCs w:val="21"/>
              </w:rPr>
              <w:t>支持</w:t>
            </w:r>
            <w:r>
              <w:rPr>
                <w:rFonts w:ascii="宋体" w:hAnsi="宋体"/>
                <w:szCs w:val="21"/>
              </w:rPr>
              <w:t>黑名单功能，</w:t>
            </w:r>
            <w:r>
              <w:rPr>
                <w:rFonts w:hint="eastAsia" w:ascii="宋体" w:hAnsi="宋体"/>
                <w:szCs w:val="21"/>
              </w:rPr>
              <w:t>可</w:t>
            </w:r>
            <w:r>
              <w:rPr>
                <w:rFonts w:ascii="宋体" w:hAnsi="宋体"/>
                <w:szCs w:val="21"/>
              </w:rPr>
              <w:t>设置</w:t>
            </w:r>
            <w:r>
              <w:rPr>
                <w:rFonts w:hint="eastAsia" w:ascii="宋体" w:hAnsi="宋体"/>
                <w:szCs w:val="21"/>
              </w:rPr>
              <w:t>多个</w:t>
            </w:r>
            <w:r>
              <w:rPr>
                <w:rFonts w:ascii="宋体" w:hAnsi="宋体"/>
                <w:szCs w:val="21"/>
              </w:rPr>
              <w:t>对象条件，如：</w:t>
            </w:r>
            <w:r>
              <w:rPr>
                <w:rFonts w:hint="eastAsia" w:ascii="宋体" w:hAnsi="宋体"/>
                <w:szCs w:val="21"/>
              </w:rPr>
              <w:t>五元组信息、地址</w:t>
            </w:r>
            <w:r>
              <w:rPr>
                <w:rFonts w:ascii="宋体" w:hAnsi="宋体"/>
                <w:szCs w:val="21"/>
              </w:rPr>
              <w:t>范围、</w:t>
            </w:r>
            <w:r>
              <w:rPr>
                <w:rFonts w:hint="eastAsia" w:ascii="宋体" w:hAnsi="宋体"/>
                <w:szCs w:val="21"/>
              </w:rPr>
              <w:t>应用</w:t>
            </w:r>
            <w:r>
              <w:rPr>
                <w:rFonts w:ascii="宋体" w:hAnsi="宋体"/>
                <w:szCs w:val="21"/>
              </w:rPr>
              <w:t>、用户等</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672" w:type="dxa"/>
            <w:vMerge w:val="restart"/>
            <w:vAlign w:val="center"/>
          </w:tcPr>
          <w:p>
            <w:pPr>
              <w:jc w:val="center"/>
              <w:rPr>
                <w:rFonts w:ascii="宋体" w:hAnsi="宋体"/>
                <w:b/>
                <w:szCs w:val="21"/>
              </w:rPr>
            </w:pPr>
            <w:r>
              <w:rPr>
                <w:rFonts w:hint="eastAsia" w:ascii="宋体" w:hAnsi="宋体"/>
                <w:b/>
                <w:szCs w:val="21"/>
              </w:rPr>
              <w:t>安全防护</w:t>
            </w:r>
          </w:p>
        </w:tc>
        <w:tc>
          <w:tcPr>
            <w:tcW w:w="1066" w:type="dxa"/>
            <w:vMerge w:val="restart"/>
            <w:vAlign w:val="center"/>
          </w:tcPr>
          <w:p>
            <w:pPr>
              <w:rPr>
                <w:rFonts w:ascii="宋体" w:hAnsi="宋体"/>
                <w:szCs w:val="21"/>
              </w:rPr>
            </w:pPr>
            <w:r>
              <w:rPr>
                <w:rFonts w:hint="eastAsia" w:ascii="宋体" w:hAnsi="宋体"/>
                <w:szCs w:val="21"/>
              </w:rPr>
              <w:t>未知</w:t>
            </w:r>
            <w:r>
              <w:rPr>
                <w:rFonts w:ascii="宋体" w:hAnsi="宋体"/>
                <w:szCs w:val="21"/>
              </w:rPr>
              <w:t>威胁防御</w:t>
            </w:r>
          </w:p>
        </w:tc>
        <w:tc>
          <w:tcPr>
            <w:tcW w:w="6649" w:type="dxa"/>
            <w:vAlign w:val="center"/>
          </w:tcPr>
          <w:p>
            <w:pPr>
              <w:rPr>
                <w:rFonts w:ascii="宋体" w:hAnsi="宋体"/>
                <w:szCs w:val="21"/>
              </w:rPr>
            </w:pPr>
            <w:r>
              <w:rPr>
                <w:rFonts w:hint="eastAsia" w:ascii="宋体" w:hAnsi="宋体"/>
                <w:szCs w:val="21"/>
              </w:rPr>
              <w:t>支持APT防御扩展</w:t>
            </w:r>
            <w:r>
              <w:rPr>
                <w:rFonts w:ascii="宋体" w:hAnsi="宋体"/>
                <w:szCs w:val="21"/>
              </w:rPr>
              <w:t>，</w:t>
            </w:r>
            <w:r>
              <w:rPr>
                <w:rFonts w:hint="eastAsia" w:ascii="宋体" w:hAnsi="宋体"/>
                <w:szCs w:val="21"/>
              </w:rPr>
              <w:t>不依赖于攻击、恶意代码等特征库进行检测，通过沙箱技术对于未知漏洞攻击（</w:t>
            </w:r>
            <w:r>
              <w:rPr>
                <w:rFonts w:ascii="宋体" w:hAnsi="宋体"/>
                <w:szCs w:val="21"/>
              </w:rPr>
              <w:t>0day/1day</w:t>
            </w:r>
            <w:r>
              <w:rPr>
                <w:rFonts w:hint="eastAsia" w:ascii="宋体" w:hAnsi="宋体"/>
                <w:szCs w:val="21"/>
              </w:rPr>
              <w:t>漏洞）、木马、病毒具有检测能力；可根据</w:t>
            </w:r>
            <w:r>
              <w:rPr>
                <w:rFonts w:ascii="宋体" w:hAnsi="宋体"/>
                <w:szCs w:val="21"/>
              </w:rPr>
              <w:t>用户环境，</w:t>
            </w:r>
            <w:r>
              <w:rPr>
                <w:rFonts w:hint="eastAsia" w:ascii="宋体" w:hAnsi="宋体"/>
                <w:szCs w:val="21"/>
              </w:rPr>
              <w:t>将APT工作</w:t>
            </w:r>
            <w:r>
              <w:rPr>
                <w:rFonts w:ascii="宋体" w:hAnsi="宋体"/>
                <w:szCs w:val="21"/>
              </w:rPr>
              <w:t>模式</w:t>
            </w:r>
            <w:r>
              <w:rPr>
                <w:rFonts w:hint="eastAsia" w:ascii="宋体" w:hAnsi="宋体"/>
                <w:szCs w:val="21"/>
              </w:rPr>
              <w:t>设置</w:t>
            </w:r>
            <w:r>
              <w:rPr>
                <w:rFonts w:ascii="宋体" w:hAnsi="宋体"/>
                <w:szCs w:val="21"/>
              </w:rPr>
              <w:t>为</w:t>
            </w:r>
            <w:r>
              <w:rPr>
                <w:rFonts w:hint="eastAsia" w:ascii="宋体" w:hAnsi="宋体"/>
                <w:szCs w:val="21"/>
              </w:rPr>
              <w:t>深度</w:t>
            </w:r>
            <w:r>
              <w:rPr>
                <w:rFonts w:ascii="宋体" w:hAnsi="宋体"/>
                <w:szCs w:val="21"/>
              </w:rPr>
              <w:t>模式或者</w:t>
            </w:r>
            <w:r>
              <w:rPr>
                <w:rFonts w:hint="eastAsia" w:ascii="宋体" w:hAnsi="宋体"/>
                <w:szCs w:val="21"/>
              </w:rPr>
              <w:t>智能</w:t>
            </w:r>
            <w:r>
              <w:rPr>
                <w:rFonts w:ascii="宋体" w:hAnsi="宋体"/>
                <w:szCs w:val="21"/>
              </w:rPr>
              <w:t>模式</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649" w:type="dxa"/>
            <w:vAlign w:val="center"/>
          </w:tcPr>
          <w:p>
            <w:pPr>
              <w:pStyle w:val="9"/>
              <w:rPr>
                <w:rFonts w:ascii="宋体" w:hAnsi="宋体"/>
                <w:szCs w:val="21"/>
              </w:rPr>
            </w:pPr>
            <w:r>
              <w:rPr>
                <w:rFonts w:hint="eastAsia"/>
              </w:rPr>
              <w:t>支持异常行为检测，如存在异常则报警。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入侵防御</w:t>
            </w:r>
          </w:p>
        </w:tc>
        <w:tc>
          <w:tcPr>
            <w:tcW w:w="6649" w:type="dxa"/>
            <w:vAlign w:val="center"/>
          </w:tcPr>
          <w:p>
            <w:pPr>
              <w:rPr>
                <w:rFonts w:ascii="宋体" w:hAnsi="宋体"/>
                <w:szCs w:val="21"/>
              </w:rPr>
            </w:pPr>
            <w:r>
              <w:rPr>
                <w:rFonts w:hint="eastAsia" w:ascii="宋体" w:hAnsi="宋体"/>
                <w:szCs w:val="21"/>
              </w:rPr>
              <w:t>内置攻击检测引擎，采用协议分析、模式识别、统计阀值和流量异常监视等综合技术手段来判断入侵行为；支持</w:t>
            </w:r>
            <w:r>
              <w:rPr>
                <w:rFonts w:ascii="宋体" w:hAnsi="宋体"/>
                <w:szCs w:val="21"/>
              </w:rPr>
              <w:t>web</w:t>
            </w:r>
            <w:r>
              <w:rPr>
                <w:rFonts w:hint="eastAsia" w:ascii="宋体" w:hAnsi="宋体"/>
                <w:szCs w:val="21"/>
              </w:rPr>
              <w:t>攻击识别和防护，如跨站脚本攻击、</w:t>
            </w:r>
            <w:r>
              <w:rPr>
                <w:rFonts w:ascii="宋体" w:hAnsi="宋体"/>
                <w:szCs w:val="21"/>
              </w:rPr>
              <w:t>SQL</w:t>
            </w:r>
            <w:r>
              <w:rPr>
                <w:rFonts w:hint="eastAsia" w:ascii="宋体" w:hAnsi="宋体"/>
                <w:szCs w:val="21"/>
              </w:rPr>
              <w:t>注入攻击；支持攻击特征库，同时支持自定义特征库。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2" w:type="dxa"/>
            <w:vMerge w:val="continue"/>
            <w:vAlign w:val="center"/>
          </w:tcPr>
          <w:p>
            <w:pPr>
              <w:jc w:val="center"/>
              <w:rPr>
                <w:rFonts w:ascii="宋体" w:hAnsi="宋体"/>
                <w:b/>
                <w:szCs w:val="21"/>
              </w:rPr>
            </w:pPr>
          </w:p>
        </w:tc>
        <w:tc>
          <w:tcPr>
            <w:tcW w:w="1066" w:type="dxa"/>
            <w:vMerge w:val="restart"/>
            <w:vAlign w:val="center"/>
          </w:tcPr>
          <w:p>
            <w:pPr>
              <w:rPr>
                <w:rFonts w:ascii="宋体" w:hAnsi="宋体"/>
                <w:szCs w:val="21"/>
              </w:rPr>
            </w:pPr>
            <w:r>
              <w:rPr>
                <w:rFonts w:hint="eastAsia" w:ascii="宋体" w:hAnsi="宋体"/>
                <w:szCs w:val="21"/>
              </w:rPr>
              <w:t>DDOS防御</w:t>
            </w:r>
          </w:p>
        </w:tc>
        <w:tc>
          <w:tcPr>
            <w:tcW w:w="6649" w:type="dxa"/>
            <w:vAlign w:val="center"/>
          </w:tcPr>
          <w:p>
            <w:pPr>
              <w:rPr>
                <w:rFonts w:ascii="宋体" w:hAnsi="宋体"/>
                <w:szCs w:val="21"/>
              </w:rPr>
            </w:pPr>
            <w:r>
              <w:rPr>
                <w:rFonts w:hint="eastAsia" w:ascii="宋体" w:hAnsi="宋体"/>
                <w:szCs w:val="21"/>
              </w:rPr>
              <w:t>支持</w:t>
            </w:r>
            <w:r>
              <w:rPr>
                <w:rFonts w:ascii="宋体" w:hAnsi="宋体"/>
                <w:szCs w:val="21"/>
              </w:rPr>
              <w:t>基于</w:t>
            </w:r>
            <w:r>
              <w:rPr>
                <w:rFonts w:hint="eastAsia" w:ascii="宋体" w:hAnsi="宋体"/>
                <w:szCs w:val="21"/>
              </w:rPr>
              <w:t>IP协议</w:t>
            </w:r>
            <w:r>
              <w:rPr>
                <w:rFonts w:ascii="宋体" w:hAnsi="宋体"/>
                <w:szCs w:val="21"/>
              </w:rPr>
              <w:t>的</w:t>
            </w:r>
            <w:r>
              <w:rPr>
                <w:rFonts w:hint="eastAsia" w:ascii="宋体" w:hAnsi="宋体"/>
                <w:szCs w:val="21"/>
              </w:rPr>
              <w:t>检测</w:t>
            </w:r>
            <w:r>
              <w:rPr>
                <w:rFonts w:ascii="宋体" w:hAnsi="宋体"/>
                <w:szCs w:val="21"/>
              </w:rPr>
              <w:t>清洗</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649" w:type="dxa"/>
            <w:vAlign w:val="center"/>
          </w:tcPr>
          <w:p>
            <w:pPr>
              <w:rPr>
                <w:rFonts w:ascii="宋体" w:hAnsi="宋体"/>
                <w:szCs w:val="21"/>
              </w:rPr>
            </w:pPr>
            <w:r>
              <w:rPr>
                <w:rFonts w:hint="eastAsia" w:ascii="宋体" w:hAnsi="宋体"/>
                <w:szCs w:val="21"/>
              </w:rPr>
              <w:t>支持</w:t>
            </w:r>
            <w:r>
              <w:rPr>
                <w:rFonts w:ascii="宋体" w:hAnsi="宋体"/>
                <w:szCs w:val="21"/>
              </w:rPr>
              <w:t>基于</w:t>
            </w:r>
            <w:r>
              <w:rPr>
                <w:rFonts w:hint="eastAsia" w:ascii="宋体" w:hAnsi="宋体"/>
                <w:szCs w:val="21"/>
              </w:rPr>
              <w:t>TCP协议</w:t>
            </w:r>
            <w:r>
              <w:rPr>
                <w:rFonts w:ascii="宋体" w:hAnsi="宋体"/>
                <w:szCs w:val="21"/>
              </w:rPr>
              <w:t>的检测清洗；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649" w:type="dxa"/>
            <w:vAlign w:val="center"/>
          </w:tcPr>
          <w:p>
            <w:pPr>
              <w:rPr>
                <w:rFonts w:ascii="宋体" w:hAnsi="宋体"/>
                <w:szCs w:val="21"/>
              </w:rPr>
            </w:pPr>
            <w:r>
              <w:rPr>
                <w:rFonts w:hint="eastAsia" w:ascii="宋体" w:hAnsi="宋体"/>
                <w:szCs w:val="21"/>
              </w:rPr>
              <w:t>支持</w:t>
            </w:r>
            <w:r>
              <w:rPr>
                <w:rFonts w:ascii="宋体" w:hAnsi="宋体"/>
                <w:szCs w:val="21"/>
              </w:rPr>
              <w:t>基于</w:t>
            </w:r>
            <w:r>
              <w:rPr>
                <w:rFonts w:hint="eastAsia" w:ascii="宋体" w:hAnsi="宋体"/>
                <w:szCs w:val="21"/>
              </w:rPr>
              <w:t>UDP协议</w:t>
            </w:r>
            <w:r>
              <w:rPr>
                <w:rFonts w:ascii="宋体" w:hAnsi="宋体"/>
                <w:szCs w:val="21"/>
              </w:rPr>
              <w:t>的检测清洗</w:t>
            </w:r>
            <w:r>
              <w:rPr>
                <w:rFonts w:hint="eastAsia" w:ascii="宋体" w:hAnsi="宋体"/>
                <w:szCs w:val="21"/>
              </w:rPr>
              <w:t>，包括</w:t>
            </w:r>
            <w:r>
              <w:rPr>
                <w:rFonts w:ascii="宋体" w:hAnsi="宋体"/>
                <w:szCs w:val="21"/>
              </w:rPr>
              <w:t>对源、目的</w:t>
            </w:r>
            <w:r>
              <w:rPr>
                <w:rFonts w:hint="eastAsia" w:ascii="宋体" w:hAnsi="宋体"/>
                <w:szCs w:val="21"/>
              </w:rPr>
              <w:t>限速，</w:t>
            </w:r>
            <w:r>
              <w:rPr>
                <w:rFonts w:ascii="宋体" w:hAnsi="宋体"/>
                <w:szCs w:val="21"/>
              </w:rPr>
              <w:t>对</w:t>
            </w:r>
            <w:r>
              <w:rPr>
                <w:rFonts w:hint="eastAsia" w:ascii="宋体" w:hAnsi="宋体"/>
                <w:szCs w:val="21"/>
              </w:rPr>
              <w:t>UDP最大</w:t>
            </w:r>
            <w:r>
              <w:rPr>
                <w:rFonts w:ascii="宋体" w:hAnsi="宋体"/>
                <w:szCs w:val="21"/>
              </w:rPr>
              <w:t>及最</w:t>
            </w:r>
            <w:r>
              <w:rPr>
                <w:rFonts w:hint="eastAsia" w:ascii="宋体" w:hAnsi="宋体"/>
                <w:szCs w:val="21"/>
              </w:rPr>
              <w:t>小</w:t>
            </w:r>
            <w:r>
              <w:rPr>
                <w:rFonts w:ascii="宋体" w:hAnsi="宋体"/>
                <w:szCs w:val="21"/>
              </w:rPr>
              <w:t>报文</w:t>
            </w:r>
            <w:r>
              <w:rPr>
                <w:rFonts w:hint="eastAsia" w:ascii="宋体" w:hAnsi="宋体"/>
                <w:szCs w:val="21"/>
              </w:rPr>
              <w:t>限制；同时</w:t>
            </w:r>
            <w:r>
              <w:rPr>
                <w:rFonts w:ascii="宋体" w:hAnsi="宋体"/>
                <w:szCs w:val="21"/>
              </w:rPr>
              <w:t>支持</w:t>
            </w:r>
            <w:r>
              <w:rPr>
                <w:rFonts w:hint="eastAsia" w:ascii="宋体" w:hAnsi="宋体"/>
                <w:szCs w:val="21"/>
              </w:rPr>
              <w:t>UDP关联</w:t>
            </w:r>
            <w:r>
              <w:rPr>
                <w:rFonts w:ascii="宋体" w:hAnsi="宋体"/>
                <w:szCs w:val="21"/>
              </w:rPr>
              <w:t>认证，</w:t>
            </w:r>
            <w:r>
              <w:rPr>
                <w:rFonts w:hint="eastAsia" w:ascii="宋体" w:hAnsi="宋体"/>
                <w:szCs w:val="21"/>
              </w:rPr>
              <w:t>要求所有去往服务器的UDP报文，必须首先与该服务器的TCP端口建立TCP连接，</w:t>
            </w:r>
            <w:r>
              <w:rPr>
                <w:rFonts w:ascii="宋体" w:hAnsi="宋体"/>
                <w:szCs w:val="21"/>
              </w:rPr>
              <w:t>对源地址进行合法性认证</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649" w:type="dxa"/>
            <w:vAlign w:val="center"/>
          </w:tcPr>
          <w:p>
            <w:pPr>
              <w:rPr>
                <w:rFonts w:ascii="宋体" w:hAnsi="宋体"/>
                <w:szCs w:val="21"/>
              </w:rPr>
            </w:pPr>
            <w:r>
              <w:rPr>
                <w:rFonts w:hint="eastAsia" w:ascii="宋体" w:hAnsi="宋体"/>
                <w:szCs w:val="21"/>
              </w:rPr>
              <w:t>支持</w:t>
            </w:r>
            <w:r>
              <w:rPr>
                <w:rFonts w:ascii="宋体" w:hAnsi="宋体"/>
                <w:szCs w:val="21"/>
              </w:rPr>
              <w:t>基于</w:t>
            </w:r>
            <w:r>
              <w:rPr>
                <w:rFonts w:hint="eastAsia" w:ascii="宋体" w:hAnsi="宋体"/>
                <w:szCs w:val="21"/>
              </w:rPr>
              <w:t>DNS协议</w:t>
            </w:r>
            <w:r>
              <w:rPr>
                <w:rFonts w:ascii="宋体" w:hAnsi="宋体"/>
                <w:szCs w:val="21"/>
              </w:rPr>
              <w:t>的检测清洗</w:t>
            </w:r>
            <w:r>
              <w:rPr>
                <w:rFonts w:hint="eastAsia" w:ascii="宋体" w:hAnsi="宋体"/>
                <w:szCs w:val="21"/>
              </w:rPr>
              <w:t>，包括</w:t>
            </w:r>
            <w:r>
              <w:rPr>
                <w:rFonts w:ascii="宋体" w:hAnsi="宋体"/>
                <w:szCs w:val="21"/>
              </w:rPr>
              <w:t>但不限于：DNS QUERY FLOOD</w:t>
            </w:r>
            <w:r>
              <w:rPr>
                <w:rFonts w:hint="eastAsia" w:ascii="宋体" w:hAnsi="宋体"/>
                <w:szCs w:val="21"/>
              </w:rPr>
              <w:t>、</w:t>
            </w:r>
            <w:r>
              <w:rPr>
                <w:rFonts w:ascii="宋体" w:hAnsi="宋体"/>
                <w:szCs w:val="21"/>
              </w:rPr>
              <w:t>DNS REPLY FLOOD</w:t>
            </w:r>
            <w:r>
              <w:rPr>
                <w:rFonts w:hint="eastAsia" w:ascii="宋体" w:hAnsi="宋体"/>
                <w:szCs w:val="21"/>
              </w:rPr>
              <w:t>、DNS投毒攻击、DNS格式检查、DNS NX异常比率检测等</w:t>
            </w:r>
            <w:r>
              <w:rPr>
                <w:rFonts w:ascii="宋体" w:hAnsi="宋体"/>
                <w:szCs w:val="21"/>
              </w:rPr>
              <w:t>；</w:t>
            </w:r>
            <w:r>
              <w:rPr>
                <w:rFonts w:hint="eastAsia" w:ascii="宋体" w:hAnsi="宋体"/>
                <w:szCs w:val="21"/>
              </w:rPr>
              <w:t>支持DNS QUERY源认证、</w:t>
            </w:r>
            <w:r>
              <w:rPr>
                <w:rFonts w:ascii="宋体" w:hAnsi="宋体"/>
                <w:szCs w:val="21"/>
              </w:rPr>
              <w:t>DNS REPLY</w:t>
            </w:r>
            <w:r>
              <w:rPr>
                <w:rFonts w:hint="eastAsia" w:ascii="宋体" w:hAnsi="宋体"/>
                <w:szCs w:val="21"/>
              </w:rPr>
              <w:t>源认证</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649" w:type="dxa"/>
            <w:vAlign w:val="center"/>
          </w:tcPr>
          <w:p>
            <w:pPr>
              <w:rPr>
                <w:rFonts w:ascii="宋体" w:hAnsi="宋体"/>
                <w:szCs w:val="21"/>
              </w:rPr>
            </w:pPr>
            <w:r>
              <w:rPr>
                <w:rFonts w:hint="eastAsia" w:ascii="宋体" w:hAnsi="宋体"/>
                <w:szCs w:val="21"/>
              </w:rPr>
              <w:t>支持</w:t>
            </w:r>
            <w:r>
              <w:rPr>
                <w:rFonts w:ascii="宋体" w:hAnsi="宋体"/>
                <w:szCs w:val="21"/>
              </w:rPr>
              <w:t>基于</w:t>
            </w:r>
            <w:r>
              <w:rPr>
                <w:rFonts w:hint="eastAsia" w:ascii="宋体" w:hAnsi="宋体"/>
                <w:szCs w:val="21"/>
              </w:rPr>
              <w:t>HTTP协议</w:t>
            </w:r>
            <w:r>
              <w:rPr>
                <w:rFonts w:ascii="宋体" w:hAnsi="宋体"/>
                <w:szCs w:val="21"/>
              </w:rPr>
              <w:t>的检测清洗</w:t>
            </w:r>
            <w:r>
              <w:rPr>
                <w:rFonts w:hint="eastAsia" w:ascii="宋体" w:hAnsi="宋体"/>
                <w:szCs w:val="21"/>
              </w:rPr>
              <w:t>，</w:t>
            </w:r>
            <w:r>
              <w:rPr>
                <w:rFonts w:ascii="宋体" w:hAnsi="宋体"/>
                <w:szCs w:val="21"/>
              </w:rPr>
              <w:t>支持</w:t>
            </w:r>
            <w:r>
              <w:rPr>
                <w:rFonts w:hint="eastAsia" w:ascii="宋体" w:hAnsi="宋体"/>
                <w:szCs w:val="21"/>
              </w:rPr>
              <w:t>对HTTP slow-header和HTTP slow-post设置</w:t>
            </w:r>
            <w:r>
              <w:rPr>
                <w:rFonts w:ascii="宋体" w:hAnsi="宋体"/>
                <w:szCs w:val="21"/>
              </w:rPr>
              <w:t>最大传输</w:t>
            </w:r>
            <w:r>
              <w:rPr>
                <w:rFonts w:hint="eastAsia" w:ascii="宋体" w:hAnsi="宋体"/>
                <w:szCs w:val="21"/>
              </w:rPr>
              <w:t>时间</w:t>
            </w:r>
            <w:r>
              <w:rPr>
                <w:rFonts w:ascii="宋体" w:hAnsi="宋体"/>
                <w:szCs w:val="21"/>
              </w:rPr>
              <w:t>以及</w:t>
            </w:r>
            <w:r>
              <w:rPr>
                <w:rFonts w:hint="eastAsia" w:ascii="宋体" w:hAnsi="宋体"/>
                <w:szCs w:val="21"/>
              </w:rPr>
              <w:t>异常</w:t>
            </w:r>
            <w:r>
              <w:rPr>
                <w:rFonts w:ascii="宋体" w:hAnsi="宋体"/>
                <w:szCs w:val="21"/>
              </w:rPr>
              <w:t>会话数</w:t>
            </w:r>
            <w:r>
              <w:rPr>
                <w:rFonts w:hint="eastAsia" w:ascii="宋体" w:hAnsi="宋体"/>
                <w:szCs w:val="21"/>
              </w:rPr>
              <w:t>阈值</w:t>
            </w:r>
            <w:r>
              <w:rPr>
                <w:rFonts w:ascii="宋体" w:hAnsi="宋体"/>
                <w:szCs w:val="21"/>
              </w:rPr>
              <w:t>，</w:t>
            </w:r>
            <w:r>
              <w:rPr>
                <w:rFonts w:hint="eastAsia" w:ascii="宋体" w:hAnsi="宋体"/>
                <w:szCs w:val="21"/>
              </w:rPr>
              <w:t>有效</w:t>
            </w:r>
            <w:r>
              <w:rPr>
                <w:rFonts w:ascii="宋体" w:hAnsi="宋体"/>
                <w:szCs w:val="21"/>
              </w:rPr>
              <w:t>防御慢速攻击；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649" w:type="dxa"/>
            <w:vAlign w:val="center"/>
          </w:tcPr>
          <w:p>
            <w:pPr>
              <w:rPr>
                <w:rFonts w:ascii="宋体" w:hAnsi="宋体"/>
                <w:szCs w:val="21"/>
              </w:rPr>
            </w:pPr>
            <w:r>
              <w:rPr>
                <w:rFonts w:hint="eastAsia" w:ascii="宋体" w:hAnsi="宋体"/>
                <w:szCs w:val="21"/>
              </w:rPr>
              <w:t>支持根据</w:t>
            </w:r>
            <w:r>
              <w:rPr>
                <w:rFonts w:ascii="宋体" w:hAnsi="宋体"/>
                <w:szCs w:val="21"/>
              </w:rPr>
              <w:t>DOS/DDOS</w:t>
            </w:r>
            <w:r>
              <w:rPr>
                <w:rFonts w:hint="eastAsia" w:ascii="宋体" w:hAnsi="宋体"/>
                <w:szCs w:val="21"/>
              </w:rPr>
              <w:t>攻击</w:t>
            </w:r>
            <w:r>
              <w:rPr>
                <w:rFonts w:ascii="宋体" w:hAnsi="宋体"/>
                <w:szCs w:val="21"/>
              </w:rPr>
              <w:t>行为</w:t>
            </w:r>
            <w:r>
              <w:rPr>
                <w:rFonts w:hint="eastAsia" w:ascii="宋体" w:hAnsi="宋体"/>
                <w:szCs w:val="21"/>
              </w:rPr>
              <w:t>自动添加动态黑/白名单功能；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文件过滤</w:t>
            </w:r>
          </w:p>
        </w:tc>
        <w:tc>
          <w:tcPr>
            <w:tcW w:w="6649" w:type="dxa"/>
            <w:vAlign w:val="center"/>
          </w:tcPr>
          <w:p>
            <w:pPr>
              <w:rPr>
                <w:rFonts w:ascii="宋体" w:hAnsi="宋体"/>
                <w:szCs w:val="21"/>
              </w:rPr>
            </w:pPr>
            <w:r>
              <w:rPr>
                <w:rFonts w:hint="eastAsia" w:ascii="宋体" w:hAnsi="宋体"/>
                <w:szCs w:val="21"/>
              </w:rPr>
              <w:t>内置文件过滤引擎，支持对即时</w:t>
            </w:r>
            <w:r>
              <w:rPr>
                <w:rFonts w:ascii="宋体" w:hAnsi="宋体"/>
                <w:szCs w:val="21"/>
              </w:rPr>
              <w:t>通讯、</w:t>
            </w:r>
            <w:r>
              <w:rPr>
                <w:rFonts w:hint="eastAsia" w:ascii="宋体" w:hAnsi="宋体"/>
                <w:szCs w:val="21"/>
              </w:rPr>
              <w:t>社交网络</w:t>
            </w:r>
            <w:r>
              <w:rPr>
                <w:rFonts w:ascii="宋体" w:hAnsi="宋体"/>
                <w:szCs w:val="21"/>
              </w:rPr>
              <w:t>、</w:t>
            </w:r>
            <w:r>
              <w:rPr>
                <w:rFonts w:hint="eastAsia" w:ascii="宋体" w:hAnsi="宋体"/>
                <w:szCs w:val="21"/>
              </w:rPr>
              <w:t>网络</w:t>
            </w:r>
            <w:r>
              <w:rPr>
                <w:rFonts w:ascii="宋体" w:hAnsi="宋体"/>
                <w:szCs w:val="21"/>
              </w:rPr>
              <w:t>硬盘</w:t>
            </w:r>
            <w:r>
              <w:rPr>
                <w:rFonts w:hint="eastAsia" w:ascii="宋体" w:hAnsi="宋体"/>
                <w:szCs w:val="21"/>
              </w:rPr>
              <w:t>、网页</w:t>
            </w:r>
            <w:r>
              <w:rPr>
                <w:rFonts w:ascii="宋体" w:hAnsi="宋体"/>
                <w:szCs w:val="21"/>
              </w:rPr>
              <w:t>邮箱、</w:t>
            </w:r>
            <w:r>
              <w:rPr>
                <w:rFonts w:hint="eastAsia" w:ascii="宋体" w:hAnsi="宋体"/>
                <w:szCs w:val="21"/>
              </w:rPr>
              <w:t>IM文件</w:t>
            </w:r>
            <w:r>
              <w:rPr>
                <w:rFonts w:ascii="宋体" w:hAnsi="宋体"/>
                <w:szCs w:val="21"/>
              </w:rPr>
              <w:t>传输等应用类型以及HTTP/FTP/SMTP/POP3</w:t>
            </w:r>
            <w:r>
              <w:rPr>
                <w:rFonts w:hint="eastAsia" w:ascii="宋体" w:hAnsi="宋体"/>
                <w:szCs w:val="21"/>
              </w:rPr>
              <w:t>等标准协议进行</w:t>
            </w:r>
            <w:r>
              <w:rPr>
                <w:rFonts w:ascii="宋体" w:hAnsi="宋体"/>
                <w:szCs w:val="21"/>
              </w:rPr>
              <w:t>检测，</w:t>
            </w:r>
            <w:r>
              <w:rPr>
                <w:rFonts w:hint="eastAsia" w:ascii="宋体" w:hAnsi="宋体"/>
                <w:szCs w:val="21"/>
              </w:rPr>
              <w:t>识别可执行</w:t>
            </w:r>
            <w:r>
              <w:rPr>
                <w:rFonts w:ascii="宋体" w:hAnsi="宋体"/>
                <w:szCs w:val="21"/>
              </w:rPr>
              <w:t>文件、office文件、</w:t>
            </w:r>
            <w:r>
              <w:rPr>
                <w:rFonts w:hint="eastAsia" w:ascii="宋体" w:hAnsi="宋体"/>
                <w:szCs w:val="21"/>
              </w:rPr>
              <w:t>视频文件</w:t>
            </w:r>
            <w:r>
              <w:rPr>
                <w:rFonts w:ascii="宋体" w:hAnsi="宋体"/>
                <w:szCs w:val="21"/>
              </w:rPr>
              <w:t>、图片文件、</w:t>
            </w:r>
            <w:r>
              <w:rPr>
                <w:rFonts w:hint="eastAsia" w:ascii="宋体" w:hAnsi="宋体"/>
                <w:szCs w:val="21"/>
              </w:rPr>
              <w:t>帮助</w:t>
            </w:r>
            <w:r>
              <w:rPr>
                <w:rFonts w:ascii="宋体" w:hAnsi="宋体"/>
                <w:szCs w:val="21"/>
              </w:rPr>
              <w:t>文件、</w:t>
            </w:r>
            <w:r>
              <w:rPr>
                <w:rFonts w:hint="eastAsia" w:ascii="宋体" w:hAnsi="宋体"/>
                <w:szCs w:val="21"/>
              </w:rPr>
              <w:t>压缩</w:t>
            </w:r>
            <w:r>
              <w:rPr>
                <w:rFonts w:ascii="宋体" w:hAnsi="宋体"/>
                <w:szCs w:val="21"/>
              </w:rPr>
              <w:t>文件、</w:t>
            </w:r>
            <w:r>
              <w:rPr>
                <w:rFonts w:hint="eastAsia" w:ascii="宋体" w:hAnsi="宋体"/>
                <w:szCs w:val="21"/>
              </w:rPr>
              <w:t>数据</w:t>
            </w:r>
            <w:r>
              <w:rPr>
                <w:rFonts w:ascii="宋体" w:hAnsi="宋体"/>
                <w:szCs w:val="21"/>
              </w:rPr>
              <w:t>文件</w:t>
            </w:r>
            <w:r>
              <w:rPr>
                <w:rFonts w:hint="eastAsia" w:ascii="宋体" w:hAnsi="宋体"/>
                <w:szCs w:val="21"/>
              </w:rPr>
              <w:t>等超过40种文档类型的文件过滤；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内容过滤</w:t>
            </w:r>
          </w:p>
        </w:tc>
        <w:tc>
          <w:tcPr>
            <w:tcW w:w="6649" w:type="dxa"/>
            <w:vAlign w:val="center"/>
          </w:tcPr>
          <w:p>
            <w:pPr>
              <w:rPr>
                <w:rFonts w:ascii="宋体" w:hAnsi="宋体"/>
                <w:szCs w:val="21"/>
              </w:rPr>
            </w:pPr>
            <w:r>
              <w:rPr>
                <w:rFonts w:hint="eastAsia" w:ascii="宋体" w:hAnsi="宋体"/>
                <w:szCs w:val="21"/>
              </w:rPr>
              <w:t>支持</w:t>
            </w:r>
            <w:r>
              <w:rPr>
                <w:rFonts w:ascii="宋体" w:hAnsi="宋体"/>
                <w:szCs w:val="21"/>
              </w:rPr>
              <w:t>基于</w:t>
            </w:r>
            <w:r>
              <w:rPr>
                <w:rFonts w:hint="eastAsia" w:ascii="宋体" w:hAnsi="宋体"/>
                <w:szCs w:val="21"/>
              </w:rPr>
              <w:t>http</w:t>
            </w:r>
            <w:r>
              <w:rPr>
                <w:rFonts w:ascii="宋体" w:hAnsi="宋体"/>
                <w:szCs w:val="21"/>
              </w:rPr>
              <w:t>、ftp、telnet、</w:t>
            </w:r>
            <w:r>
              <w:rPr>
                <w:rFonts w:hint="eastAsia" w:ascii="宋体" w:hAnsi="宋体"/>
                <w:szCs w:val="21"/>
              </w:rPr>
              <w:t>smtp</w:t>
            </w:r>
            <w:r>
              <w:rPr>
                <w:rFonts w:ascii="宋体" w:hAnsi="宋体"/>
                <w:szCs w:val="21"/>
              </w:rPr>
              <w:t>、pop3</w:t>
            </w:r>
            <w:r>
              <w:rPr>
                <w:rFonts w:hint="eastAsia" w:ascii="宋体" w:hAnsi="宋体"/>
                <w:szCs w:val="21"/>
              </w:rPr>
              <w:t>等协议</w:t>
            </w:r>
            <w:r>
              <w:rPr>
                <w:rFonts w:ascii="宋体" w:hAnsi="宋体"/>
                <w:szCs w:val="21"/>
              </w:rPr>
              <w:t>的内容过滤策略，</w:t>
            </w:r>
            <w:r>
              <w:rPr>
                <w:rFonts w:hint="eastAsia" w:ascii="宋体" w:hAnsi="宋体"/>
                <w:szCs w:val="21"/>
              </w:rPr>
              <w:t>支持过滤FTP信令：上传文件、下载文件、删除文件、重命名文件、创建目录、删除目录、列出目录等</w:t>
            </w:r>
            <w:r>
              <w:rPr>
                <w:rFonts w:ascii="宋体" w:hAnsi="宋体"/>
                <w:szCs w:val="21"/>
              </w:rPr>
              <w:t>，</w:t>
            </w:r>
            <w:r>
              <w:rPr>
                <w:rFonts w:hint="eastAsia" w:ascii="宋体" w:hAnsi="宋体"/>
                <w:szCs w:val="21"/>
              </w:rPr>
              <w:t>邮件</w:t>
            </w:r>
            <w:r>
              <w:rPr>
                <w:rFonts w:ascii="宋体" w:hAnsi="宋体"/>
                <w:szCs w:val="21"/>
              </w:rPr>
              <w:t>过滤</w:t>
            </w:r>
            <w:r>
              <w:rPr>
                <w:rFonts w:hint="eastAsia" w:ascii="宋体" w:hAnsi="宋体"/>
                <w:szCs w:val="21"/>
              </w:rPr>
              <w:t>支持</w:t>
            </w:r>
            <w:r>
              <w:rPr>
                <w:rFonts w:ascii="宋体" w:hAnsi="宋体"/>
                <w:szCs w:val="21"/>
              </w:rPr>
              <w:t>对发件人、收件人、</w:t>
            </w:r>
            <w:r>
              <w:rPr>
                <w:rFonts w:hint="eastAsia" w:ascii="宋体" w:hAnsi="宋体"/>
                <w:szCs w:val="21"/>
              </w:rPr>
              <w:t>主题</w:t>
            </w:r>
            <w:r>
              <w:rPr>
                <w:rFonts w:ascii="宋体" w:hAnsi="宋体"/>
                <w:szCs w:val="21"/>
              </w:rPr>
              <w:t>、内容、</w:t>
            </w:r>
            <w:r>
              <w:rPr>
                <w:rFonts w:hint="eastAsia" w:ascii="宋体" w:hAnsi="宋体"/>
                <w:szCs w:val="21"/>
              </w:rPr>
              <w:t>附件等进行</w:t>
            </w:r>
            <w:r>
              <w:rPr>
                <w:rFonts w:ascii="宋体" w:hAnsi="宋体"/>
                <w:szCs w:val="21"/>
              </w:rPr>
              <w:t>过滤</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ascii="宋体" w:hAnsi="宋体"/>
                <w:szCs w:val="21"/>
              </w:rPr>
              <w:t>敏感数据泄漏防护</w:t>
            </w:r>
          </w:p>
        </w:tc>
        <w:tc>
          <w:tcPr>
            <w:tcW w:w="6649" w:type="dxa"/>
            <w:vAlign w:val="center"/>
          </w:tcPr>
          <w:p>
            <w:pPr>
              <w:rPr>
                <w:rFonts w:ascii="宋体" w:hAnsi="宋体"/>
                <w:szCs w:val="21"/>
              </w:rPr>
            </w:pPr>
            <w:r>
              <w:rPr>
                <w:rFonts w:hint="eastAsia" w:ascii="宋体" w:hAnsi="宋体"/>
                <w:szCs w:val="21"/>
              </w:rPr>
              <w:t>内置DLP数据</w:t>
            </w:r>
            <w:r>
              <w:rPr>
                <w:rFonts w:ascii="宋体" w:hAnsi="宋体"/>
                <w:szCs w:val="21"/>
              </w:rPr>
              <w:t>防泄漏</w:t>
            </w:r>
            <w:r>
              <w:rPr>
                <w:rFonts w:hint="eastAsia" w:ascii="宋体" w:hAnsi="宋体"/>
                <w:szCs w:val="21"/>
              </w:rPr>
              <w:t>引擎</w:t>
            </w:r>
            <w:r>
              <w:rPr>
                <w:rFonts w:ascii="宋体" w:hAnsi="宋体"/>
                <w:szCs w:val="21"/>
              </w:rPr>
              <w:t>，</w:t>
            </w:r>
            <w:r>
              <w:rPr>
                <w:rFonts w:hint="eastAsia" w:ascii="宋体" w:hAnsi="宋体"/>
                <w:szCs w:val="21"/>
              </w:rPr>
              <w:t>对</w:t>
            </w:r>
            <w:r>
              <w:rPr>
                <w:rFonts w:ascii="宋体" w:hAnsi="宋体"/>
                <w:szCs w:val="21"/>
              </w:rPr>
              <w:t>数据进行</w:t>
            </w:r>
            <w:r>
              <w:rPr>
                <w:rFonts w:hint="eastAsia" w:ascii="宋体" w:hAnsi="宋体"/>
                <w:szCs w:val="21"/>
              </w:rPr>
              <w:t>监控识别，达到敏感数据防护目的。支持识别的文件类型数量不少于</w:t>
            </w:r>
            <w:r>
              <w:rPr>
                <w:rFonts w:ascii="宋体" w:hAnsi="宋体"/>
                <w:szCs w:val="21"/>
              </w:rPr>
              <w:t>1000</w:t>
            </w:r>
            <w:r>
              <w:rPr>
                <w:rFonts w:hint="eastAsia" w:ascii="宋体" w:hAnsi="宋体"/>
                <w:szCs w:val="21"/>
              </w:rPr>
              <w:t>种；文件内容识格式不少于</w:t>
            </w:r>
            <w:r>
              <w:rPr>
                <w:rFonts w:ascii="宋体" w:hAnsi="宋体"/>
                <w:szCs w:val="21"/>
              </w:rPr>
              <w:t>300</w:t>
            </w:r>
            <w:r>
              <w:rPr>
                <w:rFonts w:hint="eastAsia" w:ascii="宋体" w:hAnsi="宋体"/>
                <w:szCs w:val="21"/>
              </w:rPr>
              <w:t>种。</w:t>
            </w:r>
          </w:p>
          <w:p>
            <w:pPr>
              <w:pStyle w:val="9"/>
              <w:rPr>
                <w:rFonts w:ascii="宋体" w:hAnsi="宋体"/>
                <w:szCs w:val="21"/>
              </w:rPr>
            </w:pPr>
            <w:r>
              <w:rPr>
                <w:rFonts w:hint="eastAsia" w:ascii="宋体" w:hAnsi="宋体"/>
                <w:szCs w:val="21"/>
              </w:rPr>
              <w:t>支持多种加密和压缩文件格式，如</w:t>
            </w:r>
            <w:r>
              <w:rPr>
                <w:rFonts w:ascii="宋体" w:hAnsi="宋体"/>
                <w:szCs w:val="21"/>
              </w:rPr>
              <w:t>RAR</w:t>
            </w:r>
            <w:r>
              <w:rPr>
                <w:rFonts w:hint="eastAsia" w:ascii="宋体" w:hAnsi="宋体"/>
                <w:szCs w:val="21"/>
              </w:rPr>
              <w:t>、</w:t>
            </w:r>
            <w:r>
              <w:rPr>
                <w:rFonts w:ascii="宋体" w:hAnsi="宋体"/>
                <w:szCs w:val="21"/>
              </w:rPr>
              <w:t>ZIP</w:t>
            </w:r>
            <w:r>
              <w:rPr>
                <w:rFonts w:hint="eastAsia" w:ascii="宋体" w:hAnsi="宋体"/>
                <w:szCs w:val="21"/>
              </w:rPr>
              <w:t>、</w:t>
            </w:r>
            <w:r>
              <w:rPr>
                <w:rFonts w:ascii="宋体" w:hAnsi="宋体"/>
                <w:szCs w:val="21"/>
              </w:rPr>
              <w:t>GZ</w:t>
            </w:r>
            <w:r>
              <w:rPr>
                <w:rFonts w:hint="eastAsia" w:ascii="宋体" w:hAnsi="宋体"/>
                <w:szCs w:val="21"/>
              </w:rPr>
              <w:t>、</w:t>
            </w:r>
            <w:r>
              <w:rPr>
                <w:rFonts w:ascii="宋体" w:hAnsi="宋体"/>
                <w:szCs w:val="21"/>
              </w:rPr>
              <w:t>TAR</w:t>
            </w:r>
            <w:r>
              <w:rPr>
                <w:rFonts w:hint="eastAsia" w:ascii="宋体" w:hAnsi="宋体"/>
                <w:szCs w:val="21"/>
              </w:rPr>
              <w:t>等；支持识别</w:t>
            </w:r>
            <w:r>
              <w:rPr>
                <w:rFonts w:ascii="宋体" w:hAnsi="宋体"/>
                <w:szCs w:val="21"/>
              </w:rPr>
              <w:t>Linux</w:t>
            </w:r>
            <w:r>
              <w:rPr>
                <w:rFonts w:hint="eastAsia" w:ascii="宋体" w:hAnsi="宋体"/>
                <w:szCs w:val="21"/>
              </w:rPr>
              <w:t>，</w:t>
            </w:r>
            <w:r>
              <w:rPr>
                <w:rFonts w:ascii="宋体" w:hAnsi="宋体"/>
                <w:szCs w:val="21"/>
              </w:rPr>
              <w:t>Unix</w:t>
            </w:r>
            <w:r>
              <w:rPr>
                <w:rFonts w:hint="eastAsia" w:ascii="宋体" w:hAnsi="宋体"/>
                <w:szCs w:val="21"/>
              </w:rPr>
              <w:t>等非</w:t>
            </w:r>
            <w:r>
              <w:rPr>
                <w:rFonts w:ascii="宋体" w:hAnsi="宋体"/>
                <w:szCs w:val="21"/>
              </w:rPr>
              <w:t>Winodws</w:t>
            </w:r>
            <w:r>
              <w:rPr>
                <w:rFonts w:hint="eastAsia" w:ascii="宋体" w:hAnsi="宋体"/>
                <w:szCs w:val="21"/>
              </w:rPr>
              <w:t>的文件类型；支持识别异常文件格式类型；支持识别自定义文件类型；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配置维护</w:t>
            </w:r>
          </w:p>
        </w:tc>
        <w:tc>
          <w:tcPr>
            <w:tcW w:w="6649" w:type="dxa"/>
            <w:vAlign w:val="center"/>
          </w:tcPr>
          <w:p>
            <w:pPr>
              <w:rPr>
                <w:rFonts w:ascii="宋体" w:hAnsi="宋体"/>
                <w:szCs w:val="21"/>
              </w:rPr>
            </w:pPr>
            <w:r>
              <w:rPr>
                <w:rFonts w:hint="eastAsia" w:ascii="宋体" w:hAnsi="宋体"/>
                <w:szCs w:val="21"/>
              </w:rPr>
              <w:t>支持多个配置文件并存，配置文件数量不少于20个；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升级维护</w:t>
            </w:r>
          </w:p>
        </w:tc>
        <w:tc>
          <w:tcPr>
            <w:tcW w:w="6649" w:type="dxa"/>
            <w:vAlign w:val="center"/>
          </w:tcPr>
          <w:p>
            <w:pPr>
              <w:rPr>
                <w:rFonts w:ascii="宋体" w:hAnsi="宋体"/>
                <w:szCs w:val="21"/>
              </w:rPr>
            </w:pPr>
            <w:r>
              <w:rPr>
                <w:rFonts w:hint="eastAsia" w:ascii="宋体" w:hAnsi="宋体"/>
                <w:szCs w:val="21"/>
              </w:rPr>
              <w:t>支持多个系统升级包并存，系统升级包文件数量不少于5个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管理</w:t>
            </w:r>
            <w:r>
              <w:rPr>
                <w:rFonts w:ascii="宋体" w:hAnsi="宋体"/>
                <w:szCs w:val="21"/>
              </w:rPr>
              <w:t>员</w:t>
            </w:r>
          </w:p>
        </w:tc>
        <w:tc>
          <w:tcPr>
            <w:tcW w:w="6649" w:type="dxa"/>
            <w:vAlign w:val="center"/>
          </w:tcPr>
          <w:p>
            <w:pPr>
              <w:rPr>
                <w:rFonts w:ascii="宋体" w:hAnsi="宋体"/>
                <w:szCs w:val="21"/>
              </w:rPr>
            </w:pPr>
            <w:r>
              <w:rPr>
                <w:rFonts w:hint="eastAsia" w:ascii="宋体" w:hAnsi="宋体"/>
                <w:szCs w:val="21"/>
              </w:rPr>
              <w:t>支持管理员分权管理，可自定义管理员权限模板，所有功能模块组合可由管理员自由组合配置（提供软件截图）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2" w:type="dxa"/>
            <w:vMerge w:val="restart"/>
            <w:vAlign w:val="center"/>
          </w:tcPr>
          <w:p>
            <w:pPr>
              <w:jc w:val="center"/>
              <w:rPr>
                <w:rFonts w:ascii="宋体" w:hAnsi="宋体"/>
                <w:b/>
                <w:szCs w:val="21"/>
              </w:rPr>
            </w:pPr>
            <w:r>
              <w:rPr>
                <w:rFonts w:hint="eastAsia" w:ascii="宋体" w:hAnsi="宋体"/>
                <w:b/>
                <w:szCs w:val="21"/>
              </w:rPr>
              <w:t>数据中心</w:t>
            </w:r>
          </w:p>
        </w:tc>
        <w:tc>
          <w:tcPr>
            <w:tcW w:w="1066" w:type="dxa"/>
            <w:vAlign w:val="center"/>
          </w:tcPr>
          <w:p>
            <w:pPr>
              <w:rPr>
                <w:rFonts w:ascii="宋体" w:hAnsi="宋体"/>
                <w:szCs w:val="21"/>
                <w:highlight w:val="yellow"/>
              </w:rPr>
            </w:pPr>
            <w:r>
              <w:rPr>
                <w:rFonts w:hint="eastAsia" w:ascii="宋体" w:hAnsi="宋体"/>
                <w:szCs w:val="21"/>
              </w:rPr>
              <w:t>审计</w:t>
            </w:r>
          </w:p>
        </w:tc>
        <w:tc>
          <w:tcPr>
            <w:tcW w:w="6649" w:type="dxa"/>
            <w:vAlign w:val="center"/>
          </w:tcPr>
          <w:p>
            <w:pPr>
              <w:rPr>
                <w:rFonts w:ascii="宋体" w:hAnsi="宋体"/>
                <w:szCs w:val="21"/>
              </w:rPr>
            </w:pPr>
            <w:r>
              <w:rPr>
                <w:rFonts w:hint="eastAsia" w:ascii="宋体" w:hAnsi="宋体"/>
                <w:szCs w:val="21"/>
              </w:rPr>
              <w:t>支持</w:t>
            </w:r>
            <w:r>
              <w:rPr>
                <w:rFonts w:ascii="宋体" w:hAnsi="宋体"/>
                <w:szCs w:val="21"/>
              </w:rPr>
              <w:t>独立配置审计策略</w:t>
            </w:r>
            <w:r>
              <w:rPr>
                <w:rFonts w:hint="eastAsia" w:ascii="宋体" w:hAnsi="宋体"/>
                <w:szCs w:val="21"/>
              </w:rPr>
              <w:t>，同时也可将指定的 IP 地址、 URL、应用加入白名单，</w:t>
            </w:r>
            <w:r>
              <w:rPr>
                <w:rFonts w:ascii="宋体" w:hAnsi="宋体"/>
                <w:szCs w:val="21"/>
              </w:rPr>
              <w:t>不进行数据审计</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jc w:val="center"/>
        </w:trPr>
        <w:tc>
          <w:tcPr>
            <w:tcW w:w="672" w:type="dxa"/>
            <w:vMerge w:val="continue"/>
            <w:vAlign w:val="center"/>
          </w:tcPr>
          <w:p>
            <w:pPr>
              <w:jc w:val="center"/>
              <w:rPr>
                <w:rFonts w:ascii="宋体" w:hAnsi="宋体"/>
                <w:b/>
                <w:szCs w:val="21"/>
              </w:rPr>
            </w:pPr>
          </w:p>
        </w:tc>
        <w:tc>
          <w:tcPr>
            <w:tcW w:w="1066" w:type="dxa"/>
            <w:vMerge w:val="restart"/>
            <w:vAlign w:val="center"/>
          </w:tcPr>
          <w:p>
            <w:pPr>
              <w:rPr>
                <w:rFonts w:ascii="宋体" w:hAnsi="宋体"/>
                <w:szCs w:val="21"/>
              </w:rPr>
            </w:pPr>
            <w:r>
              <w:rPr>
                <w:rFonts w:hint="eastAsia" w:ascii="宋体" w:hAnsi="宋体"/>
                <w:szCs w:val="21"/>
              </w:rPr>
              <w:t>日志</w:t>
            </w:r>
          </w:p>
        </w:tc>
        <w:tc>
          <w:tcPr>
            <w:tcW w:w="6649" w:type="dxa"/>
            <w:vAlign w:val="center"/>
          </w:tcPr>
          <w:p>
            <w:pPr>
              <w:rPr>
                <w:rFonts w:ascii="宋体" w:hAnsi="宋体"/>
                <w:szCs w:val="21"/>
              </w:rPr>
            </w:pPr>
            <w:r>
              <w:rPr>
                <w:rFonts w:hint="eastAsia" w:ascii="宋体" w:hAnsi="宋体"/>
                <w:szCs w:val="21"/>
              </w:rPr>
              <w:t>支持</w:t>
            </w:r>
            <w:r>
              <w:rPr>
                <w:rFonts w:ascii="宋体" w:hAnsi="宋体"/>
                <w:szCs w:val="21"/>
              </w:rPr>
              <w:t>日志本地存储，</w:t>
            </w:r>
            <w:r>
              <w:rPr>
                <w:rFonts w:hint="eastAsia" w:ascii="宋体" w:hAnsi="宋体"/>
                <w:szCs w:val="21"/>
              </w:rPr>
              <w:t>可对不同类型日志设置存储空间；</w:t>
            </w:r>
          </w:p>
          <w:p>
            <w:pPr>
              <w:rPr>
                <w:rFonts w:ascii="宋体" w:hAnsi="宋体"/>
                <w:szCs w:val="21"/>
              </w:rPr>
            </w:pPr>
            <w:r>
              <w:rPr>
                <w:rFonts w:ascii="宋体" w:hAnsi="宋体"/>
                <w:szCs w:val="21"/>
              </w:rPr>
              <w:t>支持</w:t>
            </w:r>
            <w:r>
              <w:rPr>
                <w:rFonts w:hint="eastAsia" w:ascii="宋体" w:hAnsi="宋体"/>
                <w:szCs w:val="21"/>
              </w:rPr>
              <w:t>外发至SYSLOG服务器，可将多条日志合并成一条日志传送到日志服务器中，可选择对日志传输是否加密，设定8位的加密密钥；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649" w:type="dxa"/>
            <w:vAlign w:val="center"/>
          </w:tcPr>
          <w:p>
            <w:pPr>
              <w:rPr>
                <w:rFonts w:ascii="宋体" w:hAnsi="宋体"/>
                <w:szCs w:val="21"/>
              </w:rPr>
            </w:pPr>
            <w:r>
              <w:rPr>
                <w:rFonts w:hint="eastAsia" w:ascii="宋体" w:hAnsi="宋体"/>
                <w:szCs w:val="21"/>
              </w:rPr>
              <w:t>日志查看</w:t>
            </w:r>
            <w:r>
              <w:rPr>
                <w:rFonts w:ascii="宋体" w:hAnsi="宋体"/>
                <w:szCs w:val="21"/>
              </w:rPr>
              <w:t>可划分为</w:t>
            </w:r>
            <w:r>
              <w:rPr>
                <w:rFonts w:hint="eastAsia" w:ascii="宋体" w:hAnsi="宋体"/>
                <w:szCs w:val="21"/>
              </w:rPr>
              <w:t>管理日志</w:t>
            </w:r>
            <w:r>
              <w:rPr>
                <w:rFonts w:ascii="宋体" w:hAnsi="宋体"/>
                <w:szCs w:val="21"/>
              </w:rPr>
              <w:t>、</w:t>
            </w:r>
            <w:r>
              <w:rPr>
                <w:rFonts w:hint="eastAsia" w:ascii="宋体" w:hAnsi="宋体"/>
                <w:szCs w:val="21"/>
              </w:rPr>
              <w:t>系统</w:t>
            </w:r>
            <w:r>
              <w:rPr>
                <w:rFonts w:ascii="宋体" w:hAnsi="宋体"/>
                <w:szCs w:val="21"/>
              </w:rPr>
              <w:t>日志、</w:t>
            </w:r>
            <w:r>
              <w:rPr>
                <w:rFonts w:hint="eastAsia" w:ascii="宋体" w:hAnsi="宋体"/>
                <w:szCs w:val="21"/>
              </w:rPr>
              <w:t>策略</w:t>
            </w:r>
            <w:r>
              <w:rPr>
                <w:rFonts w:ascii="宋体" w:hAnsi="宋体"/>
                <w:szCs w:val="21"/>
              </w:rPr>
              <w:t>日志</w:t>
            </w:r>
            <w:r>
              <w:rPr>
                <w:rFonts w:hint="eastAsia" w:ascii="宋体" w:hAnsi="宋体"/>
                <w:szCs w:val="21"/>
              </w:rPr>
              <w:t>、</w:t>
            </w:r>
            <w:r>
              <w:rPr>
                <w:rFonts w:ascii="宋体" w:hAnsi="宋体"/>
                <w:szCs w:val="21"/>
              </w:rPr>
              <w:t>应用行为日志</w:t>
            </w:r>
            <w:r>
              <w:rPr>
                <w:rFonts w:hint="eastAsia" w:ascii="宋体" w:hAnsi="宋体"/>
                <w:szCs w:val="21"/>
              </w:rPr>
              <w:t>等</w:t>
            </w:r>
            <w:r>
              <w:rPr>
                <w:rFonts w:ascii="宋体" w:hAnsi="宋体"/>
                <w:szCs w:val="21"/>
              </w:rPr>
              <w:t>四大</w:t>
            </w:r>
            <w:r>
              <w:rPr>
                <w:rFonts w:hint="eastAsia" w:ascii="宋体" w:hAnsi="宋体"/>
                <w:szCs w:val="21"/>
              </w:rPr>
              <w:t>模块，可</w:t>
            </w:r>
            <w:r>
              <w:rPr>
                <w:rFonts w:ascii="宋体" w:hAnsi="宋体"/>
                <w:szCs w:val="21"/>
              </w:rPr>
              <w:t>将日志</w:t>
            </w:r>
            <w:r>
              <w:rPr>
                <w:rFonts w:hint="eastAsia" w:ascii="宋体" w:hAnsi="宋体"/>
                <w:szCs w:val="21"/>
              </w:rPr>
              <w:t>按照CSV或XML格式</w:t>
            </w:r>
            <w:r>
              <w:rPr>
                <w:rFonts w:ascii="宋体" w:hAnsi="宋体"/>
                <w:szCs w:val="21"/>
              </w:rPr>
              <w:t>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672" w:type="dxa"/>
            <w:vMerge w:val="restart"/>
            <w:vAlign w:val="center"/>
          </w:tcPr>
          <w:p>
            <w:pPr>
              <w:jc w:val="center"/>
              <w:rPr>
                <w:rFonts w:ascii="宋体" w:hAnsi="宋体"/>
                <w:b/>
                <w:szCs w:val="21"/>
              </w:rPr>
            </w:pPr>
            <w:r>
              <w:rPr>
                <w:rFonts w:hint="eastAsia" w:ascii="宋体" w:hAnsi="宋体"/>
                <w:b/>
                <w:szCs w:val="21"/>
              </w:rPr>
              <w:t>显示</w:t>
            </w:r>
            <w:r>
              <w:rPr>
                <w:rFonts w:ascii="宋体" w:hAnsi="宋体"/>
                <w:b/>
                <w:szCs w:val="21"/>
              </w:rPr>
              <w:t>监控</w:t>
            </w:r>
          </w:p>
        </w:tc>
        <w:tc>
          <w:tcPr>
            <w:tcW w:w="1066" w:type="dxa"/>
            <w:vAlign w:val="center"/>
          </w:tcPr>
          <w:p>
            <w:pPr>
              <w:rPr>
                <w:rFonts w:ascii="宋体" w:hAnsi="宋体"/>
                <w:szCs w:val="21"/>
              </w:rPr>
            </w:pPr>
            <w:r>
              <w:rPr>
                <w:rFonts w:hint="eastAsia" w:ascii="宋体" w:hAnsi="宋体"/>
                <w:szCs w:val="21"/>
              </w:rPr>
              <w:t>资源监控</w:t>
            </w:r>
          </w:p>
        </w:tc>
        <w:tc>
          <w:tcPr>
            <w:tcW w:w="6649" w:type="dxa"/>
            <w:vAlign w:val="center"/>
          </w:tcPr>
          <w:p>
            <w:pPr>
              <w:rPr>
                <w:rFonts w:ascii="宋体" w:hAnsi="宋体"/>
                <w:szCs w:val="21"/>
              </w:rPr>
            </w:pPr>
            <w:r>
              <w:rPr>
                <w:rFonts w:hint="eastAsia" w:ascii="宋体" w:hAnsi="宋体"/>
                <w:szCs w:val="21"/>
              </w:rPr>
              <w:t>在WEB界面</w:t>
            </w:r>
            <w:r>
              <w:rPr>
                <w:rFonts w:ascii="宋体" w:hAnsi="宋体"/>
                <w:szCs w:val="21"/>
              </w:rPr>
              <w:t>提供</w:t>
            </w:r>
            <w:r>
              <w:rPr>
                <w:rFonts w:hint="eastAsia" w:ascii="宋体" w:hAnsi="宋体"/>
                <w:szCs w:val="21"/>
              </w:rPr>
              <w:t>资源</w:t>
            </w:r>
            <w:r>
              <w:rPr>
                <w:rFonts w:ascii="宋体" w:hAnsi="宋体"/>
                <w:szCs w:val="21"/>
              </w:rPr>
              <w:t>监控</w:t>
            </w:r>
            <w:r>
              <w:rPr>
                <w:rFonts w:hint="eastAsia" w:ascii="宋体" w:hAnsi="宋体"/>
                <w:szCs w:val="21"/>
              </w:rPr>
              <w:t>开关</w:t>
            </w:r>
            <w:r>
              <w:rPr>
                <w:rFonts w:ascii="宋体" w:hAnsi="宋体"/>
                <w:szCs w:val="21"/>
              </w:rPr>
              <w:t>，可对</w:t>
            </w:r>
            <w:r>
              <w:rPr>
                <w:rFonts w:hint="eastAsia" w:ascii="宋体" w:hAnsi="宋体"/>
                <w:szCs w:val="21"/>
              </w:rPr>
              <w:t>cpu占用率</w:t>
            </w:r>
            <w:r>
              <w:rPr>
                <w:rFonts w:ascii="宋体" w:hAnsi="宋体"/>
                <w:szCs w:val="21"/>
              </w:rPr>
              <w:t>、</w:t>
            </w:r>
            <w:r>
              <w:rPr>
                <w:rFonts w:hint="eastAsia" w:ascii="宋体" w:hAnsi="宋体"/>
                <w:szCs w:val="21"/>
              </w:rPr>
              <w:t>内存</w:t>
            </w:r>
            <w:r>
              <w:rPr>
                <w:rFonts w:ascii="宋体" w:hAnsi="宋体"/>
                <w:szCs w:val="21"/>
              </w:rPr>
              <w:t>占用率、</w:t>
            </w:r>
            <w:r>
              <w:rPr>
                <w:rFonts w:hint="eastAsia" w:ascii="宋体" w:hAnsi="宋体"/>
                <w:szCs w:val="21"/>
              </w:rPr>
              <w:t>磁盘</w:t>
            </w:r>
            <w:r>
              <w:rPr>
                <w:rFonts w:ascii="宋体" w:hAnsi="宋体"/>
                <w:szCs w:val="21"/>
              </w:rPr>
              <w:t>占用率</w:t>
            </w:r>
            <w:r>
              <w:rPr>
                <w:rFonts w:hint="eastAsia" w:ascii="宋体" w:hAnsi="宋体"/>
                <w:szCs w:val="21"/>
              </w:rPr>
              <w:t>设置</w:t>
            </w:r>
            <w:r>
              <w:rPr>
                <w:rFonts w:ascii="宋体" w:hAnsi="宋体"/>
                <w:szCs w:val="21"/>
              </w:rPr>
              <w:t>阈值；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72" w:type="dxa"/>
            <w:vMerge w:val="continue"/>
            <w:vAlign w:val="center"/>
          </w:tcPr>
          <w:p>
            <w:pPr>
              <w:jc w:val="center"/>
              <w:rPr>
                <w:rFonts w:ascii="宋体" w:hAnsi="宋体"/>
                <w:b/>
                <w:szCs w:val="21"/>
              </w:rPr>
            </w:pPr>
          </w:p>
        </w:tc>
        <w:tc>
          <w:tcPr>
            <w:tcW w:w="1066" w:type="dxa"/>
            <w:vMerge w:val="restart"/>
            <w:vAlign w:val="center"/>
          </w:tcPr>
          <w:p>
            <w:pPr>
              <w:rPr>
                <w:rFonts w:ascii="宋体" w:hAnsi="宋体"/>
                <w:szCs w:val="21"/>
              </w:rPr>
            </w:pPr>
            <w:r>
              <w:rPr>
                <w:rFonts w:hint="eastAsia" w:ascii="宋体" w:hAnsi="宋体"/>
                <w:szCs w:val="21"/>
              </w:rPr>
              <w:t>流量</w:t>
            </w:r>
            <w:r>
              <w:rPr>
                <w:rFonts w:ascii="宋体" w:hAnsi="宋体"/>
                <w:szCs w:val="21"/>
              </w:rPr>
              <w:t>统计</w:t>
            </w:r>
          </w:p>
        </w:tc>
        <w:tc>
          <w:tcPr>
            <w:tcW w:w="6649" w:type="dxa"/>
            <w:vAlign w:val="center"/>
          </w:tcPr>
          <w:p>
            <w:pPr>
              <w:rPr>
                <w:rFonts w:ascii="宋体" w:hAnsi="宋体"/>
                <w:szCs w:val="21"/>
              </w:rPr>
            </w:pPr>
            <w:r>
              <w:rPr>
                <w:rFonts w:hint="eastAsia" w:ascii="宋体" w:hAnsi="宋体"/>
                <w:szCs w:val="21"/>
              </w:rPr>
              <w:t>支持根据应用对通过设备的数据报文流量进行统计；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649" w:type="dxa"/>
            <w:vAlign w:val="center"/>
          </w:tcPr>
          <w:p>
            <w:pPr>
              <w:rPr>
                <w:rFonts w:ascii="宋体" w:hAnsi="宋体"/>
                <w:szCs w:val="21"/>
              </w:rPr>
            </w:pPr>
            <w:r>
              <w:rPr>
                <w:rFonts w:hint="eastAsia" w:ascii="宋体" w:hAnsi="宋体"/>
                <w:szCs w:val="21"/>
              </w:rPr>
              <w:t>支持根据用户/用户组对通过设备的数据报文流量进行统计；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649" w:type="dxa"/>
            <w:vAlign w:val="center"/>
          </w:tcPr>
          <w:p>
            <w:pPr>
              <w:rPr>
                <w:rFonts w:ascii="宋体" w:hAnsi="宋体"/>
                <w:szCs w:val="21"/>
              </w:rPr>
            </w:pPr>
            <w:r>
              <w:rPr>
                <w:rFonts w:hint="eastAsia" w:ascii="宋体" w:hAnsi="宋体"/>
                <w:szCs w:val="21"/>
              </w:rPr>
              <w:t>支持根据服务器对通过设备的数据报文流量进行统计；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威胁</w:t>
            </w:r>
            <w:r>
              <w:rPr>
                <w:rFonts w:ascii="宋体" w:hAnsi="宋体"/>
                <w:szCs w:val="21"/>
              </w:rPr>
              <w:t>统计</w:t>
            </w:r>
          </w:p>
        </w:tc>
        <w:tc>
          <w:tcPr>
            <w:tcW w:w="6649" w:type="dxa"/>
            <w:vAlign w:val="center"/>
          </w:tcPr>
          <w:p>
            <w:pPr>
              <w:pStyle w:val="9"/>
              <w:rPr>
                <w:rFonts w:ascii="宋体" w:hAnsi="宋体"/>
                <w:szCs w:val="21"/>
              </w:rPr>
            </w:pPr>
            <w:r>
              <w:rPr>
                <w:rFonts w:hint="eastAsia" w:ascii="宋体" w:hAnsi="宋体"/>
                <w:szCs w:val="21"/>
              </w:rPr>
              <w:t>支持</w:t>
            </w:r>
            <w:r>
              <w:rPr>
                <w:rFonts w:ascii="宋体" w:hAnsi="宋体"/>
                <w:szCs w:val="21"/>
              </w:rPr>
              <w:t>根据</w:t>
            </w:r>
            <w:r>
              <w:rPr>
                <w:rFonts w:hint="eastAsia" w:ascii="宋体" w:hAnsi="宋体"/>
                <w:szCs w:val="21"/>
              </w:rPr>
              <w:t>按照</w:t>
            </w:r>
            <w:r>
              <w:rPr>
                <w:rFonts w:ascii="宋体" w:hAnsi="宋体"/>
                <w:szCs w:val="21"/>
              </w:rPr>
              <w:t>病毒</w:t>
            </w:r>
            <w:r>
              <w:rPr>
                <w:rFonts w:hint="eastAsia" w:ascii="宋体" w:hAnsi="宋体"/>
                <w:szCs w:val="21"/>
              </w:rPr>
              <w:t>防御</w:t>
            </w:r>
            <w:r>
              <w:rPr>
                <w:rFonts w:ascii="宋体" w:hAnsi="宋体"/>
                <w:szCs w:val="21"/>
              </w:rPr>
              <w:t>、入侵防御、</w:t>
            </w:r>
            <w:r>
              <w:rPr>
                <w:rFonts w:hint="eastAsia" w:ascii="宋体" w:hAnsi="宋体"/>
                <w:szCs w:val="21"/>
              </w:rPr>
              <w:t>APT防御</w:t>
            </w:r>
            <w:r>
              <w:rPr>
                <w:rFonts w:ascii="宋体" w:hAnsi="宋体"/>
                <w:szCs w:val="21"/>
              </w:rPr>
              <w:t>、ADS</w:t>
            </w:r>
            <w:r>
              <w:rPr>
                <w:rFonts w:hint="eastAsia" w:ascii="宋体" w:hAnsi="宋体"/>
                <w:szCs w:val="21"/>
              </w:rPr>
              <w:t>攻击进行</w:t>
            </w:r>
            <w:r>
              <w:rPr>
                <w:rFonts w:ascii="宋体" w:hAnsi="宋体"/>
                <w:szCs w:val="21"/>
              </w:rPr>
              <w:t>威胁统计，可按照</w:t>
            </w:r>
            <w:r>
              <w:rPr>
                <w:rFonts w:hint="eastAsia" w:ascii="宋体" w:hAnsi="宋体"/>
                <w:szCs w:val="21"/>
              </w:rPr>
              <w:t>威胁类型/攻击者/受害者</w:t>
            </w:r>
            <w:r>
              <w:rPr>
                <w:rFonts w:hint="eastAsia"/>
              </w:rPr>
              <w:t>等类似威胁排名</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672" w:type="dxa"/>
            <w:vAlign w:val="center"/>
          </w:tcPr>
          <w:p>
            <w:pPr>
              <w:jc w:val="center"/>
              <w:rPr>
                <w:rFonts w:ascii="宋体" w:hAnsi="宋体"/>
                <w:b/>
                <w:szCs w:val="21"/>
              </w:rPr>
            </w:pPr>
            <w:r>
              <w:rPr>
                <w:rFonts w:hint="eastAsia" w:ascii="宋体" w:hAnsi="宋体"/>
                <w:b/>
                <w:szCs w:val="21"/>
              </w:rPr>
              <w:t>其他</w:t>
            </w:r>
          </w:p>
        </w:tc>
        <w:tc>
          <w:tcPr>
            <w:tcW w:w="1066" w:type="dxa"/>
            <w:vAlign w:val="center"/>
          </w:tcPr>
          <w:p>
            <w:pPr>
              <w:rPr>
                <w:rFonts w:ascii="宋体" w:hAnsi="宋体"/>
                <w:szCs w:val="21"/>
              </w:rPr>
            </w:pPr>
            <w:r>
              <w:rPr>
                <w:rFonts w:hint="eastAsia" w:ascii="宋体" w:hAnsi="宋体"/>
                <w:szCs w:val="21"/>
              </w:rPr>
              <w:t>服务要求</w:t>
            </w:r>
          </w:p>
        </w:tc>
        <w:tc>
          <w:tcPr>
            <w:tcW w:w="6649" w:type="dxa"/>
            <w:vAlign w:val="center"/>
          </w:tcPr>
          <w:p>
            <w:pPr>
              <w:rPr>
                <w:rFonts w:ascii="宋体" w:hAnsi="宋体"/>
                <w:szCs w:val="21"/>
              </w:rPr>
            </w:pPr>
            <w:r>
              <w:rPr>
                <w:rFonts w:hint="eastAsia" w:ascii="宋体" w:hAnsi="宋体"/>
                <w:szCs w:val="21"/>
              </w:rPr>
              <w:t>（1）提供专业工程师进行施工、安装，其中施工安装费已包括在本次采购项目中；</w:t>
            </w:r>
          </w:p>
          <w:p>
            <w:pPr>
              <w:rPr>
                <w:rFonts w:ascii="宋体" w:hAnsi="宋体"/>
                <w:szCs w:val="21"/>
              </w:rPr>
            </w:pPr>
            <w:r>
              <w:rPr>
                <w:rFonts w:hint="eastAsia" w:ascii="宋体" w:hAnsi="宋体"/>
                <w:szCs w:val="21"/>
              </w:rPr>
              <w:t>（2）提供用户现场培训服务，保证用户运维人员能够日常维护和故障处理，同时提供完整的实施和维护文档；</w:t>
            </w:r>
          </w:p>
        </w:tc>
      </w:tr>
    </w:tbl>
    <w:p>
      <w:pPr>
        <w:widowControl/>
        <w:jc w:val="left"/>
      </w:pPr>
    </w:p>
    <w:p>
      <w:pPr>
        <w:pStyle w:val="4"/>
        <w:tabs>
          <w:tab w:val="left" w:pos="432"/>
        </w:tabs>
        <w:rPr>
          <w:sz w:val="24"/>
          <w:szCs w:val="24"/>
        </w:rPr>
      </w:pPr>
      <w:r>
        <w:rPr>
          <w:rFonts w:hint="eastAsia"/>
          <w:sz w:val="24"/>
          <w:szCs w:val="24"/>
        </w:rPr>
        <w:t>7.3.17 互联网上网行为管理</w:t>
      </w:r>
    </w:p>
    <w:tbl>
      <w:tblPr>
        <w:tblStyle w:val="3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6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ascii="宋体" w:hAnsi="宋体" w:cs="宋体"/>
                <w:kern w:val="0"/>
                <w:szCs w:val="21"/>
              </w:rPr>
              <w:t>指标</w:t>
            </w:r>
            <w:r>
              <w:rPr>
                <w:rFonts w:hint="eastAsia" w:ascii="宋体" w:hAnsi="宋体" w:cs="宋体"/>
                <w:kern w:val="0"/>
                <w:szCs w:val="21"/>
              </w:rPr>
              <w:t>项</w:t>
            </w:r>
          </w:p>
        </w:tc>
        <w:tc>
          <w:tcPr>
            <w:tcW w:w="6997"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Cs w:val="21"/>
              </w:rPr>
            </w:pPr>
            <w:r>
              <w:rPr>
                <w:rFonts w:hint="eastAsia" w:ascii="宋体" w:hAnsi="宋体" w:cs="宋体"/>
                <w:kern w:val="0"/>
                <w:szCs w:val="21"/>
              </w:rPr>
              <w:t>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吞吐量</w:t>
            </w:r>
          </w:p>
        </w:tc>
        <w:tc>
          <w:tcPr>
            <w:tcW w:w="6997" w:type="dxa"/>
            <w:tcBorders>
              <w:top w:val="single" w:color="auto" w:sz="4" w:space="0"/>
              <w:left w:val="single" w:color="auto" w:sz="4" w:space="0"/>
              <w:bottom w:val="single" w:color="auto" w:sz="4" w:space="0"/>
              <w:right w:val="single" w:color="auto" w:sz="4" w:space="0"/>
            </w:tcBorders>
          </w:tcPr>
          <w:p>
            <w:pPr>
              <w:widowControl/>
              <w:rPr>
                <w:rFonts w:ascii="宋体" w:hAnsi="宋体"/>
                <w:kern w:val="0"/>
                <w:szCs w:val="21"/>
              </w:rPr>
            </w:pPr>
            <w:r>
              <w:rPr>
                <w:rFonts w:hint="eastAsia" w:ascii="宋体" w:hAnsi="宋体"/>
                <w:kern w:val="0"/>
                <w:szCs w:val="21"/>
              </w:rPr>
              <w:t>≥</w:t>
            </w:r>
            <w:r>
              <w:rPr>
                <w:rFonts w:ascii="宋体" w:hAnsi="宋体"/>
                <w:kern w:val="0"/>
                <w:szCs w:val="21"/>
              </w:rPr>
              <w:t>1Gbps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并发会话数</w:t>
            </w:r>
          </w:p>
        </w:tc>
        <w:tc>
          <w:tcPr>
            <w:tcW w:w="6997" w:type="dxa"/>
            <w:tcBorders>
              <w:top w:val="single" w:color="auto" w:sz="4" w:space="0"/>
              <w:left w:val="single" w:color="auto" w:sz="4" w:space="0"/>
              <w:bottom w:val="single" w:color="auto" w:sz="4" w:space="0"/>
              <w:right w:val="single" w:color="auto" w:sz="4" w:space="0"/>
            </w:tcBorders>
          </w:tcPr>
          <w:p>
            <w:pPr>
              <w:widowControl/>
              <w:rPr>
                <w:rFonts w:ascii="宋体" w:hAnsi="宋体"/>
                <w:kern w:val="0"/>
                <w:szCs w:val="21"/>
              </w:rPr>
            </w:pPr>
            <w:r>
              <w:rPr>
                <w:rFonts w:hint="eastAsia" w:ascii="宋体" w:hAnsi="宋体"/>
                <w:kern w:val="0"/>
                <w:szCs w:val="21"/>
              </w:rPr>
              <w:t>≥</w:t>
            </w:r>
            <w:r>
              <w:rPr>
                <w:rFonts w:ascii="宋体" w:hAnsi="宋体"/>
                <w:kern w:val="0"/>
                <w:szCs w:val="21"/>
              </w:rPr>
              <w:t>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用户规模</w:t>
            </w:r>
          </w:p>
        </w:tc>
        <w:tc>
          <w:tcPr>
            <w:tcW w:w="6997" w:type="dxa"/>
            <w:tcBorders>
              <w:top w:val="single" w:color="auto" w:sz="4" w:space="0"/>
              <w:left w:val="single" w:color="auto" w:sz="4" w:space="0"/>
              <w:bottom w:val="single" w:color="auto" w:sz="4" w:space="0"/>
              <w:right w:val="single" w:color="auto" w:sz="4" w:space="0"/>
            </w:tcBorders>
          </w:tcPr>
          <w:p>
            <w:pPr>
              <w:widowControl/>
              <w:rPr>
                <w:rFonts w:ascii="宋体" w:hAnsi="宋体"/>
                <w:kern w:val="0"/>
                <w:szCs w:val="21"/>
              </w:rPr>
            </w:pPr>
            <w:r>
              <w:rPr>
                <w:rFonts w:hint="eastAsia" w:ascii="宋体" w:hAnsi="宋体"/>
                <w:kern w:val="0"/>
                <w:szCs w:val="21"/>
              </w:rPr>
              <w:t>≥4000人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设备接口</w:t>
            </w:r>
          </w:p>
        </w:tc>
        <w:tc>
          <w:tcPr>
            <w:tcW w:w="6997" w:type="dxa"/>
            <w:tcBorders>
              <w:top w:val="single" w:color="auto" w:sz="4" w:space="0"/>
              <w:left w:val="single" w:color="auto" w:sz="4" w:space="0"/>
              <w:bottom w:val="single" w:color="auto" w:sz="4" w:space="0"/>
              <w:right w:val="single" w:color="auto" w:sz="4" w:space="0"/>
            </w:tcBorders>
          </w:tcPr>
          <w:p>
            <w:pPr>
              <w:widowControl/>
              <w:rPr>
                <w:rFonts w:ascii="宋体" w:hAnsi="宋体"/>
                <w:kern w:val="0"/>
                <w:szCs w:val="21"/>
              </w:rPr>
            </w:pPr>
            <w:r>
              <w:rPr>
                <w:rFonts w:hint="eastAsia" w:ascii="宋体" w:hAnsi="宋体"/>
                <w:kern w:val="0"/>
                <w:szCs w:val="21"/>
              </w:rPr>
              <w:t>4个千兆电口 4个千兆光口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硬盘</w:t>
            </w:r>
          </w:p>
        </w:tc>
        <w:tc>
          <w:tcPr>
            <w:tcW w:w="6997" w:type="dxa"/>
            <w:tcBorders>
              <w:top w:val="single" w:color="auto" w:sz="4" w:space="0"/>
              <w:left w:val="single" w:color="auto" w:sz="4" w:space="0"/>
              <w:bottom w:val="single" w:color="auto" w:sz="4" w:space="0"/>
              <w:right w:val="single" w:color="auto" w:sz="4" w:space="0"/>
            </w:tcBorders>
          </w:tcPr>
          <w:p>
            <w:pPr>
              <w:widowControl/>
              <w:rPr>
                <w:rFonts w:ascii="宋体" w:hAnsi="宋体"/>
                <w:kern w:val="0"/>
                <w:szCs w:val="21"/>
              </w:rPr>
            </w:pPr>
            <w:r>
              <w:rPr>
                <w:rFonts w:hint="eastAsia" w:ascii="宋体" w:hAnsi="宋体"/>
                <w:kern w:val="0"/>
                <w:szCs w:val="21"/>
              </w:rPr>
              <w:t>≥1TB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尺寸要求</w:t>
            </w:r>
          </w:p>
        </w:tc>
        <w:tc>
          <w:tcPr>
            <w:tcW w:w="6997" w:type="dxa"/>
            <w:tcBorders>
              <w:top w:val="single" w:color="auto" w:sz="4" w:space="0"/>
              <w:left w:val="single" w:color="auto" w:sz="4" w:space="0"/>
              <w:bottom w:val="single" w:color="auto" w:sz="4" w:space="0"/>
              <w:right w:val="single" w:color="auto" w:sz="4" w:space="0"/>
            </w:tcBorders>
            <w:vAlign w:val="center"/>
          </w:tcPr>
          <w:p>
            <w:pPr>
              <w:pStyle w:val="9"/>
              <w:rPr>
                <w:rFonts w:ascii="宋体" w:hAnsi="宋体"/>
                <w:kern w:val="0"/>
                <w:szCs w:val="21"/>
              </w:rPr>
            </w:pPr>
            <w:r>
              <w:rPr>
                <w:rFonts w:hint="eastAsia" w:ascii="宋体" w:hAnsi="宋体"/>
                <w:kern w:val="0"/>
                <w:szCs w:val="21"/>
              </w:rPr>
              <w:t>标准</w:t>
            </w:r>
            <w:r>
              <w:rPr>
                <w:rFonts w:hint="eastAsia"/>
              </w:rPr>
              <w:t>机架</w:t>
            </w:r>
            <w:r>
              <w:rPr>
                <w:rFonts w:hint="eastAsia" w:ascii="宋体" w:hAnsi="宋体"/>
                <w:kern w:val="0"/>
                <w:szCs w:val="21"/>
              </w:rPr>
              <w:t>架构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BYPASS</w:t>
            </w:r>
          </w:p>
        </w:tc>
        <w:tc>
          <w:tcPr>
            <w:tcW w:w="6997"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Cs w:val="21"/>
              </w:rPr>
            </w:pPr>
            <w:r>
              <w:rPr>
                <w:rFonts w:ascii="宋体" w:hAnsi="宋体"/>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设备架构</w:t>
            </w:r>
          </w:p>
        </w:tc>
        <w:tc>
          <w:tcPr>
            <w:tcW w:w="6997"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Cs w:val="21"/>
              </w:rPr>
            </w:pPr>
            <w:r>
              <w:rPr>
                <w:rFonts w:ascii="宋体" w:hAnsi="宋体"/>
                <w:kern w:val="0"/>
                <w:szCs w:val="21"/>
              </w:rPr>
              <w:t>设备必须为多核</w:t>
            </w:r>
            <w:r>
              <w:rPr>
                <w:rFonts w:hint="eastAsia" w:ascii="宋体" w:hAnsi="宋体"/>
                <w:kern w:val="0"/>
                <w:szCs w:val="21"/>
              </w:rPr>
              <w:t>X86</w:t>
            </w:r>
            <w:r>
              <w:rPr>
                <w:rFonts w:ascii="宋体" w:hAnsi="宋体"/>
                <w:kern w:val="0"/>
                <w:szCs w:val="21"/>
              </w:rPr>
              <w:t>架构，以保证软件库的灵活更新与升级</w:t>
            </w:r>
            <w:r>
              <w:rPr>
                <w:rFonts w:hint="eastAsia" w:ascii="宋体" w:hAnsi="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部署方式</w:t>
            </w:r>
          </w:p>
        </w:tc>
        <w:tc>
          <w:tcPr>
            <w:tcW w:w="6997"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Cs w:val="21"/>
              </w:rPr>
            </w:pPr>
            <w:r>
              <w:rPr>
                <w:rFonts w:ascii="宋体" w:hAnsi="宋体"/>
                <w:kern w:val="0"/>
                <w:szCs w:val="21"/>
              </w:rPr>
              <w:t>要求设备支持网关模式，支持</w:t>
            </w:r>
            <w:r>
              <w:rPr>
                <w:rFonts w:hint="eastAsia" w:ascii="宋体" w:hAnsi="宋体"/>
                <w:kern w:val="0"/>
                <w:szCs w:val="21"/>
              </w:rPr>
              <w:t>NAT</w:t>
            </w:r>
            <w:r>
              <w:rPr>
                <w:rFonts w:ascii="宋体" w:hAnsi="宋体"/>
                <w:kern w:val="0"/>
                <w:szCs w:val="21"/>
              </w:rPr>
              <w:t>、路由转发、</w:t>
            </w:r>
            <w:r>
              <w:rPr>
                <w:rFonts w:hint="eastAsia" w:ascii="宋体" w:hAnsi="宋体"/>
                <w:kern w:val="0"/>
                <w:szCs w:val="21"/>
              </w:rPr>
              <w:t>DHCP、GRE、OSPF</w:t>
            </w:r>
            <w:r>
              <w:rPr>
                <w:rFonts w:ascii="宋体" w:hAnsi="宋体"/>
                <w:kern w:val="0"/>
                <w:szCs w:val="21"/>
              </w:rPr>
              <w:t>等功能；支持网桥模式，以透明方式串接在网络中；支持两台及两台以上设备同时做主机的部署模式</w:t>
            </w:r>
            <w:r>
              <w:rPr>
                <w:rFonts w:hint="eastAsia" w:ascii="宋体" w:hAnsi="宋体"/>
                <w:kern w:val="0"/>
                <w:szCs w:val="21"/>
              </w:rPr>
              <w:t>，支持基于虚拟化平台的软件版本，支持的虚拟平台包括：VMware、深信服虚拟化等。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hint="eastAsia" w:ascii="宋体" w:hAnsi="宋体"/>
                <w:kern w:val="0"/>
                <w:szCs w:val="21"/>
              </w:rPr>
              <w:t>IPv6</w:t>
            </w:r>
            <w:r>
              <w:rPr>
                <w:rFonts w:ascii="宋体" w:hAnsi="宋体"/>
                <w:kern w:val="0"/>
                <w:szCs w:val="21"/>
              </w:rPr>
              <w:t>支持</w:t>
            </w:r>
          </w:p>
        </w:tc>
        <w:tc>
          <w:tcPr>
            <w:tcW w:w="6997" w:type="dxa"/>
            <w:tcBorders>
              <w:top w:val="single" w:color="auto" w:sz="4" w:space="0"/>
              <w:left w:val="single" w:color="auto" w:sz="4" w:space="0"/>
              <w:bottom w:val="single" w:color="auto" w:sz="4" w:space="0"/>
              <w:right w:val="single" w:color="auto" w:sz="4" w:space="0"/>
            </w:tcBorders>
          </w:tcPr>
          <w:p>
            <w:pPr>
              <w:pStyle w:val="9"/>
              <w:rPr>
                <w:rFonts w:ascii="宋体" w:hAnsi="宋体"/>
                <w:kern w:val="0"/>
                <w:szCs w:val="21"/>
              </w:rPr>
            </w:pPr>
            <w:r>
              <w:rPr>
                <w:rFonts w:ascii="宋体" w:hAnsi="宋体"/>
                <w:kern w:val="0"/>
                <w:szCs w:val="21"/>
              </w:rPr>
              <w:t>支持</w:t>
            </w:r>
            <w:r>
              <w:rPr>
                <w:rFonts w:hint="eastAsia" w:ascii="宋体" w:hAnsi="宋体"/>
                <w:kern w:val="0"/>
                <w:szCs w:val="21"/>
              </w:rPr>
              <w:t>IPv6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jc w:val="center"/>
        </w:trPr>
        <w:tc>
          <w:tcPr>
            <w:tcW w:w="1525" w:type="dxa"/>
            <w:tcBorders>
              <w:top w:val="single" w:color="auto" w:sz="4" w:space="0"/>
              <w:left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IPSEC VPN</w:t>
            </w:r>
            <w:r>
              <w:rPr>
                <w:rFonts w:hint="eastAsia" w:ascii="宋体" w:hAnsi="宋体"/>
                <w:kern w:val="0"/>
                <w:szCs w:val="21"/>
              </w:rPr>
              <w:t>功能</w:t>
            </w:r>
          </w:p>
        </w:tc>
        <w:tc>
          <w:tcPr>
            <w:tcW w:w="6997"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Cs w:val="21"/>
              </w:rPr>
            </w:pPr>
            <w:r>
              <w:rPr>
                <w:rFonts w:ascii="宋体" w:hAnsi="宋体"/>
                <w:kern w:val="0"/>
                <w:szCs w:val="21"/>
              </w:rPr>
              <w:t>要求设备支持</w:t>
            </w:r>
            <w:r>
              <w:rPr>
                <w:rFonts w:hint="eastAsia" w:ascii="宋体" w:hAnsi="宋体"/>
                <w:kern w:val="0"/>
                <w:szCs w:val="21"/>
              </w:rPr>
              <w:t>IPSEC VPN</w:t>
            </w:r>
            <w:r>
              <w:rPr>
                <w:rFonts w:ascii="宋体" w:hAnsi="宋体"/>
                <w:kern w:val="0"/>
                <w:szCs w:val="21"/>
              </w:rPr>
              <w:t>远程安全接入维护，能提供</w:t>
            </w:r>
            <w:r>
              <w:rPr>
                <w:rFonts w:hint="eastAsia" w:ascii="宋体" w:hAnsi="宋体"/>
                <w:kern w:val="0"/>
                <w:szCs w:val="21"/>
              </w:rPr>
              <w:t>IPsec VPN</w:t>
            </w:r>
            <w:r>
              <w:rPr>
                <w:rFonts w:ascii="宋体" w:hAnsi="宋体"/>
                <w:kern w:val="0"/>
                <w:szCs w:val="21"/>
              </w:rPr>
              <w:t>客户端授权远程接入访问；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5" w:type="dxa"/>
            <w:tcBorders>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链路负载</w:t>
            </w:r>
          </w:p>
        </w:tc>
        <w:tc>
          <w:tcPr>
            <w:tcW w:w="6997" w:type="dxa"/>
            <w:tcBorders>
              <w:top w:val="single" w:color="auto" w:sz="4" w:space="0"/>
              <w:left w:val="single" w:color="auto" w:sz="4" w:space="0"/>
              <w:bottom w:val="single" w:color="auto" w:sz="4" w:space="0"/>
              <w:right w:val="single" w:color="auto" w:sz="4" w:space="0"/>
            </w:tcBorders>
          </w:tcPr>
          <w:p>
            <w:pPr>
              <w:pStyle w:val="9"/>
              <w:rPr>
                <w:rFonts w:ascii="宋体" w:hAnsi="宋体"/>
                <w:kern w:val="0"/>
                <w:szCs w:val="21"/>
              </w:rPr>
            </w:pPr>
            <w:r>
              <w:rPr>
                <w:rFonts w:hint="eastAsia"/>
              </w:rPr>
              <w:t>要求支持多种方式进行多链路负载，支持使用VPN专线备份。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25" w:type="dxa"/>
            <w:vMerge w:val="restart"/>
            <w:tcBorders>
              <w:left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业务需要</w:t>
            </w:r>
          </w:p>
        </w:tc>
        <w:tc>
          <w:tcPr>
            <w:tcW w:w="6997" w:type="dxa"/>
            <w:tcBorders>
              <w:top w:val="single" w:color="auto" w:sz="4" w:space="0"/>
              <w:left w:val="single" w:color="auto" w:sz="4" w:space="0"/>
              <w:bottom w:val="single" w:color="auto" w:sz="4" w:space="0"/>
              <w:right w:val="single" w:color="auto" w:sz="4" w:space="0"/>
            </w:tcBorders>
          </w:tcPr>
          <w:p>
            <w:pPr>
              <w:widowControl/>
              <w:rPr>
                <w:rFonts w:ascii="宋体" w:hAnsi="宋体"/>
                <w:kern w:val="0"/>
                <w:szCs w:val="21"/>
              </w:rPr>
            </w:pPr>
            <w:r>
              <w:rPr>
                <w:rFonts w:ascii="宋体" w:hAnsi="宋体"/>
                <w:kern w:val="0"/>
                <w:szCs w:val="21"/>
              </w:rPr>
              <w:t>为减少短信费用投入，要求设备支持微信身份验证，用户可以通过微信“扫一扫”、关注公众号等操作获取上网权限，</w:t>
            </w:r>
            <w:r>
              <w:rPr>
                <w:rFonts w:hint="eastAsia" w:ascii="宋体" w:hAnsi="宋体"/>
                <w:kern w:val="0"/>
                <w:szCs w:val="21"/>
              </w:rPr>
              <w:t>后台</w:t>
            </w:r>
            <w:r>
              <w:rPr>
                <w:rFonts w:ascii="宋体" w:hAnsi="宋体"/>
                <w:kern w:val="0"/>
                <w:szCs w:val="21"/>
              </w:rPr>
              <w:t>能够记录下用户</w:t>
            </w:r>
            <w:r>
              <w:rPr>
                <w:rFonts w:hint="eastAsia" w:ascii="宋体" w:hAnsi="宋体"/>
                <w:kern w:val="0"/>
                <w:szCs w:val="21"/>
              </w:rPr>
              <w:t>微信</w:t>
            </w:r>
            <w:r>
              <w:rPr>
                <w:rFonts w:ascii="宋体" w:hAnsi="宋体"/>
                <w:kern w:val="0"/>
                <w:szCs w:val="21"/>
              </w:rPr>
              <w:t>的ID，</w:t>
            </w:r>
            <w:r>
              <w:rPr>
                <w:rFonts w:hint="eastAsia" w:ascii="宋体" w:hAnsi="宋体"/>
                <w:kern w:val="0"/>
                <w:szCs w:val="21"/>
              </w:rPr>
              <w:t>支持</w:t>
            </w:r>
            <w:r>
              <w:rPr>
                <w:rFonts w:ascii="宋体" w:hAnsi="宋体"/>
                <w:kern w:val="0"/>
                <w:szCs w:val="21"/>
              </w:rPr>
              <w:t>与第三方微信平台对接，</w:t>
            </w:r>
            <w:r>
              <w:rPr>
                <w:rFonts w:hint="eastAsia" w:ascii="宋体" w:hAnsi="宋体"/>
                <w:kern w:val="0"/>
                <w:szCs w:val="21"/>
              </w:rPr>
              <w:t>无需</w:t>
            </w:r>
            <w:r>
              <w:rPr>
                <w:rFonts w:ascii="宋体" w:hAnsi="宋体"/>
                <w:kern w:val="0"/>
                <w:szCs w:val="21"/>
              </w:rPr>
              <w:t>修改第三方平台代码</w:t>
            </w:r>
            <w:r>
              <w:rPr>
                <w:rFonts w:hint="eastAsia" w:ascii="宋体" w:hAnsi="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25" w:type="dxa"/>
            <w:vMerge w:val="continue"/>
            <w:tcBorders>
              <w:left w:val="single" w:color="auto" w:sz="4" w:space="0"/>
              <w:right w:val="single" w:color="auto" w:sz="4" w:space="0"/>
            </w:tcBorders>
            <w:vAlign w:val="center"/>
          </w:tcPr>
          <w:p>
            <w:pPr>
              <w:widowControl/>
              <w:jc w:val="center"/>
              <w:rPr>
                <w:rFonts w:ascii="宋体" w:hAnsi="宋体"/>
                <w:kern w:val="0"/>
                <w:szCs w:val="21"/>
              </w:rPr>
            </w:pPr>
          </w:p>
        </w:tc>
        <w:tc>
          <w:tcPr>
            <w:tcW w:w="6997" w:type="dxa"/>
            <w:tcBorders>
              <w:top w:val="single" w:color="auto" w:sz="4" w:space="0"/>
              <w:left w:val="single" w:color="auto" w:sz="4" w:space="0"/>
              <w:bottom w:val="single" w:color="auto" w:sz="4" w:space="0"/>
              <w:right w:val="single" w:color="auto" w:sz="4" w:space="0"/>
            </w:tcBorders>
          </w:tcPr>
          <w:p>
            <w:pPr>
              <w:widowControl/>
              <w:rPr>
                <w:rFonts w:ascii="宋体" w:hAnsi="宋体"/>
                <w:kern w:val="0"/>
                <w:szCs w:val="21"/>
              </w:rPr>
            </w:pPr>
            <w:r>
              <w:rPr>
                <w:rFonts w:ascii="宋体" w:hAnsi="宋体"/>
                <w:kern w:val="0"/>
                <w:szCs w:val="21"/>
              </w:rPr>
              <w:t>为满足访客</w:t>
            </w:r>
            <w:r>
              <w:rPr>
                <w:rFonts w:hint="eastAsia" w:ascii="宋体" w:hAnsi="宋体"/>
                <w:kern w:val="0"/>
                <w:szCs w:val="21"/>
              </w:rPr>
              <w:t>PC</w:t>
            </w:r>
            <w:r>
              <w:rPr>
                <w:rFonts w:ascii="宋体" w:hAnsi="宋体"/>
                <w:kern w:val="0"/>
                <w:szCs w:val="21"/>
              </w:rPr>
              <w:t>的简易接入授权，访客终端接入无线网络后，终端自动弹出二维码页面，审核人通过手机扫描访客终端二维码，添加备注信息，访客即可完成上网，同时设备记录访客备注信息、接入终端</w:t>
            </w:r>
            <w:r>
              <w:rPr>
                <w:rFonts w:hint="eastAsia" w:ascii="宋体" w:hAnsi="宋体"/>
                <w:kern w:val="0"/>
                <w:szCs w:val="21"/>
              </w:rPr>
              <w:t>MAC</w:t>
            </w:r>
            <w:r>
              <w:rPr>
                <w:rFonts w:ascii="宋体" w:hAnsi="宋体"/>
                <w:kern w:val="0"/>
                <w:szCs w:val="21"/>
              </w:rPr>
              <w:t>以及审核人帐号。（提供产品配置界面截图）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25" w:type="dxa"/>
            <w:vMerge w:val="continue"/>
            <w:tcBorders>
              <w:left w:val="single" w:color="auto" w:sz="4" w:space="0"/>
              <w:right w:val="single" w:color="auto" w:sz="4" w:space="0"/>
            </w:tcBorders>
            <w:vAlign w:val="center"/>
          </w:tcPr>
          <w:p>
            <w:pPr>
              <w:widowControl/>
              <w:jc w:val="center"/>
              <w:rPr>
                <w:rFonts w:ascii="宋体" w:hAnsi="宋体"/>
                <w:kern w:val="0"/>
                <w:szCs w:val="21"/>
              </w:rPr>
            </w:pPr>
          </w:p>
        </w:tc>
        <w:tc>
          <w:tcPr>
            <w:tcW w:w="6997" w:type="dxa"/>
            <w:tcBorders>
              <w:top w:val="single" w:color="auto" w:sz="4" w:space="0"/>
              <w:left w:val="single" w:color="auto" w:sz="4" w:space="0"/>
              <w:bottom w:val="single" w:color="auto" w:sz="4" w:space="0"/>
              <w:right w:val="single" w:color="auto" w:sz="4" w:space="0"/>
            </w:tcBorders>
          </w:tcPr>
          <w:p>
            <w:pPr>
              <w:widowControl/>
              <w:rPr>
                <w:rFonts w:ascii="宋体" w:hAnsi="宋体"/>
                <w:kern w:val="0"/>
                <w:szCs w:val="21"/>
              </w:rPr>
            </w:pPr>
            <w:r>
              <w:rPr>
                <w:rFonts w:ascii="宋体" w:hAnsi="宋体"/>
                <w:kern w:val="0"/>
                <w:szCs w:val="21"/>
              </w:rPr>
              <w:t>支持认证页面分权分域管理。启用后，普通管理员只能看到自己有权限的页面，其他管理员页面不可见。系统管理员可以将某个页面授权给指定的普通管理员管理。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25" w:type="dxa"/>
            <w:vMerge w:val="continue"/>
            <w:tcBorders>
              <w:left w:val="single" w:color="auto" w:sz="4" w:space="0"/>
              <w:right w:val="single" w:color="auto" w:sz="4" w:space="0"/>
            </w:tcBorders>
            <w:vAlign w:val="center"/>
          </w:tcPr>
          <w:p>
            <w:pPr>
              <w:widowControl/>
              <w:jc w:val="center"/>
              <w:rPr>
                <w:rFonts w:ascii="宋体" w:hAnsi="宋体"/>
                <w:kern w:val="0"/>
                <w:szCs w:val="21"/>
              </w:rPr>
            </w:pPr>
          </w:p>
        </w:tc>
        <w:tc>
          <w:tcPr>
            <w:tcW w:w="6997" w:type="dxa"/>
            <w:tcBorders>
              <w:top w:val="single" w:color="auto" w:sz="4" w:space="0"/>
              <w:left w:val="single" w:color="auto" w:sz="4" w:space="0"/>
              <w:bottom w:val="single" w:color="auto" w:sz="4" w:space="0"/>
              <w:right w:val="single" w:color="auto" w:sz="4" w:space="0"/>
            </w:tcBorders>
          </w:tcPr>
          <w:p>
            <w:pPr>
              <w:widowControl/>
              <w:rPr>
                <w:rFonts w:ascii="宋体" w:hAnsi="宋体"/>
                <w:kern w:val="0"/>
                <w:szCs w:val="21"/>
              </w:rPr>
            </w:pPr>
            <w:r>
              <w:rPr>
                <w:rFonts w:hint="eastAsia" w:ascii="宋体" w:hAnsi="宋体" w:cs="Menlo Regular"/>
                <w:kern w:val="0"/>
                <w:szCs w:val="21"/>
              </w:rPr>
              <w:t>▲</w:t>
            </w:r>
            <w:r>
              <w:rPr>
                <w:rFonts w:ascii="宋体" w:hAnsi="宋体"/>
                <w:kern w:val="0"/>
                <w:szCs w:val="21"/>
              </w:rPr>
              <w:t>为加强对我单位员工私接无线上网的行为管理，要求设备能自动发现网络中通过无线上网的热点和移动终端的</w:t>
            </w:r>
            <w:r>
              <w:rPr>
                <w:rFonts w:hint="eastAsia" w:ascii="宋体" w:hAnsi="宋体"/>
                <w:kern w:val="0"/>
                <w:szCs w:val="21"/>
              </w:rPr>
              <w:t>IP</w:t>
            </w:r>
            <w:r>
              <w:rPr>
                <w:rFonts w:ascii="宋体" w:hAnsi="宋体"/>
                <w:kern w:val="0"/>
                <w:szCs w:val="21"/>
              </w:rPr>
              <w:t>和终端类型，匹配管理员配置的热点信任列表，对信任列表外非法接入的热点和终端能够进行阻止上网，支持冻结用户IP，并通过邮件形式告警通知管理员，支持显示以</w:t>
            </w:r>
            <w:r>
              <w:rPr>
                <w:rFonts w:hint="eastAsia" w:ascii="宋体" w:hAnsi="宋体"/>
                <w:kern w:val="0"/>
                <w:szCs w:val="21"/>
              </w:rPr>
              <w:t>IP</w:t>
            </w:r>
            <w:r>
              <w:rPr>
                <w:rFonts w:ascii="宋体" w:hAnsi="宋体"/>
                <w:kern w:val="0"/>
                <w:szCs w:val="21"/>
              </w:rPr>
              <w:t>或用户名的维度统计一段时间内的趋势图。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20" w:hRule="atLeast"/>
          <w:jc w:val="center"/>
        </w:trPr>
        <w:tc>
          <w:tcPr>
            <w:tcW w:w="1525" w:type="dxa"/>
            <w:vMerge w:val="continue"/>
            <w:tcBorders>
              <w:left w:val="single" w:color="auto" w:sz="4" w:space="0"/>
              <w:right w:val="single" w:color="auto" w:sz="4" w:space="0"/>
            </w:tcBorders>
            <w:vAlign w:val="center"/>
          </w:tcPr>
          <w:p>
            <w:pPr>
              <w:widowControl/>
              <w:jc w:val="center"/>
              <w:rPr>
                <w:rFonts w:ascii="宋体" w:hAnsi="宋体"/>
                <w:kern w:val="0"/>
                <w:szCs w:val="21"/>
              </w:rPr>
            </w:pPr>
          </w:p>
        </w:tc>
        <w:tc>
          <w:tcPr>
            <w:tcW w:w="6997" w:type="dxa"/>
            <w:tcBorders>
              <w:top w:val="single" w:color="auto" w:sz="4" w:space="0"/>
              <w:left w:val="single" w:color="auto" w:sz="4" w:space="0"/>
              <w:bottom w:val="single" w:color="auto" w:sz="4" w:space="0"/>
              <w:right w:val="single" w:color="auto" w:sz="4" w:space="0"/>
            </w:tcBorders>
          </w:tcPr>
          <w:p>
            <w:pPr>
              <w:pStyle w:val="9"/>
              <w:rPr>
                <w:rFonts w:ascii="宋体" w:hAnsi="宋体"/>
                <w:kern w:val="0"/>
                <w:szCs w:val="21"/>
              </w:rPr>
            </w:pPr>
            <w:r>
              <w:rPr>
                <w:rFonts w:ascii="宋体" w:hAnsi="宋体"/>
                <w:kern w:val="0"/>
                <w:szCs w:val="21"/>
              </w:rPr>
              <w:t>要求设备必须能够识别并过滤SSL加密的钓鱼网站、金融购物网站；识别和审计加密的邮箱等</w:t>
            </w:r>
            <w:r>
              <w:rPr>
                <w:rFonts w:hint="eastAsia" w:ascii="宋体" w:hAnsi="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应用识别规则库</w:t>
            </w:r>
          </w:p>
        </w:tc>
        <w:tc>
          <w:tcPr>
            <w:tcW w:w="6997" w:type="dxa"/>
            <w:tcBorders>
              <w:top w:val="single" w:color="auto" w:sz="4" w:space="0"/>
              <w:left w:val="single" w:color="auto" w:sz="4" w:space="0"/>
              <w:bottom w:val="single" w:color="auto" w:sz="4" w:space="0"/>
              <w:right w:val="single" w:color="auto" w:sz="4" w:space="0"/>
            </w:tcBorders>
          </w:tcPr>
          <w:p>
            <w:pPr>
              <w:widowControl/>
              <w:rPr>
                <w:rFonts w:ascii="宋体" w:hAnsi="宋体"/>
                <w:kern w:val="0"/>
                <w:szCs w:val="21"/>
              </w:rPr>
            </w:pPr>
            <w:r>
              <w:rPr>
                <w:rFonts w:ascii="宋体" w:hAnsi="宋体"/>
                <w:kern w:val="0"/>
                <w:szCs w:val="21"/>
              </w:rPr>
              <w:t>目前互联网应用种类较多，为了降低管理员配置应用管理策略的难度，要求设备能够按照管控需求对应用进行标签化管理，应用标签至少默认包含安全风险、高带宽消耗、发送电子邮件、降低工作效率、外发文件泄密风险、主流论坛和微博发帖</w:t>
            </w:r>
            <w:r>
              <w:rPr>
                <w:rFonts w:hint="eastAsia" w:ascii="宋体" w:hAnsi="宋体"/>
                <w:kern w:val="0"/>
                <w:szCs w:val="21"/>
              </w:rPr>
              <w:t>6</w:t>
            </w:r>
            <w:r>
              <w:rPr>
                <w:rFonts w:ascii="宋体" w:hAnsi="宋体"/>
                <w:kern w:val="0"/>
                <w:szCs w:val="21"/>
              </w:rPr>
              <w:t>大类，此外可根据我单位需求自定义标签，根据标签做应用控制。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应用控制</w:t>
            </w:r>
          </w:p>
        </w:tc>
        <w:tc>
          <w:tcPr>
            <w:tcW w:w="6997" w:type="dxa"/>
            <w:tcBorders>
              <w:top w:val="single" w:color="auto" w:sz="4" w:space="0"/>
              <w:left w:val="single" w:color="auto" w:sz="4" w:space="0"/>
              <w:bottom w:val="single" w:color="auto" w:sz="4" w:space="0"/>
              <w:right w:val="single" w:color="auto" w:sz="4" w:space="0"/>
            </w:tcBorders>
          </w:tcPr>
          <w:p>
            <w:pPr>
              <w:widowControl/>
              <w:numPr>
                <w:ilvl w:val="0"/>
                <w:numId w:val="12"/>
              </w:numPr>
              <w:rPr>
                <w:rFonts w:ascii="宋体" w:hAnsi="宋体"/>
                <w:kern w:val="0"/>
                <w:szCs w:val="21"/>
              </w:rPr>
            </w:pPr>
            <w:r>
              <w:rPr>
                <w:rFonts w:ascii="宋体" w:hAnsi="宋体"/>
                <w:kern w:val="0"/>
                <w:szCs w:val="21"/>
              </w:rPr>
              <w:t>设备内置应用识别规则库，支持超过</w:t>
            </w:r>
            <w:r>
              <w:rPr>
                <w:rFonts w:hint="eastAsia" w:ascii="宋体" w:hAnsi="宋体"/>
                <w:kern w:val="0"/>
                <w:szCs w:val="21"/>
              </w:rPr>
              <w:t>4700</w:t>
            </w:r>
            <w:r>
              <w:rPr>
                <w:rFonts w:ascii="宋体" w:hAnsi="宋体"/>
                <w:kern w:val="0"/>
                <w:szCs w:val="21"/>
              </w:rPr>
              <w:t>条应用规则数，支持超过</w:t>
            </w:r>
            <w:r>
              <w:rPr>
                <w:rFonts w:hint="eastAsia" w:ascii="宋体" w:hAnsi="宋体"/>
                <w:kern w:val="0"/>
                <w:szCs w:val="21"/>
              </w:rPr>
              <w:t>2100</w:t>
            </w:r>
            <w:r>
              <w:rPr>
                <w:rFonts w:ascii="宋体" w:hAnsi="宋体"/>
                <w:kern w:val="0"/>
                <w:szCs w:val="21"/>
              </w:rPr>
              <w:t>种以上的应用，</w:t>
            </w:r>
            <w:r>
              <w:rPr>
                <w:rFonts w:hint="eastAsia" w:ascii="宋体" w:hAnsi="宋体"/>
                <w:kern w:val="0"/>
                <w:szCs w:val="21"/>
              </w:rPr>
              <w:t>660</w:t>
            </w:r>
            <w:r>
              <w:rPr>
                <w:rFonts w:ascii="宋体" w:hAnsi="宋体"/>
                <w:kern w:val="0"/>
                <w:szCs w:val="21"/>
              </w:rPr>
              <w:t>种以上移动应用，并保持每两个星期更新一次，保证应用识别的准确率；</w:t>
            </w:r>
          </w:p>
          <w:p>
            <w:pPr>
              <w:widowControl/>
              <w:numPr>
                <w:ilvl w:val="0"/>
                <w:numId w:val="12"/>
              </w:numPr>
              <w:rPr>
                <w:rFonts w:ascii="宋体" w:hAnsi="宋体"/>
                <w:kern w:val="0"/>
                <w:szCs w:val="21"/>
              </w:rPr>
            </w:pPr>
            <w:r>
              <w:rPr>
                <w:rFonts w:ascii="宋体" w:hAnsi="宋体"/>
                <w:kern w:val="0"/>
                <w:szCs w:val="21"/>
              </w:rPr>
              <w:t>支持根据应用的特征智能识别新更新的应用；</w:t>
            </w:r>
          </w:p>
          <w:p>
            <w:pPr>
              <w:widowControl/>
              <w:numPr>
                <w:ilvl w:val="0"/>
                <w:numId w:val="12"/>
              </w:numPr>
              <w:rPr>
                <w:rFonts w:ascii="宋体" w:hAnsi="宋体"/>
                <w:kern w:val="0"/>
                <w:szCs w:val="21"/>
              </w:rPr>
            </w:pPr>
            <w:r>
              <w:rPr>
                <w:rFonts w:ascii="宋体" w:hAnsi="宋体"/>
                <w:kern w:val="0"/>
                <w:szCs w:val="21"/>
              </w:rPr>
              <w:t>支持根据</w:t>
            </w:r>
            <w:r>
              <w:rPr>
                <w:rFonts w:hint="eastAsia" w:ascii="宋体" w:hAnsi="宋体"/>
                <w:kern w:val="0"/>
                <w:szCs w:val="21"/>
              </w:rPr>
              <w:t>IP</w:t>
            </w:r>
            <w:r>
              <w:rPr>
                <w:rFonts w:ascii="宋体" w:hAnsi="宋体"/>
                <w:kern w:val="0"/>
                <w:szCs w:val="21"/>
              </w:rPr>
              <w:t>、端口、协议等自定义应用规则；</w:t>
            </w:r>
          </w:p>
          <w:p>
            <w:pPr>
              <w:widowControl/>
              <w:rPr>
                <w:rFonts w:ascii="宋体" w:hAnsi="宋体"/>
                <w:kern w:val="0"/>
                <w:szCs w:val="21"/>
              </w:rPr>
            </w:pPr>
            <w:r>
              <w:rPr>
                <w:rFonts w:ascii="宋体" w:hAnsi="宋体"/>
                <w:kern w:val="0"/>
                <w:szCs w:val="21"/>
              </w:rPr>
              <w:t>支持根据不同的应用类型或具体的某种应用设置允许或拒绝；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移动应用的细分控制</w:t>
            </w:r>
          </w:p>
        </w:tc>
        <w:tc>
          <w:tcPr>
            <w:tcW w:w="6997" w:type="dxa"/>
            <w:tcBorders>
              <w:top w:val="single" w:color="auto" w:sz="4" w:space="0"/>
              <w:left w:val="single" w:color="auto" w:sz="4" w:space="0"/>
              <w:bottom w:val="single" w:color="auto" w:sz="4" w:space="0"/>
              <w:right w:val="single" w:color="auto" w:sz="4" w:space="0"/>
            </w:tcBorders>
          </w:tcPr>
          <w:p>
            <w:pPr>
              <w:widowControl/>
              <w:rPr>
                <w:rFonts w:ascii="宋体" w:hAnsi="宋体"/>
                <w:kern w:val="0"/>
                <w:szCs w:val="21"/>
              </w:rPr>
            </w:pPr>
            <w:r>
              <w:rPr>
                <w:rFonts w:ascii="宋体" w:hAnsi="宋体"/>
                <w:kern w:val="0"/>
                <w:szCs w:val="21"/>
              </w:rPr>
              <w:t>支持对移动应用的细分权限控制，微信：微信网页版、微信传文件、微信朋友圈、微信游戏。移动</w:t>
            </w:r>
            <w:r>
              <w:rPr>
                <w:rFonts w:hint="eastAsia" w:ascii="宋体" w:hAnsi="宋体"/>
                <w:kern w:val="0"/>
                <w:szCs w:val="21"/>
              </w:rPr>
              <w:t>QQ</w:t>
            </w:r>
            <w:r>
              <w:rPr>
                <w:rFonts w:ascii="宋体" w:hAnsi="宋体"/>
                <w:kern w:val="0"/>
                <w:szCs w:val="21"/>
              </w:rPr>
              <w:t>：</w:t>
            </w:r>
            <w:r>
              <w:rPr>
                <w:rFonts w:hint="eastAsia" w:ascii="宋体" w:hAnsi="宋体"/>
                <w:kern w:val="0"/>
                <w:szCs w:val="21"/>
              </w:rPr>
              <w:t>QQ</w:t>
            </w:r>
            <w:r>
              <w:rPr>
                <w:rFonts w:ascii="宋体" w:hAnsi="宋体"/>
                <w:kern w:val="0"/>
                <w:szCs w:val="21"/>
              </w:rPr>
              <w:t>传文件、</w:t>
            </w:r>
            <w:r>
              <w:rPr>
                <w:rFonts w:hint="eastAsia" w:ascii="宋体" w:hAnsi="宋体"/>
                <w:kern w:val="0"/>
                <w:szCs w:val="21"/>
              </w:rPr>
              <w:t>QQ</w:t>
            </w:r>
            <w:r>
              <w:rPr>
                <w:rFonts w:ascii="宋体" w:hAnsi="宋体"/>
                <w:kern w:val="0"/>
                <w:szCs w:val="21"/>
              </w:rPr>
              <w:t>视频语音等。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hint="eastAsia" w:ascii="宋体" w:hAnsi="宋体"/>
                <w:kern w:val="0"/>
                <w:szCs w:val="21"/>
              </w:rPr>
              <w:t>URL</w:t>
            </w:r>
            <w:r>
              <w:rPr>
                <w:rFonts w:ascii="宋体" w:hAnsi="宋体"/>
                <w:kern w:val="0"/>
                <w:szCs w:val="21"/>
              </w:rPr>
              <w:t>访问及关键字控制</w:t>
            </w:r>
          </w:p>
        </w:tc>
        <w:tc>
          <w:tcPr>
            <w:tcW w:w="6997" w:type="dxa"/>
            <w:tcBorders>
              <w:top w:val="single" w:color="auto" w:sz="4" w:space="0"/>
              <w:left w:val="single" w:color="auto" w:sz="4" w:space="0"/>
              <w:bottom w:val="single" w:color="auto" w:sz="4" w:space="0"/>
              <w:right w:val="single" w:color="auto" w:sz="4" w:space="0"/>
            </w:tcBorders>
          </w:tcPr>
          <w:p>
            <w:pPr>
              <w:widowControl/>
              <w:rPr>
                <w:rFonts w:ascii="宋体" w:hAnsi="宋体"/>
                <w:kern w:val="0"/>
                <w:szCs w:val="21"/>
              </w:rPr>
            </w:pPr>
            <w:r>
              <w:rPr>
                <w:rFonts w:ascii="宋体" w:hAnsi="宋体"/>
                <w:kern w:val="0"/>
                <w:szCs w:val="21"/>
              </w:rPr>
              <w:t>要求设备内置海量的</w:t>
            </w:r>
            <w:r>
              <w:rPr>
                <w:rFonts w:hint="eastAsia" w:ascii="宋体" w:hAnsi="宋体"/>
                <w:kern w:val="0"/>
                <w:szCs w:val="21"/>
              </w:rPr>
              <w:t>URL</w:t>
            </w:r>
            <w:r>
              <w:rPr>
                <w:rFonts w:ascii="宋体" w:hAnsi="宋体"/>
                <w:kern w:val="0"/>
                <w:szCs w:val="21"/>
              </w:rPr>
              <w:t>地址库，可根据访问</w:t>
            </w:r>
            <w:r>
              <w:rPr>
                <w:rFonts w:hint="eastAsia" w:ascii="宋体" w:hAnsi="宋体"/>
                <w:kern w:val="0"/>
                <w:szCs w:val="21"/>
              </w:rPr>
              <w:t>URL</w:t>
            </w:r>
            <w:r>
              <w:rPr>
                <w:rFonts w:ascii="宋体" w:hAnsi="宋体"/>
                <w:kern w:val="0"/>
                <w:szCs w:val="21"/>
              </w:rPr>
              <w:t>的网页关键字进行过滤控制，特别对于</w:t>
            </w:r>
            <w:r>
              <w:rPr>
                <w:rFonts w:hint="eastAsia" w:ascii="宋体" w:hAnsi="宋体"/>
                <w:kern w:val="0"/>
                <w:szCs w:val="21"/>
              </w:rPr>
              <w:t>SSL</w:t>
            </w:r>
            <w:r>
              <w:rPr>
                <w:rFonts w:ascii="宋体" w:hAnsi="宋体"/>
                <w:kern w:val="0"/>
                <w:szCs w:val="21"/>
              </w:rPr>
              <w:t>加密的网页、论坛、</w:t>
            </w:r>
            <w:r>
              <w:rPr>
                <w:rFonts w:hint="eastAsia" w:ascii="宋体" w:hAnsi="宋体"/>
                <w:kern w:val="0"/>
                <w:szCs w:val="21"/>
              </w:rPr>
              <w:t>BBS</w:t>
            </w:r>
            <w:r>
              <w:rPr>
                <w:rFonts w:ascii="宋体" w:hAnsi="宋体"/>
                <w:kern w:val="0"/>
                <w:szCs w:val="21"/>
              </w:rPr>
              <w:t>上的发帖行为也需要支持关键字过滤控制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流控黑名单</w:t>
            </w:r>
          </w:p>
        </w:tc>
        <w:tc>
          <w:tcPr>
            <w:tcW w:w="6997" w:type="dxa"/>
            <w:tcBorders>
              <w:top w:val="single" w:color="auto" w:sz="4" w:space="0"/>
              <w:left w:val="single" w:color="auto" w:sz="4" w:space="0"/>
              <w:bottom w:val="single" w:color="auto" w:sz="4" w:space="0"/>
              <w:right w:val="single" w:color="auto" w:sz="4" w:space="0"/>
            </w:tcBorders>
          </w:tcPr>
          <w:p>
            <w:pPr>
              <w:widowControl/>
              <w:rPr>
                <w:rFonts w:ascii="宋体" w:hAnsi="宋体"/>
                <w:kern w:val="0"/>
                <w:szCs w:val="21"/>
              </w:rPr>
            </w:pPr>
            <w:r>
              <w:rPr>
                <w:rFonts w:ascii="宋体" w:hAnsi="宋体"/>
                <w:kern w:val="0"/>
                <w:szCs w:val="21"/>
              </w:rPr>
              <w:t>基于“流量”、“流速”、“时长”设置配额，当配额耗尽后，将用户加入到指定的流控黑名单惩罚通道中</w:t>
            </w:r>
            <w:r>
              <w:rPr>
                <w:rFonts w:hint="eastAsia" w:ascii="宋体" w:hAnsi="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上网流速提醒</w:t>
            </w:r>
          </w:p>
        </w:tc>
        <w:tc>
          <w:tcPr>
            <w:tcW w:w="6997" w:type="dxa"/>
            <w:tcBorders>
              <w:top w:val="single" w:color="auto" w:sz="4" w:space="0"/>
              <w:left w:val="single" w:color="auto" w:sz="4" w:space="0"/>
              <w:bottom w:val="single" w:color="auto" w:sz="4" w:space="0"/>
              <w:right w:val="single" w:color="auto" w:sz="4" w:space="0"/>
            </w:tcBorders>
          </w:tcPr>
          <w:p>
            <w:pPr>
              <w:widowControl/>
              <w:rPr>
                <w:rFonts w:ascii="宋体" w:hAnsi="宋体"/>
                <w:kern w:val="0"/>
                <w:szCs w:val="21"/>
              </w:rPr>
            </w:pPr>
            <w:r>
              <w:rPr>
                <w:rFonts w:ascii="宋体" w:hAnsi="宋体"/>
                <w:kern w:val="0"/>
                <w:szCs w:val="21"/>
              </w:rPr>
              <w:t>用户指定应用上网流速超过预设阈值后，网关自动提醒该用户；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动态流控</w:t>
            </w:r>
          </w:p>
        </w:tc>
        <w:tc>
          <w:tcPr>
            <w:tcW w:w="6997" w:type="dxa"/>
            <w:tcBorders>
              <w:top w:val="single" w:color="auto" w:sz="4" w:space="0"/>
              <w:left w:val="single" w:color="auto" w:sz="4" w:space="0"/>
              <w:bottom w:val="single" w:color="auto" w:sz="4" w:space="0"/>
              <w:right w:val="single" w:color="auto" w:sz="4" w:space="0"/>
            </w:tcBorders>
          </w:tcPr>
          <w:p>
            <w:pPr>
              <w:widowControl/>
              <w:rPr>
                <w:rFonts w:ascii="宋体" w:hAnsi="宋体"/>
                <w:kern w:val="0"/>
                <w:szCs w:val="21"/>
              </w:rPr>
            </w:pPr>
            <w:r>
              <w:rPr>
                <w:rFonts w:ascii="宋体" w:hAnsi="宋体"/>
                <w:kern w:val="0"/>
                <w:szCs w:val="21"/>
              </w:rPr>
              <w:t>要求设备可以针对整体线路或者某流量通道内流量情况进行实时监控，根据设定的流量空闲值自动的调整流控控制策略，提升我单位带宽使用率（提供产品配置界面证明）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hint="eastAsia" w:ascii="宋体" w:hAnsi="宋体"/>
                <w:kern w:val="0"/>
                <w:szCs w:val="21"/>
              </w:rPr>
              <w:t>P2P</w:t>
            </w:r>
            <w:r>
              <w:rPr>
                <w:rFonts w:ascii="宋体" w:hAnsi="宋体"/>
                <w:kern w:val="0"/>
                <w:szCs w:val="21"/>
              </w:rPr>
              <w:t>智能流控</w:t>
            </w:r>
          </w:p>
        </w:tc>
        <w:tc>
          <w:tcPr>
            <w:tcW w:w="6997" w:type="dxa"/>
            <w:tcBorders>
              <w:top w:val="single" w:color="auto" w:sz="4" w:space="0"/>
              <w:left w:val="single" w:color="auto" w:sz="4" w:space="0"/>
              <w:bottom w:val="single" w:color="auto" w:sz="4" w:space="0"/>
              <w:right w:val="single" w:color="auto" w:sz="4" w:space="0"/>
            </w:tcBorders>
          </w:tcPr>
          <w:p>
            <w:pPr>
              <w:widowControl/>
              <w:rPr>
                <w:rFonts w:ascii="宋体" w:hAnsi="宋体"/>
                <w:kern w:val="0"/>
                <w:szCs w:val="21"/>
              </w:rPr>
            </w:pPr>
            <w:r>
              <w:rPr>
                <w:rFonts w:ascii="宋体" w:hAnsi="宋体"/>
                <w:kern w:val="0"/>
                <w:szCs w:val="21"/>
              </w:rPr>
              <w:t>要求设备有效抑制如迅雷、ppstream等</w:t>
            </w:r>
            <w:r>
              <w:rPr>
                <w:rFonts w:hint="eastAsia" w:ascii="宋体" w:hAnsi="宋体"/>
                <w:kern w:val="0"/>
                <w:szCs w:val="21"/>
              </w:rPr>
              <w:t>P2P</w:t>
            </w:r>
            <w:r>
              <w:rPr>
                <w:rFonts w:ascii="宋体" w:hAnsi="宋体"/>
                <w:kern w:val="0"/>
                <w:szCs w:val="21"/>
              </w:rPr>
              <w:t>应用带宽，通过抑制可看到出口上下行带宽的明显改善。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多维度权限控制</w:t>
            </w:r>
          </w:p>
        </w:tc>
        <w:tc>
          <w:tcPr>
            <w:tcW w:w="6997" w:type="dxa"/>
            <w:tcBorders>
              <w:top w:val="single" w:color="auto" w:sz="4" w:space="0"/>
              <w:left w:val="single" w:color="auto" w:sz="4" w:space="0"/>
              <w:bottom w:val="single" w:color="auto" w:sz="4" w:space="0"/>
              <w:right w:val="single" w:color="auto" w:sz="4" w:space="0"/>
            </w:tcBorders>
          </w:tcPr>
          <w:p>
            <w:pPr>
              <w:widowControl/>
              <w:rPr>
                <w:rFonts w:ascii="宋体" w:hAnsi="宋体"/>
                <w:kern w:val="0"/>
                <w:szCs w:val="21"/>
              </w:rPr>
            </w:pPr>
            <w:r>
              <w:rPr>
                <w:rFonts w:ascii="宋体" w:hAnsi="宋体"/>
                <w:kern w:val="0"/>
                <w:szCs w:val="21"/>
              </w:rPr>
              <w:t>要求设备可以根据员工的所在位置以及所使用终端配置不同的上网策略和流控策略，做到更精细化权限管理。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移动</w:t>
            </w:r>
            <w:r>
              <w:rPr>
                <w:rFonts w:hint="eastAsia" w:ascii="宋体" w:hAnsi="宋体"/>
                <w:kern w:val="0"/>
                <w:szCs w:val="21"/>
              </w:rPr>
              <w:t>APP</w:t>
            </w:r>
            <w:r>
              <w:rPr>
                <w:rFonts w:ascii="宋体" w:hAnsi="宋体"/>
                <w:kern w:val="0"/>
                <w:szCs w:val="21"/>
              </w:rPr>
              <w:t>审计</w:t>
            </w:r>
          </w:p>
        </w:tc>
        <w:tc>
          <w:tcPr>
            <w:tcW w:w="6997" w:type="dxa"/>
            <w:tcBorders>
              <w:top w:val="single" w:color="auto" w:sz="4" w:space="0"/>
              <w:left w:val="single" w:color="auto" w:sz="4" w:space="0"/>
              <w:bottom w:val="single" w:color="auto" w:sz="4" w:space="0"/>
              <w:right w:val="single" w:color="auto" w:sz="4" w:space="0"/>
            </w:tcBorders>
          </w:tcPr>
          <w:p>
            <w:pPr>
              <w:widowControl/>
              <w:rPr>
                <w:rFonts w:ascii="宋体" w:hAnsi="宋体"/>
                <w:kern w:val="0"/>
                <w:szCs w:val="21"/>
              </w:rPr>
            </w:pPr>
            <w:r>
              <w:rPr>
                <w:rFonts w:ascii="宋体" w:hAnsi="宋体"/>
                <w:kern w:val="0"/>
                <w:szCs w:val="21"/>
              </w:rPr>
              <w:t>支持常见论坛（天涯社区、猫扑社区、百度贴吧、新浪论坛、搜狐社区等</w:t>
            </w:r>
          </w:p>
          <w:p>
            <w:pPr>
              <w:widowControl/>
              <w:rPr>
                <w:rFonts w:ascii="宋体" w:hAnsi="宋体"/>
                <w:kern w:val="0"/>
                <w:szCs w:val="21"/>
              </w:rPr>
            </w:pPr>
            <w:r>
              <w:rPr>
                <w:rFonts w:ascii="宋体" w:hAnsi="宋体"/>
                <w:kern w:val="0"/>
                <w:szCs w:val="21"/>
              </w:rPr>
              <w:t>）、</w:t>
            </w:r>
            <w:r>
              <w:rPr>
                <w:rFonts w:hint="eastAsia" w:ascii="宋体" w:hAnsi="宋体"/>
                <w:kern w:val="0"/>
                <w:szCs w:val="21"/>
              </w:rPr>
              <w:t>微博</w:t>
            </w:r>
            <w:r>
              <w:rPr>
                <w:rFonts w:ascii="宋体" w:hAnsi="宋体"/>
                <w:kern w:val="0"/>
                <w:szCs w:val="21"/>
              </w:rPr>
              <w:t>（新浪）、</w:t>
            </w:r>
            <w:r>
              <w:rPr>
                <w:rFonts w:hint="eastAsia" w:ascii="宋体" w:hAnsi="宋体"/>
                <w:kern w:val="0"/>
                <w:szCs w:val="21"/>
              </w:rPr>
              <w:t>新闻</w:t>
            </w:r>
            <w:r>
              <w:rPr>
                <w:rFonts w:ascii="宋体" w:hAnsi="宋体"/>
                <w:kern w:val="0"/>
                <w:szCs w:val="21"/>
              </w:rPr>
              <w:t>评论类（腾讯新闻、网易新闻、搜狐新闻、新浪新闻）的移动</w:t>
            </w:r>
            <w:r>
              <w:rPr>
                <w:rFonts w:hint="eastAsia" w:ascii="宋体" w:hAnsi="宋体"/>
                <w:kern w:val="0"/>
                <w:szCs w:val="21"/>
              </w:rPr>
              <w:t>APP</w:t>
            </w:r>
            <w:r>
              <w:rPr>
                <w:rFonts w:ascii="宋体" w:hAnsi="宋体"/>
                <w:kern w:val="0"/>
                <w:szCs w:val="21"/>
              </w:rPr>
              <w:t>内容审计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IM</w:t>
            </w:r>
            <w:r>
              <w:rPr>
                <w:rFonts w:hint="eastAsia" w:ascii="宋体" w:hAnsi="宋体"/>
                <w:kern w:val="0"/>
                <w:szCs w:val="21"/>
              </w:rPr>
              <w:t>审计</w:t>
            </w:r>
          </w:p>
        </w:tc>
        <w:tc>
          <w:tcPr>
            <w:tcW w:w="6997" w:type="dxa"/>
            <w:tcBorders>
              <w:top w:val="single" w:color="auto" w:sz="4" w:space="0"/>
              <w:left w:val="single" w:color="auto" w:sz="4" w:space="0"/>
              <w:bottom w:val="single" w:color="auto" w:sz="4" w:space="0"/>
              <w:right w:val="single" w:color="auto" w:sz="4" w:space="0"/>
            </w:tcBorders>
          </w:tcPr>
          <w:p>
            <w:pPr>
              <w:widowControl/>
              <w:rPr>
                <w:rFonts w:ascii="宋体" w:hAnsi="宋体"/>
                <w:kern w:val="0"/>
                <w:szCs w:val="21"/>
              </w:rPr>
            </w:pPr>
            <w:r>
              <w:rPr>
                <w:rFonts w:ascii="宋体" w:hAnsi="宋体"/>
                <w:kern w:val="0"/>
                <w:szCs w:val="21"/>
              </w:rPr>
              <w:t>支持对QQ（客户端版本）、阿里旺旺、万德（</w:t>
            </w:r>
            <w:r>
              <w:rPr>
                <w:rFonts w:hint="eastAsia" w:ascii="宋体" w:hAnsi="宋体"/>
                <w:kern w:val="0"/>
                <w:szCs w:val="21"/>
              </w:rPr>
              <w:t>Wind</w:t>
            </w:r>
            <w:r>
              <w:rPr>
                <w:rFonts w:ascii="宋体" w:hAnsi="宋体"/>
                <w:kern w:val="0"/>
                <w:szCs w:val="21"/>
              </w:rPr>
              <w:t>）、路透等应用的聊天，群聊天等内容的</w:t>
            </w:r>
            <w:r>
              <w:rPr>
                <w:rFonts w:hint="eastAsia" w:ascii="宋体" w:hAnsi="宋体"/>
                <w:kern w:val="0"/>
                <w:szCs w:val="21"/>
              </w:rPr>
              <w:t>审计。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邮件审计</w:t>
            </w:r>
          </w:p>
        </w:tc>
        <w:tc>
          <w:tcPr>
            <w:tcW w:w="6997" w:type="dxa"/>
            <w:tcBorders>
              <w:top w:val="single" w:color="auto" w:sz="4" w:space="0"/>
              <w:left w:val="single" w:color="auto" w:sz="4" w:space="0"/>
              <w:bottom w:val="single" w:color="auto" w:sz="4" w:space="0"/>
              <w:right w:val="single" w:color="auto" w:sz="4" w:space="0"/>
            </w:tcBorders>
          </w:tcPr>
          <w:p>
            <w:pPr>
              <w:widowControl/>
              <w:rPr>
                <w:rFonts w:ascii="宋体" w:hAnsi="宋体"/>
                <w:kern w:val="0"/>
                <w:szCs w:val="21"/>
              </w:rPr>
            </w:pPr>
            <w:r>
              <w:rPr>
                <w:rFonts w:ascii="宋体" w:hAnsi="宋体"/>
                <w:kern w:val="0"/>
                <w:szCs w:val="21"/>
              </w:rPr>
              <w:t>支持对加密</w:t>
            </w:r>
            <w:r>
              <w:rPr>
                <w:rFonts w:hint="eastAsia" w:ascii="宋体" w:hAnsi="宋体"/>
                <w:kern w:val="0"/>
                <w:szCs w:val="21"/>
              </w:rPr>
              <w:t>HTTPS</w:t>
            </w:r>
            <w:r>
              <w:rPr>
                <w:rFonts w:ascii="宋体" w:hAnsi="宋体"/>
                <w:kern w:val="0"/>
                <w:szCs w:val="21"/>
              </w:rPr>
              <w:t>、</w:t>
            </w:r>
            <w:r>
              <w:rPr>
                <w:rFonts w:hint="eastAsia" w:ascii="宋体" w:hAnsi="宋体"/>
                <w:kern w:val="0"/>
                <w:szCs w:val="21"/>
              </w:rPr>
              <w:t>SMTP-SSL</w:t>
            </w:r>
            <w:r>
              <w:rPr>
                <w:rFonts w:ascii="宋体" w:hAnsi="宋体"/>
                <w:kern w:val="0"/>
                <w:szCs w:val="21"/>
              </w:rPr>
              <w:t>、</w:t>
            </w:r>
            <w:r>
              <w:rPr>
                <w:rFonts w:hint="eastAsia" w:ascii="宋体" w:hAnsi="宋体"/>
                <w:kern w:val="0"/>
                <w:szCs w:val="21"/>
              </w:rPr>
              <w:t>SMTP-TLS</w:t>
            </w:r>
            <w:r>
              <w:rPr>
                <w:rFonts w:ascii="宋体" w:hAnsi="宋体"/>
                <w:kern w:val="0"/>
                <w:szCs w:val="21"/>
              </w:rPr>
              <w:t>、</w:t>
            </w:r>
            <w:r>
              <w:rPr>
                <w:rFonts w:hint="eastAsia" w:ascii="宋体" w:hAnsi="宋体"/>
                <w:kern w:val="0"/>
                <w:szCs w:val="21"/>
              </w:rPr>
              <w:t>SMTP</w:t>
            </w:r>
            <w:r>
              <w:rPr>
                <w:rFonts w:ascii="宋体" w:hAnsi="宋体"/>
                <w:kern w:val="0"/>
                <w:szCs w:val="21"/>
              </w:rPr>
              <w:t>、</w:t>
            </w:r>
            <w:r>
              <w:rPr>
                <w:rFonts w:hint="eastAsia" w:ascii="宋体" w:hAnsi="宋体"/>
                <w:kern w:val="0"/>
                <w:szCs w:val="21"/>
              </w:rPr>
              <w:t>Gmail</w:t>
            </w:r>
            <w:r>
              <w:rPr>
                <w:rFonts w:ascii="宋体" w:hAnsi="宋体"/>
                <w:kern w:val="0"/>
                <w:szCs w:val="21"/>
              </w:rPr>
              <w:t xml:space="preserve">、闪电邮客户端的邮件进行关键字过滤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hint="eastAsia" w:ascii="宋体" w:hAnsi="宋体"/>
                <w:kern w:val="0"/>
                <w:szCs w:val="21"/>
              </w:rPr>
              <w:t>加密证书自动分发</w:t>
            </w:r>
          </w:p>
        </w:tc>
        <w:tc>
          <w:tcPr>
            <w:tcW w:w="6997" w:type="dxa"/>
            <w:tcBorders>
              <w:top w:val="single" w:color="auto" w:sz="4" w:space="0"/>
              <w:left w:val="single" w:color="auto" w:sz="4" w:space="0"/>
              <w:bottom w:val="single" w:color="auto" w:sz="4" w:space="0"/>
              <w:right w:val="single" w:color="auto" w:sz="4" w:space="0"/>
            </w:tcBorders>
          </w:tcPr>
          <w:p>
            <w:pPr>
              <w:widowControl/>
              <w:rPr>
                <w:rFonts w:ascii="宋体" w:hAnsi="宋体"/>
                <w:kern w:val="0"/>
                <w:szCs w:val="21"/>
              </w:rPr>
            </w:pPr>
            <w:r>
              <w:rPr>
                <w:rFonts w:hint="eastAsia" w:ascii="宋体" w:hAnsi="宋体"/>
                <w:kern w:val="0"/>
                <w:szCs w:val="21"/>
              </w:rPr>
              <w:t>审计SSL网页时，支持加密证书自动分发功能，用户点击网页上的工具即可一次性安装完成。解决管理员给每台PC单独安装证书的问题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hint="eastAsia" w:ascii="宋体" w:hAnsi="宋体"/>
                <w:kern w:val="0"/>
                <w:szCs w:val="21"/>
              </w:rPr>
              <w:t>关键字订阅</w:t>
            </w:r>
          </w:p>
        </w:tc>
        <w:tc>
          <w:tcPr>
            <w:tcW w:w="6997" w:type="dxa"/>
            <w:tcBorders>
              <w:top w:val="single" w:color="auto" w:sz="4" w:space="0"/>
              <w:left w:val="single" w:color="auto" w:sz="4" w:space="0"/>
              <w:bottom w:val="single" w:color="auto" w:sz="4" w:space="0"/>
              <w:right w:val="single" w:color="auto" w:sz="4" w:space="0"/>
            </w:tcBorders>
          </w:tcPr>
          <w:p>
            <w:pPr>
              <w:widowControl/>
              <w:rPr>
                <w:rFonts w:ascii="宋体" w:hAnsi="宋体"/>
                <w:kern w:val="0"/>
                <w:szCs w:val="21"/>
              </w:rPr>
            </w:pPr>
            <w:r>
              <w:rPr>
                <w:rFonts w:hint="eastAsia" w:ascii="宋体" w:hAnsi="宋体"/>
                <w:kern w:val="0"/>
                <w:szCs w:val="21"/>
              </w:rPr>
              <w:t>支持预置几组关键字，当审计日志中出现这些关键字时，将定期以邮件的方式发送报告给指定邮箱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网络整体状况报表</w:t>
            </w:r>
          </w:p>
        </w:tc>
        <w:tc>
          <w:tcPr>
            <w:tcW w:w="6997" w:type="dxa"/>
            <w:tcBorders>
              <w:top w:val="single" w:color="auto" w:sz="4" w:space="0"/>
              <w:left w:val="single" w:color="auto" w:sz="4" w:space="0"/>
              <w:bottom w:val="single" w:color="auto" w:sz="4" w:space="0"/>
              <w:right w:val="single" w:color="auto" w:sz="4" w:space="0"/>
            </w:tcBorders>
          </w:tcPr>
          <w:p>
            <w:pPr>
              <w:widowControl/>
              <w:rPr>
                <w:rFonts w:ascii="宋体" w:hAnsi="宋体"/>
                <w:kern w:val="0"/>
                <w:szCs w:val="21"/>
              </w:rPr>
            </w:pPr>
            <w:r>
              <w:rPr>
                <w:rFonts w:ascii="宋体" w:hAnsi="宋体"/>
                <w:kern w:val="0"/>
                <w:szCs w:val="21"/>
              </w:rPr>
              <w:t>从带宽健康分析、工作效率分析、离职风险分析、合规性分析四个大块对网络整体状况进行说明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下钻查询</w:t>
            </w:r>
          </w:p>
        </w:tc>
        <w:tc>
          <w:tcPr>
            <w:tcW w:w="6997" w:type="dxa"/>
            <w:tcBorders>
              <w:top w:val="single" w:color="auto" w:sz="4" w:space="0"/>
              <w:left w:val="single" w:color="auto" w:sz="4" w:space="0"/>
              <w:bottom w:val="single" w:color="auto" w:sz="4" w:space="0"/>
              <w:right w:val="single" w:color="auto" w:sz="4" w:space="0"/>
            </w:tcBorders>
          </w:tcPr>
          <w:p>
            <w:pPr>
              <w:widowControl/>
              <w:rPr>
                <w:rFonts w:ascii="宋体" w:hAnsi="宋体"/>
                <w:kern w:val="0"/>
                <w:szCs w:val="21"/>
              </w:rPr>
            </w:pPr>
            <w:r>
              <w:rPr>
                <w:rFonts w:ascii="宋体" w:hAnsi="宋体"/>
                <w:kern w:val="0"/>
                <w:szCs w:val="21"/>
              </w:rPr>
              <w:t>在流量时长分析、用户行为分析、终端接入分析等纬度相关页面支持对统计结果的向下钻取查询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特权用户</w:t>
            </w:r>
          </w:p>
        </w:tc>
        <w:tc>
          <w:tcPr>
            <w:tcW w:w="6997" w:type="dxa"/>
            <w:tcBorders>
              <w:top w:val="single" w:color="auto" w:sz="4" w:space="0"/>
              <w:left w:val="single" w:color="auto" w:sz="4" w:space="0"/>
              <w:bottom w:val="single" w:color="auto" w:sz="4" w:space="0"/>
              <w:right w:val="single" w:color="auto" w:sz="4" w:space="0"/>
            </w:tcBorders>
          </w:tcPr>
          <w:p>
            <w:pPr>
              <w:widowControl/>
              <w:rPr>
                <w:rFonts w:ascii="宋体" w:hAnsi="宋体"/>
                <w:kern w:val="0"/>
                <w:szCs w:val="21"/>
              </w:rPr>
            </w:pPr>
            <w:r>
              <w:rPr>
                <w:rFonts w:ascii="宋体" w:hAnsi="宋体"/>
                <w:kern w:val="0"/>
                <w:szCs w:val="21"/>
              </w:rPr>
              <w:t>支持针对特权用户配置免认证</w:t>
            </w:r>
            <w:r>
              <w:rPr>
                <w:rFonts w:hint="eastAsia" w:ascii="宋体" w:hAnsi="宋体"/>
                <w:kern w:val="0"/>
                <w:szCs w:val="21"/>
              </w:rPr>
              <w:t>key</w:t>
            </w:r>
            <w:r>
              <w:rPr>
                <w:rFonts w:ascii="宋体" w:hAnsi="宋体"/>
                <w:kern w:val="0"/>
                <w:szCs w:val="21"/>
              </w:rPr>
              <w:t>、免控制</w:t>
            </w:r>
            <w:r>
              <w:rPr>
                <w:rFonts w:hint="eastAsia" w:ascii="宋体" w:hAnsi="宋体"/>
                <w:kern w:val="0"/>
                <w:szCs w:val="21"/>
              </w:rPr>
              <w:t>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数据中心</w:t>
            </w:r>
          </w:p>
        </w:tc>
        <w:tc>
          <w:tcPr>
            <w:tcW w:w="6997" w:type="dxa"/>
            <w:tcBorders>
              <w:top w:val="single" w:color="auto" w:sz="4" w:space="0"/>
              <w:left w:val="single" w:color="auto" w:sz="4" w:space="0"/>
              <w:bottom w:val="single" w:color="auto" w:sz="4" w:space="0"/>
              <w:right w:val="single" w:color="auto" w:sz="4" w:space="0"/>
            </w:tcBorders>
          </w:tcPr>
          <w:p>
            <w:pPr>
              <w:widowControl/>
              <w:rPr>
                <w:rFonts w:ascii="宋体" w:hAnsi="宋体"/>
                <w:kern w:val="0"/>
                <w:szCs w:val="21"/>
              </w:rPr>
            </w:pPr>
            <w:r>
              <w:rPr>
                <w:rFonts w:ascii="宋体" w:hAnsi="宋体"/>
                <w:kern w:val="0"/>
                <w:szCs w:val="21"/>
              </w:rPr>
              <w:t>要求设备必须支持将审计数据备份到外置数据中心，实现海量存储；必须支持通过</w:t>
            </w:r>
            <w:r>
              <w:rPr>
                <w:rFonts w:hint="eastAsia" w:ascii="宋体" w:hAnsi="宋体"/>
                <w:kern w:val="0"/>
                <w:szCs w:val="21"/>
              </w:rPr>
              <w:t>USBKEY</w:t>
            </w:r>
            <w:r>
              <w:rPr>
                <w:rFonts w:ascii="宋体" w:hAnsi="宋体"/>
                <w:kern w:val="0"/>
                <w:szCs w:val="21"/>
              </w:rPr>
              <w:t>方式对数据中心管理员进行身份验证，确保我单位核心数据不会外泄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25" w:type="dxa"/>
            <w:vMerge w:val="restart"/>
            <w:tcBorders>
              <w:top w:val="single" w:color="auto" w:sz="4" w:space="0"/>
              <w:left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投标产品资质要求</w:t>
            </w:r>
          </w:p>
        </w:tc>
        <w:tc>
          <w:tcPr>
            <w:tcW w:w="6997"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Cs w:val="21"/>
              </w:rPr>
            </w:pPr>
            <w:r>
              <w:rPr>
                <w:rFonts w:hint="eastAsia" w:ascii="宋体" w:hAnsi="宋体"/>
                <w:kern w:val="0"/>
                <w:szCs w:val="21"/>
              </w:rPr>
              <w:t>中国信息安全测评中心《信息技术产品安全测评证书EAL3级》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25" w:type="dxa"/>
            <w:vMerge w:val="continue"/>
            <w:tcBorders>
              <w:left w:val="single" w:color="auto" w:sz="4" w:space="0"/>
              <w:right w:val="single" w:color="auto" w:sz="4" w:space="0"/>
            </w:tcBorders>
            <w:vAlign w:val="center"/>
          </w:tcPr>
          <w:p>
            <w:pPr>
              <w:widowControl/>
              <w:jc w:val="center"/>
              <w:rPr>
                <w:rFonts w:ascii="宋体" w:hAnsi="宋体"/>
                <w:kern w:val="0"/>
                <w:szCs w:val="21"/>
              </w:rPr>
            </w:pPr>
          </w:p>
        </w:tc>
        <w:tc>
          <w:tcPr>
            <w:tcW w:w="6997"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Cs w:val="21"/>
              </w:rPr>
            </w:pPr>
            <w:r>
              <w:rPr>
                <w:rFonts w:hint="eastAsia" w:ascii="宋体" w:hAnsi="宋体"/>
                <w:kern w:val="0"/>
                <w:szCs w:val="21"/>
              </w:rPr>
              <w:t>具有工信部颁发的《电信设备进网许可证》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25" w:type="dxa"/>
            <w:vMerge w:val="restart"/>
            <w:tcBorders>
              <w:left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服务要求</w:t>
            </w:r>
          </w:p>
        </w:tc>
        <w:tc>
          <w:tcPr>
            <w:tcW w:w="6997"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Cs w:val="21"/>
              </w:rPr>
            </w:pPr>
            <w:r>
              <w:rPr>
                <w:rFonts w:ascii="宋体" w:hAnsi="宋体"/>
                <w:kern w:val="0"/>
                <w:szCs w:val="21"/>
              </w:rPr>
              <w:t>支持系统、应用协议库、</w:t>
            </w:r>
            <w:r>
              <w:rPr>
                <w:rFonts w:hint="eastAsia" w:ascii="宋体" w:hAnsi="宋体"/>
                <w:kern w:val="0"/>
                <w:szCs w:val="21"/>
              </w:rPr>
              <w:t>URL</w:t>
            </w:r>
            <w:r>
              <w:rPr>
                <w:rFonts w:ascii="宋体" w:hAnsi="宋体"/>
                <w:kern w:val="0"/>
                <w:szCs w:val="21"/>
              </w:rPr>
              <w:t>地址库的在线自动升级；提供三年免费</w:t>
            </w:r>
            <w:r>
              <w:rPr>
                <w:rFonts w:hint="eastAsia" w:ascii="宋体" w:hAnsi="宋体"/>
                <w:kern w:val="0"/>
                <w:szCs w:val="21"/>
              </w:rPr>
              <w:t>URL</w:t>
            </w:r>
            <w:r>
              <w:rPr>
                <w:rFonts w:ascii="宋体" w:hAnsi="宋体"/>
                <w:kern w:val="0"/>
                <w:szCs w:val="21"/>
              </w:rPr>
              <w:t>及应用识别规则库升级；协议库每二周至少能升级一次，客户发现有不能封堵的应用，厂商应在一周内完成协议库更新并解决问题。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25" w:type="dxa"/>
            <w:vMerge w:val="continue"/>
            <w:tcBorders>
              <w:left w:val="single" w:color="auto" w:sz="4" w:space="0"/>
              <w:right w:val="single" w:color="auto" w:sz="4" w:space="0"/>
            </w:tcBorders>
            <w:vAlign w:val="center"/>
          </w:tcPr>
          <w:p>
            <w:pPr>
              <w:widowControl/>
              <w:jc w:val="center"/>
              <w:rPr>
                <w:rFonts w:ascii="宋体" w:hAnsi="宋体"/>
                <w:kern w:val="0"/>
                <w:szCs w:val="21"/>
              </w:rPr>
            </w:pPr>
          </w:p>
        </w:tc>
        <w:tc>
          <w:tcPr>
            <w:tcW w:w="6997"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Cs w:val="21"/>
              </w:rPr>
            </w:pPr>
            <w:r>
              <w:rPr>
                <w:rFonts w:ascii="宋体" w:hAnsi="宋体"/>
                <w:kern w:val="0"/>
                <w:szCs w:val="21"/>
              </w:rPr>
              <w:t>应提供</w:t>
            </w:r>
            <w:r>
              <w:rPr>
                <w:rFonts w:hint="eastAsia" w:ascii="宋体" w:hAnsi="宋体"/>
                <w:kern w:val="0"/>
                <w:szCs w:val="21"/>
              </w:rPr>
              <w:t>7</w:t>
            </w:r>
            <w:r>
              <w:rPr>
                <w:rFonts w:ascii="宋体" w:hAnsi="宋体"/>
                <w:kern w:val="0"/>
                <w:szCs w:val="21"/>
              </w:rPr>
              <w:t>×</w:t>
            </w:r>
            <w:r>
              <w:rPr>
                <w:rFonts w:hint="eastAsia" w:ascii="宋体" w:hAnsi="宋体"/>
                <w:kern w:val="0"/>
                <w:szCs w:val="21"/>
              </w:rPr>
              <w:t>24</w:t>
            </w:r>
            <w:r>
              <w:rPr>
                <w:rFonts w:ascii="宋体" w:hAnsi="宋体"/>
                <w:kern w:val="0"/>
                <w:szCs w:val="21"/>
              </w:rPr>
              <w:t>小时现场技术支持及产品备机，</w:t>
            </w:r>
            <w:r>
              <w:rPr>
                <w:rFonts w:hint="eastAsia" w:ascii="宋体" w:hAnsi="宋体"/>
                <w:kern w:val="0"/>
                <w:szCs w:val="21"/>
              </w:rPr>
              <w:t>1</w:t>
            </w:r>
            <w:r>
              <w:rPr>
                <w:rFonts w:ascii="宋体" w:hAnsi="宋体"/>
                <w:kern w:val="0"/>
                <w:szCs w:val="21"/>
              </w:rPr>
              <w:t>小时内响应，</w:t>
            </w:r>
            <w:r>
              <w:rPr>
                <w:rFonts w:hint="eastAsia" w:ascii="宋体" w:hAnsi="宋体"/>
                <w:kern w:val="0"/>
                <w:szCs w:val="21"/>
              </w:rPr>
              <w:t>4</w:t>
            </w:r>
            <w:r>
              <w:rPr>
                <w:rFonts w:ascii="宋体" w:hAnsi="宋体"/>
                <w:kern w:val="0"/>
                <w:szCs w:val="21"/>
              </w:rPr>
              <w:t>小时内到达现场，</w:t>
            </w:r>
            <w:r>
              <w:rPr>
                <w:rFonts w:hint="eastAsia" w:ascii="宋体" w:hAnsi="宋体"/>
                <w:kern w:val="0"/>
                <w:szCs w:val="21"/>
              </w:rPr>
              <w:t>24</w:t>
            </w:r>
            <w:r>
              <w:rPr>
                <w:rFonts w:ascii="宋体" w:hAnsi="宋体"/>
                <w:kern w:val="0"/>
                <w:szCs w:val="21"/>
              </w:rPr>
              <w:t>小时内不能解决问题应提供备机。</w:t>
            </w:r>
          </w:p>
        </w:tc>
      </w:tr>
    </w:tbl>
    <w:p>
      <w:pPr>
        <w:widowControl/>
        <w:jc w:val="left"/>
      </w:pPr>
    </w:p>
    <w:p>
      <w:pPr>
        <w:pStyle w:val="4"/>
        <w:tabs>
          <w:tab w:val="left" w:pos="432"/>
        </w:tabs>
        <w:rPr>
          <w:sz w:val="24"/>
          <w:szCs w:val="24"/>
        </w:rPr>
      </w:pPr>
      <w:r>
        <w:rPr>
          <w:rFonts w:hint="eastAsia"/>
          <w:sz w:val="24"/>
          <w:szCs w:val="24"/>
        </w:rPr>
        <w:t>7.3.18 外联区域安全防火墙</w:t>
      </w:r>
    </w:p>
    <w:p>
      <w:pPr>
        <w:rPr>
          <w:vanish/>
        </w:rPr>
      </w:pPr>
    </w:p>
    <w:tbl>
      <w:tblPr>
        <w:tblStyle w:val="35"/>
        <w:tblW w:w="86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066"/>
        <w:gridCol w:w="6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1738" w:type="dxa"/>
            <w:gridSpan w:val="2"/>
            <w:vAlign w:val="center"/>
          </w:tcPr>
          <w:p>
            <w:pPr>
              <w:rPr>
                <w:rFonts w:ascii="宋体" w:hAnsi="宋体"/>
                <w:szCs w:val="21"/>
              </w:rPr>
            </w:pPr>
            <w:r>
              <w:rPr>
                <w:rFonts w:hint="eastAsia" w:ascii="宋体" w:hAnsi="宋体"/>
                <w:szCs w:val="21"/>
              </w:rPr>
              <w:t>指标项</w:t>
            </w:r>
          </w:p>
        </w:tc>
        <w:tc>
          <w:tcPr>
            <w:tcW w:w="6927" w:type="dxa"/>
            <w:vAlign w:val="center"/>
          </w:tcPr>
          <w:p>
            <w:pPr>
              <w:jc w:val="center"/>
              <w:rPr>
                <w:rFonts w:ascii="宋体" w:hAnsi="宋体"/>
                <w:szCs w:val="21"/>
              </w:rPr>
            </w:pPr>
            <w:r>
              <w:rPr>
                <w:rFonts w:hint="eastAsia" w:ascii="宋体" w:hAnsi="宋体"/>
                <w:szCs w:val="21"/>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2" w:type="dxa"/>
            <w:vAlign w:val="center"/>
          </w:tcPr>
          <w:p>
            <w:pPr>
              <w:jc w:val="center"/>
              <w:rPr>
                <w:rFonts w:ascii="宋体" w:hAnsi="宋体"/>
                <w:b/>
                <w:szCs w:val="21"/>
              </w:rPr>
            </w:pPr>
            <w:r>
              <w:rPr>
                <w:rFonts w:hint="eastAsia" w:ascii="宋体" w:hAnsi="宋体"/>
                <w:b/>
                <w:szCs w:val="21"/>
              </w:rPr>
              <w:t>基本要求</w:t>
            </w:r>
          </w:p>
        </w:tc>
        <w:tc>
          <w:tcPr>
            <w:tcW w:w="1066" w:type="dxa"/>
            <w:vAlign w:val="center"/>
          </w:tcPr>
          <w:p>
            <w:pPr>
              <w:rPr>
                <w:rFonts w:ascii="宋体" w:hAnsi="宋体"/>
                <w:szCs w:val="21"/>
              </w:rPr>
            </w:pPr>
            <w:r>
              <w:rPr>
                <w:rFonts w:hint="eastAsia" w:ascii="宋体" w:hAnsi="宋体"/>
                <w:szCs w:val="21"/>
              </w:rPr>
              <w:t>操作</w:t>
            </w:r>
            <w:r>
              <w:rPr>
                <w:rFonts w:ascii="宋体" w:hAnsi="宋体"/>
                <w:szCs w:val="21"/>
              </w:rPr>
              <w:t>系统</w:t>
            </w:r>
          </w:p>
        </w:tc>
        <w:tc>
          <w:tcPr>
            <w:tcW w:w="6927" w:type="dxa"/>
            <w:vAlign w:val="center"/>
          </w:tcPr>
          <w:p>
            <w:pPr>
              <w:rPr>
                <w:rFonts w:ascii="宋体" w:hAnsi="宋体"/>
                <w:szCs w:val="21"/>
              </w:rPr>
            </w:pPr>
            <w:r>
              <w:rPr>
                <w:rFonts w:hint="eastAsia" w:ascii="宋体" w:hAnsi="宋体"/>
                <w:szCs w:val="21"/>
              </w:rPr>
              <w:t>要求采用先进的多核网络专用架构</w:t>
            </w:r>
            <w:r>
              <w:rPr>
                <w:rFonts w:ascii="宋体" w:hAnsi="宋体"/>
                <w:szCs w:val="21"/>
              </w:rPr>
              <w:t>多核硬件平台</w:t>
            </w:r>
            <w:r>
              <w:rPr>
                <w:rFonts w:hint="eastAsia" w:ascii="宋体" w:hAnsi="宋体"/>
                <w:szCs w:val="21"/>
              </w:rPr>
              <w:t>，x</w:t>
            </w:r>
            <w:r>
              <w:rPr>
                <w:rFonts w:ascii="宋体" w:hAnsi="宋体"/>
                <w:szCs w:val="21"/>
              </w:rPr>
              <w:t>86多核处理器，非MIPS的多核架构或ASIC架构；安全操作系统</w:t>
            </w:r>
            <w:r>
              <w:rPr>
                <w:rFonts w:hint="eastAsia" w:ascii="宋体" w:hAnsi="宋体"/>
                <w:szCs w:val="21"/>
              </w:rPr>
              <w:t>采用</w:t>
            </w:r>
            <w:r>
              <w:rPr>
                <w:rFonts w:ascii="宋体" w:hAnsi="宋体"/>
                <w:szCs w:val="21"/>
              </w:rPr>
              <w:t>冗余设计</w:t>
            </w:r>
            <w:r>
              <w:rPr>
                <w:rFonts w:hint="eastAsia" w:ascii="宋体" w:hAnsi="宋体"/>
                <w:szCs w:val="21"/>
              </w:rPr>
              <w:t>，系统运行的可靠性与稳定性，要求信息安全设备、系统软件的开发、生产符合</w:t>
            </w:r>
            <w:r>
              <w:rPr>
                <w:rFonts w:hint="eastAsia"/>
              </w:rPr>
              <w:t>ios9001</w:t>
            </w:r>
            <w:r>
              <w:rPr>
                <w:rFonts w:hint="eastAsia" w:ascii="宋体" w:hAnsi="宋体"/>
                <w:szCs w:val="21"/>
              </w:rPr>
              <w:t>标准，提供相关证明；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8" w:hRule="atLeast"/>
          <w:jc w:val="center"/>
        </w:trPr>
        <w:tc>
          <w:tcPr>
            <w:tcW w:w="672" w:type="dxa"/>
            <w:vAlign w:val="center"/>
          </w:tcPr>
          <w:p>
            <w:pPr>
              <w:jc w:val="center"/>
              <w:rPr>
                <w:rFonts w:ascii="宋体" w:hAnsi="宋体"/>
                <w:b/>
                <w:szCs w:val="21"/>
              </w:rPr>
            </w:pPr>
            <w:r>
              <w:rPr>
                <w:rFonts w:hint="eastAsia" w:ascii="宋体" w:hAnsi="宋体"/>
                <w:b/>
                <w:szCs w:val="21"/>
              </w:rPr>
              <w:t>系统</w:t>
            </w:r>
            <w:r>
              <w:rPr>
                <w:rFonts w:ascii="宋体" w:hAnsi="宋体"/>
                <w:b/>
                <w:szCs w:val="21"/>
              </w:rPr>
              <w:t>性能</w:t>
            </w:r>
          </w:p>
        </w:tc>
        <w:tc>
          <w:tcPr>
            <w:tcW w:w="1066" w:type="dxa"/>
            <w:vAlign w:val="center"/>
          </w:tcPr>
          <w:p>
            <w:pPr>
              <w:rPr>
                <w:rFonts w:ascii="宋体" w:hAnsi="宋体"/>
                <w:szCs w:val="21"/>
              </w:rPr>
            </w:pPr>
            <w:r>
              <w:rPr>
                <w:rFonts w:hint="eastAsia" w:ascii="宋体" w:hAnsi="宋体"/>
                <w:szCs w:val="21"/>
              </w:rPr>
              <w:t>系统配置</w:t>
            </w:r>
          </w:p>
        </w:tc>
        <w:tc>
          <w:tcPr>
            <w:tcW w:w="6927" w:type="dxa"/>
            <w:vAlign w:val="center"/>
          </w:tcPr>
          <w:p>
            <w:pPr>
              <w:jc w:val="left"/>
              <w:rPr>
                <w:rFonts w:ascii="宋体" w:hAnsi="宋体"/>
                <w:szCs w:val="21"/>
              </w:rPr>
            </w:pPr>
            <w:r>
              <w:rPr>
                <w:rFonts w:hint="eastAsia" w:ascii="宋体" w:hAnsi="宋体"/>
                <w:szCs w:val="21"/>
              </w:rPr>
              <w:t>机架式机型，标配</w:t>
            </w:r>
            <w:r>
              <w:rPr>
                <w:rFonts w:ascii="宋体" w:hAnsi="宋体"/>
                <w:szCs w:val="21"/>
              </w:rPr>
              <w:t>6</w:t>
            </w:r>
            <w:r>
              <w:rPr>
                <w:rFonts w:hint="eastAsia" w:ascii="宋体" w:hAnsi="宋体"/>
                <w:szCs w:val="21"/>
              </w:rPr>
              <w:t>个10/100/1000MBase-T端口，</w:t>
            </w:r>
            <w:r>
              <w:rPr>
                <w:rFonts w:ascii="宋体" w:hAnsi="宋体"/>
                <w:szCs w:val="21"/>
              </w:rPr>
              <w:t>4</w:t>
            </w:r>
            <w:r>
              <w:rPr>
                <w:rFonts w:hint="eastAsia" w:ascii="宋体" w:hAnsi="宋体"/>
                <w:szCs w:val="21"/>
              </w:rPr>
              <w:t>个SFP扩展插槽，</w:t>
            </w:r>
            <w:r>
              <w:rPr>
                <w:rFonts w:ascii="宋体" w:hAnsi="宋体"/>
                <w:szCs w:val="21"/>
              </w:rPr>
              <w:t>4</w:t>
            </w:r>
            <w:r>
              <w:rPr>
                <w:rFonts w:hint="eastAsia" w:ascii="宋体" w:hAnsi="宋体"/>
                <w:szCs w:val="21"/>
              </w:rPr>
              <w:t>个SFP光模块；1</w:t>
            </w:r>
            <w:r>
              <w:rPr>
                <w:rFonts w:ascii="宋体" w:hAnsi="宋体"/>
                <w:szCs w:val="21"/>
              </w:rPr>
              <w:t>TB</w:t>
            </w:r>
            <w:r>
              <w:rPr>
                <w:rFonts w:hint="eastAsia" w:ascii="宋体" w:hAnsi="宋体"/>
                <w:szCs w:val="21"/>
              </w:rPr>
              <w:t>硬盘。模块化冗余电源；整机吞吐率：&gt;1</w:t>
            </w:r>
            <w:r>
              <w:rPr>
                <w:rFonts w:ascii="宋体" w:hAnsi="宋体"/>
                <w:szCs w:val="21"/>
              </w:rPr>
              <w:t>2</w:t>
            </w:r>
            <w:r>
              <w:rPr>
                <w:rFonts w:hint="eastAsia" w:ascii="宋体" w:hAnsi="宋体"/>
                <w:szCs w:val="21"/>
              </w:rPr>
              <w:t>Gbps；应用层吞吐率：</w:t>
            </w:r>
            <w:r>
              <w:rPr>
                <w:rFonts w:ascii="宋体" w:hAnsi="宋体"/>
                <w:szCs w:val="21"/>
              </w:rPr>
              <w:t>4</w:t>
            </w:r>
            <w:r>
              <w:rPr>
                <w:rFonts w:hint="eastAsia" w:ascii="宋体" w:hAnsi="宋体"/>
                <w:szCs w:val="21"/>
              </w:rPr>
              <w:t>Gbps；最大并发连接数：&gt;400W，配置IPS攻击规则特征库三年许可；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restart"/>
            <w:vAlign w:val="center"/>
          </w:tcPr>
          <w:p>
            <w:pPr>
              <w:jc w:val="center"/>
              <w:rPr>
                <w:rFonts w:ascii="宋体" w:hAnsi="宋体"/>
                <w:b/>
                <w:szCs w:val="21"/>
              </w:rPr>
            </w:pPr>
            <w:r>
              <w:rPr>
                <w:rFonts w:hint="eastAsia" w:ascii="宋体" w:hAnsi="宋体"/>
                <w:b/>
                <w:szCs w:val="21"/>
              </w:rPr>
              <w:t>网络</w:t>
            </w:r>
          </w:p>
          <w:p>
            <w:pPr>
              <w:jc w:val="center"/>
              <w:rPr>
                <w:rFonts w:ascii="宋体" w:hAnsi="宋体"/>
                <w:b/>
                <w:szCs w:val="21"/>
              </w:rPr>
            </w:pPr>
            <w:r>
              <w:rPr>
                <w:rFonts w:ascii="宋体" w:hAnsi="宋体"/>
                <w:b/>
                <w:szCs w:val="21"/>
              </w:rPr>
              <w:t>接入</w:t>
            </w:r>
          </w:p>
        </w:tc>
        <w:tc>
          <w:tcPr>
            <w:tcW w:w="1066" w:type="dxa"/>
            <w:vAlign w:val="center"/>
          </w:tcPr>
          <w:p>
            <w:pPr>
              <w:rPr>
                <w:rFonts w:ascii="宋体" w:hAnsi="宋体"/>
                <w:szCs w:val="21"/>
              </w:rPr>
            </w:pPr>
            <w:r>
              <w:rPr>
                <w:rFonts w:hint="eastAsia" w:ascii="宋体" w:hAnsi="宋体"/>
                <w:szCs w:val="21"/>
              </w:rPr>
              <w:t>工作</w:t>
            </w:r>
            <w:r>
              <w:rPr>
                <w:rFonts w:ascii="宋体" w:hAnsi="宋体"/>
                <w:szCs w:val="21"/>
              </w:rPr>
              <w:t>模式</w:t>
            </w:r>
          </w:p>
        </w:tc>
        <w:tc>
          <w:tcPr>
            <w:tcW w:w="6927" w:type="dxa"/>
            <w:vAlign w:val="center"/>
          </w:tcPr>
          <w:p>
            <w:pPr>
              <w:rPr>
                <w:rFonts w:ascii="宋体" w:hAnsi="宋体"/>
                <w:szCs w:val="21"/>
              </w:rPr>
            </w:pPr>
            <w:r>
              <w:rPr>
                <w:rFonts w:ascii="宋体" w:hAnsi="宋体"/>
                <w:szCs w:val="21"/>
              </w:rPr>
              <w:t>支持路由、交换、混合</w:t>
            </w:r>
            <w:r>
              <w:rPr>
                <w:rFonts w:hint="eastAsia" w:ascii="宋体" w:hAnsi="宋体"/>
                <w:szCs w:val="21"/>
              </w:rPr>
              <w:t>、</w:t>
            </w:r>
            <w:r>
              <w:rPr>
                <w:rFonts w:ascii="宋体" w:hAnsi="宋体"/>
                <w:szCs w:val="21"/>
              </w:rPr>
              <w:t>工作模式</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continue"/>
            <w:vAlign w:val="center"/>
          </w:tcPr>
          <w:p>
            <w:pPr>
              <w:jc w:val="center"/>
              <w:rPr>
                <w:rFonts w:ascii="宋体" w:hAnsi="宋体"/>
                <w:b/>
                <w:szCs w:val="21"/>
              </w:rPr>
            </w:pPr>
          </w:p>
        </w:tc>
        <w:tc>
          <w:tcPr>
            <w:tcW w:w="1066" w:type="dxa"/>
            <w:vMerge w:val="restart"/>
            <w:vAlign w:val="center"/>
          </w:tcPr>
          <w:p>
            <w:pPr>
              <w:rPr>
                <w:rFonts w:ascii="宋体" w:hAnsi="宋体"/>
                <w:szCs w:val="21"/>
              </w:rPr>
            </w:pPr>
            <w:r>
              <w:rPr>
                <w:rFonts w:hint="eastAsia" w:ascii="宋体" w:hAnsi="宋体"/>
                <w:szCs w:val="21"/>
              </w:rPr>
              <w:t>路由交换</w:t>
            </w:r>
          </w:p>
        </w:tc>
        <w:tc>
          <w:tcPr>
            <w:tcW w:w="6927" w:type="dxa"/>
            <w:vAlign w:val="center"/>
          </w:tcPr>
          <w:p>
            <w:pPr>
              <w:rPr>
                <w:rFonts w:ascii="宋体" w:hAnsi="宋体"/>
                <w:szCs w:val="21"/>
              </w:rPr>
            </w:pPr>
            <w:r>
              <w:rPr>
                <w:rFonts w:hint="eastAsia" w:ascii="宋体" w:hAnsi="宋体"/>
                <w:szCs w:val="21"/>
              </w:rPr>
              <w:t>支持</w:t>
            </w:r>
            <w:r>
              <w:rPr>
                <w:rFonts w:ascii="宋体" w:hAnsi="宋体"/>
                <w:szCs w:val="21"/>
              </w:rPr>
              <w:t>静态路由、</w:t>
            </w:r>
            <w:r>
              <w:rPr>
                <w:rFonts w:hint="eastAsia" w:ascii="宋体" w:hAnsi="宋体"/>
                <w:szCs w:val="21"/>
              </w:rPr>
              <w:t>ISP路由及动态</w:t>
            </w:r>
            <w:r>
              <w:rPr>
                <w:rFonts w:ascii="宋体" w:hAnsi="宋体"/>
                <w:szCs w:val="21"/>
              </w:rPr>
              <w:t>路由协议</w:t>
            </w:r>
            <w:r>
              <w:rPr>
                <w:rFonts w:hint="eastAsia" w:ascii="宋体" w:hAnsi="宋体"/>
                <w:szCs w:val="21"/>
              </w:rPr>
              <w:t>，支持802.1</w:t>
            </w:r>
            <w:r>
              <w:rPr>
                <w:rFonts w:ascii="宋体" w:hAnsi="宋体"/>
                <w:szCs w:val="21"/>
              </w:rPr>
              <w:t>q</w:t>
            </w:r>
            <w:r>
              <w:rPr>
                <w:rFonts w:hint="eastAsia" w:ascii="宋体" w:hAnsi="宋体"/>
                <w:szCs w:val="21"/>
              </w:rPr>
              <w:t>、Q</w:t>
            </w:r>
            <w:r>
              <w:rPr>
                <w:rFonts w:ascii="宋体" w:hAnsi="宋体"/>
                <w:szCs w:val="21"/>
              </w:rPr>
              <w:t>inQ</w:t>
            </w:r>
            <w:r>
              <w:rPr>
                <w:rFonts w:hint="eastAsia" w:ascii="宋体" w:hAnsi="宋体"/>
                <w:szCs w:val="21"/>
              </w:rPr>
              <w:t>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927" w:type="dxa"/>
            <w:vAlign w:val="center"/>
          </w:tcPr>
          <w:p>
            <w:pPr>
              <w:rPr>
                <w:rFonts w:ascii="宋体" w:hAnsi="宋体"/>
                <w:szCs w:val="21"/>
              </w:rPr>
            </w:pPr>
            <w:r>
              <w:rPr>
                <w:rFonts w:hint="eastAsia" w:ascii="宋体" w:hAnsi="宋体"/>
                <w:szCs w:val="21"/>
              </w:rPr>
              <w:t>支持基于</w:t>
            </w:r>
            <w:r>
              <w:rPr>
                <w:rFonts w:ascii="宋体" w:hAnsi="宋体"/>
                <w:szCs w:val="21"/>
              </w:rPr>
              <w:t>源/目的</w:t>
            </w:r>
            <w:r>
              <w:rPr>
                <w:rFonts w:hint="eastAsia" w:ascii="宋体" w:hAnsi="宋体"/>
                <w:szCs w:val="21"/>
              </w:rPr>
              <w:t>地址、</w:t>
            </w:r>
            <w:r>
              <w:rPr>
                <w:rFonts w:ascii="宋体" w:hAnsi="宋体"/>
                <w:szCs w:val="21"/>
              </w:rPr>
              <w:t>源</w:t>
            </w:r>
            <w:r>
              <w:rPr>
                <w:rFonts w:hint="eastAsia" w:ascii="宋体" w:hAnsi="宋体"/>
                <w:szCs w:val="21"/>
              </w:rPr>
              <w:t>/目的</w:t>
            </w:r>
            <w:r>
              <w:rPr>
                <w:rFonts w:ascii="宋体" w:hAnsi="宋体"/>
                <w:szCs w:val="21"/>
              </w:rPr>
              <w:t>端口、</w:t>
            </w:r>
            <w:r>
              <w:rPr>
                <w:rFonts w:hint="eastAsia" w:ascii="宋体" w:hAnsi="宋体"/>
                <w:szCs w:val="21"/>
              </w:rPr>
              <w:t>用户</w:t>
            </w:r>
            <w:r>
              <w:rPr>
                <w:rFonts w:ascii="宋体" w:hAnsi="宋体"/>
                <w:szCs w:val="21"/>
              </w:rPr>
              <w:t>、应用</w:t>
            </w:r>
            <w:r>
              <w:rPr>
                <w:rFonts w:hint="eastAsia" w:ascii="宋体" w:hAnsi="宋体"/>
                <w:szCs w:val="21"/>
              </w:rPr>
              <w:t>的</w:t>
            </w:r>
            <w:r>
              <w:rPr>
                <w:rFonts w:ascii="宋体" w:hAnsi="宋体"/>
                <w:szCs w:val="21"/>
              </w:rPr>
              <w:t>策略路由</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接入功能</w:t>
            </w:r>
          </w:p>
        </w:tc>
        <w:tc>
          <w:tcPr>
            <w:tcW w:w="6927" w:type="dxa"/>
            <w:vAlign w:val="center"/>
          </w:tcPr>
          <w:p>
            <w:pPr>
              <w:rPr>
                <w:rFonts w:ascii="宋体" w:hAnsi="宋体"/>
                <w:szCs w:val="21"/>
              </w:rPr>
            </w:pPr>
            <w:r>
              <w:rPr>
                <w:rFonts w:hint="eastAsia" w:ascii="宋体" w:hAnsi="宋体"/>
                <w:szCs w:val="21"/>
              </w:rPr>
              <w:t>支持GRE与IPSEC VPN接入；IPSEC VPN可</w:t>
            </w:r>
            <w:r>
              <w:rPr>
                <w:rFonts w:ascii="宋体" w:hAnsi="宋体"/>
                <w:szCs w:val="21"/>
              </w:rPr>
              <w:t>提供国密算法；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链路</w:t>
            </w:r>
            <w:r>
              <w:rPr>
                <w:rFonts w:ascii="宋体" w:hAnsi="宋体"/>
                <w:szCs w:val="21"/>
              </w:rPr>
              <w:t>聚合</w:t>
            </w:r>
          </w:p>
        </w:tc>
        <w:tc>
          <w:tcPr>
            <w:tcW w:w="6927" w:type="dxa"/>
            <w:vAlign w:val="center"/>
          </w:tcPr>
          <w:p>
            <w:pPr>
              <w:rPr>
                <w:rFonts w:ascii="宋体" w:hAnsi="宋体"/>
                <w:szCs w:val="21"/>
              </w:rPr>
            </w:pPr>
            <w:r>
              <w:rPr>
                <w:rFonts w:hint="eastAsia" w:ascii="宋体" w:hAnsi="宋体"/>
                <w:szCs w:val="21"/>
              </w:rPr>
              <w:t>提供</w:t>
            </w:r>
            <w:r>
              <w:rPr>
                <w:rFonts w:ascii="宋体" w:hAnsi="宋体"/>
                <w:szCs w:val="21"/>
              </w:rPr>
              <w:t>不少于</w:t>
            </w:r>
            <w:r>
              <w:rPr>
                <w:rFonts w:hint="eastAsia" w:ascii="宋体" w:hAnsi="宋体"/>
                <w:szCs w:val="21"/>
              </w:rPr>
              <w:t>11种的负载</w:t>
            </w:r>
            <w:r>
              <w:rPr>
                <w:rFonts w:ascii="宋体" w:hAnsi="宋体"/>
                <w:szCs w:val="21"/>
              </w:rPr>
              <w:t>分担算法</w:t>
            </w:r>
            <w:r>
              <w:rPr>
                <w:rFonts w:hint="eastAsia" w:ascii="宋体" w:hAnsi="宋体"/>
                <w:szCs w:val="21"/>
              </w:rPr>
              <w:t>，灵活实现对聚合组内业务流量的负载分担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地址转换</w:t>
            </w:r>
          </w:p>
        </w:tc>
        <w:tc>
          <w:tcPr>
            <w:tcW w:w="6927" w:type="dxa"/>
            <w:vAlign w:val="center"/>
          </w:tcPr>
          <w:p>
            <w:pPr>
              <w:rPr>
                <w:rFonts w:ascii="宋体" w:hAnsi="宋体"/>
                <w:szCs w:val="21"/>
              </w:rPr>
            </w:pPr>
            <w:r>
              <w:rPr>
                <w:rFonts w:hint="eastAsia" w:ascii="宋体" w:hAnsi="宋体"/>
                <w:szCs w:val="21"/>
              </w:rPr>
              <w:t>支持一对一SNAT、</w:t>
            </w:r>
            <w:r>
              <w:rPr>
                <w:rFonts w:ascii="宋体" w:hAnsi="宋体"/>
                <w:szCs w:val="21"/>
              </w:rPr>
              <w:t>多对一</w:t>
            </w:r>
            <w:r>
              <w:rPr>
                <w:rFonts w:hint="eastAsia" w:ascii="宋体" w:hAnsi="宋体"/>
                <w:szCs w:val="21"/>
              </w:rPr>
              <w:t>SNAT、一对一DNAT、</w:t>
            </w:r>
            <w:r>
              <w:rPr>
                <w:rFonts w:ascii="宋体" w:hAnsi="宋体"/>
                <w:szCs w:val="21"/>
              </w:rPr>
              <w:t>双向</w:t>
            </w:r>
            <w:r>
              <w:rPr>
                <w:rFonts w:hint="eastAsia" w:ascii="宋体" w:hAnsi="宋体"/>
                <w:szCs w:val="21"/>
              </w:rPr>
              <w:t>NAT、N</w:t>
            </w:r>
            <w:r>
              <w:rPr>
                <w:rFonts w:ascii="宋体" w:hAnsi="宋体"/>
                <w:szCs w:val="21"/>
              </w:rPr>
              <w:t>oNAT</w:t>
            </w:r>
            <w:r>
              <w:rPr>
                <w:rFonts w:hint="eastAsia" w:ascii="宋体" w:hAnsi="宋体"/>
                <w:szCs w:val="21"/>
              </w:rPr>
              <w:t>等</w:t>
            </w:r>
            <w:r>
              <w:rPr>
                <w:rFonts w:ascii="宋体" w:hAnsi="宋体"/>
                <w:szCs w:val="21"/>
              </w:rPr>
              <w:t>多种</w:t>
            </w:r>
            <w:r>
              <w:rPr>
                <w:rFonts w:hint="eastAsia" w:ascii="宋体" w:hAnsi="宋体"/>
                <w:szCs w:val="21"/>
              </w:rPr>
              <w:t>转换</w:t>
            </w:r>
            <w:r>
              <w:rPr>
                <w:rFonts w:ascii="宋体" w:hAnsi="宋体"/>
                <w:szCs w:val="21"/>
              </w:rPr>
              <w:t>方式</w:t>
            </w:r>
            <w:r>
              <w:rPr>
                <w:rFonts w:hint="eastAsia" w:ascii="宋体" w:hAnsi="宋体"/>
                <w:szCs w:val="21"/>
              </w:rPr>
              <w:t>；</w:t>
            </w:r>
            <w:r>
              <w:rPr>
                <w:rFonts w:ascii="宋体" w:hAnsi="宋体"/>
                <w:szCs w:val="21"/>
              </w:rPr>
              <w:t>支持</w:t>
            </w:r>
            <w:r>
              <w:rPr>
                <w:rFonts w:hint="eastAsia" w:ascii="宋体" w:hAnsi="宋体"/>
                <w:szCs w:val="21"/>
              </w:rPr>
              <w:t>Sticky NAT开关，使相同源IP的数据包经过地址转换后为其转换的源 IP 地址相同；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智能DNS</w:t>
            </w:r>
          </w:p>
        </w:tc>
        <w:tc>
          <w:tcPr>
            <w:tcW w:w="6927" w:type="dxa"/>
            <w:vAlign w:val="center"/>
          </w:tcPr>
          <w:p>
            <w:pPr>
              <w:rPr>
                <w:rFonts w:ascii="宋体" w:hAnsi="宋体"/>
                <w:szCs w:val="21"/>
              </w:rPr>
            </w:pPr>
            <w:r>
              <w:rPr>
                <w:rFonts w:hint="eastAsia" w:ascii="宋体" w:hAnsi="宋体"/>
                <w:szCs w:val="21"/>
              </w:rPr>
              <w:t>支持智能DNS及</w:t>
            </w:r>
            <w:r>
              <w:rPr>
                <w:rFonts w:ascii="宋体" w:hAnsi="宋体"/>
                <w:szCs w:val="21"/>
              </w:rPr>
              <w:t>DNS Docting</w:t>
            </w:r>
            <w:r>
              <w:rPr>
                <w:rFonts w:hint="eastAsia" w:ascii="宋体" w:hAnsi="宋体"/>
                <w:szCs w:val="21"/>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restart"/>
            <w:vAlign w:val="center"/>
          </w:tcPr>
          <w:p>
            <w:pPr>
              <w:jc w:val="center"/>
              <w:rPr>
                <w:rFonts w:ascii="宋体" w:hAnsi="宋体"/>
                <w:b/>
                <w:szCs w:val="21"/>
              </w:rPr>
            </w:pPr>
            <w:r>
              <w:rPr>
                <w:rFonts w:hint="eastAsia" w:ascii="宋体" w:hAnsi="宋体"/>
                <w:b/>
                <w:szCs w:val="21"/>
              </w:rPr>
              <w:t>IPv6</w:t>
            </w:r>
          </w:p>
        </w:tc>
        <w:tc>
          <w:tcPr>
            <w:tcW w:w="1066" w:type="dxa"/>
            <w:vAlign w:val="center"/>
          </w:tcPr>
          <w:p>
            <w:pPr>
              <w:rPr>
                <w:rFonts w:ascii="宋体" w:hAnsi="宋体"/>
                <w:szCs w:val="21"/>
              </w:rPr>
            </w:pPr>
            <w:r>
              <w:rPr>
                <w:rFonts w:hint="eastAsia" w:ascii="宋体" w:hAnsi="宋体"/>
                <w:szCs w:val="21"/>
              </w:rPr>
              <w:t>双栈模式</w:t>
            </w:r>
          </w:p>
        </w:tc>
        <w:tc>
          <w:tcPr>
            <w:tcW w:w="6927" w:type="dxa"/>
            <w:vAlign w:val="center"/>
          </w:tcPr>
          <w:p>
            <w:pPr>
              <w:rPr>
                <w:rFonts w:ascii="宋体" w:hAnsi="宋体"/>
                <w:szCs w:val="21"/>
              </w:rPr>
            </w:pPr>
            <w:r>
              <w:rPr>
                <w:rFonts w:hint="eastAsia" w:ascii="宋体" w:hAnsi="宋体"/>
                <w:szCs w:val="21"/>
              </w:rPr>
              <w:t>支持IPv4/IPv6双栈工作模式；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访问控制</w:t>
            </w:r>
          </w:p>
        </w:tc>
        <w:tc>
          <w:tcPr>
            <w:tcW w:w="6927" w:type="dxa"/>
            <w:vAlign w:val="center"/>
          </w:tcPr>
          <w:p>
            <w:pPr>
              <w:rPr>
                <w:rFonts w:ascii="宋体" w:hAnsi="宋体"/>
                <w:szCs w:val="21"/>
              </w:rPr>
            </w:pPr>
            <w:r>
              <w:rPr>
                <w:rFonts w:hint="eastAsia" w:ascii="宋体" w:hAnsi="宋体"/>
                <w:szCs w:val="21"/>
              </w:rPr>
              <w:t>支持IPv6安全控制策略设置，能针对IPv6的目的/源地址、目的/源服务端口、区域、服务、时间、扩展头属性等条件进行安全访问规则的设置；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安全防护</w:t>
            </w:r>
          </w:p>
        </w:tc>
        <w:tc>
          <w:tcPr>
            <w:tcW w:w="6927" w:type="dxa"/>
            <w:vAlign w:val="center"/>
          </w:tcPr>
          <w:p>
            <w:pPr>
              <w:rPr>
                <w:rFonts w:ascii="宋体" w:hAnsi="宋体"/>
                <w:szCs w:val="21"/>
              </w:rPr>
            </w:pPr>
            <w:r>
              <w:rPr>
                <w:rFonts w:hint="eastAsia" w:ascii="宋体" w:hAnsi="宋体"/>
                <w:szCs w:val="21"/>
              </w:rPr>
              <w:t>支持基于IPv6的应用层检测（FTP\TFTP）、病毒过滤、URL过滤</w:t>
            </w:r>
            <w:r>
              <w:rPr>
                <w:rFonts w:ascii="宋体" w:hAnsi="宋体"/>
                <w:szCs w:val="21"/>
              </w:rPr>
              <w:t>、</w:t>
            </w:r>
            <w:r>
              <w:rPr>
                <w:rFonts w:hint="eastAsia" w:ascii="宋体" w:hAnsi="宋体"/>
                <w:szCs w:val="21"/>
              </w:rPr>
              <w:t>ADS、IPS检测；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restart"/>
            <w:vAlign w:val="center"/>
          </w:tcPr>
          <w:p>
            <w:pPr>
              <w:jc w:val="center"/>
              <w:rPr>
                <w:rFonts w:ascii="宋体" w:hAnsi="宋体"/>
                <w:b/>
                <w:szCs w:val="21"/>
              </w:rPr>
            </w:pPr>
            <w:r>
              <w:rPr>
                <w:rFonts w:hint="eastAsia" w:ascii="宋体" w:hAnsi="宋体"/>
                <w:b/>
                <w:szCs w:val="21"/>
              </w:rPr>
              <w:t>虚拟</w:t>
            </w:r>
            <w:r>
              <w:rPr>
                <w:rFonts w:ascii="宋体" w:hAnsi="宋体"/>
                <w:b/>
                <w:szCs w:val="21"/>
              </w:rPr>
              <w:t>系统</w:t>
            </w:r>
          </w:p>
        </w:tc>
        <w:tc>
          <w:tcPr>
            <w:tcW w:w="1066" w:type="dxa"/>
            <w:vAlign w:val="center"/>
          </w:tcPr>
          <w:p>
            <w:pPr>
              <w:rPr>
                <w:rFonts w:ascii="宋体" w:hAnsi="宋体"/>
                <w:szCs w:val="21"/>
              </w:rPr>
            </w:pPr>
            <w:r>
              <w:rPr>
                <w:rFonts w:hint="eastAsia" w:ascii="宋体" w:hAnsi="宋体"/>
                <w:szCs w:val="21"/>
              </w:rPr>
              <w:t>资源</w:t>
            </w:r>
            <w:r>
              <w:rPr>
                <w:rFonts w:ascii="宋体" w:hAnsi="宋体"/>
                <w:szCs w:val="21"/>
              </w:rPr>
              <w:t>虚拟化</w:t>
            </w:r>
          </w:p>
        </w:tc>
        <w:tc>
          <w:tcPr>
            <w:tcW w:w="6927" w:type="dxa"/>
            <w:vAlign w:val="center"/>
          </w:tcPr>
          <w:p>
            <w:pPr>
              <w:rPr>
                <w:rFonts w:ascii="宋体" w:hAnsi="宋体"/>
                <w:szCs w:val="21"/>
              </w:rPr>
            </w:pPr>
            <w:r>
              <w:rPr>
                <w:rFonts w:hint="eastAsia" w:ascii="宋体" w:hAnsi="宋体"/>
                <w:szCs w:val="21"/>
              </w:rPr>
              <w:t>支持在一台物理设备上划分出最大4000个相互独立的虚拟</w:t>
            </w:r>
            <w:r>
              <w:rPr>
                <w:rFonts w:ascii="宋体" w:hAnsi="宋体"/>
                <w:szCs w:val="21"/>
              </w:rPr>
              <w:t>系统，</w:t>
            </w:r>
            <w:r>
              <w:rPr>
                <w:rFonts w:hint="eastAsia" w:ascii="宋体" w:hAnsi="宋体"/>
                <w:szCs w:val="21"/>
              </w:rPr>
              <w:t>可根据连接</w:t>
            </w:r>
            <w:r>
              <w:rPr>
                <w:rFonts w:ascii="宋体" w:hAnsi="宋体"/>
                <w:szCs w:val="21"/>
              </w:rPr>
              <w:t>配额及</w:t>
            </w:r>
            <w:r>
              <w:rPr>
                <w:rFonts w:hint="eastAsia" w:ascii="宋体" w:hAnsi="宋体"/>
                <w:szCs w:val="21"/>
              </w:rPr>
              <w:t>连接</w:t>
            </w:r>
            <w:r>
              <w:rPr>
                <w:rFonts w:ascii="宋体" w:hAnsi="宋体"/>
                <w:szCs w:val="21"/>
              </w:rPr>
              <w:t>新建速率</w:t>
            </w:r>
            <w:r>
              <w:rPr>
                <w:rFonts w:hint="eastAsia" w:ascii="宋体" w:hAnsi="宋体"/>
                <w:szCs w:val="21"/>
              </w:rPr>
              <w:t>为</w:t>
            </w:r>
            <w:r>
              <w:rPr>
                <w:rFonts w:ascii="宋体" w:hAnsi="宋体"/>
                <w:szCs w:val="21"/>
              </w:rPr>
              <w:t>每个虚拟系统分配资源</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功能</w:t>
            </w:r>
            <w:r>
              <w:rPr>
                <w:rFonts w:ascii="宋体" w:hAnsi="宋体"/>
                <w:szCs w:val="21"/>
              </w:rPr>
              <w:t>虚拟化</w:t>
            </w:r>
          </w:p>
        </w:tc>
        <w:tc>
          <w:tcPr>
            <w:tcW w:w="6927" w:type="dxa"/>
            <w:vAlign w:val="center"/>
          </w:tcPr>
          <w:p>
            <w:pPr>
              <w:rPr>
                <w:rFonts w:ascii="宋体" w:hAnsi="宋体"/>
                <w:szCs w:val="21"/>
              </w:rPr>
            </w:pPr>
            <w:r>
              <w:rPr>
                <w:rFonts w:ascii="宋体" w:hAnsi="宋体"/>
                <w:szCs w:val="21"/>
              </w:rPr>
              <w:t>支持</w:t>
            </w:r>
            <w:r>
              <w:rPr>
                <w:rFonts w:hint="eastAsia" w:ascii="宋体" w:hAnsi="宋体"/>
                <w:szCs w:val="21"/>
              </w:rPr>
              <w:t>配置</w:t>
            </w:r>
            <w:r>
              <w:rPr>
                <w:rFonts w:ascii="宋体" w:hAnsi="宋体"/>
                <w:szCs w:val="21"/>
              </w:rPr>
              <w:t>文件、</w:t>
            </w:r>
            <w:r>
              <w:rPr>
                <w:rFonts w:hint="eastAsia" w:ascii="宋体" w:hAnsi="宋体"/>
                <w:szCs w:val="21"/>
              </w:rPr>
              <w:t>系统</w:t>
            </w:r>
            <w:r>
              <w:rPr>
                <w:rFonts w:ascii="宋体" w:hAnsi="宋体"/>
                <w:szCs w:val="21"/>
              </w:rPr>
              <w:t>服务</w:t>
            </w:r>
            <w:r>
              <w:rPr>
                <w:rFonts w:hint="eastAsia" w:ascii="宋体" w:hAnsi="宋体"/>
                <w:szCs w:val="21"/>
              </w:rPr>
              <w:t>等系统</w:t>
            </w:r>
            <w:r>
              <w:rPr>
                <w:rFonts w:ascii="宋体" w:hAnsi="宋体"/>
                <w:szCs w:val="21"/>
              </w:rPr>
              <w:t>功能虚拟化</w:t>
            </w:r>
            <w:r>
              <w:rPr>
                <w:rFonts w:hint="eastAsia" w:ascii="宋体" w:hAnsi="宋体"/>
                <w:szCs w:val="21"/>
              </w:rPr>
              <w:t>，支持路由</w:t>
            </w:r>
            <w:r>
              <w:rPr>
                <w:rFonts w:ascii="宋体" w:hAnsi="宋体"/>
                <w:szCs w:val="21"/>
              </w:rPr>
              <w:t>、链路聚合</w:t>
            </w:r>
            <w:r>
              <w:rPr>
                <w:rFonts w:hint="eastAsia" w:ascii="宋体" w:hAnsi="宋体"/>
                <w:szCs w:val="21"/>
              </w:rPr>
              <w:t>等</w:t>
            </w:r>
            <w:r>
              <w:rPr>
                <w:rFonts w:ascii="宋体" w:hAnsi="宋体"/>
                <w:szCs w:val="21"/>
              </w:rPr>
              <w:t>网络</w:t>
            </w:r>
            <w:r>
              <w:rPr>
                <w:rFonts w:hint="eastAsia" w:ascii="宋体" w:hAnsi="宋体"/>
                <w:szCs w:val="21"/>
              </w:rPr>
              <w:t>功能</w:t>
            </w:r>
            <w:r>
              <w:rPr>
                <w:rFonts w:ascii="宋体" w:hAnsi="宋体"/>
                <w:szCs w:val="21"/>
              </w:rPr>
              <w:t>虚拟化</w:t>
            </w:r>
            <w:r>
              <w:rPr>
                <w:rFonts w:hint="eastAsia" w:ascii="宋体" w:hAnsi="宋体"/>
                <w:szCs w:val="21"/>
              </w:rPr>
              <w:t>，支持</w:t>
            </w:r>
            <w:r>
              <w:rPr>
                <w:rFonts w:ascii="宋体" w:hAnsi="宋体"/>
                <w:szCs w:val="21"/>
              </w:rPr>
              <w:t>安全策略、</w:t>
            </w:r>
            <w:r>
              <w:rPr>
                <w:rFonts w:hint="eastAsia" w:ascii="宋体" w:hAnsi="宋体"/>
                <w:szCs w:val="21"/>
              </w:rPr>
              <w:t>NAT策略</w:t>
            </w:r>
            <w:r>
              <w:rPr>
                <w:rFonts w:ascii="宋体" w:hAnsi="宋体"/>
                <w:szCs w:val="21"/>
              </w:rPr>
              <w:t>、带宽管理、</w:t>
            </w:r>
            <w:r>
              <w:rPr>
                <w:rFonts w:hint="eastAsia" w:ascii="宋体" w:hAnsi="宋体"/>
                <w:szCs w:val="21"/>
              </w:rPr>
              <w:t>认证</w:t>
            </w:r>
            <w:r>
              <w:rPr>
                <w:rFonts w:ascii="宋体" w:hAnsi="宋体"/>
                <w:szCs w:val="21"/>
              </w:rPr>
              <w:t>策略、</w:t>
            </w:r>
            <w:r>
              <w:rPr>
                <w:rFonts w:hint="eastAsia" w:ascii="宋体" w:hAnsi="宋体"/>
                <w:szCs w:val="21"/>
              </w:rPr>
              <w:t>IPV6功能</w:t>
            </w:r>
            <w:r>
              <w:rPr>
                <w:rFonts w:ascii="宋体" w:hAnsi="宋体"/>
                <w:szCs w:val="21"/>
              </w:rPr>
              <w:t>、</w:t>
            </w:r>
            <w:r>
              <w:rPr>
                <w:rFonts w:hint="eastAsia" w:ascii="宋体" w:hAnsi="宋体"/>
                <w:szCs w:val="21"/>
              </w:rPr>
              <w:t>URL过滤</w:t>
            </w:r>
            <w:r>
              <w:rPr>
                <w:rFonts w:ascii="宋体" w:hAnsi="宋体"/>
                <w:szCs w:val="21"/>
              </w:rPr>
              <w:t>、</w:t>
            </w:r>
            <w:r>
              <w:rPr>
                <w:rFonts w:hint="eastAsia" w:ascii="宋体" w:hAnsi="宋体"/>
                <w:szCs w:val="21"/>
              </w:rPr>
              <w:t>异常行为</w:t>
            </w:r>
            <w:r>
              <w:rPr>
                <w:rFonts w:ascii="宋体" w:hAnsi="宋体"/>
                <w:szCs w:val="21"/>
              </w:rPr>
              <w:t>分析、</w:t>
            </w:r>
            <w:r>
              <w:rPr>
                <w:rFonts w:hint="eastAsia" w:ascii="宋体" w:hAnsi="宋体"/>
                <w:szCs w:val="21"/>
              </w:rPr>
              <w:t>病毒</w:t>
            </w:r>
            <w:r>
              <w:rPr>
                <w:rFonts w:ascii="宋体" w:hAnsi="宋体"/>
                <w:szCs w:val="21"/>
              </w:rPr>
              <w:t>过滤</w:t>
            </w:r>
            <w:r>
              <w:rPr>
                <w:rFonts w:hint="eastAsia" w:ascii="宋体" w:hAnsi="宋体"/>
                <w:szCs w:val="21"/>
              </w:rPr>
              <w:t>、</w:t>
            </w:r>
            <w:r>
              <w:rPr>
                <w:rFonts w:ascii="宋体" w:hAnsi="宋体"/>
                <w:szCs w:val="21"/>
              </w:rPr>
              <w:t>内容过滤、</w:t>
            </w:r>
            <w:r>
              <w:rPr>
                <w:rFonts w:hint="eastAsia" w:ascii="宋体" w:hAnsi="宋体"/>
                <w:szCs w:val="21"/>
              </w:rPr>
              <w:t>审计、</w:t>
            </w:r>
            <w:r>
              <w:rPr>
                <w:rFonts w:ascii="宋体" w:hAnsi="宋体"/>
                <w:szCs w:val="21"/>
              </w:rPr>
              <w:t>报表</w:t>
            </w:r>
            <w:r>
              <w:rPr>
                <w:rFonts w:hint="eastAsia" w:ascii="宋体" w:hAnsi="宋体"/>
                <w:szCs w:val="21"/>
              </w:rPr>
              <w:t>等</w:t>
            </w:r>
            <w:r>
              <w:rPr>
                <w:rFonts w:ascii="宋体" w:hAnsi="宋体"/>
                <w:szCs w:val="21"/>
              </w:rPr>
              <w:t>安全功能虚拟化</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restart"/>
            <w:vAlign w:val="center"/>
          </w:tcPr>
          <w:p>
            <w:pPr>
              <w:jc w:val="center"/>
              <w:rPr>
                <w:rFonts w:ascii="宋体" w:hAnsi="宋体"/>
                <w:b/>
                <w:szCs w:val="21"/>
              </w:rPr>
            </w:pPr>
            <w:r>
              <w:rPr>
                <w:rFonts w:hint="eastAsia" w:ascii="宋体" w:hAnsi="宋体"/>
                <w:b/>
                <w:szCs w:val="21"/>
              </w:rPr>
              <w:t>用户管控</w:t>
            </w:r>
          </w:p>
        </w:tc>
        <w:tc>
          <w:tcPr>
            <w:tcW w:w="1066" w:type="dxa"/>
            <w:vAlign w:val="center"/>
          </w:tcPr>
          <w:p>
            <w:pPr>
              <w:rPr>
                <w:rFonts w:ascii="宋体" w:hAnsi="宋体"/>
                <w:szCs w:val="21"/>
              </w:rPr>
            </w:pPr>
            <w:r>
              <w:rPr>
                <w:rFonts w:hint="eastAsia" w:ascii="宋体" w:hAnsi="宋体"/>
                <w:szCs w:val="21"/>
              </w:rPr>
              <w:t>认证方式</w:t>
            </w:r>
          </w:p>
        </w:tc>
        <w:tc>
          <w:tcPr>
            <w:tcW w:w="6927" w:type="dxa"/>
            <w:vAlign w:val="center"/>
          </w:tcPr>
          <w:p>
            <w:pPr>
              <w:rPr>
                <w:rFonts w:ascii="宋体" w:hAnsi="宋体"/>
                <w:szCs w:val="21"/>
              </w:rPr>
            </w:pPr>
            <w:r>
              <w:rPr>
                <w:rFonts w:hint="eastAsia" w:ascii="宋体" w:hAnsi="宋体"/>
                <w:szCs w:val="21"/>
              </w:rPr>
              <w:t>内置强大的用户身份管理系统，支持本地</w:t>
            </w:r>
            <w:r>
              <w:rPr>
                <w:rFonts w:ascii="宋体" w:hAnsi="宋体"/>
                <w:szCs w:val="21"/>
              </w:rPr>
              <w:t>认证、</w:t>
            </w:r>
            <w:r>
              <w:rPr>
                <w:rFonts w:hint="eastAsia" w:ascii="宋体" w:hAnsi="宋体"/>
                <w:szCs w:val="21"/>
              </w:rPr>
              <w:t>证书</w:t>
            </w:r>
            <w:r>
              <w:rPr>
                <w:rFonts w:ascii="宋体" w:hAnsi="宋体"/>
                <w:szCs w:val="21"/>
              </w:rPr>
              <w:t>认证</w:t>
            </w:r>
            <w:r>
              <w:rPr>
                <w:rFonts w:hint="eastAsia" w:ascii="宋体" w:hAnsi="宋体"/>
                <w:szCs w:val="21"/>
              </w:rPr>
              <w:t>及</w:t>
            </w:r>
            <w:r>
              <w:rPr>
                <w:rFonts w:ascii="宋体" w:hAnsi="宋体"/>
                <w:szCs w:val="21"/>
              </w:rPr>
              <w:t>免认证等方式，同时支持RADIUS</w:t>
            </w:r>
            <w:r>
              <w:rPr>
                <w:rFonts w:hint="eastAsia" w:ascii="宋体" w:hAnsi="宋体"/>
                <w:szCs w:val="21"/>
              </w:rPr>
              <w:t>、</w:t>
            </w:r>
            <w:r>
              <w:rPr>
                <w:rFonts w:ascii="宋体" w:hAnsi="宋体"/>
                <w:szCs w:val="21"/>
              </w:rPr>
              <w:t>LDAP</w:t>
            </w:r>
            <w:r>
              <w:rPr>
                <w:rFonts w:hint="eastAsia" w:ascii="宋体" w:hAnsi="宋体"/>
                <w:szCs w:val="21"/>
              </w:rPr>
              <w:t>、</w:t>
            </w:r>
            <w:r>
              <w:rPr>
                <w:rFonts w:ascii="宋体" w:hAnsi="宋体"/>
                <w:szCs w:val="21"/>
              </w:rPr>
              <w:t>TACACS</w:t>
            </w:r>
            <w:r>
              <w:rPr>
                <w:rFonts w:hint="eastAsia" w:ascii="宋体" w:hAnsi="宋体"/>
                <w:szCs w:val="21"/>
              </w:rPr>
              <w:t>等多种第三方外部认证设置；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用户管控</w:t>
            </w:r>
          </w:p>
        </w:tc>
        <w:tc>
          <w:tcPr>
            <w:tcW w:w="6927" w:type="dxa"/>
            <w:vAlign w:val="center"/>
          </w:tcPr>
          <w:p>
            <w:pPr>
              <w:rPr>
                <w:rFonts w:ascii="宋体" w:hAnsi="宋体"/>
                <w:szCs w:val="21"/>
              </w:rPr>
            </w:pPr>
            <w:r>
              <w:rPr>
                <w:rFonts w:hint="eastAsia" w:ascii="宋体" w:hAnsi="宋体"/>
                <w:szCs w:val="21"/>
              </w:rPr>
              <w:t>综合运用身份认证与访问控制技术，通过内置智能过滤引擎实现基于用户身份的安全防护策略部署与可视化监控；支持</w:t>
            </w:r>
            <w:r>
              <w:rPr>
                <w:rFonts w:ascii="宋体" w:hAnsi="宋体"/>
                <w:szCs w:val="21"/>
              </w:rPr>
              <w:t>创建用户</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672" w:type="dxa"/>
            <w:vMerge w:val="restart"/>
            <w:vAlign w:val="center"/>
          </w:tcPr>
          <w:p>
            <w:pPr>
              <w:jc w:val="center"/>
              <w:rPr>
                <w:rFonts w:ascii="宋体" w:hAnsi="宋体"/>
                <w:b/>
                <w:szCs w:val="21"/>
              </w:rPr>
            </w:pPr>
            <w:r>
              <w:rPr>
                <w:rFonts w:hint="eastAsia" w:ascii="宋体" w:hAnsi="宋体"/>
                <w:b/>
                <w:szCs w:val="21"/>
              </w:rPr>
              <w:t>应用管控</w:t>
            </w:r>
          </w:p>
        </w:tc>
        <w:tc>
          <w:tcPr>
            <w:tcW w:w="1066" w:type="dxa"/>
            <w:vAlign w:val="center"/>
          </w:tcPr>
          <w:p>
            <w:pPr>
              <w:rPr>
                <w:rFonts w:ascii="宋体" w:hAnsi="宋体"/>
                <w:szCs w:val="21"/>
              </w:rPr>
            </w:pPr>
            <w:r>
              <w:rPr>
                <w:rFonts w:hint="eastAsia" w:ascii="宋体" w:hAnsi="宋体"/>
                <w:szCs w:val="21"/>
              </w:rPr>
              <w:t>应用</w:t>
            </w:r>
            <w:r>
              <w:rPr>
                <w:rFonts w:ascii="宋体" w:hAnsi="宋体"/>
                <w:szCs w:val="21"/>
              </w:rPr>
              <w:t>识别</w:t>
            </w:r>
          </w:p>
        </w:tc>
        <w:tc>
          <w:tcPr>
            <w:tcW w:w="6927" w:type="dxa"/>
            <w:vAlign w:val="center"/>
          </w:tcPr>
          <w:p>
            <w:pPr>
              <w:rPr>
                <w:rFonts w:ascii="宋体" w:hAnsi="宋体"/>
                <w:szCs w:val="21"/>
              </w:rPr>
            </w:pPr>
            <w:r>
              <w:rPr>
                <w:rFonts w:hint="eastAsia" w:ascii="宋体" w:hAnsi="宋体"/>
                <w:szCs w:val="21"/>
              </w:rPr>
              <w:t>内置独立应用识别特征库，总数2100种以上，支持应用特征库在线或本地更新，支持应用特征自定义；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带宽</w:t>
            </w:r>
            <w:r>
              <w:rPr>
                <w:rFonts w:ascii="宋体" w:hAnsi="宋体"/>
                <w:szCs w:val="21"/>
              </w:rPr>
              <w:t>管理</w:t>
            </w:r>
          </w:p>
        </w:tc>
        <w:tc>
          <w:tcPr>
            <w:tcW w:w="6927" w:type="dxa"/>
            <w:vAlign w:val="center"/>
          </w:tcPr>
          <w:p>
            <w:pPr>
              <w:rPr>
                <w:rFonts w:ascii="宋体" w:hAnsi="宋体"/>
                <w:szCs w:val="21"/>
              </w:rPr>
            </w:pPr>
            <w:r>
              <w:rPr>
                <w:rFonts w:hint="eastAsia" w:ascii="宋体" w:hAnsi="宋体"/>
                <w:szCs w:val="21"/>
              </w:rPr>
              <w:t>支持基于IP/IP组、用户/用户组、服务/服务组、应用/应用组和时间等配置带宽策略；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672" w:type="dxa"/>
            <w:vMerge w:val="continue"/>
            <w:vAlign w:val="center"/>
          </w:tcPr>
          <w:p>
            <w:pPr>
              <w:jc w:val="center"/>
              <w:rPr>
                <w:rFonts w:ascii="宋体" w:hAnsi="宋体"/>
                <w:b/>
                <w:szCs w:val="21"/>
              </w:rPr>
            </w:pPr>
          </w:p>
        </w:tc>
        <w:tc>
          <w:tcPr>
            <w:tcW w:w="1066" w:type="dxa"/>
            <w:vMerge w:val="restart"/>
            <w:vAlign w:val="center"/>
          </w:tcPr>
          <w:p>
            <w:pPr>
              <w:rPr>
                <w:rFonts w:ascii="宋体" w:hAnsi="宋体"/>
                <w:szCs w:val="21"/>
              </w:rPr>
            </w:pPr>
            <w:r>
              <w:rPr>
                <w:rFonts w:hint="eastAsia" w:ascii="宋体" w:hAnsi="宋体"/>
                <w:szCs w:val="21"/>
              </w:rPr>
              <w:t>连接</w:t>
            </w:r>
            <w:r>
              <w:rPr>
                <w:rFonts w:ascii="宋体" w:hAnsi="宋体"/>
                <w:szCs w:val="21"/>
              </w:rPr>
              <w:t>控制</w:t>
            </w:r>
          </w:p>
        </w:tc>
        <w:tc>
          <w:tcPr>
            <w:tcW w:w="6927" w:type="dxa"/>
            <w:vAlign w:val="center"/>
          </w:tcPr>
          <w:p>
            <w:pPr>
              <w:rPr>
                <w:rFonts w:ascii="宋体" w:hAnsi="宋体"/>
                <w:szCs w:val="21"/>
              </w:rPr>
            </w:pPr>
            <w:r>
              <w:rPr>
                <w:rFonts w:hint="eastAsia" w:ascii="宋体" w:hAnsi="宋体"/>
                <w:szCs w:val="21"/>
              </w:rPr>
              <w:t>支持对单条访问控制策略进行最大并发连接数限制；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927" w:type="dxa"/>
            <w:vAlign w:val="center"/>
          </w:tcPr>
          <w:p>
            <w:pPr>
              <w:rPr>
                <w:rFonts w:ascii="宋体" w:hAnsi="宋体"/>
                <w:szCs w:val="21"/>
              </w:rPr>
            </w:pPr>
            <w:r>
              <w:rPr>
                <w:rFonts w:hint="eastAsia" w:ascii="宋体" w:hAnsi="宋体"/>
                <w:szCs w:val="21"/>
              </w:rPr>
              <w:t>为保护内部网络资源以及合理分配设备系统资源，需支持对指定的源/目的IP地址、MAC地址、应用制定相应的连接限制策略，策略包含三种限制类型：单个IP每秒新建连接限制、单个IP连接数限制及连接总数限制；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927" w:type="dxa"/>
            <w:vAlign w:val="center"/>
          </w:tcPr>
          <w:p>
            <w:pPr>
              <w:rPr>
                <w:rFonts w:ascii="宋体" w:hAnsi="宋体"/>
                <w:szCs w:val="21"/>
              </w:rPr>
            </w:pPr>
            <w:r>
              <w:rPr>
                <w:rFonts w:hint="eastAsia" w:ascii="宋体" w:hAnsi="宋体"/>
                <w:szCs w:val="21"/>
              </w:rPr>
              <w:t>支持</w:t>
            </w:r>
            <w:r>
              <w:rPr>
                <w:rFonts w:ascii="宋体" w:hAnsi="宋体"/>
                <w:szCs w:val="21"/>
              </w:rPr>
              <w:t>监控</w:t>
            </w:r>
            <w:r>
              <w:rPr>
                <w:rFonts w:hint="eastAsia" w:ascii="宋体" w:hAnsi="宋体"/>
                <w:szCs w:val="21"/>
              </w:rPr>
              <w:t>功能</w:t>
            </w:r>
            <w:r>
              <w:rPr>
                <w:rFonts w:ascii="宋体" w:hAnsi="宋体"/>
                <w:szCs w:val="21"/>
              </w:rPr>
              <w:t>，显示</w:t>
            </w:r>
            <w:r>
              <w:rPr>
                <w:rFonts w:hint="eastAsia" w:ascii="宋体" w:hAnsi="宋体"/>
                <w:szCs w:val="21"/>
              </w:rPr>
              <w:t>最近被拦截</w:t>
            </w:r>
            <w:r>
              <w:rPr>
                <w:rFonts w:ascii="宋体" w:hAnsi="宋体"/>
                <w:szCs w:val="21"/>
              </w:rPr>
              <w:t>的</w:t>
            </w:r>
            <w:r>
              <w:rPr>
                <w:rFonts w:hint="eastAsia" w:ascii="宋体" w:hAnsi="宋体"/>
                <w:szCs w:val="21"/>
              </w:rPr>
              <w:t>IP、地址</w:t>
            </w:r>
            <w:r>
              <w:rPr>
                <w:rFonts w:ascii="宋体" w:hAnsi="宋体"/>
                <w:szCs w:val="21"/>
              </w:rPr>
              <w:t>对象及</w:t>
            </w:r>
            <w:r>
              <w:rPr>
                <w:rFonts w:hint="eastAsia" w:ascii="宋体" w:hAnsi="宋体"/>
                <w:szCs w:val="21"/>
              </w:rPr>
              <w:t>应用的节点</w:t>
            </w:r>
            <w:r>
              <w:rPr>
                <w:rFonts w:ascii="宋体" w:hAnsi="宋体"/>
                <w:szCs w:val="21"/>
              </w:rPr>
              <w:t>信息</w:t>
            </w:r>
            <w:r>
              <w:rPr>
                <w:rFonts w:hint="eastAsia" w:ascii="宋体" w:hAnsi="宋体"/>
                <w:szCs w:val="21"/>
              </w:rPr>
              <w:t>；同时</w:t>
            </w:r>
            <w:r>
              <w:rPr>
                <w:rFonts w:ascii="宋体" w:hAnsi="宋体"/>
                <w:szCs w:val="21"/>
              </w:rPr>
              <w:t>支持</w:t>
            </w:r>
            <w:r>
              <w:rPr>
                <w:rFonts w:hint="eastAsia" w:ascii="宋体" w:hAnsi="宋体"/>
                <w:szCs w:val="21"/>
              </w:rPr>
              <w:t>对连接数限制策略匹配信息进行分类统计，方便管理</w:t>
            </w:r>
            <w:r>
              <w:rPr>
                <w:rFonts w:ascii="宋体" w:hAnsi="宋体"/>
                <w:szCs w:val="21"/>
              </w:rPr>
              <w:t>员</w:t>
            </w:r>
            <w:r>
              <w:rPr>
                <w:rFonts w:hint="eastAsia" w:ascii="宋体" w:hAnsi="宋体"/>
                <w:szCs w:val="21"/>
              </w:rPr>
              <w:t>根据统计</w:t>
            </w:r>
            <w:r>
              <w:rPr>
                <w:rFonts w:ascii="宋体" w:hAnsi="宋体"/>
                <w:szCs w:val="21"/>
              </w:rPr>
              <w:t>分析结果</w:t>
            </w:r>
            <w:r>
              <w:rPr>
                <w:rFonts w:hint="eastAsia" w:ascii="宋体" w:hAnsi="宋体"/>
                <w:szCs w:val="21"/>
              </w:rPr>
              <w:t>进行</w:t>
            </w:r>
            <w:r>
              <w:rPr>
                <w:rFonts w:ascii="宋体" w:hAnsi="宋体"/>
                <w:szCs w:val="21"/>
              </w:rPr>
              <w:t>相应的</w:t>
            </w:r>
            <w:r>
              <w:rPr>
                <w:rFonts w:hint="eastAsia" w:ascii="宋体" w:hAnsi="宋体"/>
                <w:szCs w:val="21"/>
              </w:rPr>
              <w:t>防护控制</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672" w:type="dxa"/>
            <w:vMerge w:val="restart"/>
            <w:vAlign w:val="center"/>
          </w:tcPr>
          <w:p>
            <w:pPr>
              <w:jc w:val="center"/>
              <w:rPr>
                <w:rFonts w:ascii="宋体" w:hAnsi="宋体"/>
                <w:b/>
                <w:szCs w:val="21"/>
              </w:rPr>
            </w:pPr>
            <w:r>
              <w:rPr>
                <w:rFonts w:hint="eastAsia" w:ascii="宋体" w:hAnsi="宋体"/>
                <w:b/>
                <w:szCs w:val="21"/>
              </w:rPr>
              <w:t>访问控制</w:t>
            </w:r>
          </w:p>
        </w:tc>
        <w:tc>
          <w:tcPr>
            <w:tcW w:w="1066" w:type="dxa"/>
            <w:vMerge w:val="restart"/>
            <w:vAlign w:val="center"/>
          </w:tcPr>
          <w:p>
            <w:pPr>
              <w:rPr>
                <w:rFonts w:ascii="宋体" w:hAnsi="宋体"/>
                <w:szCs w:val="21"/>
              </w:rPr>
            </w:pPr>
            <w:r>
              <w:rPr>
                <w:rFonts w:hint="eastAsia" w:ascii="宋体" w:hAnsi="宋体"/>
                <w:szCs w:val="21"/>
              </w:rPr>
              <w:t>一体化访问控制</w:t>
            </w:r>
          </w:p>
        </w:tc>
        <w:tc>
          <w:tcPr>
            <w:tcW w:w="6927" w:type="dxa"/>
            <w:vAlign w:val="center"/>
          </w:tcPr>
          <w:p>
            <w:pPr>
              <w:pStyle w:val="9"/>
              <w:rPr>
                <w:rFonts w:ascii="宋体" w:hAnsi="宋体"/>
                <w:szCs w:val="21"/>
              </w:rPr>
            </w:pPr>
            <w:r>
              <w:rPr>
                <w:rFonts w:hint="eastAsia" w:ascii="宋体" w:hAnsi="宋体"/>
                <w:szCs w:val="21"/>
              </w:rPr>
              <w:t>内置高度集成的一体化智能过滤引擎技术，实现在同一条访问控制策略中配置传统的五元组信息、用户</w:t>
            </w:r>
            <w:r>
              <w:rPr>
                <w:rFonts w:ascii="宋体" w:hAnsi="宋体"/>
                <w:szCs w:val="21"/>
              </w:rPr>
              <w:t>、</w:t>
            </w:r>
            <w:r>
              <w:rPr>
                <w:rFonts w:hint="eastAsia" w:ascii="宋体" w:hAnsi="宋体"/>
                <w:szCs w:val="21"/>
              </w:rPr>
              <w:t>域名等的识别与控制；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927" w:type="dxa"/>
            <w:vAlign w:val="center"/>
          </w:tcPr>
          <w:p>
            <w:pPr>
              <w:rPr>
                <w:rFonts w:ascii="宋体" w:hAnsi="宋体"/>
                <w:szCs w:val="21"/>
              </w:rPr>
            </w:pPr>
            <w:r>
              <w:rPr>
                <w:rFonts w:hint="eastAsia" w:ascii="宋体" w:hAnsi="宋体"/>
                <w:szCs w:val="21"/>
              </w:rPr>
              <w:t>访问</w:t>
            </w:r>
            <w:r>
              <w:rPr>
                <w:rFonts w:ascii="宋体" w:hAnsi="宋体"/>
                <w:szCs w:val="21"/>
              </w:rPr>
              <w:t>控制策略执行动作</w:t>
            </w:r>
            <w:r>
              <w:rPr>
                <w:rFonts w:hint="eastAsia" w:ascii="宋体" w:hAnsi="宋体"/>
                <w:szCs w:val="21"/>
              </w:rPr>
              <w:t>支持允许</w:t>
            </w:r>
            <w:r>
              <w:rPr>
                <w:rFonts w:ascii="宋体" w:hAnsi="宋体"/>
                <w:szCs w:val="21"/>
              </w:rPr>
              <w:t>、禁止</w:t>
            </w:r>
            <w:r>
              <w:rPr>
                <w:rFonts w:hint="eastAsia" w:ascii="宋体" w:hAnsi="宋体"/>
                <w:szCs w:val="21"/>
              </w:rPr>
              <w:t>及</w:t>
            </w:r>
            <w:r>
              <w:rPr>
                <w:rFonts w:ascii="宋体" w:hAnsi="宋体"/>
                <w:szCs w:val="21"/>
              </w:rPr>
              <w:t>认证，</w:t>
            </w:r>
            <w:r>
              <w:rPr>
                <w:rFonts w:hint="eastAsia" w:ascii="宋体" w:hAnsi="宋体"/>
                <w:szCs w:val="21"/>
              </w:rPr>
              <w:t>对符合条件的流量进行Web认证，在</w:t>
            </w:r>
            <w:r>
              <w:rPr>
                <w:rFonts w:ascii="宋体" w:hAnsi="宋体"/>
                <w:szCs w:val="21"/>
              </w:rPr>
              <w:t>策略中可</w:t>
            </w:r>
            <w:r>
              <w:rPr>
                <w:rFonts w:hint="eastAsia" w:ascii="宋体" w:hAnsi="宋体"/>
                <w:szCs w:val="21"/>
              </w:rPr>
              <w:t>设置用户 Web 认证的门户地址；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927" w:type="dxa"/>
            <w:vAlign w:val="center"/>
          </w:tcPr>
          <w:p>
            <w:pPr>
              <w:rPr>
                <w:rFonts w:ascii="宋体" w:hAnsi="宋体"/>
                <w:szCs w:val="21"/>
              </w:rPr>
            </w:pPr>
            <w:r>
              <w:rPr>
                <w:rFonts w:hint="eastAsia" w:ascii="宋体" w:hAnsi="宋体"/>
                <w:szCs w:val="21"/>
              </w:rPr>
              <w:t>提供智能策略分析功能</w:t>
            </w:r>
            <w:r>
              <w:rPr>
                <w:rFonts w:ascii="宋体" w:hAnsi="宋体"/>
                <w:szCs w:val="21"/>
              </w:rPr>
              <w:t>，</w:t>
            </w:r>
            <w:r>
              <w:rPr>
                <w:rFonts w:hint="eastAsia" w:ascii="宋体" w:hAnsi="宋体"/>
                <w:szCs w:val="21"/>
              </w:rPr>
              <w:t>支持</w:t>
            </w:r>
            <w:r>
              <w:rPr>
                <w:rFonts w:ascii="宋体" w:hAnsi="宋体"/>
                <w:szCs w:val="21"/>
              </w:rPr>
              <w:t>策略命中分析、策略</w:t>
            </w:r>
            <w:r>
              <w:rPr>
                <w:rFonts w:hint="eastAsia" w:ascii="宋体" w:hAnsi="宋体"/>
                <w:szCs w:val="21"/>
              </w:rPr>
              <w:t>冗余</w:t>
            </w:r>
            <w:r>
              <w:rPr>
                <w:rFonts w:ascii="宋体" w:hAnsi="宋体"/>
                <w:szCs w:val="21"/>
              </w:rPr>
              <w:t>分析、策略</w:t>
            </w:r>
            <w:r>
              <w:rPr>
                <w:rFonts w:hint="eastAsia" w:ascii="宋体" w:hAnsi="宋体"/>
                <w:szCs w:val="21"/>
              </w:rPr>
              <w:t>冲突检查</w:t>
            </w:r>
            <w:r>
              <w:rPr>
                <w:rFonts w:ascii="宋体" w:hAnsi="宋体"/>
                <w:szCs w:val="21"/>
              </w:rPr>
              <w:t>，</w:t>
            </w:r>
            <w:r>
              <w:rPr>
                <w:rFonts w:hint="eastAsia" w:ascii="宋体" w:hAnsi="宋体"/>
                <w:szCs w:val="21"/>
              </w:rPr>
              <w:t>并且可在WEB界面显示检测结果；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927" w:type="dxa"/>
            <w:vAlign w:val="center"/>
          </w:tcPr>
          <w:p>
            <w:pPr>
              <w:rPr>
                <w:rFonts w:ascii="宋体" w:hAnsi="宋体"/>
                <w:szCs w:val="21"/>
              </w:rPr>
            </w:pPr>
            <w:r>
              <w:rPr>
                <w:rFonts w:hint="eastAsia" w:ascii="宋体" w:hAnsi="宋体"/>
                <w:szCs w:val="21"/>
              </w:rPr>
              <w:t>支持</w:t>
            </w:r>
            <w:r>
              <w:rPr>
                <w:rFonts w:ascii="宋体" w:hAnsi="宋体"/>
                <w:szCs w:val="21"/>
              </w:rPr>
              <w:t>黑名单功能，</w:t>
            </w:r>
            <w:r>
              <w:rPr>
                <w:rFonts w:hint="eastAsia" w:ascii="宋体" w:hAnsi="宋体"/>
                <w:szCs w:val="21"/>
              </w:rPr>
              <w:t>可</w:t>
            </w:r>
            <w:r>
              <w:rPr>
                <w:rFonts w:ascii="宋体" w:hAnsi="宋体"/>
                <w:szCs w:val="21"/>
              </w:rPr>
              <w:t>设置</w:t>
            </w:r>
            <w:r>
              <w:rPr>
                <w:rFonts w:hint="eastAsia" w:ascii="宋体" w:hAnsi="宋体"/>
                <w:szCs w:val="21"/>
              </w:rPr>
              <w:t>多个</w:t>
            </w:r>
            <w:r>
              <w:rPr>
                <w:rFonts w:ascii="宋体" w:hAnsi="宋体"/>
                <w:szCs w:val="21"/>
              </w:rPr>
              <w:t>对象条件，如：</w:t>
            </w:r>
            <w:r>
              <w:rPr>
                <w:rFonts w:hint="eastAsia" w:ascii="宋体" w:hAnsi="宋体"/>
                <w:szCs w:val="21"/>
              </w:rPr>
              <w:t>五元组信息、地址</w:t>
            </w:r>
            <w:r>
              <w:rPr>
                <w:rFonts w:ascii="宋体" w:hAnsi="宋体"/>
                <w:szCs w:val="21"/>
              </w:rPr>
              <w:t>范围、</w:t>
            </w:r>
            <w:r>
              <w:rPr>
                <w:rFonts w:hint="eastAsia" w:ascii="宋体" w:hAnsi="宋体"/>
                <w:szCs w:val="21"/>
              </w:rPr>
              <w:t>应用</w:t>
            </w:r>
            <w:r>
              <w:rPr>
                <w:rFonts w:ascii="宋体" w:hAnsi="宋体"/>
                <w:szCs w:val="21"/>
              </w:rPr>
              <w:t>、用户等</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672" w:type="dxa"/>
            <w:vMerge w:val="restart"/>
            <w:vAlign w:val="center"/>
          </w:tcPr>
          <w:p>
            <w:pPr>
              <w:jc w:val="center"/>
              <w:rPr>
                <w:rFonts w:ascii="宋体" w:hAnsi="宋体"/>
                <w:b/>
                <w:szCs w:val="21"/>
              </w:rPr>
            </w:pPr>
            <w:r>
              <w:rPr>
                <w:rFonts w:hint="eastAsia" w:ascii="宋体" w:hAnsi="宋体"/>
                <w:b/>
                <w:szCs w:val="21"/>
              </w:rPr>
              <w:t>安全防护</w:t>
            </w:r>
          </w:p>
        </w:tc>
        <w:tc>
          <w:tcPr>
            <w:tcW w:w="1066" w:type="dxa"/>
            <w:vMerge w:val="restart"/>
            <w:vAlign w:val="center"/>
          </w:tcPr>
          <w:p>
            <w:pPr>
              <w:rPr>
                <w:rFonts w:ascii="宋体" w:hAnsi="宋体"/>
                <w:szCs w:val="21"/>
              </w:rPr>
            </w:pPr>
            <w:r>
              <w:rPr>
                <w:rFonts w:hint="eastAsia" w:ascii="宋体" w:hAnsi="宋体"/>
                <w:szCs w:val="21"/>
              </w:rPr>
              <w:t>未知</w:t>
            </w:r>
            <w:r>
              <w:rPr>
                <w:rFonts w:ascii="宋体" w:hAnsi="宋体"/>
                <w:szCs w:val="21"/>
              </w:rPr>
              <w:t>威胁防御</w:t>
            </w:r>
          </w:p>
        </w:tc>
        <w:tc>
          <w:tcPr>
            <w:tcW w:w="6927" w:type="dxa"/>
            <w:vAlign w:val="center"/>
          </w:tcPr>
          <w:p>
            <w:pPr>
              <w:rPr>
                <w:rFonts w:ascii="宋体" w:hAnsi="宋体"/>
                <w:szCs w:val="21"/>
              </w:rPr>
            </w:pPr>
            <w:r>
              <w:rPr>
                <w:rFonts w:hint="eastAsia" w:ascii="宋体" w:hAnsi="宋体"/>
                <w:szCs w:val="21"/>
              </w:rPr>
              <w:t>支持APT防御扩展</w:t>
            </w:r>
            <w:r>
              <w:rPr>
                <w:rFonts w:ascii="宋体" w:hAnsi="宋体"/>
                <w:szCs w:val="21"/>
              </w:rPr>
              <w:t>，</w:t>
            </w:r>
            <w:r>
              <w:rPr>
                <w:rFonts w:hint="eastAsia" w:ascii="宋体" w:hAnsi="宋体"/>
                <w:szCs w:val="21"/>
              </w:rPr>
              <w:t>不依赖于攻击、恶意代码等特征库进行检测，通过沙箱技术对于未知漏洞攻击（</w:t>
            </w:r>
            <w:r>
              <w:rPr>
                <w:rFonts w:ascii="宋体" w:hAnsi="宋体"/>
                <w:szCs w:val="21"/>
              </w:rPr>
              <w:t>0day/1day</w:t>
            </w:r>
            <w:r>
              <w:rPr>
                <w:rFonts w:hint="eastAsia" w:ascii="宋体" w:hAnsi="宋体"/>
                <w:szCs w:val="21"/>
              </w:rPr>
              <w:t>漏洞）、木马、病毒具有检测能力；可根据</w:t>
            </w:r>
            <w:r>
              <w:rPr>
                <w:rFonts w:ascii="宋体" w:hAnsi="宋体"/>
                <w:szCs w:val="21"/>
              </w:rPr>
              <w:t>用户环境，</w:t>
            </w:r>
            <w:r>
              <w:rPr>
                <w:rFonts w:hint="eastAsia" w:ascii="宋体" w:hAnsi="宋体"/>
                <w:szCs w:val="21"/>
              </w:rPr>
              <w:t>将APT工作</w:t>
            </w:r>
            <w:r>
              <w:rPr>
                <w:rFonts w:ascii="宋体" w:hAnsi="宋体"/>
                <w:szCs w:val="21"/>
              </w:rPr>
              <w:t>模式</w:t>
            </w:r>
            <w:r>
              <w:rPr>
                <w:rFonts w:hint="eastAsia" w:ascii="宋体" w:hAnsi="宋体"/>
                <w:szCs w:val="21"/>
              </w:rPr>
              <w:t>设置</w:t>
            </w:r>
            <w:r>
              <w:rPr>
                <w:rFonts w:ascii="宋体" w:hAnsi="宋体"/>
                <w:szCs w:val="21"/>
              </w:rPr>
              <w:t>为</w:t>
            </w:r>
            <w:r>
              <w:rPr>
                <w:rFonts w:hint="eastAsia" w:ascii="宋体" w:hAnsi="宋体"/>
                <w:szCs w:val="21"/>
              </w:rPr>
              <w:t>深度</w:t>
            </w:r>
            <w:r>
              <w:rPr>
                <w:rFonts w:ascii="宋体" w:hAnsi="宋体"/>
                <w:szCs w:val="21"/>
              </w:rPr>
              <w:t>模式或者</w:t>
            </w:r>
            <w:r>
              <w:rPr>
                <w:rFonts w:hint="eastAsia" w:ascii="宋体" w:hAnsi="宋体"/>
                <w:szCs w:val="21"/>
              </w:rPr>
              <w:t>智能</w:t>
            </w:r>
            <w:r>
              <w:rPr>
                <w:rFonts w:ascii="宋体" w:hAnsi="宋体"/>
                <w:szCs w:val="21"/>
              </w:rPr>
              <w:t>模式</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927" w:type="dxa"/>
            <w:vAlign w:val="center"/>
          </w:tcPr>
          <w:p>
            <w:pPr>
              <w:pStyle w:val="9"/>
              <w:rPr>
                <w:rFonts w:ascii="宋体" w:hAnsi="宋体"/>
                <w:szCs w:val="21"/>
              </w:rPr>
            </w:pPr>
            <w:r>
              <w:rPr>
                <w:rFonts w:hint="eastAsia"/>
              </w:rPr>
              <w:t>支持异常行为检测，如存在异常则报警。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入侵防御</w:t>
            </w:r>
          </w:p>
        </w:tc>
        <w:tc>
          <w:tcPr>
            <w:tcW w:w="6927" w:type="dxa"/>
            <w:vAlign w:val="center"/>
          </w:tcPr>
          <w:p>
            <w:pPr>
              <w:rPr>
                <w:rFonts w:ascii="宋体" w:hAnsi="宋体"/>
                <w:szCs w:val="21"/>
              </w:rPr>
            </w:pPr>
            <w:r>
              <w:rPr>
                <w:rFonts w:hint="eastAsia" w:ascii="宋体" w:hAnsi="宋体"/>
                <w:szCs w:val="21"/>
              </w:rPr>
              <w:t>内置攻击检测引擎，采用协议分析、模式识别、统计阀值和流量异常监视等综合技术手段来判断入侵行为；支持</w:t>
            </w:r>
            <w:r>
              <w:rPr>
                <w:rFonts w:ascii="宋体" w:hAnsi="宋体"/>
                <w:szCs w:val="21"/>
              </w:rPr>
              <w:t>web</w:t>
            </w:r>
            <w:r>
              <w:rPr>
                <w:rFonts w:hint="eastAsia" w:ascii="宋体" w:hAnsi="宋体"/>
                <w:szCs w:val="21"/>
              </w:rPr>
              <w:t>攻击识别和防护，如跨站脚本攻击、</w:t>
            </w:r>
            <w:r>
              <w:rPr>
                <w:rFonts w:ascii="宋体" w:hAnsi="宋体"/>
                <w:szCs w:val="21"/>
              </w:rPr>
              <w:t>SQL</w:t>
            </w:r>
            <w:r>
              <w:rPr>
                <w:rFonts w:hint="eastAsia" w:ascii="宋体" w:hAnsi="宋体"/>
                <w:szCs w:val="21"/>
              </w:rPr>
              <w:t>注入攻击；支持攻击特征库，同时支持自定义特征库。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2" w:type="dxa"/>
            <w:vMerge w:val="continue"/>
            <w:vAlign w:val="center"/>
          </w:tcPr>
          <w:p>
            <w:pPr>
              <w:jc w:val="center"/>
              <w:rPr>
                <w:rFonts w:ascii="宋体" w:hAnsi="宋体"/>
                <w:b/>
                <w:szCs w:val="21"/>
              </w:rPr>
            </w:pPr>
          </w:p>
        </w:tc>
        <w:tc>
          <w:tcPr>
            <w:tcW w:w="1066" w:type="dxa"/>
            <w:vMerge w:val="restart"/>
            <w:vAlign w:val="center"/>
          </w:tcPr>
          <w:p>
            <w:pPr>
              <w:rPr>
                <w:rFonts w:ascii="宋体" w:hAnsi="宋体"/>
                <w:szCs w:val="21"/>
              </w:rPr>
            </w:pPr>
            <w:r>
              <w:rPr>
                <w:rFonts w:hint="eastAsia" w:ascii="宋体" w:hAnsi="宋体"/>
                <w:szCs w:val="21"/>
              </w:rPr>
              <w:t>DDOS防御</w:t>
            </w:r>
          </w:p>
        </w:tc>
        <w:tc>
          <w:tcPr>
            <w:tcW w:w="6927" w:type="dxa"/>
            <w:vAlign w:val="center"/>
          </w:tcPr>
          <w:p>
            <w:pPr>
              <w:rPr>
                <w:rFonts w:ascii="宋体" w:hAnsi="宋体"/>
                <w:szCs w:val="21"/>
              </w:rPr>
            </w:pPr>
            <w:r>
              <w:rPr>
                <w:rFonts w:hint="eastAsia" w:ascii="宋体" w:hAnsi="宋体"/>
                <w:szCs w:val="21"/>
              </w:rPr>
              <w:t>支持</w:t>
            </w:r>
            <w:r>
              <w:rPr>
                <w:rFonts w:ascii="宋体" w:hAnsi="宋体"/>
                <w:szCs w:val="21"/>
              </w:rPr>
              <w:t>基于</w:t>
            </w:r>
            <w:r>
              <w:rPr>
                <w:rFonts w:hint="eastAsia" w:ascii="宋体" w:hAnsi="宋体"/>
                <w:szCs w:val="21"/>
              </w:rPr>
              <w:t>IP协议</w:t>
            </w:r>
            <w:r>
              <w:rPr>
                <w:rFonts w:ascii="宋体" w:hAnsi="宋体"/>
                <w:szCs w:val="21"/>
              </w:rPr>
              <w:t>的</w:t>
            </w:r>
            <w:r>
              <w:rPr>
                <w:rFonts w:hint="eastAsia" w:ascii="宋体" w:hAnsi="宋体"/>
                <w:szCs w:val="21"/>
              </w:rPr>
              <w:t>检测</w:t>
            </w:r>
            <w:r>
              <w:rPr>
                <w:rFonts w:ascii="宋体" w:hAnsi="宋体"/>
                <w:szCs w:val="21"/>
              </w:rPr>
              <w:t>清洗</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927" w:type="dxa"/>
            <w:vAlign w:val="center"/>
          </w:tcPr>
          <w:p>
            <w:pPr>
              <w:rPr>
                <w:rFonts w:ascii="宋体" w:hAnsi="宋体"/>
                <w:szCs w:val="21"/>
              </w:rPr>
            </w:pPr>
            <w:r>
              <w:rPr>
                <w:rFonts w:hint="eastAsia" w:ascii="宋体" w:hAnsi="宋体"/>
                <w:szCs w:val="21"/>
              </w:rPr>
              <w:t>支持</w:t>
            </w:r>
            <w:r>
              <w:rPr>
                <w:rFonts w:ascii="宋体" w:hAnsi="宋体"/>
                <w:szCs w:val="21"/>
              </w:rPr>
              <w:t>基于</w:t>
            </w:r>
            <w:r>
              <w:rPr>
                <w:rFonts w:hint="eastAsia" w:ascii="宋体" w:hAnsi="宋体"/>
                <w:szCs w:val="21"/>
              </w:rPr>
              <w:t>TCP协议</w:t>
            </w:r>
            <w:r>
              <w:rPr>
                <w:rFonts w:ascii="宋体" w:hAnsi="宋体"/>
                <w:szCs w:val="21"/>
              </w:rPr>
              <w:t>的检测清洗；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927" w:type="dxa"/>
            <w:vAlign w:val="center"/>
          </w:tcPr>
          <w:p>
            <w:pPr>
              <w:rPr>
                <w:rFonts w:ascii="宋体" w:hAnsi="宋体"/>
                <w:szCs w:val="21"/>
              </w:rPr>
            </w:pPr>
            <w:r>
              <w:rPr>
                <w:rFonts w:hint="eastAsia" w:ascii="宋体" w:hAnsi="宋体"/>
                <w:szCs w:val="21"/>
              </w:rPr>
              <w:t>支持</w:t>
            </w:r>
            <w:r>
              <w:rPr>
                <w:rFonts w:ascii="宋体" w:hAnsi="宋体"/>
                <w:szCs w:val="21"/>
              </w:rPr>
              <w:t>基于</w:t>
            </w:r>
            <w:r>
              <w:rPr>
                <w:rFonts w:hint="eastAsia" w:ascii="宋体" w:hAnsi="宋体"/>
                <w:szCs w:val="21"/>
              </w:rPr>
              <w:t>UDP协议</w:t>
            </w:r>
            <w:r>
              <w:rPr>
                <w:rFonts w:ascii="宋体" w:hAnsi="宋体"/>
                <w:szCs w:val="21"/>
              </w:rPr>
              <w:t>的检测清洗</w:t>
            </w:r>
            <w:r>
              <w:rPr>
                <w:rFonts w:hint="eastAsia" w:ascii="宋体" w:hAnsi="宋体"/>
                <w:szCs w:val="21"/>
              </w:rPr>
              <w:t>，包括</w:t>
            </w:r>
            <w:r>
              <w:rPr>
                <w:rFonts w:ascii="宋体" w:hAnsi="宋体"/>
                <w:szCs w:val="21"/>
              </w:rPr>
              <w:t>对源、目的</w:t>
            </w:r>
            <w:r>
              <w:rPr>
                <w:rFonts w:hint="eastAsia" w:ascii="宋体" w:hAnsi="宋体"/>
                <w:szCs w:val="21"/>
              </w:rPr>
              <w:t>限速，</w:t>
            </w:r>
            <w:r>
              <w:rPr>
                <w:rFonts w:ascii="宋体" w:hAnsi="宋体"/>
                <w:szCs w:val="21"/>
              </w:rPr>
              <w:t>对</w:t>
            </w:r>
            <w:r>
              <w:rPr>
                <w:rFonts w:hint="eastAsia" w:ascii="宋体" w:hAnsi="宋体"/>
                <w:szCs w:val="21"/>
              </w:rPr>
              <w:t>UDP最大</w:t>
            </w:r>
            <w:r>
              <w:rPr>
                <w:rFonts w:ascii="宋体" w:hAnsi="宋体"/>
                <w:szCs w:val="21"/>
              </w:rPr>
              <w:t>及最</w:t>
            </w:r>
            <w:r>
              <w:rPr>
                <w:rFonts w:hint="eastAsia" w:ascii="宋体" w:hAnsi="宋体"/>
                <w:szCs w:val="21"/>
              </w:rPr>
              <w:t>小</w:t>
            </w:r>
            <w:r>
              <w:rPr>
                <w:rFonts w:ascii="宋体" w:hAnsi="宋体"/>
                <w:szCs w:val="21"/>
              </w:rPr>
              <w:t>报文</w:t>
            </w:r>
            <w:r>
              <w:rPr>
                <w:rFonts w:hint="eastAsia" w:ascii="宋体" w:hAnsi="宋体"/>
                <w:szCs w:val="21"/>
              </w:rPr>
              <w:t>限制；同时</w:t>
            </w:r>
            <w:r>
              <w:rPr>
                <w:rFonts w:ascii="宋体" w:hAnsi="宋体"/>
                <w:szCs w:val="21"/>
              </w:rPr>
              <w:t>支持</w:t>
            </w:r>
            <w:r>
              <w:rPr>
                <w:rFonts w:hint="eastAsia" w:ascii="宋体" w:hAnsi="宋体"/>
                <w:szCs w:val="21"/>
              </w:rPr>
              <w:t>UDP关联</w:t>
            </w:r>
            <w:r>
              <w:rPr>
                <w:rFonts w:ascii="宋体" w:hAnsi="宋体"/>
                <w:szCs w:val="21"/>
              </w:rPr>
              <w:t>认证，</w:t>
            </w:r>
            <w:r>
              <w:rPr>
                <w:rFonts w:hint="eastAsia" w:ascii="宋体" w:hAnsi="宋体"/>
                <w:szCs w:val="21"/>
              </w:rPr>
              <w:t>要求所有去往服务器的UDP报文，必须首先与该服务器的TCP端口建立TCP连接，</w:t>
            </w:r>
            <w:r>
              <w:rPr>
                <w:rFonts w:ascii="宋体" w:hAnsi="宋体"/>
                <w:szCs w:val="21"/>
              </w:rPr>
              <w:t>对源地址进行合法性认证</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927" w:type="dxa"/>
            <w:vAlign w:val="center"/>
          </w:tcPr>
          <w:p>
            <w:pPr>
              <w:rPr>
                <w:rFonts w:ascii="宋体" w:hAnsi="宋体"/>
                <w:szCs w:val="21"/>
              </w:rPr>
            </w:pPr>
            <w:r>
              <w:rPr>
                <w:rFonts w:hint="eastAsia" w:ascii="宋体" w:hAnsi="宋体"/>
                <w:szCs w:val="21"/>
              </w:rPr>
              <w:t>支持</w:t>
            </w:r>
            <w:r>
              <w:rPr>
                <w:rFonts w:ascii="宋体" w:hAnsi="宋体"/>
                <w:szCs w:val="21"/>
              </w:rPr>
              <w:t>基于</w:t>
            </w:r>
            <w:r>
              <w:rPr>
                <w:rFonts w:hint="eastAsia" w:ascii="宋体" w:hAnsi="宋体"/>
                <w:szCs w:val="21"/>
              </w:rPr>
              <w:t>DNS协议</w:t>
            </w:r>
            <w:r>
              <w:rPr>
                <w:rFonts w:ascii="宋体" w:hAnsi="宋体"/>
                <w:szCs w:val="21"/>
              </w:rPr>
              <w:t>的检测清洗</w:t>
            </w:r>
            <w:r>
              <w:rPr>
                <w:rFonts w:hint="eastAsia" w:ascii="宋体" w:hAnsi="宋体"/>
                <w:szCs w:val="21"/>
              </w:rPr>
              <w:t>，包括</w:t>
            </w:r>
            <w:r>
              <w:rPr>
                <w:rFonts w:ascii="宋体" w:hAnsi="宋体"/>
                <w:szCs w:val="21"/>
              </w:rPr>
              <w:t>但不限于：DNS QUERY FLOOD</w:t>
            </w:r>
            <w:r>
              <w:rPr>
                <w:rFonts w:hint="eastAsia" w:ascii="宋体" w:hAnsi="宋体"/>
                <w:szCs w:val="21"/>
              </w:rPr>
              <w:t>、</w:t>
            </w:r>
            <w:r>
              <w:rPr>
                <w:rFonts w:ascii="宋体" w:hAnsi="宋体"/>
                <w:szCs w:val="21"/>
              </w:rPr>
              <w:t>DNS REPLY FLOOD</w:t>
            </w:r>
            <w:r>
              <w:rPr>
                <w:rFonts w:hint="eastAsia" w:ascii="宋体" w:hAnsi="宋体"/>
                <w:szCs w:val="21"/>
              </w:rPr>
              <w:t>、DNS投毒攻击、DNS格式检查、DNS NX异常比率检测等</w:t>
            </w:r>
            <w:r>
              <w:rPr>
                <w:rFonts w:ascii="宋体" w:hAnsi="宋体"/>
                <w:szCs w:val="21"/>
              </w:rPr>
              <w:t>；</w:t>
            </w:r>
            <w:r>
              <w:rPr>
                <w:rFonts w:hint="eastAsia" w:ascii="宋体" w:hAnsi="宋体"/>
                <w:szCs w:val="21"/>
              </w:rPr>
              <w:t>支持DNS QUERY源认证、</w:t>
            </w:r>
            <w:r>
              <w:rPr>
                <w:rFonts w:ascii="宋体" w:hAnsi="宋体"/>
                <w:szCs w:val="21"/>
              </w:rPr>
              <w:t>DNS REPLY</w:t>
            </w:r>
            <w:r>
              <w:rPr>
                <w:rFonts w:hint="eastAsia" w:ascii="宋体" w:hAnsi="宋体"/>
                <w:szCs w:val="21"/>
              </w:rPr>
              <w:t>源认证</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927" w:type="dxa"/>
            <w:vAlign w:val="center"/>
          </w:tcPr>
          <w:p>
            <w:pPr>
              <w:rPr>
                <w:rFonts w:ascii="宋体" w:hAnsi="宋体"/>
                <w:szCs w:val="21"/>
              </w:rPr>
            </w:pPr>
            <w:r>
              <w:rPr>
                <w:rFonts w:hint="eastAsia" w:ascii="宋体" w:hAnsi="宋体"/>
                <w:szCs w:val="21"/>
              </w:rPr>
              <w:t>支持</w:t>
            </w:r>
            <w:r>
              <w:rPr>
                <w:rFonts w:ascii="宋体" w:hAnsi="宋体"/>
                <w:szCs w:val="21"/>
              </w:rPr>
              <w:t>基于</w:t>
            </w:r>
            <w:r>
              <w:rPr>
                <w:rFonts w:hint="eastAsia" w:ascii="宋体" w:hAnsi="宋体"/>
                <w:szCs w:val="21"/>
              </w:rPr>
              <w:t>HTTP协议</w:t>
            </w:r>
            <w:r>
              <w:rPr>
                <w:rFonts w:ascii="宋体" w:hAnsi="宋体"/>
                <w:szCs w:val="21"/>
              </w:rPr>
              <w:t>的检测清洗</w:t>
            </w:r>
            <w:r>
              <w:rPr>
                <w:rFonts w:hint="eastAsia" w:ascii="宋体" w:hAnsi="宋体"/>
                <w:szCs w:val="21"/>
              </w:rPr>
              <w:t>，</w:t>
            </w:r>
            <w:r>
              <w:rPr>
                <w:rFonts w:ascii="宋体" w:hAnsi="宋体"/>
                <w:szCs w:val="21"/>
              </w:rPr>
              <w:t>支持</w:t>
            </w:r>
            <w:r>
              <w:rPr>
                <w:rFonts w:hint="eastAsia" w:ascii="宋体" w:hAnsi="宋体"/>
                <w:szCs w:val="21"/>
              </w:rPr>
              <w:t>对HTTP slow-header和HTTP slow-post设置</w:t>
            </w:r>
            <w:r>
              <w:rPr>
                <w:rFonts w:ascii="宋体" w:hAnsi="宋体"/>
                <w:szCs w:val="21"/>
              </w:rPr>
              <w:t>最大传输</w:t>
            </w:r>
            <w:r>
              <w:rPr>
                <w:rFonts w:hint="eastAsia" w:ascii="宋体" w:hAnsi="宋体"/>
                <w:szCs w:val="21"/>
              </w:rPr>
              <w:t>时间</w:t>
            </w:r>
            <w:r>
              <w:rPr>
                <w:rFonts w:ascii="宋体" w:hAnsi="宋体"/>
                <w:szCs w:val="21"/>
              </w:rPr>
              <w:t>以及</w:t>
            </w:r>
            <w:r>
              <w:rPr>
                <w:rFonts w:hint="eastAsia" w:ascii="宋体" w:hAnsi="宋体"/>
                <w:szCs w:val="21"/>
              </w:rPr>
              <w:t>异常</w:t>
            </w:r>
            <w:r>
              <w:rPr>
                <w:rFonts w:ascii="宋体" w:hAnsi="宋体"/>
                <w:szCs w:val="21"/>
              </w:rPr>
              <w:t>会话数</w:t>
            </w:r>
            <w:r>
              <w:rPr>
                <w:rFonts w:hint="eastAsia" w:ascii="宋体" w:hAnsi="宋体"/>
                <w:szCs w:val="21"/>
              </w:rPr>
              <w:t>阈值</w:t>
            </w:r>
            <w:r>
              <w:rPr>
                <w:rFonts w:ascii="宋体" w:hAnsi="宋体"/>
                <w:szCs w:val="21"/>
              </w:rPr>
              <w:t>，</w:t>
            </w:r>
            <w:r>
              <w:rPr>
                <w:rFonts w:hint="eastAsia" w:ascii="宋体" w:hAnsi="宋体"/>
                <w:szCs w:val="21"/>
              </w:rPr>
              <w:t>有效</w:t>
            </w:r>
            <w:r>
              <w:rPr>
                <w:rFonts w:ascii="宋体" w:hAnsi="宋体"/>
                <w:szCs w:val="21"/>
              </w:rPr>
              <w:t>防御慢速攻击；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927" w:type="dxa"/>
            <w:vAlign w:val="center"/>
          </w:tcPr>
          <w:p>
            <w:pPr>
              <w:rPr>
                <w:rFonts w:ascii="宋体" w:hAnsi="宋体"/>
                <w:szCs w:val="21"/>
              </w:rPr>
            </w:pPr>
            <w:r>
              <w:rPr>
                <w:rFonts w:hint="eastAsia" w:ascii="宋体" w:hAnsi="宋体"/>
                <w:szCs w:val="21"/>
              </w:rPr>
              <w:t>支持根据</w:t>
            </w:r>
            <w:r>
              <w:rPr>
                <w:rFonts w:ascii="宋体" w:hAnsi="宋体"/>
                <w:szCs w:val="21"/>
              </w:rPr>
              <w:t>DOS/DDOS</w:t>
            </w:r>
            <w:r>
              <w:rPr>
                <w:rFonts w:hint="eastAsia" w:ascii="宋体" w:hAnsi="宋体"/>
                <w:szCs w:val="21"/>
              </w:rPr>
              <w:t>攻击</w:t>
            </w:r>
            <w:r>
              <w:rPr>
                <w:rFonts w:ascii="宋体" w:hAnsi="宋体"/>
                <w:szCs w:val="21"/>
              </w:rPr>
              <w:t>行为</w:t>
            </w:r>
            <w:r>
              <w:rPr>
                <w:rFonts w:hint="eastAsia" w:ascii="宋体" w:hAnsi="宋体"/>
                <w:szCs w:val="21"/>
              </w:rPr>
              <w:t>自动添加动态黑/白名单功能</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1"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文件过滤</w:t>
            </w:r>
          </w:p>
        </w:tc>
        <w:tc>
          <w:tcPr>
            <w:tcW w:w="6927" w:type="dxa"/>
            <w:vAlign w:val="center"/>
          </w:tcPr>
          <w:p>
            <w:pPr>
              <w:rPr>
                <w:rFonts w:ascii="宋体" w:hAnsi="宋体"/>
                <w:szCs w:val="21"/>
              </w:rPr>
            </w:pPr>
            <w:r>
              <w:rPr>
                <w:rFonts w:hint="eastAsia" w:ascii="宋体" w:hAnsi="宋体"/>
                <w:szCs w:val="21"/>
              </w:rPr>
              <w:t>内置文件过滤引擎，支持对即时</w:t>
            </w:r>
            <w:r>
              <w:rPr>
                <w:rFonts w:ascii="宋体" w:hAnsi="宋体"/>
                <w:szCs w:val="21"/>
              </w:rPr>
              <w:t>通讯、</w:t>
            </w:r>
            <w:r>
              <w:rPr>
                <w:rFonts w:hint="eastAsia" w:ascii="宋体" w:hAnsi="宋体"/>
                <w:szCs w:val="21"/>
              </w:rPr>
              <w:t>社交网络</w:t>
            </w:r>
            <w:r>
              <w:rPr>
                <w:rFonts w:ascii="宋体" w:hAnsi="宋体"/>
                <w:szCs w:val="21"/>
              </w:rPr>
              <w:t>、</w:t>
            </w:r>
            <w:r>
              <w:rPr>
                <w:rFonts w:hint="eastAsia" w:ascii="宋体" w:hAnsi="宋体"/>
                <w:szCs w:val="21"/>
              </w:rPr>
              <w:t>网络</w:t>
            </w:r>
            <w:r>
              <w:rPr>
                <w:rFonts w:ascii="宋体" w:hAnsi="宋体"/>
                <w:szCs w:val="21"/>
              </w:rPr>
              <w:t>硬盘</w:t>
            </w:r>
            <w:r>
              <w:rPr>
                <w:rFonts w:hint="eastAsia" w:ascii="宋体" w:hAnsi="宋体"/>
                <w:szCs w:val="21"/>
              </w:rPr>
              <w:t>、网页</w:t>
            </w:r>
            <w:r>
              <w:rPr>
                <w:rFonts w:ascii="宋体" w:hAnsi="宋体"/>
                <w:szCs w:val="21"/>
              </w:rPr>
              <w:t>邮箱、</w:t>
            </w:r>
            <w:r>
              <w:rPr>
                <w:rFonts w:hint="eastAsia" w:ascii="宋体" w:hAnsi="宋体"/>
                <w:szCs w:val="21"/>
              </w:rPr>
              <w:t>IM文件</w:t>
            </w:r>
            <w:r>
              <w:rPr>
                <w:rFonts w:ascii="宋体" w:hAnsi="宋体"/>
                <w:szCs w:val="21"/>
              </w:rPr>
              <w:t>传输等应用类型以及HTTP/FTP/SMTP/POP3</w:t>
            </w:r>
            <w:r>
              <w:rPr>
                <w:rFonts w:hint="eastAsia" w:ascii="宋体" w:hAnsi="宋体"/>
                <w:szCs w:val="21"/>
              </w:rPr>
              <w:t>等标准协议进行</w:t>
            </w:r>
            <w:r>
              <w:rPr>
                <w:rFonts w:ascii="宋体" w:hAnsi="宋体"/>
                <w:szCs w:val="21"/>
              </w:rPr>
              <w:t>检测，</w:t>
            </w:r>
            <w:r>
              <w:rPr>
                <w:rFonts w:hint="eastAsia" w:ascii="宋体" w:hAnsi="宋体"/>
                <w:szCs w:val="21"/>
              </w:rPr>
              <w:t>识别可执行</w:t>
            </w:r>
            <w:r>
              <w:rPr>
                <w:rFonts w:ascii="宋体" w:hAnsi="宋体"/>
                <w:szCs w:val="21"/>
              </w:rPr>
              <w:t>文件、office文件、</w:t>
            </w:r>
            <w:r>
              <w:rPr>
                <w:rFonts w:hint="eastAsia" w:ascii="宋体" w:hAnsi="宋体"/>
                <w:szCs w:val="21"/>
              </w:rPr>
              <w:t>视频文件</w:t>
            </w:r>
            <w:r>
              <w:rPr>
                <w:rFonts w:ascii="宋体" w:hAnsi="宋体"/>
                <w:szCs w:val="21"/>
              </w:rPr>
              <w:t>、图片文件、</w:t>
            </w:r>
            <w:r>
              <w:rPr>
                <w:rFonts w:hint="eastAsia" w:ascii="宋体" w:hAnsi="宋体"/>
                <w:szCs w:val="21"/>
              </w:rPr>
              <w:t>帮助</w:t>
            </w:r>
            <w:r>
              <w:rPr>
                <w:rFonts w:ascii="宋体" w:hAnsi="宋体"/>
                <w:szCs w:val="21"/>
              </w:rPr>
              <w:t>文件、</w:t>
            </w:r>
            <w:r>
              <w:rPr>
                <w:rFonts w:hint="eastAsia" w:ascii="宋体" w:hAnsi="宋体"/>
                <w:szCs w:val="21"/>
              </w:rPr>
              <w:t>压缩</w:t>
            </w:r>
            <w:r>
              <w:rPr>
                <w:rFonts w:ascii="宋体" w:hAnsi="宋体"/>
                <w:szCs w:val="21"/>
              </w:rPr>
              <w:t>文件、</w:t>
            </w:r>
            <w:r>
              <w:rPr>
                <w:rFonts w:hint="eastAsia" w:ascii="宋体" w:hAnsi="宋体"/>
                <w:szCs w:val="21"/>
              </w:rPr>
              <w:t>数据</w:t>
            </w:r>
            <w:r>
              <w:rPr>
                <w:rFonts w:ascii="宋体" w:hAnsi="宋体"/>
                <w:szCs w:val="21"/>
              </w:rPr>
              <w:t>文件</w:t>
            </w:r>
            <w:r>
              <w:rPr>
                <w:rFonts w:hint="eastAsia" w:ascii="宋体" w:hAnsi="宋体"/>
                <w:szCs w:val="21"/>
              </w:rPr>
              <w:t>等超过40种文档类型的文件过滤；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内容过滤</w:t>
            </w:r>
          </w:p>
        </w:tc>
        <w:tc>
          <w:tcPr>
            <w:tcW w:w="6927" w:type="dxa"/>
            <w:vAlign w:val="center"/>
          </w:tcPr>
          <w:p>
            <w:pPr>
              <w:rPr>
                <w:rFonts w:ascii="宋体" w:hAnsi="宋体"/>
                <w:szCs w:val="21"/>
              </w:rPr>
            </w:pPr>
            <w:r>
              <w:rPr>
                <w:rFonts w:hint="eastAsia" w:ascii="宋体" w:hAnsi="宋体"/>
                <w:szCs w:val="21"/>
              </w:rPr>
              <w:t>支持</w:t>
            </w:r>
            <w:r>
              <w:rPr>
                <w:rFonts w:ascii="宋体" w:hAnsi="宋体"/>
                <w:szCs w:val="21"/>
              </w:rPr>
              <w:t>基于</w:t>
            </w:r>
            <w:r>
              <w:rPr>
                <w:rFonts w:hint="eastAsia" w:ascii="宋体" w:hAnsi="宋体"/>
                <w:szCs w:val="21"/>
              </w:rPr>
              <w:t>http</w:t>
            </w:r>
            <w:r>
              <w:rPr>
                <w:rFonts w:ascii="宋体" w:hAnsi="宋体"/>
                <w:szCs w:val="21"/>
              </w:rPr>
              <w:t>、ftp、telnet、</w:t>
            </w:r>
            <w:r>
              <w:rPr>
                <w:rFonts w:hint="eastAsia" w:ascii="宋体" w:hAnsi="宋体"/>
                <w:szCs w:val="21"/>
              </w:rPr>
              <w:t>smtp</w:t>
            </w:r>
            <w:r>
              <w:rPr>
                <w:rFonts w:ascii="宋体" w:hAnsi="宋体"/>
                <w:szCs w:val="21"/>
              </w:rPr>
              <w:t>、pop3</w:t>
            </w:r>
            <w:r>
              <w:rPr>
                <w:rFonts w:hint="eastAsia" w:ascii="宋体" w:hAnsi="宋体"/>
                <w:szCs w:val="21"/>
              </w:rPr>
              <w:t>等协议</w:t>
            </w:r>
            <w:r>
              <w:rPr>
                <w:rFonts w:ascii="宋体" w:hAnsi="宋体"/>
                <w:szCs w:val="21"/>
              </w:rPr>
              <w:t>的内容过滤策略，</w:t>
            </w:r>
            <w:r>
              <w:rPr>
                <w:rFonts w:hint="eastAsia" w:ascii="宋体" w:hAnsi="宋体"/>
                <w:szCs w:val="21"/>
              </w:rPr>
              <w:t>支持过滤FTP信令：上传文件、下载文件、删除文件、重命名文件、创建目录、删除目录、列出目录等</w:t>
            </w:r>
            <w:r>
              <w:rPr>
                <w:rFonts w:ascii="宋体" w:hAnsi="宋体"/>
                <w:szCs w:val="21"/>
              </w:rPr>
              <w:t>，</w:t>
            </w:r>
            <w:r>
              <w:rPr>
                <w:rFonts w:hint="eastAsia" w:ascii="宋体" w:hAnsi="宋体"/>
                <w:szCs w:val="21"/>
              </w:rPr>
              <w:t>邮件</w:t>
            </w:r>
            <w:r>
              <w:rPr>
                <w:rFonts w:ascii="宋体" w:hAnsi="宋体"/>
                <w:szCs w:val="21"/>
              </w:rPr>
              <w:t>过滤</w:t>
            </w:r>
            <w:r>
              <w:rPr>
                <w:rFonts w:hint="eastAsia" w:ascii="宋体" w:hAnsi="宋体"/>
                <w:szCs w:val="21"/>
              </w:rPr>
              <w:t>支持</w:t>
            </w:r>
            <w:r>
              <w:rPr>
                <w:rFonts w:ascii="宋体" w:hAnsi="宋体"/>
                <w:szCs w:val="21"/>
              </w:rPr>
              <w:t>对发件人、收件人、</w:t>
            </w:r>
            <w:r>
              <w:rPr>
                <w:rFonts w:hint="eastAsia" w:ascii="宋体" w:hAnsi="宋体"/>
                <w:szCs w:val="21"/>
              </w:rPr>
              <w:t>主题</w:t>
            </w:r>
            <w:r>
              <w:rPr>
                <w:rFonts w:ascii="宋体" w:hAnsi="宋体"/>
                <w:szCs w:val="21"/>
              </w:rPr>
              <w:t>、内容、</w:t>
            </w:r>
            <w:r>
              <w:rPr>
                <w:rFonts w:hint="eastAsia" w:ascii="宋体" w:hAnsi="宋体"/>
                <w:szCs w:val="21"/>
              </w:rPr>
              <w:t>附件等进行</w:t>
            </w:r>
            <w:r>
              <w:rPr>
                <w:rFonts w:ascii="宋体" w:hAnsi="宋体"/>
                <w:szCs w:val="21"/>
              </w:rPr>
              <w:t>过滤</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8"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ascii="宋体" w:hAnsi="宋体"/>
                <w:szCs w:val="21"/>
              </w:rPr>
              <w:t>敏感数据泄漏防护</w:t>
            </w:r>
          </w:p>
        </w:tc>
        <w:tc>
          <w:tcPr>
            <w:tcW w:w="6927" w:type="dxa"/>
            <w:vAlign w:val="center"/>
          </w:tcPr>
          <w:p>
            <w:pPr>
              <w:rPr>
                <w:rFonts w:ascii="宋体" w:hAnsi="宋体"/>
                <w:szCs w:val="21"/>
              </w:rPr>
            </w:pPr>
            <w:r>
              <w:rPr>
                <w:rFonts w:hint="eastAsia" w:ascii="宋体" w:hAnsi="宋体"/>
                <w:szCs w:val="21"/>
              </w:rPr>
              <w:t>内置DLP数据</w:t>
            </w:r>
            <w:r>
              <w:rPr>
                <w:rFonts w:ascii="宋体" w:hAnsi="宋体"/>
                <w:szCs w:val="21"/>
              </w:rPr>
              <w:t>防泄漏</w:t>
            </w:r>
            <w:r>
              <w:rPr>
                <w:rFonts w:hint="eastAsia" w:ascii="宋体" w:hAnsi="宋体"/>
                <w:szCs w:val="21"/>
              </w:rPr>
              <w:t>引擎</w:t>
            </w:r>
            <w:r>
              <w:rPr>
                <w:rFonts w:ascii="宋体" w:hAnsi="宋体"/>
                <w:szCs w:val="21"/>
              </w:rPr>
              <w:t>，</w:t>
            </w:r>
            <w:r>
              <w:rPr>
                <w:rFonts w:hint="eastAsia" w:ascii="宋体" w:hAnsi="宋体"/>
                <w:szCs w:val="21"/>
              </w:rPr>
              <w:t>对</w:t>
            </w:r>
            <w:r>
              <w:rPr>
                <w:rFonts w:ascii="宋体" w:hAnsi="宋体"/>
                <w:szCs w:val="21"/>
              </w:rPr>
              <w:t>数据进行</w:t>
            </w:r>
            <w:r>
              <w:rPr>
                <w:rFonts w:hint="eastAsia" w:ascii="宋体" w:hAnsi="宋体"/>
                <w:szCs w:val="21"/>
              </w:rPr>
              <w:t>监控识别，达到敏感数据防护目的。支持识别的文件类型数量不少于</w:t>
            </w:r>
            <w:r>
              <w:rPr>
                <w:rFonts w:ascii="宋体" w:hAnsi="宋体"/>
                <w:szCs w:val="21"/>
              </w:rPr>
              <w:t>1000</w:t>
            </w:r>
            <w:r>
              <w:rPr>
                <w:rFonts w:hint="eastAsia" w:ascii="宋体" w:hAnsi="宋体"/>
                <w:szCs w:val="21"/>
              </w:rPr>
              <w:t>种；文件内容识格式不少于</w:t>
            </w:r>
            <w:r>
              <w:rPr>
                <w:rFonts w:ascii="宋体" w:hAnsi="宋体"/>
                <w:szCs w:val="21"/>
              </w:rPr>
              <w:t>300</w:t>
            </w:r>
            <w:r>
              <w:rPr>
                <w:rFonts w:hint="eastAsia" w:ascii="宋体" w:hAnsi="宋体"/>
                <w:szCs w:val="21"/>
              </w:rPr>
              <w:t>种。</w:t>
            </w:r>
          </w:p>
          <w:p>
            <w:pPr>
              <w:pStyle w:val="9"/>
              <w:rPr>
                <w:rFonts w:ascii="宋体" w:hAnsi="宋体"/>
                <w:szCs w:val="21"/>
              </w:rPr>
            </w:pPr>
            <w:r>
              <w:rPr>
                <w:rFonts w:hint="eastAsia" w:ascii="宋体" w:hAnsi="宋体"/>
                <w:szCs w:val="21"/>
              </w:rPr>
              <w:t>支持多种加密和压缩文件格式，如</w:t>
            </w:r>
            <w:r>
              <w:rPr>
                <w:rFonts w:ascii="宋体" w:hAnsi="宋体"/>
                <w:szCs w:val="21"/>
              </w:rPr>
              <w:t>RAR</w:t>
            </w:r>
            <w:r>
              <w:rPr>
                <w:rFonts w:hint="eastAsia" w:ascii="宋体" w:hAnsi="宋体"/>
                <w:szCs w:val="21"/>
              </w:rPr>
              <w:t>、</w:t>
            </w:r>
            <w:r>
              <w:rPr>
                <w:rFonts w:ascii="宋体" w:hAnsi="宋体"/>
                <w:szCs w:val="21"/>
              </w:rPr>
              <w:t>ZIP</w:t>
            </w:r>
            <w:r>
              <w:rPr>
                <w:rFonts w:hint="eastAsia" w:ascii="宋体" w:hAnsi="宋体"/>
                <w:szCs w:val="21"/>
              </w:rPr>
              <w:t>、</w:t>
            </w:r>
            <w:r>
              <w:rPr>
                <w:rFonts w:ascii="宋体" w:hAnsi="宋体"/>
                <w:szCs w:val="21"/>
              </w:rPr>
              <w:t>GZ</w:t>
            </w:r>
            <w:r>
              <w:rPr>
                <w:rFonts w:hint="eastAsia" w:ascii="宋体" w:hAnsi="宋体"/>
                <w:szCs w:val="21"/>
              </w:rPr>
              <w:t>、</w:t>
            </w:r>
            <w:r>
              <w:rPr>
                <w:rFonts w:ascii="宋体" w:hAnsi="宋体"/>
                <w:szCs w:val="21"/>
              </w:rPr>
              <w:t>TAR</w:t>
            </w:r>
            <w:r>
              <w:rPr>
                <w:rFonts w:hint="eastAsia" w:ascii="宋体" w:hAnsi="宋体"/>
                <w:szCs w:val="21"/>
              </w:rPr>
              <w:t>等；支持识别</w:t>
            </w:r>
            <w:r>
              <w:rPr>
                <w:rFonts w:ascii="宋体" w:hAnsi="宋体"/>
                <w:szCs w:val="21"/>
              </w:rPr>
              <w:t>Linux</w:t>
            </w:r>
            <w:r>
              <w:rPr>
                <w:rFonts w:hint="eastAsia" w:ascii="宋体" w:hAnsi="宋体"/>
                <w:szCs w:val="21"/>
              </w:rPr>
              <w:t>，</w:t>
            </w:r>
            <w:r>
              <w:rPr>
                <w:rFonts w:ascii="宋体" w:hAnsi="宋体"/>
                <w:szCs w:val="21"/>
              </w:rPr>
              <w:t>Unix</w:t>
            </w:r>
            <w:r>
              <w:rPr>
                <w:rFonts w:hint="eastAsia" w:ascii="宋体" w:hAnsi="宋体"/>
                <w:szCs w:val="21"/>
              </w:rPr>
              <w:t>等非</w:t>
            </w:r>
            <w:r>
              <w:rPr>
                <w:rFonts w:ascii="宋体" w:hAnsi="宋体"/>
                <w:szCs w:val="21"/>
              </w:rPr>
              <w:t>Winodws</w:t>
            </w:r>
            <w:r>
              <w:rPr>
                <w:rFonts w:hint="eastAsia" w:ascii="宋体" w:hAnsi="宋体"/>
                <w:szCs w:val="21"/>
              </w:rPr>
              <w:t>的文件类型；支持识别异常文件格式类型；支持识别自定义文件类型；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配置维护</w:t>
            </w:r>
          </w:p>
        </w:tc>
        <w:tc>
          <w:tcPr>
            <w:tcW w:w="6927" w:type="dxa"/>
            <w:vAlign w:val="center"/>
          </w:tcPr>
          <w:p>
            <w:pPr>
              <w:rPr>
                <w:rFonts w:ascii="宋体" w:hAnsi="宋体"/>
                <w:szCs w:val="21"/>
              </w:rPr>
            </w:pPr>
            <w:r>
              <w:rPr>
                <w:rFonts w:hint="eastAsia" w:ascii="宋体" w:hAnsi="宋体"/>
                <w:szCs w:val="21"/>
              </w:rPr>
              <w:t>支持多个配置文件并存，配置文件数量不少于20个；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升级维护</w:t>
            </w:r>
          </w:p>
        </w:tc>
        <w:tc>
          <w:tcPr>
            <w:tcW w:w="6927" w:type="dxa"/>
            <w:vAlign w:val="center"/>
          </w:tcPr>
          <w:p>
            <w:pPr>
              <w:rPr>
                <w:rFonts w:ascii="宋体" w:hAnsi="宋体"/>
                <w:szCs w:val="21"/>
              </w:rPr>
            </w:pPr>
            <w:r>
              <w:rPr>
                <w:rFonts w:hint="eastAsia" w:ascii="宋体" w:hAnsi="宋体"/>
                <w:szCs w:val="21"/>
              </w:rPr>
              <w:t>支持多个系统升级包并存，系统升级包文件数量不少于5个；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管理</w:t>
            </w:r>
            <w:r>
              <w:rPr>
                <w:rFonts w:ascii="宋体" w:hAnsi="宋体"/>
                <w:szCs w:val="21"/>
              </w:rPr>
              <w:t>员</w:t>
            </w:r>
          </w:p>
        </w:tc>
        <w:tc>
          <w:tcPr>
            <w:tcW w:w="6927" w:type="dxa"/>
            <w:vAlign w:val="center"/>
          </w:tcPr>
          <w:p>
            <w:pPr>
              <w:rPr>
                <w:rFonts w:ascii="宋体" w:hAnsi="宋体"/>
                <w:szCs w:val="21"/>
              </w:rPr>
            </w:pPr>
            <w:r>
              <w:rPr>
                <w:rFonts w:hint="eastAsia" w:ascii="宋体" w:hAnsi="宋体"/>
                <w:szCs w:val="21"/>
              </w:rPr>
              <w:t>支持管理员分权管理，可自定义管理员权限模板，所有功能模块组合可由管理员自由组合配置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2" w:type="dxa"/>
            <w:vMerge w:val="restart"/>
            <w:vAlign w:val="center"/>
          </w:tcPr>
          <w:p>
            <w:pPr>
              <w:jc w:val="center"/>
              <w:rPr>
                <w:rFonts w:ascii="宋体" w:hAnsi="宋体"/>
                <w:b/>
                <w:szCs w:val="21"/>
              </w:rPr>
            </w:pPr>
            <w:r>
              <w:rPr>
                <w:rFonts w:hint="eastAsia" w:ascii="宋体" w:hAnsi="宋体"/>
                <w:b/>
                <w:szCs w:val="21"/>
              </w:rPr>
              <w:t>数据中心</w:t>
            </w:r>
          </w:p>
        </w:tc>
        <w:tc>
          <w:tcPr>
            <w:tcW w:w="1066" w:type="dxa"/>
            <w:vAlign w:val="center"/>
          </w:tcPr>
          <w:p>
            <w:pPr>
              <w:rPr>
                <w:rFonts w:ascii="宋体" w:hAnsi="宋体"/>
                <w:szCs w:val="21"/>
                <w:highlight w:val="yellow"/>
              </w:rPr>
            </w:pPr>
            <w:r>
              <w:rPr>
                <w:rFonts w:hint="eastAsia" w:ascii="宋体" w:hAnsi="宋体"/>
                <w:szCs w:val="21"/>
              </w:rPr>
              <w:t>审计</w:t>
            </w:r>
          </w:p>
        </w:tc>
        <w:tc>
          <w:tcPr>
            <w:tcW w:w="6927" w:type="dxa"/>
            <w:vAlign w:val="center"/>
          </w:tcPr>
          <w:p>
            <w:pPr>
              <w:rPr>
                <w:rFonts w:ascii="宋体" w:hAnsi="宋体"/>
                <w:szCs w:val="21"/>
              </w:rPr>
            </w:pPr>
            <w:r>
              <w:rPr>
                <w:rFonts w:hint="eastAsia" w:ascii="宋体" w:hAnsi="宋体"/>
                <w:szCs w:val="21"/>
              </w:rPr>
              <w:t>支持</w:t>
            </w:r>
            <w:r>
              <w:rPr>
                <w:rFonts w:ascii="宋体" w:hAnsi="宋体"/>
                <w:szCs w:val="21"/>
              </w:rPr>
              <w:t>独立配置审计策略</w:t>
            </w:r>
            <w:r>
              <w:rPr>
                <w:rFonts w:hint="eastAsia" w:ascii="宋体" w:hAnsi="宋体"/>
                <w:szCs w:val="21"/>
              </w:rPr>
              <w:t>，同时也可将指定的 IP 地址、 URL、应用加入白名单，</w:t>
            </w:r>
            <w:r>
              <w:rPr>
                <w:rFonts w:ascii="宋体" w:hAnsi="宋体"/>
                <w:szCs w:val="21"/>
              </w:rPr>
              <w:t>不进行数据审计</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jc w:val="center"/>
        </w:trPr>
        <w:tc>
          <w:tcPr>
            <w:tcW w:w="672" w:type="dxa"/>
            <w:vMerge w:val="continue"/>
            <w:vAlign w:val="center"/>
          </w:tcPr>
          <w:p>
            <w:pPr>
              <w:jc w:val="center"/>
              <w:rPr>
                <w:rFonts w:ascii="宋体" w:hAnsi="宋体"/>
                <w:b/>
                <w:szCs w:val="21"/>
              </w:rPr>
            </w:pPr>
          </w:p>
        </w:tc>
        <w:tc>
          <w:tcPr>
            <w:tcW w:w="1066" w:type="dxa"/>
            <w:vMerge w:val="restart"/>
            <w:vAlign w:val="center"/>
          </w:tcPr>
          <w:p>
            <w:pPr>
              <w:rPr>
                <w:rFonts w:ascii="宋体" w:hAnsi="宋体"/>
                <w:szCs w:val="21"/>
              </w:rPr>
            </w:pPr>
            <w:r>
              <w:rPr>
                <w:rFonts w:hint="eastAsia" w:ascii="宋体" w:hAnsi="宋体"/>
                <w:szCs w:val="21"/>
              </w:rPr>
              <w:t>日志</w:t>
            </w:r>
          </w:p>
        </w:tc>
        <w:tc>
          <w:tcPr>
            <w:tcW w:w="6927" w:type="dxa"/>
            <w:vAlign w:val="center"/>
          </w:tcPr>
          <w:p>
            <w:pPr>
              <w:rPr>
                <w:rFonts w:ascii="宋体" w:hAnsi="宋体"/>
                <w:szCs w:val="21"/>
              </w:rPr>
            </w:pPr>
            <w:r>
              <w:rPr>
                <w:rFonts w:hint="eastAsia" w:ascii="宋体" w:hAnsi="宋体"/>
                <w:szCs w:val="21"/>
              </w:rPr>
              <w:t>支持</w:t>
            </w:r>
            <w:r>
              <w:rPr>
                <w:rFonts w:ascii="宋体" w:hAnsi="宋体"/>
                <w:szCs w:val="21"/>
              </w:rPr>
              <w:t>日志本地存储，</w:t>
            </w:r>
            <w:r>
              <w:rPr>
                <w:rFonts w:hint="eastAsia" w:ascii="宋体" w:hAnsi="宋体"/>
                <w:szCs w:val="21"/>
              </w:rPr>
              <w:t>可对不同类型日志设置存储空间；</w:t>
            </w:r>
          </w:p>
          <w:p>
            <w:pPr>
              <w:rPr>
                <w:rFonts w:ascii="宋体" w:hAnsi="宋体"/>
                <w:szCs w:val="21"/>
              </w:rPr>
            </w:pPr>
            <w:r>
              <w:rPr>
                <w:rFonts w:ascii="宋体" w:hAnsi="宋体"/>
                <w:szCs w:val="21"/>
              </w:rPr>
              <w:t>支持</w:t>
            </w:r>
            <w:r>
              <w:rPr>
                <w:rFonts w:hint="eastAsia" w:ascii="宋体" w:hAnsi="宋体"/>
                <w:szCs w:val="21"/>
              </w:rPr>
              <w:t>外发至SYSLOG服务器，可将多条日志合并成一条日志传送到日志服务器中，可选择对日志传输是否加密，设定8位的加密密钥；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927" w:type="dxa"/>
            <w:vAlign w:val="center"/>
          </w:tcPr>
          <w:p>
            <w:pPr>
              <w:rPr>
                <w:rFonts w:ascii="宋体" w:hAnsi="宋体"/>
                <w:szCs w:val="21"/>
              </w:rPr>
            </w:pPr>
            <w:r>
              <w:rPr>
                <w:rFonts w:hint="eastAsia" w:ascii="宋体" w:hAnsi="宋体"/>
                <w:szCs w:val="21"/>
              </w:rPr>
              <w:t>日志查看</w:t>
            </w:r>
            <w:r>
              <w:rPr>
                <w:rFonts w:ascii="宋体" w:hAnsi="宋体"/>
                <w:szCs w:val="21"/>
              </w:rPr>
              <w:t>可划分为</w:t>
            </w:r>
            <w:r>
              <w:rPr>
                <w:rFonts w:hint="eastAsia" w:ascii="宋体" w:hAnsi="宋体"/>
                <w:szCs w:val="21"/>
              </w:rPr>
              <w:t>管理日志</w:t>
            </w:r>
            <w:r>
              <w:rPr>
                <w:rFonts w:ascii="宋体" w:hAnsi="宋体"/>
                <w:szCs w:val="21"/>
              </w:rPr>
              <w:t>、</w:t>
            </w:r>
            <w:r>
              <w:rPr>
                <w:rFonts w:hint="eastAsia" w:ascii="宋体" w:hAnsi="宋体"/>
                <w:szCs w:val="21"/>
              </w:rPr>
              <w:t>系统</w:t>
            </w:r>
            <w:r>
              <w:rPr>
                <w:rFonts w:ascii="宋体" w:hAnsi="宋体"/>
                <w:szCs w:val="21"/>
              </w:rPr>
              <w:t>日志、</w:t>
            </w:r>
            <w:r>
              <w:rPr>
                <w:rFonts w:hint="eastAsia" w:ascii="宋体" w:hAnsi="宋体"/>
                <w:szCs w:val="21"/>
              </w:rPr>
              <w:t>策略</w:t>
            </w:r>
            <w:r>
              <w:rPr>
                <w:rFonts w:ascii="宋体" w:hAnsi="宋体"/>
                <w:szCs w:val="21"/>
              </w:rPr>
              <w:t>日志</w:t>
            </w:r>
            <w:r>
              <w:rPr>
                <w:rFonts w:hint="eastAsia" w:ascii="宋体" w:hAnsi="宋体"/>
                <w:szCs w:val="21"/>
              </w:rPr>
              <w:t>、</w:t>
            </w:r>
            <w:r>
              <w:rPr>
                <w:rFonts w:ascii="宋体" w:hAnsi="宋体"/>
                <w:szCs w:val="21"/>
              </w:rPr>
              <w:t>应用行为日志</w:t>
            </w:r>
            <w:r>
              <w:rPr>
                <w:rFonts w:hint="eastAsia" w:ascii="宋体" w:hAnsi="宋体"/>
                <w:szCs w:val="21"/>
              </w:rPr>
              <w:t>等</w:t>
            </w:r>
            <w:r>
              <w:rPr>
                <w:rFonts w:ascii="宋体" w:hAnsi="宋体"/>
                <w:szCs w:val="21"/>
              </w:rPr>
              <w:t>四大</w:t>
            </w:r>
            <w:r>
              <w:rPr>
                <w:rFonts w:hint="eastAsia" w:ascii="宋体" w:hAnsi="宋体"/>
                <w:szCs w:val="21"/>
              </w:rPr>
              <w:t>模块，可</w:t>
            </w:r>
            <w:r>
              <w:rPr>
                <w:rFonts w:ascii="宋体" w:hAnsi="宋体"/>
                <w:szCs w:val="21"/>
              </w:rPr>
              <w:t>将日志</w:t>
            </w:r>
            <w:r>
              <w:rPr>
                <w:rFonts w:hint="eastAsia" w:ascii="宋体" w:hAnsi="宋体"/>
                <w:szCs w:val="21"/>
              </w:rPr>
              <w:t>按照CSV或XML格式</w:t>
            </w:r>
            <w:r>
              <w:rPr>
                <w:rFonts w:ascii="宋体" w:hAnsi="宋体"/>
                <w:szCs w:val="21"/>
              </w:rPr>
              <w:t>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672" w:type="dxa"/>
            <w:vMerge w:val="restart"/>
            <w:vAlign w:val="center"/>
          </w:tcPr>
          <w:p>
            <w:pPr>
              <w:jc w:val="center"/>
              <w:rPr>
                <w:rFonts w:ascii="宋体" w:hAnsi="宋体"/>
                <w:b/>
                <w:szCs w:val="21"/>
              </w:rPr>
            </w:pPr>
            <w:r>
              <w:rPr>
                <w:rFonts w:hint="eastAsia" w:ascii="宋体" w:hAnsi="宋体"/>
                <w:b/>
                <w:szCs w:val="21"/>
              </w:rPr>
              <w:t>显示</w:t>
            </w:r>
            <w:r>
              <w:rPr>
                <w:rFonts w:ascii="宋体" w:hAnsi="宋体"/>
                <w:b/>
                <w:szCs w:val="21"/>
              </w:rPr>
              <w:t>监控</w:t>
            </w:r>
          </w:p>
        </w:tc>
        <w:tc>
          <w:tcPr>
            <w:tcW w:w="1066" w:type="dxa"/>
            <w:vAlign w:val="center"/>
          </w:tcPr>
          <w:p>
            <w:pPr>
              <w:rPr>
                <w:rFonts w:ascii="宋体" w:hAnsi="宋体"/>
                <w:szCs w:val="21"/>
              </w:rPr>
            </w:pPr>
            <w:r>
              <w:rPr>
                <w:rFonts w:hint="eastAsia" w:ascii="宋体" w:hAnsi="宋体"/>
                <w:szCs w:val="21"/>
              </w:rPr>
              <w:t>资源监控</w:t>
            </w:r>
          </w:p>
        </w:tc>
        <w:tc>
          <w:tcPr>
            <w:tcW w:w="6927" w:type="dxa"/>
            <w:vAlign w:val="center"/>
          </w:tcPr>
          <w:p>
            <w:pPr>
              <w:rPr>
                <w:rFonts w:ascii="宋体" w:hAnsi="宋体"/>
                <w:szCs w:val="21"/>
              </w:rPr>
            </w:pPr>
            <w:r>
              <w:rPr>
                <w:rFonts w:hint="eastAsia" w:ascii="宋体" w:hAnsi="宋体"/>
                <w:szCs w:val="21"/>
              </w:rPr>
              <w:t>在WEB界面</w:t>
            </w:r>
            <w:r>
              <w:rPr>
                <w:rFonts w:ascii="宋体" w:hAnsi="宋体"/>
                <w:szCs w:val="21"/>
              </w:rPr>
              <w:t>提供</w:t>
            </w:r>
            <w:r>
              <w:rPr>
                <w:rFonts w:hint="eastAsia" w:ascii="宋体" w:hAnsi="宋体"/>
                <w:szCs w:val="21"/>
              </w:rPr>
              <w:t>资源</w:t>
            </w:r>
            <w:r>
              <w:rPr>
                <w:rFonts w:ascii="宋体" w:hAnsi="宋体"/>
                <w:szCs w:val="21"/>
              </w:rPr>
              <w:t>监控</w:t>
            </w:r>
            <w:r>
              <w:rPr>
                <w:rFonts w:hint="eastAsia" w:ascii="宋体" w:hAnsi="宋体"/>
                <w:szCs w:val="21"/>
              </w:rPr>
              <w:t>开关</w:t>
            </w:r>
            <w:r>
              <w:rPr>
                <w:rFonts w:ascii="宋体" w:hAnsi="宋体"/>
                <w:szCs w:val="21"/>
              </w:rPr>
              <w:t>，可对</w:t>
            </w:r>
            <w:r>
              <w:rPr>
                <w:rFonts w:hint="eastAsia" w:ascii="宋体" w:hAnsi="宋体"/>
                <w:szCs w:val="21"/>
              </w:rPr>
              <w:t>cpu占用率</w:t>
            </w:r>
            <w:r>
              <w:rPr>
                <w:rFonts w:ascii="宋体" w:hAnsi="宋体"/>
                <w:szCs w:val="21"/>
              </w:rPr>
              <w:t>、</w:t>
            </w:r>
            <w:r>
              <w:rPr>
                <w:rFonts w:hint="eastAsia" w:ascii="宋体" w:hAnsi="宋体"/>
                <w:szCs w:val="21"/>
              </w:rPr>
              <w:t>内存</w:t>
            </w:r>
            <w:r>
              <w:rPr>
                <w:rFonts w:ascii="宋体" w:hAnsi="宋体"/>
                <w:szCs w:val="21"/>
              </w:rPr>
              <w:t>占用率、</w:t>
            </w:r>
            <w:r>
              <w:rPr>
                <w:rFonts w:hint="eastAsia" w:ascii="宋体" w:hAnsi="宋体"/>
                <w:szCs w:val="21"/>
              </w:rPr>
              <w:t>磁盘</w:t>
            </w:r>
            <w:r>
              <w:rPr>
                <w:rFonts w:ascii="宋体" w:hAnsi="宋体"/>
                <w:szCs w:val="21"/>
              </w:rPr>
              <w:t>占用率</w:t>
            </w:r>
            <w:r>
              <w:rPr>
                <w:rFonts w:hint="eastAsia" w:ascii="宋体" w:hAnsi="宋体"/>
                <w:szCs w:val="21"/>
              </w:rPr>
              <w:t>设置</w:t>
            </w:r>
            <w:r>
              <w:rPr>
                <w:rFonts w:ascii="宋体" w:hAnsi="宋体"/>
                <w:szCs w:val="21"/>
              </w:rPr>
              <w:t>阈值；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72" w:type="dxa"/>
            <w:vMerge w:val="continue"/>
            <w:vAlign w:val="center"/>
          </w:tcPr>
          <w:p>
            <w:pPr>
              <w:jc w:val="center"/>
              <w:rPr>
                <w:rFonts w:ascii="宋体" w:hAnsi="宋体"/>
                <w:b/>
                <w:szCs w:val="21"/>
              </w:rPr>
            </w:pPr>
          </w:p>
        </w:tc>
        <w:tc>
          <w:tcPr>
            <w:tcW w:w="1066" w:type="dxa"/>
            <w:vMerge w:val="restart"/>
            <w:vAlign w:val="center"/>
          </w:tcPr>
          <w:p>
            <w:pPr>
              <w:rPr>
                <w:rFonts w:ascii="宋体" w:hAnsi="宋体"/>
                <w:szCs w:val="21"/>
              </w:rPr>
            </w:pPr>
            <w:r>
              <w:rPr>
                <w:rFonts w:hint="eastAsia" w:ascii="宋体" w:hAnsi="宋体"/>
                <w:szCs w:val="21"/>
              </w:rPr>
              <w:t>流量</w:t>
            </w:r>
            <w:r>
              <w:rPr>
                <w:rFonts w:ascii="宋体" w:hAnsi="宋体"/>
                <w:szCs w:val="21"/>
              </w:rPr>
              <w:t>统计</w:t>
            </w:r>
          </w:p>
        </w:tc>
        <w:tc>
          <w:tcPr>
            <w:tcW w:w="6927" w:type="dxa"/>
            <w:vAlign w:val="center"/>
          </w:tcPr>
          <w:p>
            <w:pPr>
              <w:rPr>
                <w:rFonts w:ascii="宋体" w:hAnsi="宋体"/>
                <w:szCs w:val="21"/>
              </w:rPr>
            </w:pPr>
            <w:r>
              <w:rPr>
                <w:rFonts w:hint="eastAsia" w:ascii="宋体" w:hAnsi="宋体"/>
                <w:szCs w:val="21"/>
              </w:rPr>
              <w:t>支持根据应用对通过设备的数据报文流量进行统计；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927" w:type="dxa"/>
            <w:vAlign w:val="center"/>
          </w:tcPr>
          <w:p>
            <w:pPr>
              <w:rPr>
                <w:rFonts w:ascii="宋体" w:hAnsi="宋体"/>
                <w:szCs w:val="21"/>
              </w:rPr>
            </w:pPr>
            <w:r>
              <w:rPr>
                <w:rFonts w:hint="eastAsia" w:ascii="宋体" w:hAnsi="宋体"/>
                <w:szCs w:val="21"/>
              </w:rPr>
              <w:t>支持根据用户/用户组对通过设备的数据报文流量进行统计；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927" w:type="dxa"/>
            <w:vAlign w:val="center"/>
          </w:tcPr>
          <w:p>
            <w:pPr>
              <w:rPr>
                <w:rFonts w:ascii="宋体" w:hAnsi="宋体"/>
                <w:szCs w:val="21"/>
              </w:rPr>
            </w:pPr>
            <w:r>
              <w:rPr>
                <w:rFonts w:hint="eastAsia" w:ascii="宋体" w:hAnsi="宋体"/>
                <w:szCs w:val="21"/>
              </w:rPr>
              <w:t>支持根据服务器对通过设备的数据报文流量进行统计；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威胁</w:t>
            </w:r>
            <w:r>
              <w:rPr>
                <w:rFonts w:ascii="宋体" w:hAnsi="宋体"/>
                <w:szCs w:val="21"/>
              </w:rPr>
              <w:t>统计</w:t>
            </w:r>
          </w:p>
        </w:tc>
        <w:tc>
          <w:tcPr>
            <w:tcW w:w="6927" w:type="dxa"/>
            <w:vAlign w:val="center"/>
          </w:tcPr>
          <w:p>
            <w:pPr>
              <w:pStyle w:val="9"/>
              <w:rPr>
                <w:rFonts w:ascii="宋体" w:hAnsi="宋体"/>
                <w:szCs w:val="21"/>
              </w:rPr>
            </w:pPr>
            <w:r>
              <w:rPr>
                <w:rFonts w:hint="eastAsia" w:ascii="宋体" w:hAnsi="宋体"/>
                <w:szCs w:val="21"/>
              </w:rPr>
              <w:t>支持</w:t>
            </w:r>
            <w:r>
              <w:rPr>
                <w:rFonts w:ascii="宋体" w:hAnsi="宋体"/>
                <w:szCs w:val="21"/>
              </w:rPr>
              <w:t>根据</w:t>
            </w:r>
            <w:r>
              <w:rPr>
                <w:rFonts w:hint="eastAsia" w:ascii="宋体" w:hAnsi="宋体"/>
                <w:szCs w:val="21"/>
              </w:rPr>
              <w:t>按照</w:t>
            </w:r>
            <w:r>
              <w:rPr>
                <w:rFonts w:ascii="宋体" w:hAnsi="宋体"/>
                <w:szCs w:val="21"/>
              </w:rPr>
              <w:t>病毒</w:t>
            </w:r>
            <w:r>
              <w:rPr>
                <w:rFonts w:hint="eastAsia" w:ascii="宋体" w:hAnsi="宋体"/>
                <w:szCs w:val="21"/>
              </w:rPr>
              <w:t>防御</w:t>
            </w:r>
            <w:r>
              <w:rPr>
                <w:rFonts w:ascii="宋体" w:hAnsi="宋体"/>
                <w:szCs w:val="21"/>
              </w:rPr>
              <w:t>、入侵防御、</w:t>
            </w:r>
            <w:r>
              <w:rPr>
                <w:rFonts w:hint="eastAsia" w:ascii="宋体" w:hAnsi="宋体"/>
                <w:szCs w:val="21"/>
              </w:rPr>
              <w:t>APT防御</w:t>
            </w:r>
            <w:r>
              <w:rPr>
                <w:rFonts w:ascii="宋体" w:hAnsi="宋体"/>
                <w:szCs w:val="21"/>
              </w:rPr>
              <w:t>、ADS</w:t>
            </w:r>
            <w:r>
              <w:rPr>
                <w:rFonts w:hint="eastAsia" w:ascii="宋体" w:hAnsi="宋体"/>
                <w:szCs w:val="21"/>
              </w:rPr>
              <w:t>攻击进行</w:t>
            </w:r>
            <w:r>
              <w:rPr>
                <w:rFonts w:ascii="宋体" w:hAnsi="宋体"/>
                <w:szCs w:val="21"/>
              </w:rPr>
              <w:t>威胁统计，可按照</w:t>
            </w:r>
            <w:r>
              <w:rPr>
                <w:rFonts w:hint="eastAsia" w:ascii="宋体" w:hAnsi="宋体"/>
                <w:szCs w:val="21"/>
              </w:rPr>
              <w:t>威胁类型/攻击者/受害者</w:t>
            </w:r>
            <w:r>
              <w:rPr>
                <w:rFonts w:hint="eastAsia"/>
              </w:rPr>
              <w:t>等类似威胁排名</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672" w:type="dxa"/>
            <w:vAlign w:val="center"/>
          </w:tcPr>
          <w:p>
            <w:pPr>
              <w:jc w:val="center"/>
              <w:rPr>
                <w:rFonts w:ascii="宋体" w:hAnsi="宋体"/>
                <w:b/>
                <w:szCs w:val="21"/>
              </w:rPr>
            </w:pPr>
            <w:r>
              <w:rPr>
                <w:rFonts w:hint="eastAsia" w:ascii="宋体" w:hAnsi="宋体"/>
                <w:b/>
                <w:szCs w:val="21"/>
              </w:rPr>
              <w:t>其他</w:t>
            </w:r>
          </w:p>
        </w:tc>
        <w:tc>
          <w:tcPr>
            <w:tcW w:w="1066" w:type="dxa"/>
            <w:vAlign w:val="center"/>
          </w:tcPr>
          <w:p>
            <w:pPr>
              <w:rPr>
                <w:rFonts w:ascii="宋体" w:hAnsi="宋体"/>
                <w:color w:val="FF0000"/>
                <w:szCs w:val="21"/>
              </w:rPr>
            </w:pPr>
            <w:r>
              <w:rPr>
                <w:rFonts w:hint="eastAsia" w:ascii="宋体" w:hAnsi="宋体"/>
                <w:szCs w:val="21"/>
              </w:rPr>
              <w:t>▲服务要求</w:t>
            </w:r>
          </w:p>
        </w:tc>
        <w:tc>
          <w:tcPr>
            <w:tcW w:w="6927" w:type="dxa"/>
            <w:vAlign w:val="center"/>
          </w:tcPr>
          <w:p>
            <w:pPr>
              <w:widowControl/>
              <w:rPr>
                <w:rFonts w:ascii="宋体" w:hAnsi="宋体" w:cs="宋体"/>
                <w:color w:val="000000"/>
                <w:kern w:val="0"/>
                <w:szCs w:val="21"/>
              </w:rPr>
            </w:pPr>
            <w:r>
              <w:rPr>
                <w:rFonts w:hint="eastAsia" w:ascii="宋体" w:hAnsi="宋体" w:cs="宋体"/>
                <w:color w:val="000000"/>
                <w:kern w:val="0"/>
                <w:szCs w:val="21"/>
              </w:rPr>
              <w:t>（1）提供专业工程师进行施工、安装，其中施工安装费已包括在本次采购项目中；</w:t>
            </w:r>
          </w:p>
          <w:p>
            <w:pPr>
              <w:rPr>
                <w:rFonts w:ascii="宋体" w:hAnsi="宋体"/>
                <w:color w:val="FF0000"/>
                <w:szCs w:val="21"/>
              </w:rPr>
            </w:pPr>
            <w:r>
              <w:rPr>
                <w:rFonts w:hint="eastAsia" w:ascii="宋体" w:hAnsi="宋体" w:cs="宋体"/>
                <w:color w:val="000000"/>
                <w:kern w:val="0"/>
                <w:szCs w:val="21"/>
              </w:rPr>
              <w:t>（2）提供用户现场培训服务，保证用户运维人员能够日常维护和故障处理，同时提供完整的实施和维护文档；</w:t>
            </w:r>
          </w:p>
        </w:tc>
      </w:tr>
    </w:tbl>
    <w:p>
      <w:pPr>
        <w:widowControl/>
        <w:jc w:val="left"/>
      </w:pPr>
    </w:p>
    <w:p>
      <w:pPr>
        <w:pStyle w:val="4"/>
        <w:tabs>
          <w:tab w:val="left" w:pos="432"/>
        </w:tabs>
        <w:rPr>
          <w:sz w:val="24"/>
          <w:szCs w:val="24"/>
        </w:rPr>
      </w:pPr>
      <w:r>
        <w:rPr>
          <w:rFonts w:hint="eastAsia"/>
          <w:sz w:val="24"/>
          <w:szCs w:val="24"/>
        </w:rPr>
        <w:t>7.3.19 防病毒软件</w:t>
      </w:r>
    </w:p>
    <w:tbl>
      <w:tblPr>
        <w:tblStyle w:val="35"/>
        <w:tblW w:w="8286" w:type="dxa"/>
        <w:tblInd w:w="0" w:type="dxa"/>
        <w:tblLayout w:type="fixed"/>
        <w:tblCellMar>
          <w:top w:w="0" w:type="dxa"/>
          <w:left w:w="108" w:type="dxa"/>
          <w:bottom w:w="0" w:type="dxa"/>
          <w:right w:w="108" w:type="dxa"/>
        </w:tblCellMar>
      </w:tblPr>
      <w:tblGrid>
        <w:gridCol w:w="699"/>
        <w:gridCol w:w="1276"/>
        <w:gridCol w:w="6311"/>
      </w:tblGrid>
      <w:tr>
        <w:tblPrEx>
          <w:tblLayout w:type="fixed"/>
          <w:tblCellMar>
            <w:top w:w="0" w:type="dxa"/>
            <w:left w:w="108" w:type="dxa"/>
            <w:bottom w:w="0" w:type="dxa"/>
            <w:right w:w="108" w:type="dxa"/>
          </w:tblCellMar>
        </w:tblPrEx>
        <w:trPr>
          <w:trHeight w:val="20" w:hRule="atLeast"/>
        </w:trPr>
        <w:tc>
          <w:tcPr>
            <w:tcW w:w="1975" w:type="dxa"/>
            <w:gridSpan w:val="2"/>
            <w:tcBorders>
              <w:top w:val="single" w:color="auto" w:sz="8" w:space="0"/>
              <w:left w:val="single" w:color="auto" w:sz="8" w:space="0"/>
              <w:bottom w:val="single" w:color="auto" w:sz="8" w:space="0"/>
              <w:right w:val="single" w:color="000000" w:sz="8"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指标项</w:t>
            </w:r>
          </w:p>
        </w:tc>
        <w:tc>
          <w:tcPr>
            <w:tcW w:w="6311" w:type="dxa"/>
            <w:tcBorders>
              <w:top w:val="single" w:color="auto" w:sz="8" w:space="0"/>
              <w:left w:val="nil"/>
              <w:bottom w:val="single" w:color="auto" w:sz="8" w:space="0"/>
              <w:right w:val="single" w:color="auto" w:sz="8"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技术参数要求</w:t>
            </w:r>
          </w:p>
        </w:tc>
      </w:tr>
      <w:tr>
        <w:tblPrEx>
          <w:tblLayout w:type="fixed"/>
          <w:tblCellMar>
            <w:top w:w="0" w:type="dxa"/>
            <w:left w:w="108" w:type="dxa"/>
            <w:bottom w:w="0" w:type="dxa"/>
            <w:right w:w="108" w:type="dxa"/>
          </w:tblCellMar>
        </w:tblPrEx>
        <w:trPr>
          <w:trHeight w:val="20" w:hRule="atLeast"/>
        </w:trPr>
        <w:tc>
          <w:tcPr>
            <w:tcW w:w="699" w:type="dxa"/>
            <w:tcBorders>
              <w:top w:val="nil"/>
              <w:left w:val="single" w:color="auto" w:sz="8" w:space="0"/>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软件效能</w:t>
            </w:r>
          </w:p>
        </w:tc>
        <w:tc>
          <w:tcPr>
            <w:tcW w:w="1276"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最少支持客户端数</w:t>
            </w: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ascii="宋体" w:hAnsi="宋体" w:cs="宋体"/>
                <w:color w:val="auto"/>
                <w:kern w:val="0"/>
                <w:szCs w:val="21"/>
              </w:rPr>
              <w:t>1000</w:t>
            </w:r>
            <w:r>
              <w:rPr>
                <w:rFonts w:hint="eastAsia" w:ascii="宋体" w:hAnsi="宋体" w:cs="宋体"/>
                <w:color w:val="auto"/>
                <w:kern w:val="0"/>
                <w:szCs w:val="21"/>
              </w:rPr>
              <w:t>个客户端授权，</w:t>
            </w:r>
            <w:r>
              <w:rPr>
                <w:rFonts w:ascii="宋体" w:hAnsi="宋体" w:cs="宋体"/>
                <w:color w:val="auto"/>
                <w:kern w:val="0"/>
                <w:szCs w:val="21"/>
              </w:rPr>
              <w:t>50</w:t>
            </w:r>
            <w:r>
              <w:rPr>
                <w:rFonts w:hint="eastAsia" w:ascii="宋体" w:hAnsi="宋体" w:cs="宋体"/>
                <w:color w:val="auto"/>
                <w:kern w:val="0"/>
                <w:szCs w:val="21"/>
              </w:rPr>
              <w:t>服务器端</w:t>
            </w:r>
          </w:p>
        </w:tc>
      </w:tr>
      <w:tr>
        <w:tblPrEx>
          <w:tblLayout w:type="fixed"/>
          <w:tblCellMar>
            <w:top w:w="0" w:type="dxa"/>
            <w:left w:w="108" w:type="dxa"/>
            <w:bottom w:w="0" w:type="dxa"/>
            <w:right w:w="108" w:type="dxa"/>
          </w:tblCellMar>
        </w:tblPrEx>
        <w:trPr>
          <w:trHeight w:val="20" w:hRule="atLeast"/>
        </w:trPr>
        <w:tc>
          <w:tcPr>
            <w:tcW w:w="699" w:type="dxa"/>
            <w:vMerge w:val="restart"/>
            <w:tcBorders>
              <w:top w:val="single" w:color="auto" w:sz="4" w:space="0"/>
              <w:left w:val="single" w:color="auto" w:sz="4"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功能</w:t>
            </w:r>
          </w:p>
        </w:tc>
        <w:tc>
          <w:tcPr>
            <w:tcW w:w="1276" w:type="dxa"/>
            <w:tcBorders>
              <w:top w:val="single" w:color="auto" w:sz="4" w:space="0"/>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具备Web信誉评估功能</w:t>
            </w: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包含HTTPS通信扫描，结合云安全架构自动识别并屏蔽恶意站点，阻止病毒自动更新。</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4"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支持两种扫描运行方式</w:t>
            </w: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支持云安全扫描和传统病毒码扫描两种运行方式。</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4"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支持与微软AD的集成</w:t>
            </w: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可套用AD的分组方式，方便管理</w:t>
            </w:r>
          </w:p>
        </w:tc>
      </w:tr>
      <w:tr>
        <w:tblPrEx>
          <w:tblLayout w:type="fixed"/>
        </w:tblPrEx>
        <w:trPr>
          <w:trHeight w:val="20" w:hRule="atLeast"/>
        </w:trPr>
        <w:tc>
          <w:tcPr>
            <w:tcW w:w="699" w:type="dxa"/>
            <w:vMerge w:val="continue"/>
            <w:tcBorders>
              <w:top w:val="nil"/>
              <w:left w:val="single" w:color="auto" w:sz="4"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vMerge w:val="restart"/>
            <w:tcBorders>
              <w:top w:val="nil"/>
              <w:left w:val="single" w:color="auto" w:sz="8" w:space="0"/>
              <w:bottom w:val="single" w:color="000000"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支持对各种外设使用权限进行控制</w:t>
            </w: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支持对USB、软驱、光驱、网络共享的使用权限进行控制</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4"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vMerge w:val="continue"/>
            <w:tcBorders>
              <w:top w:val="nil"/>
              <w:left w:val="single" w:color="auto" w:sz="8" w:space="0"/>
              <w:bottom w:val="single" w:color="000000" w:sz="8" w:space="0"/>
              <w:right w:val="single" w:color="auto" w:sz="8" w:space="0"/>
            </w:tcBorders>
            <w:vAlign w:val="center"/>
          </w:tcPr>
          <w:p>
            <w:pPr>
              <w:widowControl/>
              <w:jc w:val="center"/>
              <w:rPr>
                <w:rFonts w:ascii="宋体" w:hAnsi="宋体" w:cs="宋体"/>
                <w:kern w:val="0"/>
                <w:szCs w:val="21"/>
              </w:rPr>
            </w:pP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支持对COM／LPT端口、IEEE 1394 接口、图像处理设备、红外设备、调制解调器、PCMCIA 卡、打印影屏幕键的使用权限进行控制</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4" w:space="0"/>
              <w:bottom w:val="single" w:color="auto" w:sz="4" w:space="0"/>
              <w:right w:val="single" w:color="auto" w:sz="8" w:space="0"/>
            </w:tcBorders>
            <w:vAlign w:val="center"/>
          </w:tcPr>
          <w:p>
            <w:pPr>
              <w:widowControl/>
              <w:jc w:val="center"/>
              <w:rPr>
                <w:rFonts w:ascii="宋体" w:hAnsi="宋体" w:cs="宋体"/>
                <w:kern w:val="0"/>
                <w:szCs w:val="21"/>
              </w:rPr>
            </w:pPr>
          </w:p>
        </w:tc>
        <w:tc>
          <w:tcPr>
            <w:tcW w:w="1276" w:type="dxa"/>
            <w:tcBorders>
              <w:top w:val="nil"/>
              <w:left w:val="nil"/>
              <w:bottom w:val="single" w:color="auto" w:sz="4"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自动识别客户端类型</w:t>
            </w:r>
          </w:p>
        </w:tc>
        <w:tc>
          <w:tcPr>
            <w:tcW w:w="6311" w:type="dxa"/>
            <w:tcBorders>
              <w:top w:val="nil"/>
              <w:left w:val="nil"/>
              <w:bottom w:val="single" w:color="auto" w:sz="4"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自动识别客户端运行环境于物理终端或虚拟终端，从而提供更好的防护目标</w:t>
            </w:r>
          </w:p>
        </w:tc>
      </w:tr>
      <w:tr>
        <w:tblPrEx>
          <w:tblLayout w:type="fixed"/>
          <w:tblCellMar>
            <w:top w:w="0" w:type="dxa"/>
            <w:left w:w="108" w:type="dxa"/>
            <w:bottom w:w="0" w:type="dxa"/>
            <w:right w:w="108" w:type="dxa"/>
          </w:tblCellMar>
        </w:tblPrEx>
        <w:trPr>
          <w:trHeight w:val="229"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客户端支持多种操作系统类型</w:t>
            </w:r>
          </w:p>
        </w:tc>
        <w:tc>
          <w:tcPr>
            <w:tcW w:w="6311"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客户端要能够支持Windows Embedded POSReady 2009、Windows Embedded Enterprise（Windows 7、Vista 和 XP 版本）、Windows Server Core 2008。支持扩展对主流的智能终端设备的安全防护和管理，支持的智能终端类型包括但不限于：iOS 4.0＋、Android 2.1＋、Windows Mobile 5.0, 6.0~6.5、Symbian 和 RIM Blackberry；需要提供软件功能设置界面截图证明</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single" w:color="auto" w:sz="4" w:space="0"/>
              <w:left w:val="single" w:color="auto" w:sz="4"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tcBorders>
              <w:top w:val="single" w:color="auto" w:sz="4" w:space="0"/>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具备个人防火墙功能</w:t>
            </w:r>
          </w:p>
        </w:tc>
        <w:tc>
          <w:tcPr>
            <w:tcW w:w="6311" w:type="dxa"/>
            <w:tcBorders>
              <w:top w:val="single" w:color="auto" w:sz="4" w:space="0"/>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可对多种协议数据包进行阻挡，可对网络中异常浏览进行监控</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4"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客户端集成“病毒专杀”工具</w:t>
            </w: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不需要人工辅助，“病毒专杀”工具必须支持目前最流行的新型态病毒。管理控制台可以直接控制实现客户端恢复动作</w:t>
            </w:r>
          </w:p>
        </w:tc>
      </w:tr>
      <w:tr>
        <w:tblPrEx>
          <w:tblLayout w:type="fixed"/>
        </w:tblPrEx>
        <w:trPr>
          <w:trHeight w:val="20" w:hRule="atLeast"/>
        </w:trPr>
        <w:tc>
          <w:tcPr>
            <w:tcW w:w="699" w:type="dxa"/>
            <w:vMerge w:val="continue"/>
            <w:tcBorders>
              <w:top w:val="nil"/>
              <w:left w:val="single" w:color="auto" w:sz="4"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客户端对“预设扫描”的控制权限</w:t>
            </w: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比如延迟扫描、跳过扫描、停止扫描等</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4"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具备远程病毒集中清除功能</w:t>
            </w: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可对网络中感染病毒的计算机进行远程自动清除，无需知道计算机的物理位置，无需到客户端逐一清除病毒</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4"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智能型扫描机制</w:t>
            </w: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能够以文件真正格式作扫描，通过文件头的真实信息而不是简单的通过文件扩展名来识别文件的类型，以提高扫描效率</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4"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支持智能式的处理方式</w:t>
            </w: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根据不同的病毒类型，采取不同的处理策略</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4"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支持网络病毒识别码</w:t>
            </w: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网络病毒识别码与传统的病毒代码不同，网络病毒识别码能够识别网络病毒攻击行为。在客户端实现网络病毒的封包过滤</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4"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具备病毒源准确定位功能</w:t>
            </w: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具备病毒源准确定位功能，快速查获病毒</w:t>
            </w:r>
          </w:p>
        </w:tc>
      </w:tr>
      <w:tr>
        <w:tblPrEx>
          <w:tblLayout w:type="fixed"/>
        </w:tblPrEx>
        <w:trPr>
          <w:trHeight w:val="20" w:hRule="atLeast"/>
        </w:trPr>
        <w:tc>
          <w:tcPr>
            <w:tcW w:w="699" w:type="dxa"/>
            <w:vMerge w:val="continue"/>
            <w:tcBorders>
              <w:top w:val="nil"/>
              <w:left w:val="single" w:color="auto" w:sz="4"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多种方式部署客户端</w:t>
            </w: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必须支持WEB安装方式、SMS安装方式、MSI程序打包安装方式、共享安装等</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4"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提供密码保护功能</w:t>
            </w: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客户端产品防毒服务关闭和产品卸载均需提供密码保护功能，预防防毒系统漏洞的出现</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4"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tcBorders>
              <w:top w:val="nil"/>
              <w:left w:val="nil"/>
              <w:bottom w:val="single" w:color="auto" w:sz="4"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支持对客户端进行逻辑分组</w:t>
            </w: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对不同的客户端实行不同的防毒管理策略</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4" w:space="0"/>
              <w:bottom w:val="single" w:color="000000" w:sz="8" w:space="0"/>
              <w:right w:val="single" w:color="auto" w:sz="4" w:space="0"/>
            </w:tcBorders>
            <w:vAlign w:val="center"/>
          </w:tcPr>
          <w:p>
            <w:pPr>
              <w:widowControl/>
              <w:jc w:val="center"/>
              <w:rPr>
                <w:rFonts w:ascii="宋体" w:hAnsi="宋体" w:cs="宋体"/>
                <w:kern w:val="0"/>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具备数据资产控制</w:t>
            </w:r>
          </w:p>
        </w:tc>
        <w:tc>
          <w:tcPr>
            <w:tcW w:w="6311" w:type="dxa"/>
            <w:tcBorders>
              <w:top w:val="nil"/>
              <w:left w:val="single" w:color="auto" w:sz="4" w:space="0"/>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定义要保护的数据资产（正规表达式、关键字、文档属性）</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4" w:space="0"/>
              <w:bottom w:val="single" w:color="000000" w:sz="8" w:space="0"/>
              <w:right w:val="single" w:color="auto" w:sz="4" w:space="0"/>
            </w:tcBorders>
            <w:vAlign w:val="center"/>
          </w:tcPr>
          <w:p>
            <w:pPr>
              <w:widowControl/>
              <w:jc w:val="center"/>
              <w:rPr>
                <w:rFonts w:ascii="宋体" w:hAnsi="宋体" w:cs="宋体"/>
                <w:kern w:val="0"/>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both"/>
              <w:rPr>
                <w:rFonts w:ascii="宋体" w:hAnsi="宋体" w:cs="宋体"/>
                <w:kern w:val="0"/>
                <w:szCs w:val="21"/>
              </w:rPr>
            </w:pPr>
          </w:p>
        </w:tc>
        <w:tc>
          <w:tcPr>
            <w:tcW w:w="6311" w:type="dxa"/>
            <w:tcBorders>
              <w:top w:val="nil"/>
              <w:left w:val="single" w:color="auto" w:sz="4" w:space="0"/>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创建用于限制或机密阻止通过网络通道（Email、FTP、HTTP、HTTPS、IM、SMB、Webmail）以及系统通道（数据记录器、对等应用程序、PGP加密、打印机、可移动储存、同步软件、剪贴板）传输数据资产的策略</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4" w:space="0"/>
              <w:bottom w:val="single" w:color="000000" w:sz="8" w:space="0"/>
              <w:right w:val="single" w:color="auto" w:sz="4" w:space="0"/>
            </w:tcBorders>
            <w:vAlign w:val="center"/>
          </w:tcPr>
          <w:p>
            <w:pPr>
              <w:widowControl/>
              <w:jc w:val="center"/>
              <w:rPr>
                <w:rFonts w:ascii="宋体" w:hAnsi="宋体" w:cs="宋体"/>
                <w:kern w:val="0"/>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6311" w:type="dxa"/>
            <w:tcBorders>
              <w:top w:val="nil"/>
              <w:left w:val="single" w:color="auto" w:sz="4" w:space="0"/>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按照以建立的标准强制执行合规</w:t>
            </w:r>
          </w:p>
        </w:tc>
      </w:tr>
      <w:tr>
        <w:tblPrEx>
          <w:tblLayout w:type="fixed"/>
        </w:tblPrEx>
        <w:trPr>
          <w:trHeight w:val="20" w:hRule="atLeast"/>
        </w:trPr>
        <w:tc>
          <w:tcPr>
            <w:tcW w:w="699" w:type="dxa"/>
            <w:vMerge w:val="continue"/>
            <w:tcBorders>
              <w:top w:val="nil"/>
              <w:left w:val="single" w:color="auto" w:sz="4"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tcBorders>
              <w:top w:val="single" w:color="auto" w:sz="4" w:space="0"/>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支持制定化仪表盘</w:t>
            </w: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管理控制台具备集于小组件平台架构（Widget Framework）的定制化仪表盘，可让管理员弹性定制专属的管理介面，体现高效管控及提高可视性。</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4"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vMerge w:val="restart"/>
            <w:tcBorders>
              <w:top w:val="nil"/>
              <w:left w:val="single" w:color="auto" w:sz="8" w:space="0"/>
              <w:bottom w:val="single" w:color="000000"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APT防护</w:t>
            </w: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以云扫描服务企集成 C&amp;C 黑名单的通讯侦测与阻挡. 双名单源从智能防护云与本地沙箱 (TDA) 分析产生的黑名单.</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4"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vMerge w:val="continue"/>
            <w:tcBorders>
              <w:top w:val="nil"/>
              <w:left w:val="single" w:color="auto" w:sz="8" w:space="0"/>
              <w:bottom w:val="single" w:color="000000" w:sz="8" w:space="0"/>
              <w:right w:val="single" w:color="auto" w:sz="8" w:space="0"/>
            </w:tcBorders>
            <w:vAlign w:val="center"/>
          </w:tcPr>
          <w:p>
            <w:pPr>
              <w:widowControl/>
              <w:jc w:val="center"/>
              <w:rPr>
                <w:rFonts w:ascii="宋体" w:hAnsi="宋体" w:cs="宋体"/>
                <w:kern w:val="0"/>
                <w:szCs w:val="21"/>
              </w:rPr>
            </w:pP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以数据统计技术计算威胁普遍率, 侦测独一应用时 (高可能性是针对性攻击)实时通知用户.</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4"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管理架构可与中央控制台  集成</w:t>
            </w: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统一管理软件即服务的终端安全</w:t>
            </w:r>
          </w:p>
        </w:tc>
      </w:tr>
      <w:tr>
        <w:tblPrEx>
          <w:tblLayout w:type="fixed"/>
          <w:tblCellMar>
            <w:top w:w="0" w:type="dxa"/>
            <w:left w:w="108" w:type="dxa"/>
            <w:bottom w:w="0" w:type="dxa"/>
            <w:right w:w="108" w:type="dxa"/>
          </w:tblCellMar>
        </w:tblPrEx>
        <w:trPr>
          <w:trHeight w:val="20" w:hRule="atLeast"/>
        </w:trPr>
        <w:tc>
          <w:tcPr>
            <w:tcW w:w="699" w:type="dxa"/>
            <w:vMerge w:val="restart"/>
            <w:tcBorders>
              <w:top w:val="nil"/>
              <w:left w:val="single" w:color="auto" w:sz="8" w:space="0"/>
              <w:bottom w:val="single" w:color="000000"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部署与管理</w:t>
            </w:r>
          </w:p>
        </w:tc>
        <w:tc>
          <w:tcPr>
            <w:tcW w:w="1276"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硬件性能标示</w:t>
            </w: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 xml:space="preserve">硬件性能CPU,内存使用情况 </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8"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部署</w:t>
            </w: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支持虚拟机和物理机部署</w:t>
            </w:r>
          </w:p>
        </w:tc>
      </w:tr>
      <w:tr>
        <w:tblPrEx>
          <w:tblLayout w:type="fixed"/>
        </w:tblPrEx>
        <w:trPr>
          <w:trHeight w:val="20" w:hRule="atLeast"/>
        </w:trPr>
        <w:tc>
          <w:tcPr>
            <w:tcW w:w="699" w:type="dxa"/>
            <w:vMerge w:val="continue"/>
            <w:tcBorders>
              <w:top w:val="nil"/>
              <w:left w:val="single" w:color="auto" w:sz="8"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vMerge w:val="restart"/>
            <w:tcBorders>
              <w:top w:val="nil"/>
              <w:left w:val="single" w:color="auto" w:sz="8" w:space="0"/>
              <w:bottom w:val="single" w:color="000000"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管理</w:t>
            </w: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基于B/S的管理架构， Web界面支持 MS IE、Netscape、Firefox、Opera四大浏览器</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8"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vMerge w:val="continue"/>
            <w:tcBorders>
              <w:top w:val="nil"/>
              <w:left w:val="single" w:color="auto" w:sz="8" w:space="0"/>
              <w:bottom w:val="single" w:color="000000" w:sz="8" w:space="0"/>
              <w:right w:val="single" w:color="auto" w:sz="8" w:space="0"/>
            </w:tcBorders>
            <w:vAlign w:val="center"/>
          </w:tcPr>
          <w:p>
            <w:pPr>
              <w:widowControl/>
              <w:jc w:val="center"/>
              <w:rPr>
                <w:rFonts w:ascii="宋体" w:hAnsi="宋体" w:cs="宋体"/>
                <w:kern w:val="0"/>
                <w:szCs w:val="21"/>
              </w:rPr>
            </w:pP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提供CLI（命令行）配置模式</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8"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vMerge w:val="continue"/>
            <w:tcBorders>
              <w:top w:val="nil"/>
              <w:left w:val="single" w:color="auto" w:sz="8" w:space="0"/>
              <w:bottom w:val="single" w:color="000000" w:sz="8" w:space="0"/>
              <w:right w:val="single" w:color="auto" w:sz="8" w:space="0"/>
            </w:tcBorders>
            <w:vAlign w:val="center"/>
          </w:tcPr>
          <w:p>
            <w:pPr>
              <w:widowControl/>
              <w:jc w:val="center"/>
              <w:rPr>
                <w:rFonts w:ascii="宋体" w:hAnsi="宋体" w:cs="宋体"/>
                <w:kern w:val="0"/>
                <w:szCs w:val="21"/>
              </w:rPr>
            </w:pP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提供SSH远程调试模式</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8"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语言支持</w:t>
            </w: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支持中文与英文管理画面</w:t>
            </w:r>
          </w:p>
        </w:tc>
      </w:tr>
      <w:tr>
        <w:tblPrEx>
          <w:tblLayout w:type="fixed"/>
          <w:tblCellMar>
            <w:top w:w="0" w:type="dxa"/>
            <w:left w:w="108" w:type="dxa"/>
            <w:bottom w:w="0" w:type="dxa"/>
            <w:right w:w="108" w:type="dxa"/>
          </w:tblCellMar>
        </w:tblPrEx>
        <w:trPr>
          <w:trHeight w:val="20" w:hRule="atLeast"/>
        </w:trPr>
        <w:tc>
          <w:tcPr>
            <w:tcW w:w="699" w:type="dxa"/>
            <w:vMerge w:val="restart"/>
            <w:tcBorders>
              <w:top w:val="nil"/>
              <w:left w:val="single" w:color="auto" w:sz="8" w:space="0"/>
              <w:bottom w:val="single" w:color="000000"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升级</w:t>
            </w:r>
          </w:p>
        </w:tc>
        <w:tc>
          <w:tcPr>
            <w:tcW w:w="1276"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升级方式</w:t>
            </w: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支持实时在线升级、自动在线升级、手工升级多种升级方式</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8"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更新源</w:t>
            </w: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全球升级架构以及本地升级源的设计降低升级带宽使用</w:t>
            </w:r>
          </w:p>
        </w:tc>
      </w:tr>
      <w:tr>
        <w:tblPrEx>
          <w:tblLayout w:type="fixed"/>
        </w:tblPrEx>
        <w:trPr>
          <w:trHeight w:val="20" w:hRule="atLeast"/>
        </w:trPr>
        <w:tc>
          <w:tcPr>
            <w:tcW w:w="699" w:type="dxa"/>
            <w:tcBorders>
              <w:top w:val="nil"/>
              <w:left w:val="single" w:color="auto" w:sz="8" w:space="0"/>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设备本身安全</w:t>
            </w:r>
          </w:p>
        </w:tc>
        <w:tc>
          <w:tcPr>
            <w:tcW w:w="1276"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安全性</w:t>
            </w: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 xml:space="preserve">通过强加密的SSL安全通道进行通讯 </w:t>
            </w:r>
          </w:p>
        </w:tc>
      </w:tr>
      <w:tr>
        <w:tblPrEx>
          <w:tblLayout w:type="fixed"/>
          <w:tblCellMar>
            <w:top w:w="0" w:type="dxa"/>
            <w:left w:w="108" w:type="dxa"/>
            <w:bottom w:w="0" w:type="dxa"/>
            <w:right w:w="108" w:type="dxa"/>
          </w:tblCellMar>
        </w:tblPrEx>
        <w:trPr>
          <w:trHeight w:val="20" w:hRule="atLeast"/>
        </w:trPr>
        <w:tc>
          <w:tcPr>
            <w:tcW w:w="699" w:type="dxa"/>
            <w:vMerge w:val="restart"/>
            <w:tcBorders>
              <w:top w:val="nil"/>
              <w:left w:val="single" w:color="auto" w:sz="8" w:space="0"/>
              <w:bottom w:val="single" w:color="000000"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日志管理</w:t>
            </w:r>
          </w:p>
        </w:tc>
        <w:tc>
          <w:tcPr>
            <w:tcW w:w="1276" w:type="dxa"/>
            <w:vMerge w:val="restart"/>
            <w:tcBorders>
              <w:top w:val="nil"/>
              <w:left w:val="single" w:color="auto" w:sz="8" w:space="0"/>
              <w:bottom w:val="single" w:color="000000"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日志类型</w:t>
            </w:r>
          </w:p>
        </w:tc>
        <w:tc>
          <w:tcPr>
            <w:tcW w:w="6311" w:type="dxa"/>
            <w:tcBorders>
              <w:top w:val="nil"/>
              <w:left w:val="nil"/>
              <w:bottom w:val="nil"/>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支持SYSlog/SNMP 协议</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8"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vMerge w:val="continue"/>
            <w:tcBorders>
              <w:top w:val="nil"/>
              <w:left w:val="single" w:color="auto" w:sz="8" w:space="0"/>
              <w:bottom w:val="single" w:color="000000" w:sz="8" w:space="0"/>
              <w:right w:val="single" w:color="auto" w:sz="8" w:space="0"/>
            </w:tcBorders>
            <w:vAlign w:val="center"/>
          </w:tcPr>
          <w:p>
            <w:pPr>
              <w:widowControl/>
              <w:jc w:val="center"/>
              <w:rPr>
                <w:rFonts w:ascii="宋体" w:hAnsi="宋体" w:cs="宋体"/>
                <w:kern w:val="0"/>
                <w:szCs w:val="21"/>
              </w:rPr>
            </w:pPr>
          </w:p>
        </w:tc>
        <w:tc>
          <w:tcPr>
            <w:tcW w:w="6311" w:type="dxa"/>
            <w:tcBorders>
              <w:top w:val="nil"/>
              <w:left w:val="nil"/>
              <w:bottom w:val="nil"/>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系统日志</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8"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vMerge w:val="continue"/>
            <w:tcBorders>
              <w:top w:val="nil"/>
              <w:left w:val="single" w:color="auto" w:sz="8" w:space="0"/>
              <w:bottom w:val="single" w:color="000000" w:sz="8" w:space="0"/>
              <w:right w:val="single" w:color="auto" w:sz="8" w:space="0"/>
            </w:tcBorders>
            <w:vAlign w:val="center"/>
          </w:tcPr>
          <w:p>
            <w:pPr>
              <w:widowControl/>
              <w:jc w:val="center"/>
              <w:rPr>
                <w:rFonts w:ascii="宋体" w:hAnsi="宋体" w:cs="宋体"/>
                <w:kern w:val="0"/>
                <w:szCs w:val="21"/>
              </w:rPr>
            </w:pP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网络病毒日志</w:t>
            </w:r>
          </w:p>
        </w:tc>
      </w:tr>
      <w:tr>
        <w:tblPrEx>
          <w:tblLayout w:type="fixed"/>
          <w:tblCellMar>
            <w:top w:w="0" w:type="dxa"/>
            <w:left w:w="108" w:type="dxa"/>
            <w:bottom w:w="0" w:type="dxa"/>
            <w:right w:w="108" w:type="dxa"/>
          </w:tblCellMar>
        </w:tblPrEx>
        <w:trPr>
          <w:trHeight w:val="20" w:hRule="atLeast"/>
        </w:trPr>
        <w:tc>
          <w:tcPr>
            <w:tcW w:w="699" w:type="dxa"/>
            <w:vMerge w:val="restart"/>
            <w:tcBorders>
              <w:top w:val="nil"/>
              <w:left w:val="single" w:color="auto" w:sz="8" w:space="0"/>
              <w:bottom w:val="single" w:color="000000"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备份复原</w:t>
            </w:r>
          </w:p>
        </w:tc>
        <w:tc>
          <w:tcPr>
            <w:tcW w:w="1276"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备份</w:t>
            </w:r>
          </w:p>
        </w:tc>
        <w:tc>
          <w:tcPr>
            <w:tcW w:w="6311" w:type="dxa"/>
            <w:tcBorders>
              <w:top w:val="nil"/>
              <w:left w:val="nil"/>
              <w:bottom w:val="single" w:color="auto" w:sz="8"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系统提供备份功能与备份配置</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8" w:space="0"/>
              <w:bottom w:val="single" w:color="000000" w:sz="8" w:space="0"/>
              <w:right w:val="single" w:color="auto" w:sz="8" w:space="0"/>
            </w:tcBorders>
            <w:vAlign w:val="center"/>
          </w:tcPr>
          <w:p>
            <w:pPr>
              <w:widowControl/>
              <w:jc w:val="center"/>
              <w:rPr>
                <w:rFonts w:ascii="宋体" w:hAnsi="宋体" w:cs="宋体"/>
                <w:kern w:val="0"/>
                <w:szCs w:val="21"/>
              </w:rPr>
            </w:pPr>
          </w:p>
        </w:tc>
        <w:tc>
          <w:tcPr>
            <w:tcW w:w="1276" w:type="dxa"/>
            <w:tcBorders>
              <w:top w:val="nil"/>
              <w:left w:val="nil"/>
              <w:bottom w:val="single" w:color="auto" w:sz="4"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复原</w:t>
            </w:r>
          </w:p>
        </w:tc>
        <w:tc>
          <w:tcPr>
            <w:tcW w:w="6311" w:type="dxa"/>
            <w:tcBorders>
              <w:top w:val="nil"/>
              <w:left w:val="nil"/>
              <w:bottom w:val="single" w:color="auto" w:sz="4" w:space="0"/>
              <w:right w:val="single" w:color="auto" w:sz="8" w:space="0"/>
            </w:tcBorders>
            <w:vAlign w:val="center"/>
          </w:tcPr>
          <w:p>
            <w:pPr>
              <w:widowControl/>
              <w:rPr>
                <w:rFonts w:ascii="宋体" w:hAnsi="宋体" w:cs="宋体"/>
                <w:kern w:val="0"/>
                <w:szCs w:val="21"/>
              </w:rPr>
            </w:pPr>
            <w:r>
              <w:rPr>
                <w:rFonts w:hint="eastAsia" w:ascii="宋体" w:hAnsi="宋体" w:cs="宋体"/>
                <w:kern w:val="0"/>
                <w:szCs w:val="21"/>
              </w:rPr>
              <w:t>产品包装包含救援U盘,快速回复系统</w:t>
            </w:r>
          </w:p>
        </w:tc>
      </w:tr>
      <w:tr>
        <w:tblPrEx>
          <w:tblLayout w:type="fixed"/>
        </w:tblPrEx>
        <w:trPr>
          <w:trHeight w:val="20" w:hRule="atLeast"/>
        </w:trPr>
        <w:tc>
          <w:tcPr>
            <w:tcW w:w="699" w:type="dxa"/>
            <w:vMerge w:val="restart"/>
            <w:tcBorders>
              <w:top w:val="nil"/>
              <w:left w:val="single" w:color="auto" w:sz="8" w:space="0"/>
              <w:bottom w:val="single" w:color="000000" w:sz="8"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厂商增强资质</w:t>
            </w:r>
          </w:p>
        </w:tc>
        <w:tc>
          <w:tcPr>
            <w:tcW w:w="7587"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产品获国家公安部销售许可证。(提供证明材料)</w:t>
            </w:r>
          </w:p>
        </w:tc>
      </w:tr>
      <w:tr>
        <w:tblPrEx>
          <w:tblLayout w:type="fixed"/>
          <w:tblCellMar>
            <w:top w:w="0" w:type="dxa"/>
            <w:left w:w="108" w:type="dxa"/>
            <w:bottom w:w="0" w:type="dxa"/>
            <w:right w:w="108" w:type="dxa"/>
          </w:tblCellMar>
        </w:tblPrEx>
        <w:trPr>
          <w:trHeight w:val="20" w:hRule="atLeast"/>
        </w:trPr>
        <w:tc>
          <w:tcPr>
            <w:tcW w:w="699" w:type="dxa"/>
            <w:vMerge w:val="continue"/>
            <w:tcBorders>
              <w:top w:val="nil"/>
              <w:left w:val="single" w:color="auto" w:sz="8" w:space="0"/>
              <w:bottom w:val="single" w:color="000000" w:sz="8" w:space="0"/>
              <w:right w:val="single" w:color="auto" w:sz="4" w:space="0"/>
            </w:tcBorders>
            <w:vAlign w:val="center"/>
          </w:tcPr>
          <w:p>
            <w:pPr>
              <w:widowControl/>
              <w:jc w:val="center"/>
              <w:rPr>
                <w:rFonts w:ascii="宋体" w:hAnsi="宋体" w:cs="宋体"/>
                <w:kern w:val="0"/>
                <w:szCs w:val="21"/>
              </w:rPr>
            </w:pPr>
          </w:p>
        </w:tc>
        <w:tc>
          <w:tcPr>
            <w:tcW w:w="7587"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所有产品必须是自主开发，拥有自主知识产权。(提供证明材料)</w:t>
            </w:r>
          </w:p>
        </w:tc>
      </w:tr>
    </w:tbl>
    <w:p>
      <w:pPr>
        <w:widowControl/>
        <w:jc w:val="left"/>
      </w:pPr>
    </w:p>
    <w:p>
      <w:pPr>
        <w:pStyle w:val="4"/>
        <w:tabs>
          <w:tab w:val="left" w:pos="432"/>
        </w:tabs>
        <w:rPr>
          <w:sz w:val="24"/>
          <w:szCs w:val="24"/>
        </w:rPr>
      </w:pPr>
      <w:r>
        <w:rPr>
          <w:rFonts w:hint="eastAsia"/>
          <w:sz w:val="24"/>
          <w:szCs w:val="24"/>
        </w:rPr>
        <w:t>7.3.20 日志审计系统</w:t>
      </w:r>
    </w:p>
    <w:tbl>
      <w:tblPr>
        <w:tblStyle w:val="35"/>
        <w:tblW w:w="8296" w:type="dxa"/>
        <w:tblInd w:w="0" w:type="dxa"/>
        <w:tblLayout w:type="fixed"/>
        <w:tblCellMar>
          <w:top w:w="0" w:type="dxa"/>
          <w:left w:w="108" w:type="dxa"/>
          <w:bottom w:w="0" w:type="dxa"/>
          <w:right w:w="108" w:type="dxa"/>
        </w:tblCellMar>
      </w:tblPr>
      <w:tblGrid>
        <w:gridCol w:w="1696"/>
        <w:gridCol w:w="6600"/>
      </w:tblGrid>
      <w:tr>
        <w:tblPrEx>
          <w:tblLayout w:type="fixed"/>
          <w:tblCellMar>
            <w:top w:w="0" w:type="dxa"/>
            <w:left w:w="108" w:type="dxa"/>
            <w:bottom w:w="0" w:type="dxa"/>
            <w:right w:w="108" w:type="dxa"/>
          </w:tblCellMar>
        </w:tblPrEx>
        <w:trPr>
          <w:trHeight w:val="20" w:hRule="atLeast"/>
        </w:trPr>
        <w:tc>
          <w:tcPr>
            <w:tcW w:w="1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技术指标</w:t>
            </w:r>
          </w:p>
        </w:tc>
        <w:tc>
          <w:tcPr>
            <w:tcW w:w="660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技术指标要求</w:t>
            </w:r>
          </w:p>
        </w:tc>
      </w:tr>
      <w:tr>
        <w:tblPrEx>
          <w:tblLayout w:type="fixed"/>
          <w:tblCellMar>
            <w:top w:w="0" w:type="dxa"/>
            <w:left w:w="108" w:type="dxa"/>
            <w:bottom w:w="0" w:type="dxa"/>
            <w:right w:w="108" w:type="dxa"/>
          </w:tblCellMar>
        </w:tblPrEx>
        <w:trPr>
          <w:trHeight w:val="20" w:hRule="atLeast"/>
        </w:trPr>
        <w:tc>
          <w:tcPr>
            <w:tcW w:w="169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产品资质</w:t>
            </w: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通过公安部检测并获得公安部计算机信息系统安全专用产品销售许可证</w:t>
            </w:r>
          </w:p>
        </w:tc>
      </w:tr>
      <w:tr>
        <w:tblPrEx>
          <w:tblLayout w:type="fixed"/>
          <w:tblCellMar>
            <w:top w:w="0" w:type="dxa"/>
            <w:left w:w="108" w:type="dxa"/>
            <w:bottom w:w="0" w:type="dxa"/>
            <w:right w:w="108" w:type="dxa"/>
          </w:tblCellMar>
        </w:tblPrEx>
        <w:trPr>
          <w:trHeight w:val="20" w:hRule="atLeast"/>
        </w:trPr>
        <w:tc>
          <w:tcPr>
            <w:tcW w:w="169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工作模式</w:t>
            </w: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独立完成审计日志采集，不依赖于设备或系统自身的日志系统；</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审计工作不影响被审计对象的性能、稳定性或日常管理流程；</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审计结果存储于独立存储空间；</w:t>
            </w:r>
          </w:p>
        </w:tc>
      </w:tr>
      <w:tr>
        <w:tblPrEx>
          <w:tblLayout w:type="fixed"/>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自身用户管理与设备或主机的管理、使用、权限无关联；</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提供全中文WEB管理界面，无需安装任意客户端软件或插件</w:t>
            </w:r>
          </w:p>
        </w:tc>
      </w:tr>
      <w:tr>
        <w:tblPrEx>
          <w:tblLayout w:type="fixed"/>
          <w:tblCellMar>
            <w:top w:w="0" w:type="dxa"/>
            <w:left w:w="108" w:type="dxa"/>
            <w:bottom w:w="0" w:type="dxa"/>
            <w:right w:w="108" w:type="dxa"/>
          </w:tblCellMar>
        </w:tblPrEx>
        <w:trPr>
          <w:trHeight w:val="20" w:hRule="atLeast"/>
        </w:trPr>
        <w:tc>
          <w:tcPr>
            <w:tcW w:w="169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硬件规格</w:t>
            </w: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机架式设备，交流供电</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4个工作口，2个管理口</w:t>
            </w:r>
          </w:p>
        </w:tc>
      </w:tr>
      <w:tr>
        <w:tblPrEx>
          <w:tblLayout w:type="fixed"/>
          <w:tblCellMar>
            <w:top w:w="0" w:type="dxa"/>
            <w:left w:w="108" w:type="dxa"/>
            <w:bottom w:w="0" w:type="dxa"/>
            <w:right w:w="108" w:type="dxa"/>
          </w:tblCellMar>
        </w:tblPrEx>
        <w:trPr>
          <w:trHeight w:val="20" w:hRule="atLeast"/>
        </w:trPr>
        <w:tc>
          <w:tcPr>
            <w:tcW w:w="169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处理性能</w:t>
            </w: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支持审计100个日志源； </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平均处理能力（每秒日志解析能力EPS）：4000EPS；</w:t>
            </w:r>
          </w:p>
        </w:tc>
      </w:tr>
      <w:tr>
        <w:tblPrEx>
          <w:tblLayout w:type="fixed"/>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峰值处理能力（每秒日志解析能力EPS）：5000EPS。</w:t>
            </w:r>
          </w:p>
        </w:tc>
      </w:tr>
      <w:tr>
        <w:tblPrEx>
          <w:tblLayout w:type="fixed"/>
          <w:tblCellMar>
            <w:top w:w="0" w:type="dxa"/>
            <w:left w:w="108" w:type="dxa"/>
            <w:bottom w:w="0" w:type="dxa"/>
            <w:right w:w="108" w:type="dxa"/>
          </w:tblCellMar>
        </w:tblPrEx>
        <w:trPr>
          <w:trHeight w:val="20" w:hRule="atLeast"/>
        </w:trPr>
        <w:tc>
          <w:tcPr>
            <w:tcW w:w="169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功能扩展</w:t>
            </w: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采用解决方案包上传对产品进行功能扩展，无需要代码开发。</w:t>
            </w:r>
          </w:p>
        </w:tc>
      </w:tr>
      <w:tr>
        <w:tblPrEx>
          <w:tblLayout w:type="fixed"/>
          <w:tblCellMar>
            <w:top w:w="0" w:type="dxa"/>
            <w:left w:w="108" w:type="dxa"/>
            <w:bottom w:w="0" w:type="dxa"/>
            <w:right w:w="108" w:type="dxa"/>
          </w:tblCellMar>
        </w:tblPrEx>
        <w:trPr>
          <w:trHeight w:val="20" w:hRule="atLeast"/>
        </w:trPr>
        <w:tc>
          <w:tcPr>
            <w:tcW w:w="169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日志收集</w:t>
            </w: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支持Syslog、SNMP Trap、OPSec、FTP协议日志收集</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支持使用代理(Agent)方式提取日志并收集；</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支持目前主流的网络安全设备、交换设备、路由设备、操作系统、应用系统等；</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pStyle w:val="9"/>
              <w:rPr>
                <w:rFonts w:ascii="宋体" w:hAnsi="宋体" w:cs="宋体"/>
                <w:kern w:val="0"/>
                <w:szCs w:val="21"/>
              </w:rPr>
            </w:pPr>
            <w:r>
              <w:rPr>
                <w:rFonts w:hint="eastAsia"/>
              </w:rPr>
              <w:t>设备厂家包括但不限于本次投标产品厂家。</w:t>
            </w:r>
          </w:p>
        </w:tc>
      </w:tr>
      <w:tr>
        <w:tblPrEx>
          <w:tblLayout w:type="fixed"/>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支持常见的虚拟机环境日志收集，包括Xen、VMWare、Hyper-V等</w:t>
            </w:r>
          </w:p>
        </w:tc>
      </w:tr>
      <w:tr>
        <w:tblPrEx>
          <w:tblLayout w:type="fixed"/>
          <w:tblCellMar>
            <w:top w:w="0" w:type="dxa"/>
            <w:left w:w="108" w:type="dxa"/>
            <w:bottom w:w="0" w:type="dxa"/>
            <w:right w:w="108" w:type="dxa"/>
          </w:tblCellMar>
        </w:tblPrEx>
        <w:trPr>
          <w:trHeight w:val="20" w:hRule="atLeast"/>
        </w:trPr>
        <w:tc>
          <w:tcPr>
            <w:tcW w:w="169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日志分析</w:t>
            </w: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可以以日志等级进行过滤；</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应该可以通过自定义配置将用户不关心的日志过滤掉；</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支持对收集到的重复的日志进行自动的聚合归并，减少日志量；</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支持可由用户定义和修改的日志的聚合归并逻辑规则;</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支持将收集到的日志转发，当原始日志设备无法设置多个日志服务器时，可以通过本系统的日志转发功能将日志转发到其他日志存储设备；</w:t>
            </w:r>
          </w:p>
        </w:tc>
      </w:tr>
      <w:tr>
        <w:tblPrEx>
          <w:tblLayout w:type="fixed"/>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支持对收集到的日志进行解析（标准化、归一化），解析规则可以根据客户要求定制扩展。</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可对日志进行细粒度解析，解析后的日志根据具体日志包含但不限于：日期、发生时间、接收时间、设备类型、日志类型、日志来源、威胁值、源地址、目的地址、事件类型、时间范围、操作主体、操作对象、行为方式、技术动作、技术效果、攻击类型、特征类型、协议、地理信息（公网情况）</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支持基于内存的实时关联分析，跨设备的多事件关联分析；</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支持自定义条件都事件进行聚合；</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进行关联分析的规则可定制；</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关联分析功能:系统须具备一个安全知识库和包含资产信息的弱点库，当接收到指定资产并且匹配到弱点库中指定漏洞的攻击时，须触发与安全知识库、弱点库的关联，新增新的事件，并且提高威胁等级。需提供第三方权威测评机构。</w:t>
            </w:r>
          </w:p>
        </w:tc>
      </w:tr>
      <w:tr>
        <w:tblPrEx>
          <w:tblLayout w:type="fixed"/>
        </w:tblPrEx>
        <w:trPr>
          <w:trHeight w:val="20" w:hRule="atLeast"/>
        </w:trPr>
        <w:tc>
          <w:tcPr>
            <w:tcW w:w="169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日志备份</w:t>
            </w: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可设置日志存储备份策略。包括系统日志保存期（天）、磁盘使用率百分比；</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支持日志备份自动传送到远程服务器；</w:t>
            </w:r>
          </w:p>
        </w:tc>
      </w:tr>
      <w:tr>
        <w:tblPrEx>
          <w:tblLayout w:type="fixed"/>
          <w:tblCellMar>
            <w:top w:w="0" w:type="dxa"/>
            <w:left w:w="108" w:type="dxa"/>
            <w:bottom w:w="0" w:type="dxa"/>
            <w:right w:w="108" w:type="dxa"/>
          </w:tblCellMar>
        </w:tblPrEx>
        <w:trPr>
          <w:trHeight w:val="20" w:hRule="atLeast"/>
        </w:trPr>
        <w:tc>
          <w:tcPr>
            <w:tcW w:w="169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日志查询</w:t>
            </w: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支持B/S模式管理，支持SSL加密模式访问；</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支持按日期、时间、设备类型、日志类型、日志来源、威胁值、源地址、目的地址、事件类型、时间范围、操作对象、技术方式、技术动作、技术效果、攻击类型、地理城市等参数进行过滤查询；</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支持用任意关键字对所有事件进行高性能全文检索</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支持可指定多个查询条件进行组合查询</w:t>
            </w:r>
          </w:p>
        </w:tc>
      </w:tr>
      <w:tr>
        <w:tblPrEx>
          <w:tblLayout w:type="fixed"/>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支持将查询的条件存储为查询模版，方便再次使用</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极高的日志高查询性能，支持亿级的日志里根据做任意的关键字及其它的检索条件，在秒级里返回查询结果。</w:t>
            </w:r>
          </w:p>
        </w:tc>
      </w:tr>
      <w:tr>
        <w:tblPrEx>
          <w:tblLayout w:type="fixed"/>
          <w:tblCellMar>
            <w:top w:w="0" w:type="dxa"/>
            <w:left w:w="108" w:type="dxa"/>
            <w:bottom w:w="0" w:type="dxa"/>
            <w:right w:w="108" w:type="dxa"/>
          </w:tblCellMar>
        </w:tblPrEx>
        <w:trPr>
          <w:trHeight w:val="20" w:hRule="atLeast"/>
        </w:trPr>
        <w:tc>
          <w:tcPr>
            <w:tcW w:w="169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应用性能监控</w:t>
            </w: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性能监控：通过在目标主机上安装agent程序，支持监控目标主机的CPU利用率、内存使用率、磁盘使用情况、流量等信息，并支持设置报警阈值。</w:t>
            </w:r>
          </w:p>
        </w:tc>
      </w:tr>
      <w:tr>
        <w:tblPrEx>
          <w:tblLayout w:type="fixed"/>
          <w:tblCellMar>
            <w:top w:w="0" w:type="dxa"/>
            <w:left w:w="108" w:type="dxa"/>
            <w:bottom w:w="0" w:type="dxa"/>
            <w:right w:w="108" w:type="dxa"/>
          </w:tblCellMar>
        </w:tblPrEx>
        <w:trPr>
          <w:trHeight w:val="20" w:hRule="atLeast"/>
        </w:trPr>
        <w:tc>
          <w:tcPr>
            <w:tcW w:w="1696" w:type="dxa"/>
            <w:vMerge w:val="restart"/>
            <w:tcBorders>
              <w:top w:val="nil"/>
              <w:left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（APM）</w:t>
            </w: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支持如下应用的性能监控（Windows、Linux、Aix、FeeBSD、HP-UX/Tru64、Max OS、Sun Solaris）、数据库（mysql、oracle）、应用服务器（weblogic、tomcat）、web服务器（apache）。</w:t>
            </w:r>
          </w:p>
        </w:tc>
      </w:tr>
      <w:tr>
        <w:tblPrEx>
          <w:tblLayout w:type="fixed"/>
          <w:tblCellMar>
            <w:top w:w="0" w:type="dxa"/>
            <w:left w:w="108" w:type="dxa"/>
            <w:bottom w:w="0" w:type="dxa"/>
            <w:right w:w="108" w:type="dxa"/>
          </w:tblCellMar>
        </w:tblPrEx>
        <w:trPr>
          <w:trHeight w:val="20" w:hRule="atLeast"/>
        </w:trPr>
        <w:tc>
          <w:tcPr>
            <w:tcW w:w="1696" w:type="dxa"/>
            <w:vMerge w:val="continue"/>
            <w:tcBorders>
              <w:left w:val="single" w:color="auto" w:sz="4" w:space="0"/>
              <w:right w:val="single" w:color="auto" w:sz="4" w:space="0"/>
            </w:tcBorders>
          </w:tcPr>
          <w:p>
            <w:pPr>
              <w:jc w:val="center"/>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支持应用性能历史详情回溯查看</w:t>
            </w:r>
          </w:p>
        </w:tc>
      </w:tr>
      <w:tr>
        <w:tblPrEx>
          <w:tblLayout w:type="fixed"/>
          <w:tblCellMar>
            <w:top w:w="0" w:type="dxa"/>
            <w:left w:w="108" w:type="dxa"/>
            <w:bottom w:w="0" w:type="dxa"/>
            <w:right w:w="108" w:type="dxa"/>
          </w:tblCellMar>
        </w:tblPrEx>
        <w:trPr>
          <w:trHeight w:val="20" w:hRule="atLeast"/>
        </w:trPr>
        <w:tc>
          <w:tcPr>
            <w:tcW w:w="1696" w:type="dxa"/>
            <w:vMerge w:val="continue"/>
            <w:tcBorders>
              <w:left w:val="single" w:color="auto" w:sz="4" w:space="0"/>
              <w:right w:val="single" w:color="auto" w:sz="4" w:space="0"/>
            </w:tcBorders>
          </w:tcPr>
          <w:p>
            <w:pPr>
              <w:jc w:val="center"/>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支持如下性能监控参数</w:t>
            </w:r>
          </w:p>
        </w:tc>
      </w:tr>
      <w:tr>
        <w:tblPrEx>
          <w:tblLayout w:type="fixed"/>
        </w:tblPrEx>
        <w:trPr>
          <w:trHeight w:val="20" w:hRule="atLeast"/>
        </w:trPr>
        <w:tc>
          <w:tcPr>
            <w:tcW w:w="1696" w:type="dxa"/>
            <w:vMerge w:val="continue"/>
            <w:tcBorders>
              <w:left w:val="single" w:color="auto" w:sz="4" w:space="0"/>
              <w:right w:val="single" w:color="auto" w:sz="4" w:space="0"/>
            </w:tcBorders>
          </w:tcPr>
          <w:p>
            <w:pPr>
              <w:jc w:val="center"/>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支持监控Windows操作系统如下参数：cpu使用率、内存使用率、磁盘使用率、网络发送流量、网络接收流量、网络发送接收总流量、交换区使用率、磁盘总使用率、进程数、线程数；</w:t>
            </w:r>
          </w:p>
        </w:tc>
      </w:tr>
      <w:tr>
        <w:tblPrEx>
          <w:tblLayout w:type="fixed"/>
          <w:tblCellMar>
            <w:top w:w="0" w:type="dxa"/>
            <w:left w:w="108" w:type="dxa"/>
            <w:bottom w:w="0" w:type="dxa"/>
            <w:right w:w="108" w:type="dxa"/>
          </w:tblCellMar>
        </w:tblPrEx>
        <w:trPr>
          <w:trHeight w:val="20" w:hRule="atLeast"/>
        </w:trPr>
        <w:tc>
          <w:tcPr>
            <w:tcW w:w="1696" w:type="dxa"/>
            <w:vMerge w:val="continue"/>
            <w:tcBorders>
              <w:left w:val="single" w:color="auto" w:sz="4" w:space="0"/>
              <w:right w:val="single" w:color="auto" w:sz="4" w:space="0"/>
            </w:tcBorders>
          </w:tcPr>
          <w:p>
            <w:pPr>
              <w:jc w:val="center"/>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监控Linux操作系统如下参数：一分钟系统负载、5分钟系统负载、15分钟系统负载、cpu使用率、内存使用率、磁盘使用率、网络发送流量、网络接收流量、网络发送接收总流量、交换区使用率、磁盘总使用率、进程数、线程数</w:t>
            </w:r>
          </w:p>
        </w:tc>
      </w:tr>
      <w:tr>
        <w:tblPrEx>
          <w:tblLayout w:type="fixed"/>
          <w:tblCellMar>
            <w:top w:w="0" w:type="dxa"/>
            <w:left w:w="108" w:type="dxa"/>
            <w:bottom w:w="0" w:type="dxa"/>
            <w:right w:w="108" w:type="dxa"/>
          </w:tblCellMar>
        </w:tblPrEx>
        <w:trPr>
          <w:trHeight w:val="20" w:hRule="atLeast"/>
        </w:trPr>
        <w:tc>
          <w:tcPr>
            <w:tcW w:w="1696" w:type="dxa"/>
            <w:vMerge w:val="continue"/>
            <w:tcBorders>
              <w:left w:val="single" w:color="auto" w:sz="4" w:space="0"/>
              <w:right w:val="single" w:color="auto" w:sz="4" w:space="0"/>
            </w:tcBorders>
          </w:tcPr>
          <w:p>
            <w:pPr>
              <w:jc w:val="center"/>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支持监控Mysql如下参数：查询缓存命中率、键缓存命中率、立即获得锁数、连接数、线程数、每秒SQL查询数、每秒发送字节、每秒接收字节；</w:t>
            </w:r>
          </w:p>
        </w:tc>
      </w:tr>
      <w:tr>
        <w:tblPrEx>
          <w:tblLayout w:type="fixed"/>
          <w:tblCellMar>
            <w:top w:w="0" w:type="dxa"/>
            <w:left w:w="108" w:type="dxa"/>
            <w:bottom w:w="0" w:type="dxa"/>
            <w:right w:w="108" w:type="dxa"/>
          </w:tblCellMar>
        </w:tblPrEx>
        <w:trPr>
          <w:trHeight w:val="20" w:hRule="atLeast"/>
        </w:trPr>
        <w:tc>
          <w:tcPr>
            <w:tcW w:w="1696" w:type="dxa"/>
            <w:vMerge w:val="continue"/>
            <w:tcBorders>
              <w:left w:val="single" w:color="auto" w:sz="4" w:space="0"/>
              <w:right w:val="single" w:color="auto" w:sz="4" w:space="0"/>
            </w:tcBorders>
          </w:tcPr>
          <w:p>
            <w:pPr>
              <w:jc w:val="center"/>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支持监控Oracle如下参数：库缓存命中率、内存排序比率、词典缓存命中率、SGA数据缓存命中率、重做日志缓存命中率；</w:t>
            </w:r>
          </w:p>
        </w:tc>
      </w:tr>
      <w:tr>
        <w:tblPrEx>
          <w:tblLayout w:type="fixed"/>
          <w:tblCellMar>
            <w:top w:w="0" w:type="dxa"/>
            <w:left w:w="108" w:type="dxa"/>
            <w:bottom w:w="0" w:type="dxa"/>
            <w:right w:w="108" w:type="dxa"/>
          </w:tblCellMar>
        </w:tblPrEx>
        <w:trPr>
          <w:trHeight w:val="20" w:hRule="atLeast"/>
        </w:trPr>
        <w:tc>
          <w:tcPr>
            <w:tcW w:w="1696" w:type="dxa"/>
            <w:vMerge w:val="continue"/>
            <w:tcBorders>
              <w:left w:val="single" w:color="auto" w:sz="4" w:space="0"/>
              <w:right w:val="single" w:color="auto" w:sz="4" w:space="0"/>
            </w:tcBorders>
          </w:tcPr>
          <w:p>
            <w:pPr>
              <w:jc w:val="center"/>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监控Apache如下参数：总访问数、写日志次数、每秒发送字节数、长连接数、关闭连接数、空闲活动数、查询DNS数、正在发送数、请求完成数、负载、等待连接数、总数据量、读操作数、工作线程数、空闲线程数、CPU占用率</w:t>
            </w:r>
          </w:p>
        </w:tc>
      </w:tr>
      <w:tr>
        <w:tblPrEx>
          <w:tblLayout w:type="fixed"/>
          <w:tblCellMar>
            <w:top w:w="0" w:type="dxa"/>
            <w:left w:w="108" w:type="dxa"/>
            <w:bottom w:w="0" w:type="dxa"/>
            <w:right w:w="108" w:type="dxa"/>
          </w:tblCellMar>
        </w:tblPrEx>
        <w:trPr>
          <w:trHeight w:val="20" w:hRule="atLeast"/>
        </w:trPr>
        <w:tc>
          <w:tcPr>
            <w:tcW w:w="1696" w:type="dxa"/>
            <w:vMerge w:val="continue"/>
            <w:tcBorders>
              <w:left w:val="single" w:color="auto" w:sz="4" w:space="0"/>
              <w:bottom w:val="single" w:color="auto" w:sz="4" w:space="0"/>
              <w:right w:val="single" w:color="auto" w:sz="4" w:space="0"/>
            </w:tcBorders>
          </w:tcPr>
          <w:p>
            <w:pPr>
              <w:widowControl/>
              <w:jc w:val="center"/>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支持监控应用服务器（tomcat、weblogic）如下参数：活动线程数、堆内存（已用）、守护线程数；</w:t>
            </w:r>
          </w:p>
        </w:tc>
      </w:tr>
      <w:tr>
        <w:tblPrEx>
          <w:tblLayout w:type="fixed"/>
        </w:tblPrEx>
        <w:trPr>
          <w:trHeight w:val="20" w:hRule="atLeast"/>
        </w:trPr>
        <w:tc>
          <w:tcPr>
            <w:tcW w:w="169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脆弱性管理</w:t>
            </w: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弱点管理：支持导入主流扫描器的扫描报告，可进行统一检索，并支持计算威胁等级。</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内置73000+条CVE漏洞数据知识库</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内置数十项符合OWASP的Web漏洞数据知识库</w:t>
            </w:r>
          </w:p>
        </w:tc>
      </w:tr>
      <w:tr>
        <w:tblPrEx>
          <w:tblLayout w:type="fixed"/>
          <w:tblCellMar>
            <w:top w:w="0" w:type="dxa"/>
            <w:left w:w="108" w:type="dxa"/>
            <w:bottom w:w="0" w:type="dxa"/>
            <w:right w:w="108" w:type="dxa"/>
          </w:tblCellMar>
        </w:tblPrEx>
        <w:trPr>
          <w:trHeight w:val="20" w:hRule="atLeast"/>
        </w:trPr>
        <w:tc>
          <w:tcPr>
            <w:tcW w:w="169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地理安全系统</w:t>
            </w: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内置GeoSec地理安全子系统，内置世界以及中国安全GIS地图</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支持用地理地图展示来源威胁的趋势</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支持用地理地图展示目的威胁的趋势</w:t>
            </w:r>
          </w:p>
        </w:tc>
      </w:tr>
      <w:tr>
        <w:tblPrEx>
          <w:tblLayout w:type="fixed"/>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支持在地理地图上标注威胁事件的发生分布</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内置IP地址到经纬度的转换库</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支持以地理信息类进行统计的数据报表</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支持切换Google地图（需要连通互联网）</w:t>
            </w:r>
          </w:p>
        </w:tc>
      </w:tr>
      <w:tr>
        <w:tblPrEx>
          <w:tblLayout w:type="fixed"/>
          <w:tblCellMar>
            <w:top w:w="0" w:type="dxa"/>
            <w:left w:w="108" w:type="dxa"/>
            <w:bottom w:w="0" w:type="dxa"/>
            <w:right w:w="108" w:type="dxa"/>
          </w:tblCellMar>
        </w:tblPrEx>
        <w:trPr>
          <w:trHeight w:val="20" w:hRule="atLeast"/>
        </w:trPr>
        <w:tc>
          <w:tcPr>
            <w:tcW w:w="169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告警功能</w:t>
            </w: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可预设置安全告警策略；</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支持数据阀值设置，超过阀值将产生告警;</w:t>
            </w:r>
          </w:p>
        </w:tc>
      </w:tr>
      <w:tr>
        <w:tblPrEx>
          <w:tblLayout w:type="fixed"/>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可以通过邮件、短信和屏幕显示进行告警；</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支持自动防止报警信息在短时间内大量发送(告警抑制)；</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具备报警合并和在一个时间段内抑制报警次数的能力。</w:t>
            </w:r>
          </w:p>
        </w:tc>
      </w:tr>
      <w:tr>
        <w:tblPrEx>
          <w:tblLayout w:type="fixed"/>
          <w:tblCellMar>
            <w:top w:w="0" w:type="dxa"/>
            <w:left w:w="108" w:type="dxa"/>
            <w:bottom w:w="0" w:type="dxa"/>
            <w:right w:w="108" w:type="dxa"/>
          </w:tblCellMar>
        </w:tblPrEx>
        <w:trPr>
          <w:trHeight w:val="20" w:hRule="atLeast"/>
        </w:trPr>
        <w:tc>
          <w:tcPr>
            <w:tcW w:w="169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综合查询及报表管理</w:t>
            </w: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内置合规性报表1000+种；</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内置SOX、ISO27001、WEB安全等解决方案包</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内置完善的等级保护合规报表</w:t>
            </w:r>
          </w:p>
        </w:tc>
      </w:tr>
      <w:tr>
        <w:tblPrEx>
          <w:tblLayout w:type="fixed"/>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内置综合性自动化审计报告</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支持用户自定义报表；</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自定义的报表支持多个统计维度的数据集合。</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数据报表支持数据趋势预测功能，根据历史规律数据对未来数据的发展趋势进行预测</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报表支持详单数据钻取</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支持报表导出为PDF和Word格式文件。</w:t>
            </w:r>
          </w:p>
        </w:tc>
      </w:tr>
      <w:tr>
        <w:tblPrEx>
          <w:tblLayout w:type="fixed"/>
        </w:tblPrEx>
        <w:trPr>
          <w:trHeight w:val="20" w:hRule="atLeast"/>
        </w:trPr>
        <w:tc>
          <w:tcPr>
            <w:tcW w:w="169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用户管理</w:t>
            </w: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根据三权分立的原则和要求进行职、权分离，对系统本身进行分角色定义，如管理员只负责完成设备的初始配置，规则配置员只负责审计规则的建立，审计员只负责查看相关的审计结果及告警内容；日志员只负责完成对系统本身的用户操作日志管理。</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系统自带自身管理日志</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注册用户资产时，提供自动发现识别能力。</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提供一键式故障排除功能。</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提供自助式的升级接口，支持对产品升级、规则升级。</w:t>
            </w:r>
          </w:p>
        </w:tc>
      </w:tr>
      <w:tr>
        <w:tblPrEx>
          <w:tblLayout w:type="fixed"/>
          <w:tblCellMar>
            <w:top w:w="0" w:type="dxa"/>
            <w:left w:w="108" w:type="dxa"/>
            <w:bottom w:w="0" w:type="dxa"/>
            <w:right w:w="108" w:type="dxa"/>
          </w:tblCellMar>
        </w:tblPrEx>
        <w:trPr>
          <w:trHeight w:val="20" w:hRule="atLeast"/>
        </w:trPr>
        <w:tc>
          <w:tcPr>
            <w:tcW w:w="169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部署方式</w:t>
            </w: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支持分布式部署；</w:t>
            </w:r>
          </w:p>
        </w:tc>
      </w:tr>
      <w:tr>
        <w:tblPrEx>
          <w:tblLayout w:type="fixed"/>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支持集中式管理和升级模式；</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支持分级管理模式；</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采用B/S架构操作方式，无需客户端安装。</w:t>
            </w:r>
          </w:p>
        </w:tc>
      </w:tr>
      <w:tr>
        <w:tblPrEx>
          <w:tblLayout w:type="fixed"/>
          <w:tblCellMar>
            <w:top w:w="0" w:type="dxa"/>
            <w:left w:w="108" w:type="dxa"/>
            <w:bottom w:w="0" w:type="dxa"/>
            <w:right w:w="108" w:type="dxa"/>
          </w:tblCellMar>
        </w:tblPrEx>
        <w:trPr>
          <w:trHeight w:val="20" w:hRule="atLeast"/>
        </w:trPr>
        <w:tc>
          <w:tcPr>
            <w:tcW w:w="16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00" w:type="dxa"/>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支持监控设备自身CPU、内存、磁盘等工作运行状况</w:t>
            </w:r>
          </w:p>
        </w:tc>
      </w:tr>
    </w:tbl>
    <w:p>
      <w:pPr>
        <w:widowControl/>
        <w:jc w:val="left"/>
      </w:pPr>
    </w:p>
    <w:p>
      <w:pPr>
        <w:pStyle w:val="4"/>
        <w:tabs>
          <w:tab w:val="left" w:pos="432"/>
        </w:tabs>
        <w:rPr>
          <w:sz w:val="24"/>
          <w:szCs w:val="24"/>
        </w:rPr>
      </w:pPr>
      <w:r>
        <w:rPr>
          <w:rFonts w:hint="eastAsia"/>
          <w:sz w:val="24"/>
          <w:szCs w:val="24"/>
        </w:rPr>
        <w:t>7.3.21 桌面管理系统</w:t>
      </w:r>
    </w:p>
    <w:tbl>
      <w:tblPr>
        <w:tblStyle w:val="3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1278"/>
        <w:gridCol w:w="6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835" w:type="dxa"/>
            <w:gridSpan w:val="2"/>
            <w:vAlign w:val="center"/>
          </w:tcPr>
          <w:p>
            <w:pPr>
              <w:widowControl/>
              <w:jc w:val="center"/>
              <w:rPr>
                <w:rFonts w:ascii="宋体" w:hAnsi="宋体" w:cs="宋体"/>
                <w:b/>
                <w:bCs/>
                <w:kern w:val="0"/>
                <w:szCs w:val="21"/>
              </w:rPr>
            </w:pPr>
            <w:r>
              <w:rPr>
                <w:rFonts w:hint="eastAsia" w:ascii="宋体" w:hAnsi="宋体" w:cs="宋体"/>
                <w:b/>
                <w:bCs/>
                <w:kern w:val="0"/>
                <w:szCs w:val="21"/>
              </w:rPr>
              <w:t>指标项</w:t>
            </w:r>
          </w:p>
        </w:tc>
        <w:tc>
          <w:tcPr>
            <w:tcW w:w="6461" w:type="dxa"/>
            <w:vAlign w:val="center"/>
          </w:tcPr>
          <w:p>
            <w:pPr>
              <w:widowControl/>
              <w:jc w:val="center"/>
              <w:rPr>
                <w:rFonts w:ascii="宋体" w:hAnsi="宋体" w:cs="宋体"/>
                <w:b/>
                <w:bCs/>
                <w:kern w:val="0"/>
                <w:szCs w:val="21"/>
              </w:rPr>
            </w:pPr>
            <w:r>
              <w:rPr>
                <w:rFonts w:hint="eastAsia" w:ascii="宋体" w:hAnsi="宋体" w:cs="宋体"/>
                <w:b/>
                <w:bCs/>
                <w:kern w:val="0"/>
                <w:szCs w:val="21"/>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系统性能及要求</w:t>
            </w:r>
          </w:p>
        </w:tc>
        <w:tc>
          <w:tcPr>
            <w:tcW w:w="1278"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基础要求</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具有独立的自主知识产权的一体式机架结构硬件产品，不接受PC SERVER系统架构。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支持多级级联架构，满足分级管理要求。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557" w:type="dxa"/>
            <w:vMerge w:val="continue"/>
            <w:vAlign w:val="center"/>
          </w:tcPr>
          <w:p>
            <w:pPr>
              <w:widowControl/>
              <w:jc w:val="left"/>
              <w:rPr>
                <w:rFonts w:ascii="宋体" w:hAnsi="宋体" w:cs="宋体"/>
                <w:bCs/>
                <w:kern w:val="0"/>
                <w:szCs w:val="21"/>
              </w:rPr>
            </w:pPr>
          </w:p>
        </w:tc>
        <w:tc>
          <w:tcPr>
            <w:tcW w:w="1278" w:type="dxa"/>
            <w:vAlign w:val="center"/>
          </w:tcPr>
          <w:p>
            <w:pPr>
              <w:widowControl/>
              <w:jc w:val="center"/>
              <w:rPr>
                <w:rFonts w:ascii="宋体" w:hAnsi="宋体" w:cs="宋体"/>
                <w:bCs/>
                <w:kern w:val="0"/>
                <w:szCs w:val="21"/>
              </w:rPr>
            </w:pPr>
            <w:r>
              <w:rPr>
                <w:rFonts w:hint="eastAsia" w:ascii="宋体" w:hAnsi="宋体" w:cs="宋体"/>
                <w:bCs/>
                <w:kern w:val="0"/>
                <w:szCs w:val="21"/>
              </w:rPr>
              <w:t>硬件指标</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1U机架结构；单电源；标准配置6个1000MBASE-T接口；每秒事务数（TPS）：≥1000（次/秒），最大吞吐量：≥1Gbps，最大并发连接数：2000（条）；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557" w:type="dxa"/>
            <w:vMerge w:val="continue"/>
            <w:shd w:val="clear" w:color="auto" w:fill="auto"/>
            <w:vAlign w:val="center"/>
          </w:tcPr>
          <w:p>
            <w:pPr>
              <w:widowControl/>
              <w:jc w:val="left"/>
              <w:rPr>
                <w:rFonts w:ascii="宋体" w:hAnsi="宋体" w:cs="宋体"/>
                <w:bCs/>
                <w:kern w:val="0"/>
                <w:szCs w:val="21"/>
              </w:rPr>
            </w:pPr>
          </w:p>
        </w:tc>
        <w:tc>
          <w:tcPr>
            <w:tcW w:w="1278" w:type="dxa"/>
            <w:vMerge w:val="restart"/>
            <w:shd w:val="clear" w:color="000000" w:fill="FFFFFF"/>
            <w:vAlign w:val="center"/>
          </w:tcPr>
          <w:p>
            <w:pPr>
              <w:widowControl/>
              <w:jc w:val="center"/>
              <w:rPr>
                <w:rFonts w:ascii="宋体" w:hAnsi="宋体" w:cs="宋体"/>
                <w:bCs/>
                <w:kern w:val="0"/>
                <w:szCs w:val="21"/>
              </w:rPr>
            </w:pPr>
            <w:r>
              <w:rPr>
                <w:rFonts w:hint="eastAsia" w:ascii="宋体" w:hAnsi="宋体" w:cs="宋体"/>
                <w:bCs/>
                <w:kern w:val="0"/>
                <w:szCs w:val="21"/>
              </w:rPr>
              <w:t>高可用性</w:t>
            </w:r>
          </w:p>
        </w:tc>
        <w:tc>
          <w:tcPr>
            <w:tcW w:w="6461" w:type="dxa"/>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必须具备HA模式，HA须支持主备机心跳IP检测及虚地址管理模式。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25" w:hRule="atLeast"/>
        </w:trPr>
        <w:tc>
          <w:tcPr>
            <w:tcW w:w="557" w:type="dxa"/>
            <w:vMerge w:val="continue"/>
            <w:shd w:val="clear" w:color="auto" w:fill="auto"/>
            <w:vAlign w:val="center"/>
          </w:tcPr>
          <w:p>
            <w:pPr>
              <w:widowControl/>
              <w:jc w:val="left"/>
              <w:rPr>
                <w:rFonts w:ascii="宋体" w:hAnsi="宋体" w:cs="宋体"/>
                <w:bCs/>
                <w:kern w:val="0"/>
                <w:szCs w:val="21"/>
              </w:rPr>
            </w:pPr>
          </w:p>
        </w:tc>
        <w:tc>
          <w:tcPr>
            <w:tcW w:w="1278" w:type="dxa"/>
            <w:vMerge w:val="continue"/>
            <w:shd w:val="clear" w:color="auto" w:fill="auto"/>
            <w:vAlign w:val="center"/>
          </w:tcPr>
          <w:p>
            <w:pPr>
              <w:widowControl/>
              <w:jc w:val="left"/>
              <w:rPr>
                <w:rFonts w:ascii="宋体" w:hAnsi="宋体" w:cs="宋体"/>
                <w:bCs/>
                <w:kern w:val="0"/>
                <w:szCs w:val="21"/>
              </w:rPr>
            </w:pPr>
          </w:p>
        </w:tc>
        <w:tc>
          <w:tcPr>
            <w:tcW w:w="6461" w:type="dxa"/>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提供第三方监控平台，在出现重大异常情况时能及时通知网络设备放开网络。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557" w:type="dxa"/>
            <w:vMerge w:val="restart"/>
            <w:shd w:val="clear" w:color="auto" w:fill="auto"/>
            <w:vAlign w:val="center"/>
          </w:tcPr>
          <w:p>
            <w:pPr>
              <w:widowControl/>
              <w:jc w:val="center"/>
              <w:rPr>
                <w:rFonts w:ascii="宋体" w:hAnsi="宋体" w:cs="宋体"/>
                <w:bCs/>
                <w:kern w:val="0"/>
                <w:szCs w:val="21"/>
              </w:rPr>
            </w:pPr>
            <w:r>
              <w:rPr>
                <w:rFonts w:hint="eastAsia" w:ascii="宋体" w:hAnsi="宋体" w:cs="宋体"/>
                <w:bCs/>
                <w:kern w:val="0"/>
                <w:szCs w:val="21"/>
              </w:rPr>
              <w:t>网络准入</w:t>
            </w:r>
          </w:p>
        </w:tc>
        <w:tc>
          <w:tcPr>
            <w:tcW w:w="1278" w:type="dxa"/>
            <w:vMerge w:val="restart"/>
            <w:shd w:val="clear" w:color="000000" w:fill="FFFFFF"/>
            <w:vAlign w:val="center"/>
          </w:tcPr>
          <w:p>
            <w:pPr>
              <w:widowControl/>
              <w:jc w:val="center"/>
              <w:rPr>
                <w:rFonts w:ascii="宋体" w:hAnsi="宋体" w:cs="宋体"/>
                <w:bCs/>
                <w:kern w:val="0"/>
                <w:szCs w:val="21"/>
              </w:rPr>
            </w:pPr>
            <w:r>
              <w:rPr>
                <w:rFonts w:hint="eastAsia" w:ascii="宋体" w:hAnsi="宋体" w:cs="宋体"/>
                <w:bCs/>
                <w:kern w:val="0"/>
                <w:szCs w:val="21"/>
              </w:rPr>
              <w:t>强制技术</w:t>
            </w:r>
          </w:p>
        </w:tc>
        <w:tc>
          <w:tcPr>
            <w:tcW w:w="6461" w:type="dxa"/>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支持基于策略路由技术的准入控制模式，入网设备在访问网内关键资源时，将被强制隔离、引导至认证管理页面。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557" w:type="dxa"/>
            <w:vMerge w:val="continue"/>
            <w:shd w:val="clear" w:color="auto" w:fill="auto"/>
            <w:vAlign w:val="center"/>
          </w:tcPr>
          <w:p>
            <w:pPr>
              <w:widowControl/>
              <w:jc w:val="left"/>
              <w:rPr>
                <w:rFonts w:ascii="宋体" w:hAnsi="宋体" w:cs="宋体"/>
                <w:bCs/>
                <w:kern w:val="0"/>
                <w:szCs w:val="21"/>
              </w:rPr>
            </w:pPr>
          </w:p>
        </w:tc>
        <w:tc>
          <w:tcPr>
            <w:tcW w:w="1278" w:type="dxa"/>
            <w:vMerge w:val="continue"/>
            <w:shd w:val="clear" w:color="auto" w:fill="auto"/>
            <w:vAlign w:val="center"/>
          </w:tcPr>
          <w:p>
            <w:pPr>
              <w:widowControl/>
              <w:jc w:val="left"/>
              <w:rPr>
                <w:rFonts w:ascii="宋体" w:hAnsi="宋体" w:cs="宋体"/>
                <w:bCs/>
                <w:kern w:val="0"/>
                <w:szCs w:val="21"/>
              </w:rPr>
            </w:pPr>
          </w:p>
        </w:tc>
        <w:tc>
          <w:tcPr>
            <w:tcW w:w="6461" w:type="dxa"/>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可支持端口镜像准入技术，通过对交换机镜像数据的实时分析，能够及时发现并阻断非授权终端的接入。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557" w:type="dxa"/>
            <w:vMerge w:val="continue"/>
            <w:shd w:val="clear" w:color="auto" w:fill="auto"/>
            <w:vAlign w:val="center"/>
          </w:tcPr>
          <w:p>
            <w:pPr>
              <w:widowControl/>
              <w:jc w:val="left"/>
              <w:rPr>
                <w:rFonts w:ascii="宋体" w:hAnsi="宋体" w:cs="宋体"/>
                <w:bCs/>
                <w:kern w:val="0"/>
                <w:szCs w:val="21"/>
              </w:rPr>
            </w:pPr>
          </w:p>
        </w:tc>
        <w:tc>
          <w:tcPr>
            <w:tcW w:w="1278" w:type="dxa"/>
            <w:vMerge w:val="continue"/>
            <w:shd w:val="clear" w:color="auto" w:fill="auto"/>
            <w:vAlign w:val="center"/>
          </w:tcPr>
          <w:p>
            <w:pPr>
              <w:widowControl/>
              <w:jc w:val="left"/>
              <w:rPr>
                <w:rFonts w:ascii="宋体" w:hAnsi="宋体" w:cs="宋体"/>
                <w:bCs/>
                <w:kern w:val="0"/>
                <w:szCs w:val="21"/>
              </w:rPr>
            </w:pPr>
          </w:p>
        </w:tc>
        <w:tc>
          <w:tcPr>
            <w:tcW w:w="6461" w:type="dxa"/>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单台准入设备可支持至少2个核心交换机进行策略路由准入控制。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557" w:type="dxa"/>
            <w:vMerge w:val="continue"/>
            <w:shd w:val="clear" w:color="auto" w:fill="auto"/>
            <w:vAlign w:val="center"/>
          </w:tcPr>
          <w:p>
            <w:pPr>
              <w:widowControl/>
              <w:jc w:val="left"/>
              <w:rPr>
                <w:rFonts w:ascii="宋体" w:hAnsi="宋体" w:cs="宋体"/>
                <w:bCs/>
                <w:kern w:val="0"/>
                <w:szCs w:val="21"/>
              </w:rPr>
            </w:pPr>
          </w:p>
        </w:tc>
        <w:tc>
          <w:tcPr>
            <w:tcW w:w="1278" w:type="dxa"/>
            <w:vMerge w:val="restart"/>
            <w:shd w:val="clear" w:color="000000" w:fill="FFFFFF"/>
            <w:vAlign w:val="center"/>
          </w:tcPr>
          <w:p>
            <w:pPr>
              <w:widowControl/>
              <w:jc w:val="center"/>
              <w:rPr>
                <w:rFonts w:ascii="宋体" w:hAnsi="宋体" w:cs="宋体"/>
                <w:bCs/>
                <w:kern w:val="0"/>
                <w:szCs w:val="21"/>
              </w:rPr>
            </w:pPr>
            <w:r>
              <w:rPr>
                <w:rFonts w:hint="eastAsia" w:ascii="宋体" w:hAnsi="宋体" w:cs="宋体"/>
                <w:bCs/>
                <w:kern w:val="0"/>
                <w:szCs w:val="21"/>
              </w:rPr>
              <w:t>定向引导</w:t>
            </w:r>
          </w:p>
        </w:tc>
        <w:tc>
          <w:tcPr>
            <w:tcW w:w="6461" w:type="dxa"/>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支持终端入网IE重定向引导，当用户访问网页时能够自动转向到指定的页面或地址，并支持http代理及多重重定向引导。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557" w:type="dxa"/>
            <w:vMerge w:val="continue"/>
            <w:shd w:val="clear" w:color="auto" w:fill="auto"/>
            <w:vAlign w:val="center"/>
          </w:tcPr>
          <w:p>
            <w:pPr>
              <w:widowControl/>
              <w:jc w:val="left"/>
              <w:rPr>
                <w:rFonts w:ascii="宋体" w:hAnsi="宋体" w:cs="宋体"/>
                <w:bCs/>
                <w:kern w:val="0"/>
                <w:szCs w:val="21"/>
              </w:rPr>
            </w:pPr>
          </w:p>
        </w:tc>
        <w:tc>
          <w:tcPr>
            <w:tcW w:w="1278" w:type="dxa"/>
            <w:vMerge w:val="continue"/>
            <w:shd w:val="clear" w:color="auto" w:fill="auto"/>
            <w:vAlign w:val="center"/>
          </w:tcPr>
          <w:p>
            <w:pPr>
              <w:widowControl/>
              <w:jc w:val="left"/>
              <w:rPr>
                <w:rFonts w:ascii="宋体" w:hAnsi="宋体" w:cs="宋体"/>
                <w:bCs/>
                <w:kern w:val="0"/>
                <w:szCs w:val="21"/>
              </w:rPr>
            </w:pPr>
          </w:p>
        </w:tc>
        <w:tc>
          <w:tcPr>
            <w:tcW w:w="6461" w:type="dxa"/>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可根据用户的实际环境自定义非80端口的Web服务端口号及用户重定向引导。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25" w:hRule="atLeast"/>
        </w:trPr>
        <w:tc>
          <w:tcPr>
            <w:tcW w:w="557" w:type="dxa"/>
            <w:vMerge w:val="continue"/>
            <w:shd w:val="clear" w:color="auto" w:fill="auto"/>
            <w:vAlign w:val="center"/>
          </w:tcPr>
          <w:p>
            <w:pPr>
              <w:widowControl/>
              <w:jc w:val="left"/>
              <w:rPr>
                <w:rFonts w:ascii="宋体" w:hAnsi="宋体" w:cs="宋体"/>
                <w:bCs/>
                <w:kern w:val="0"/>
                <w:szCs w:val="21"/>
              </w:rPr>
            </w:pPr>
          </w:p>
        </w:tc>
        <w:tc>
          <w:tcPr>
            <w:tcW w:w="1278" w:type="dxa"/>
            <w:vMerge w:val="continue"/>
            <w:shd w:val="clear" w:color="auto" w:fill="auto"/>
            <w:vAlign w:val="center"/>
          </w:tcPr>
          <w:p>
            <w:pPr>
              <w:widowControl/>
              <w:jc w:val="left"/>
              <w:rPr>
                <w:rFonts w:ascii="宋体" w:hAnsi="宋体" w:cs="宋体"/>
                <w:bCs/>
                <w:kern w:val="0"/>
                <w:szCs w:val="21"/>
              </w:rPr>
            </w:pPr>
          </w:p>
        </w:tc>
        <w:tc>
          <w:tcPr>
            <w:tcW w:w="6461" w:type="dxa"/>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能通过浏览器完成身份认证、客户端安装、设备注册、安全检查、检查结果展现等全流程引导管理。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557" w:type="dxa"/>
            <w:vMerge w:val="restart"/>
            <w:shd w:val="clear" w:color="auto" w:fill="auto"/>
            <w:vAlign w:val="center"/>
          </w:tcPr>
          <w:p>
            <w:pPr>
              <w:widowControl/>
              <w:jc w:val="center"/>
              <w:rPr>
                <w:rFonts w:ascii="宋体" w:hAnsi="宋体" w:cs="宋体"/>
                <w:bCs/>
                <w:kern w:val="0"/>
                <w:szCs w:val="21"/>
              </w:rPr>
            </w:pPr>
            <w:r>
              <w:rPr>
                <w:rFonts w:hint="eastAsia" w:ascii="宋体" w:hAnsi="宋体" w:cs="宋体"/>
                <w:bCs/>
                <w:kern w:val="0"/>
                <w:szCs w:val="21"/>
              </w:rPr>
              <w:t>资产管理</w:t>
            </w:r>
          </w:p>
        </w:tc>
        <w:tc>
          <w:tcPr>
            <w:tcW w:w="1278" w:type="dxa"/>
            <w:vMerge w:val="restart"/>
            <w:shd w:val="clear" w:color="auto" w:fill="auto"/>
            <w:vAlign w:val="center"/>
          </w:tcPr>
          <w:p>
            <w:pPr>
              <w:widowControl/>
              <w:jc w:val="center"/>
              <w:rPr>
                <w:rFonts w:ascii="宋体" w:hAnsi="宋体" w:cs="宋体"/>
                <w:bCs/>
                <w:kern w:val="0"/>
                <w:szCs w:val="21"/>
              </w:rPr>
            </w:pPr>
            <w:r>
              <w:rPr>
                <w:rFonts w:hint="eastAsia" w:ascii="宋体" w:hAnsi="宋体" w:cs="宋体"/>
                <w:bCs/>
                <w:kern w:val="0"/>
                <w:szCs w:val="21"/>
              </w:rPr>
              <w:t>设备发现</w:t>
            </w:r>
          </w:p>
        </w:tc>
        <w:tc>
          <w:tcPr>
            <w:tcW w:w="6461" w:type="dxa"/>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自动发现接入网络的所有网络设备、PC和其他IP设备。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557" w:type="dxa"/>
            <w:vMerge w:val="continue"/>
            <w:shd w:val="clear" w:color="auto" w:fill="auto"/>
            <w:vAlign w:val="center"/>
          </w:tcPr>
          <w:p>
            <w:pPr>
              <w:widowControl/>
              <w:jc w:val="left"/>
              <w:rPr>
                <w:rFonts w:ascii="宋体" w:hAnsi="宋体" w:cs="宋体"/>
                <w:bCs/>
                <w:kern w:val="0"/>
                <w:szCs w:val="21"/>
              </w:rPr>
            </w:pPr>
          </w:p>
        </w:tc>
        <w:tc>
          <w:tcPr>
            <w:tcW w:w="1278" w:type="dxa"/>
            <w:vMerge w:val="continue"/>
            <w:shd w:val="clear" w:color="auto" w:fill="auto"/>
            <w:vAlign w:val="center"/>
          </w:tcPr>
          <w:p>
            <w:pPr>
              <w:widowControl/>
              <w:jc w:val="left"/>
              <w:rPr>
                <w:rFonts w:ascii="宋体" w:hAnsi="宋体" w:cs="宋体"/>
                <w:bCs/>
                <w:kern w:val="0"/>
                <w:szCs w:val="21"/>
              </w:rPr>
            </w:pPr>
          </w:p>
        </w:tc>
        <w:tc>
          <w:tcPr>
            <w:tcW w:w="6461" w:type="dxa"/>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发现内网私接的Hub、傻瓜交换机等非网管设备，当多台计算机通过Hub接入网络时，能够及时产生告警通知管理员。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shd w:val="clear" w:color="auto" w:fill="auto"/>
            <w:vAlign w:val="center"/>
          </w:tcPr>
          <w:p>
            <w:pPr>
              <w:widowControl/>
              <w:jc w:val="left"/>
              <w:rPr>
                <w:rFonts w:ascii="宋体" w:hAnsi="宋体" w:cs="宋体"/>
                <w:bCs/>
                <w:kern w:val="0"/>
                <w:szCs w:val="21"/>
              </w:rPr>
            </w:pPr>
          </w:p>
        </w:tc>
        <w:tc>
          <w:tcPr>
            <w:tcW w:w="1278" w:type="dxa"/>
            <w:vMerge w:val="continue"/>
            <w:shd w:val="clear" w:color="auto" w:fill="auto"/>
            <w:vAlign w:val="center"/>
          </w:tcPr>
          <w:p>
            <w:pPr>
              <w:widowControl/>
              <w:jc w:val="left"/>
              <w:rPr>
                <w:rFonts w:ascii="宋体" w:hAnsi="宋体" w:cs="宋体"/>
                <w:bCs/>
                <w:kern w:val="0"/>
                <w:szCs w:val="21"/>
              </w:rPr>
            </w:pPr>
          </w:p>
        </w:tc>
        <w:tc>
          <w:tcPr>
            <w:tcW w:w="6461" w:type="dxa"/>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支持混合厂商大规模网络环境，支持跨越路由器、防火墙等复杂环境。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557" w:type="dxa"/>
            <w:vMerge w:val="continue"/>
            <w:shd w:val="clear" w:color="auto" w:fill="auto"/>
            <w:vAlign w:val="center"/>
          </w:tcPr>
          <w:p>
            <w:pPr>
              <w:widowControl/>
              <w:jc w:val="left"/>
              <w:rPr>
                <w:rFonts w:ascii="宋体" w:hAnsi="宋体" w:cs="宋体"/>
                <w:bCs/>
                <w:kern w:val="0"/>
                <w:szCs w:val="21"/>
              </w:rPr>
            </w:pPr>
          </w:p>
        </w:tc>
        <w:tc>
          <w:tcPr>
            <w:tcW w:w="1278" w:type="dxa"/>
            <w:vMerge w:val="restart"/>
            <w:shd w:val="clear" w:color="auto" w:fill="auto"/>
            <w:vAlign w:val="center"/>
          </w:tcPr>
          <w:p>
            <w:pPr>
              <w:widowControl/>
              <w:jc w:val="center"/>
              <w:rPr>
                <w:rFonts w:ascii="宋体" w:hAnsi="宋体" w:cs="宋体"/>
                <w:bCs/>
                <w:kern w:val="0"/>
                <w:szCs w:val="21"/>
              </w:rPr>
            </w:pPr>
            <w:r>
              <w:rPr>
                <w:rFonts w:hint="eastAsia" w:ascii="宋体" w:hAnsi="宋体" w:cs="宋体"/>
                <w:bCs/>
                <w:kern w:val="0"/>
                <w:szCs w:val="21"/>
              </w:rPr>
              <w:t>资产采集</w:t>
            </w:r>
          </w:p>
        </w:tc>
        <w:tc>
          <w:tcPr>
            <w:tcW w:w="6461" w:type="dxa"/>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自动采集各计算机的IP地址、计算机名、MAC地址、网卡型号和生产厂商、计算机所在域、操作系统、主要硬件、软件信息。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557" w:type="dxa"/>
            <w:vMerge w:val="continue"/>
            <w:shd w:val="clear" w:color="auto" w:fill="auto"/>
            <w:vAlign w:val="center"/>
          </w:tcPr>
          <w:p>
            <w:pPr>
              <w:widowControl/>
              <w:jc w:val="left"/>
              <w:rPr>
                <w:rFonts w:ascii="宋体" w:hAnsi="宋体" w:cs="宋体"/>
                <w:bCs/>
                <w:kern w:val="0"/>
                <w:szCs w:val="21"/>
              </w:rPr>
            </w:pPr>
          </w:p>
        </w:tc>
        <w:tc>
          <w:tcPr>
            <w:tcW w:w="1278" w:type="dxa"/>
            <w:vMerge w:val="continue"/>
            <w:shd w:val="clear" w:color="auto" w:fill="auto"/>
            <w:vAlign w:val="center"/>
          </w:tcPr>
          <w:p>
            <w:pPr>
              <w:widowControl/>
              <w:jc w:val="left"/>
              <w:rPr>
                <w:rFonts w:ascii="宋体" w:hAnsi="宋体" w:cs="宋体"/>
                <w:bCs/>
                <w:kern w:val="0"/>
                <w:szCs w:val="21"/>
              </w:rPr>
            </w:pPr>
          </w:p>
        </w:tc>
        <w:tc>
          <w:tcPr>
            <w:tcW w:w="6461" w:type="dxa"/>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提供计算机信息综合查询报表。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25" w:hRule="atLeast"/>
        </w:trPr>
        <w:tc>
          <w:tcPr>
            <w:tcW w:w="557" w:type="dxa"/>
            <w:vMerge w:val="continue"/>
            <w:shd w:val="clear" w:color="auto" w:fill="auto"/>
            <w:vAlign w:val="center"/>
          </w:tcPr>
          <w:p>
            <w:pPr>
              <w:widowControl/>
              <w:jc w:val="left"/>
              <w:rPr>
                <w:rFonts w:ascii="宋体" w:hAnsi="宋体" w:cs="宋体"/>
                <w:bCs/>
                <w:kern w:val="0"/>
                <w:szCs w:val="21"/>
              </w:rPr>
            </w:pPr>
          </w:p>
        </w:tc>
        <w:tc>
          <w:tcPr>
            <w:tcW w:w="1278" w:type="dxa"/>
            <w:shd w:val="clear" w:color="auto" w:fill="auto"/>
            <w:vAlign w:val="center"/>
          </w:tcPr>
          <w:p>
            <w:pPr>
              <w:widowControl/>
              <w:jc w:val="center"/>
              <w:rPr>
                <w:rFonts w:ascii="宋体" w:hAnsi="宋体" w:cs="宋体"/>
                <w:bCs/>
                <w:kern w:val="0"/>
                <w:szCs w:val="21"/>
              </w:rPr>
            </w:pPr>
            <w:r>
              <w:rPr>
                <w:rFonts w:hint="eastAsia" w:ascii="宋体" w:hAnsi="宋体" w:cs="宋体"/>
                <w:bCs/>
                <w:kern w:val="0"/>
                <w:szCs w:val="21"/>
              </w:rPr>
              <w:t>硬件资产</w:t>
            </w:r>
          </w:p>
        </w:tc>
        <w:tc>
          <w:tcPr>
            <w:tcW w:w="6461" w:type="dxa"/>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能够对终端硬件初始记录、最新记录和变动记录形成报表，支持对硬件变动进行报警，并且能够查询变动的历史。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557" w:type="dxa"/>
            <w:vMerge w:val="continue"/>
            <w:vAlign w:val="center"/>
          </w:tcPr>
          <w:p>
            <w:pPr>
              <w:widowControl/>
              <w:jc w:val="left"/>
              <w:rPr>
                <w:rFonts w:ascii="宋体" w:hAnsi="宋体" w:cs="宋体"/>
                <w:bCs/>
                <w:kern w:val="0"/>
                <w:szCs w:val="21"/>
              </w:rPr>
            </w:pPr>
          </w:p>
        </w:tc>
        <w:tc>
          <w:tcPr>
            <w:tcW w:w="1278" w:type="dxa"/>
            <w:vAlign w:val="center"/>
          </w:tcPr>
          <w:p>
            <w:pPr>
              <w:widowControl/>
              <w:jc w:val="center"/>
              <w:rPr>
                <w:rFonts w:ascii="宋体" w:hAnsi="宋体" w:cs="宋体"/>
                <w:bCs/>
                <w:kern w:val="0"/>
                <w:szCs w:val="21"/>
              </w:rPr>
            </w:pPr>
            <w:r>
              <w:rPr>
                <w:rFonts w:hint="eastAsia" w:ascii="宋体" w:hAnsi="宋体" w:cs="宋体"/>
                <w:bCs/>
                <w:kern w:val="0"/>
                <w:szCs w:val="21"/>
              </w:rPr>
              <w:t>软件资产</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支持对软件资产进行实时统计，能够灵活指定必须使用的软件资产和禁止安装的软件资产，支持对软件变动进行报警，并且能够查询变动的历史。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IP地址资产</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可通过矩阵图的方式自动进行网内IP地址池的展示。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可通过颜色不同标识出该IP的状态：未分配、开机、关机。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IP使用历史记录：设备名称、设备IP、上线时间、离线时间、运行时长。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软件使用管理</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支持以软件为单位，审计使用的时间和次数。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支持以软件为单位，限制软件的打开和使用。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系统安全</w:t>
            </w:r>
          </w:p>
        </w:tc>
        <w:tc>
          <w:tcPr>
            <w:tcW w:w="1278" w:type="dxa"/>
            <w:vAlign w:val="center"/>
          </w:tcPr>
          <w:p>
            <w:pPr>
              <w:widowControl/>
              <w:jc w:val="center"/>
              <w:rPr>
                <w:rFonts w:ascii="宋体" w:hAnsi="宋体" w:cs="宋体"/>
                <w:bCs/>
                <w:kern w:val="0"/>
                <w:szCs w:val="21"/>
              </w:rPr>
            </w:pPr>
            <w:r>
              <w:rPr>
                <w:rFonts w:hint="eastAsia" w:ascii="宋体" w:hAnsi="宋体" w:cs="宋体"/>
                <w:bCs/>
                <w:kern w:val="0"/>
                <w:szCs w:val="21"/>
              </w:rPr>
              <w:t>Windows安全登录</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可以与用户已有认证系统（UKey、LDAP等）相结合实现Windows系统安全登录与身份认证（替代Windows本地用户/密码认证模式）。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杀毒软件</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支持至少18种杀毒软件的检查。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区分版本不合规、病毒库不合规，提供自动下载程序修复和网址引导修复。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557" w:type="dxa"/>
            <w:vMerge w:val="continue"/>
            <w:vAlign w:val="center"/>
          </w:tcPr>
          <w:p>
            <w:pPr>
              <w:widowControl/>
              <w:jc w:val="left"/>
              <w:rPr>
                <w:rFonts w:ascii="宋体" w:hAnsi="宋体" w:cs="宋体"/>
                <w:bCs/>
                <w:kern w:val="0"/>
                <w:szCs w:val="21"/>
              </w:rPr>
            </w:pPr>
          </w:p>
        </w:tc>
        <w:tc>
          <w:tcPr>
            <w:tcW w:w="1278"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系统配置安全</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建立终端设备的安全性评估任务，支持对帐户密码安全性、屏保设置、共享安全、系统服务、进程及服务等项目进行检查、评定，对存在安全风险的终端支持实时自动修复。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支持终端安全状况图形化展示，能够显示每台终端的详细风险信息并提供评估得分的统计报表。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25" w:hRule="atLeast"/>
        </w:trPr>
        <w:tc>
          <w:tcPr>
            <w:tcW w:w="557"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应用安全</w:t>
            </w:r>
          </w:p>
        </w:tc>
        <w:tc>
          <w:tcPr>
            <w:tcW w:w="1278" w:type="dxa"/>
            <w:vAlign w:val="center"/>
          </w:tcPr>
          <w:p>
            <w:pPr>
              <w:widowControl/>
              <w:jc w:val="center"/>
              <w:rPr>
                <w:rFonts w:ascii="宋体" w:hAnsi="宋体" w:cs="宋体"/>
                <w:bCs/>
                <w:kern w:val="0"/>
                <w:szCs w:val="21"/>
              </w:rPr>
            </w:pPr>
            <w:r>
              <w:rPr>
                <w:rFonts w:hint="eastAsia" w:ascii="宋体" w:hAnsi="宋体" w:cs="宋体"/>
                <w:bCs/>
                <w:kern w:val="0"/>
                <w:szCs w:val="21"/>
              </w:rPr>
              <w:t>重要进程管理</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能够统计网内运行的所有进程，支持设置黑白名单指定禁止或允许的进程，支持进程MD5值识别方式，防止更改或伪造进程。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557" w:type="dxa"/>
            <w:vMerge w:val="continue"/>
            <w:vAlign w:val="center"/>
          </w:tcPr>
          <w:p>
            <w:pPr>
              <w:widowControl/>
              <w:jc w:val="left"/>
              <w:rPr>
                <w:rFonts w:ascii="宋体" w:hAnsi="宋体" w:cs="宋体"/>
                <w:bCs/>
                <w:kern w:val="0"/>
                <w:szCs w:val="21"/>
              </w:rPr>
            </w:pPr>
          </w:p>
        </w:tc>
        <w:tc>
          <w:tcPr>
            <w:tcW w:w="1278" w:type="dxa"/>
            <w:vAlign w:val="center"/>
          </w:tcPr>
          <w:p>
            <w:pPr>
              <w:widowControl/>
              <w:jc w:val="center"/>
              <w:rPr>
                <w:rFonts w:ascii="宋体" w:hAnsi="宋体" w:cs="宋体"/>
                <w:bCs/>
                <w:kern w:val="0"/>
                <w:szCs w:val="21"/>
              </w:rPr>
            </w:pPr>
            <w:r>
              <w:rPr>
                <w:rFonts w:hint="eastAsia" w:ascii="宋体" w:hAnsi="宋体" w:cs="宋体"/>
                <w:bCs/>
                <w:kern w:val="0"/>
                <w:szCs w:val="21"/>
              </w:rPr>
              <w:t>异常进程监控</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能够设定进程运行的环境阀值，包括cpu占用率、内存占用率、tcp连接数、tcp监听端口数、I/O读写字节数、进程名长度和特殊字符、进程运行次数等，对超过阀值的异常进程进行报警等处理。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私设网站检查</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可设置终端主动进行网段内私设WEB站点的扫描。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可扫描浏览器是否有上网的历史记录。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私设代理控制</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管理员可设置策略禁止终端设置代理。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管理员可为被管控终端在管理系统后台设置指定代理、端口号，终端用户无感知。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25" w:hRule="atLeast"/>
        </w:trPr>
        <w:tc>
          <w:tcPr>
            <w:tcW w:w="557" w:type="dxa"/>
            <w:vMerge w:val="continue"/>
            <w:vAlign w:val="center"/>
          </w:tcPr>
          <w:p>
            <w:pPr>
              <w:widowControl/>
              <w:jc w:val="left"/>
              <w:rPr>
                <w:rFonts w:ascii="宋体" w:hAnsi="宋体" w:cs="宋体"/>
                <w:bCs/>
                <w:kern w:val="0"/>
                <w:szCs w:val="21"/>
              </w:rPr>
            </w:pPr>
          </w:p>
        </w:tc>
        <w:tc>
          <w:tcPr>
            <w:tcW w:w="1278" w:type="dxa"/>
            <w:vAlign w:val="center"/>
          </w:tcPr>
          <w:p>
            <w:pPr>
              <w:widowControl/>
              <w:jc w:val="center"/>
              <w:rPr>
                <w:rFonts w:ascii="宋体" w:hAnsi="宋体" w:cs="宋体"/>
                <w:bCs/>
                <w:kern w:val="0"/>
                <w:szCs w:val="21"/>
              </w:rPr>
            </w:pPr>
            <w:r>
              <w:rPr>
                <w:rFonts w:hint="eastAsia" w:ascii="宋体" w:hAnsi="宋体" w:cs="宋体"/>
                <w:bCs/>
                <w:kern w:val="0"/>
                <w:szCs w:val="21"/>
              </w:rPr>
              <w:t>流量控制检查</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可对上传、下载流量、总流量、发包频率、TCP连接数、UDP监听端口数进行控制。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continue"/>
            <w:shd w:val="clear" w:color="auto" w:fill="auto"/>
            <w:vAlign w:val="center"/>
          </w:tcPr>
          <w:p>
            <w:pPr>
              <w:widowControl/>
              <w:jc w:val="left"/>
              <w:rPr>
                <w:rFonts w:ascii="宋体" w:hAnsi="宋体" w:cs="宋体"/>
                <w:bCs/>
                <w:kern w:val="0"/>
                <w:szCs w:val="21"/>
              </w:rPr>
            </w:pPr>
          </w:p>
        </w:tc>
        <w:tc>
          <w:tcPr>
            <w:tcW w:w="1278" w:type="dxa"/>
            <w:shd w:val="clear" w:color="000000" w:fill="FFFFFF"/>
            <w:vAlign w:val="center"/>
          </w:tcPr>
          <w:p>
            <w:pPr>
              <w:widowControl/>
              <w:jc w:val="center"/>
              <w:rPr>
                <w:rFonts w:ascii="宋体" w:hAnsi="宋体" w:cs="宋体"/>
                <w:bCs/>
                <w:kern w:val="0"/>
                <w:szCs w:val="21"/>
              </w:rPr>
            </w:pPr>
            <w:r>
              <w:rPr>
                <w:rFonts w:hint="eastAsia" w:ascii="宋体" w:hAnsi="宋体" w:cs="宋体"/>
                <w:bCs/>
                <w:kern w:val="0"/>
                <w:szCs w:val="21"/>
              </w:rPr>
              <w:t>软件黑白名单</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支持对终端应用进行控制管理，支持建立软件黑名单和白名单，强制终端只能在管理策略允许的范围内安装应用。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软件分发</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支持可执行程序、MSI安装包或者文档数据文件自动下发与安装。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支持指定组范围、指定时间进行安装并提供程序打包工具。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自动统计分发成功率及软件安装成功率，支持进程、注册表、安装路径等多种参数判断方式。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远程维护</w:t>
            </w:r>
          </w:p>
        </w:tc>
        <w:tc>
          <w:tcPr>
            <w:tcW w:w="1278" w:type="dxa"/>
            <w:vAlign w:val="center"/>
          </w:tcPr>
          <w:p>
            <w:pPr>
              <w:widowControl/>
              <w:jc w:val="center"/>
              <w:rPr>
                <w:rFonts w:ascii="宋体" w:hAnsi="宋体" w:cs="宋体"/>
                <w:bCs/>
                <w:kern w:val="0"/>
                <w:szCs w:val="21"/>
              </w:rPr>
            </w:pPr>
            <w:r>
              <w:rPr>
                <w:rFonts w:hint="eastAsia" w:ascii="宋体" w:hAnsi="宋体" w:cs="宋体"/>
                <w:bCs/>
                <w:kern w:val="0"/>
                <w:szCs w:val="21"/>
              </w:rPr>
              <w:t>远程协助方式</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管理员计算机与被管理计算机采用专用tcp端口进行直接连接，远程协助时不占用服务器端口资源。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远程协助功能</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支持实时查看远端计算机的操作进程、服务、系统日志等信息。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支持对远端计算机进行关机、重启、断网等管理。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对远端计算机远程查看和远程控制，可根据管理需要灵活配置是否强制管理还是授权管理。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支持对远端计算机进行文件级远程管理，可在用户无感知的情况下远程创建、重命名、拷贝、删除文件。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远程查看、远程控制可以根据管理需要和网络状况，选择、配置适合管理员的窗口分辨率、显示比例、色彩、鼠标按键、光标等。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权限管理员支持限制操作管理员远程控制的权限，是否允许强制查看、控制和文件传输，允许指定必须申请管理的终端列表。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25" w:hRule="atLeast"/>
        </w:trPr>
        <w:tc>
          <w:tcPr>
            <w:tcW w:w="557" w:type="dxa"/>
            <w:vMerge w:val="continue"/>
            <w:vAlign w:val="center"/>
          </w:tcPr>
          <w:p>
            <w:pPr>
              <w:widowControl/>
              <w:jc w:val="left"/>
              <w:rPr>
                <w:rFonts w:ascii="宋体" w:hAnsi="宋体" w:cs="宋体"/>
                <w:bCs/>
                <w:kern w:val="0"/>
                <w:szCs w:val="21"/>
              </w:rPr>
            </w:pPr>
          </w:p>
        </w:tc>
        <w:tc>
          <w:tcPr>
            <w:tcW w:w="1278"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网络适应性</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支持各种网络环境的终端管理，包括同一网段、单方处于NAT子网中、双方各自处于不同的NAT子网中、处于VPN环境中。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支持自动穿透管理计算机的防火墙设置。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多方管理</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 支持一台计算机接受多台计算机同时维护管理。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支持一台计算机同时管理控制多台计算机。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557"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违规外联</w:t>
            </w:r>
          </w:p>
        </w:tc>
        <w:tc>
          <w:tcPr>
            <w:tcW w:w="1278" w:type="dxa"/>
            <w:vAlign w:val="center"/>
          </w:tcPr>
          <w:p>
            <w:pPr>
              <w:widowControl/>
              <w:jc w:val="center"/>
              <w:rPr>
                <w:rFonts w:ascii="宋体" w:hAnsi="宋体" w:cs="宋体"/>
                <w:bCs/>
                <w:kern w:val="0"/>
                <w:szCs w:val="21"/>
              </w:rPr>
            </w:pPr>
            <w:r>
              <w:rPr>
                <w:rFonts w:hint="eastAsia" w:ascii="宋体" w:hAnsi="宋体" w:cs="宋体"/>
                <w:bCs/>
                <w:kern w:val="0"/>
                <w:szCs w:val="21"/>
              </w:rPr>
              <w:t>外联行为控制</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能够检测出通过代理等方式产生的外联行为并进行报警阻断，在内网设备带出外网的情况下同样能够检测出上述外联行为并进行违规行为上报和阻断。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continue"/>
            <w:vAlign w:val="center"/>
          </w:tcPr>
          <w:p>
            <w:pPr>
              <w:widowControl/>
              <w:jc w:val="left"/>
              <w:rPr>
                <w:rFonts w:ascii="宋体" w:hAnsi="宋体" w:cs="宋体"/>
                <w:bCs/>
                <w:kern w:val="0"/>
                <w:szCs w:val="21"/>
              </w:rPr>
            </w:pPr>
          </w:p>
        </w:tc>
        <w:tc>
          <w:tcPr>
            <w:tcW w:w="1278"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违规访问控制</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控制终端只能访问外网或只能访问内网，能够以策略方式按照区域、部门、组、ip段或单台设备设定内网访问范围。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对违规网络访问行为进行报警和阻断。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支持内网设备带出后在访问外网时自动进行阻断和违规行为上报。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continue"/>
            <w:vAlign w:val="center"/>
          </w:tcPr>
          <w:p>
            <w:pPr>
              <w:widowControl/>
              <w:jc w:val="left"/>
              <w:rPr>
                <w:rFonts w:ascii="宋体" w:hAnsi="宋体" w:cs="宋体"/>
                <w:bCs/>
                <w:kern w:val="0"/>
                <w:szCs w:val="21"/>
              </w:rPr>
            </w:pPr>
          </w:p>
        </w:tc>
        <w:tc>
          <w:tcPr>
            <w:tcW w:w="1278"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网络代理使用管控</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从网络协议层面检测网络代理的行为，支持基于网卡数据包的代理数据阻断功能，并支持报警、断网、锁屏等强制控制措施。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支持检测Windows的代理配置选项，检测不符合要求的代理配置情况，并支持自动清除、报警、断网、锁屏等强制控制措施。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代理行为的管制支持例外合法的代理地址。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网络安全管理</w:t>
            </w:r>
          </w:p>
        </w:tc>
        <w:tc>
          <w:tcPr>
            <w:tcW w:w="1278" w:type="dxa"/>
            <w:vAlign w:val="center"/>
          </w:tcPr>
          <w:p>
            <w:pPr>
              <w:widowControl/>
              <w:jc w:val="center"/>
              <w:rPr>
                <w:rFonts w:ascii="宋体" w:hAnsi="宋体" w:cs="宋体"/>
                <w:bCs/>
                <w:kern w:val="0"/>
                <w:szCs w:val="21"/>
              </w:rPr>
            </w:pPr>
            <w:r>
              <w:rPr>
                <w:rFonts w:hint="eastAsia" w:ascii="宋体" w:hAnsi="宋体" w:cs="宋体"/>
                <w:bCs/>
                <w:kern w:val="0"/>
                <w:szCs w:val="21"/>
              </w:rPr>
              <w:t>网络配置绑定</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能够实时监测终端IP地址、MAC地址、DNS配置等相关网络信息，支持对应信息的实时绑定，当IP或MAC发生改变时能够强制恢复至修改前。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25" w:hRule="atLeast"/>
        </w:trPr>
        <w:tc>
          <w:tcPr>
            <w:tcW w:w="557" w:type="dxa"/>
            <w:vMerge w:val="continue"/>
            <w:vAlign w:val="center"/>
          </w:tcPr>
          <w:p>
            <w:pPr>
              <w:widowControl/>
              <w:jc w:val="left"/>
              <w:rPr>
                <w:rFonts w:ascii="宋体" w:hAnsi="宋体" w:cs="宋体"/>
                <w:bCs/>
                <w:kern w:val="0"/>
                <w:szCs w:val="21"/>
              </w:rPr>
            </w:pPr>
          </w:p>
        </w:tc>
        <w:tc>
          <w:tcPr>
            <w:tcW w:w="1278"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外设管理</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禁用终端设备的USB接口、光驱、软驱、打印机、调制解调器、串并口、1394、 红外、蓝牙及PCMCIA卡等外设接口。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单独禁用USB移动存储设备而不影响其他USB设备。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557" w:type="dxa"/>
            <w:vMerge w:val="continue"/>
            <w:vAlign w:val="center"/>
          </w:tcPr>
          <w:p>
            <w:pPr>
              <w:widowControl/>
              <w:jc w:val="left"/>
              <w:rPr>
                <w:rFonts w:ascii="宋体" w:hAnsi="宋体" w:cs="宋体"/>
                <w:bCs/>
                <w:kern w:val="0"/>
                <w:szCs w:val="21"/>
              </w:rPr>
            </w:pPr>
          </w:p>
        </w:tc>
        <w:tc>
          <w:tcPr>
            <w:tcW w:w="1278" w:type="dxa"/>
            <w:vAlign w:val="center"/>
          </w:tcPr>
          <w:p>
            <w:pPr>
              <w:widowControl/>
              <w:jc w:val="center"/>
              <w:rPr>
                <w:rFonts w:ascii="宋体" w:hAnsi="宋体" w:cs="宋体"/>
                <w:bCs/>
                <w:kern w:val="0"/>
                <w:szCs w:val="21"/>
              </w:rPr>
            </w:pPr>
            <w:r>
              <w:rPr>
                <w:rFonts w:hint="eastAsia" w:ascii="宋体" w:hAnsi="宋体" w:cs="宋体"/>
                <w:bCs/>
                <w:kern w:val="0"/>
                <w:szCs w:val="21"/>
              </w:rPr>
              <w:t>反ARP欺骗</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支持网关、关键服务器等IP、MAC的静态绑定，从而免受ARP的欺骗攻击。能够实时检测ARP欺骗的病毒源，能够对有ARP攻击的终端设备进行隔离。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主机防火墙</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提供基于协议、基于IP和端口、Ping共3种拦截方式。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设定允许或禁止主机访问的IP段、端口和协议。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设定允许或禁止某个IP段访问本地主机的端口和协议。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25" w:hRule="atLeast"/>
        </w:trPr>
        <w:tc>
          <w:tcPr>
            <w:tcW w:w="557" w:type="dxa"/>
            <w:vMerge w:val="continue"/>
            <w:vAlign w:val="center"/>
          </w:tcPr>
          <w:p>
            <w:pPr>
              <w:widowControl/>
              <w:jc w:val="left"/>
              <w:rPr>
                <w:rFonts w:ascii="宋体" w:hAnsi="宋体" w:cs="宋体"/>
                <w:bCs/>
                <w:kern w:val="0"/>
                <w:szCs w:val="21"/>
              </w:rPr>
            </w:pPr>
          </w:p>
        </w:tc>
        <w:tc>
          <w:tcPr>
            <w:tcW w:w="1278" w:type="dxa"/>
            <w:vAlign w:val="center"/>
          </w:tcPr>
          <w:p>
            <w:pPr>
              <w:widowControl/>
              <w:jc w:val="center"/>
              <w:rPr>
                <w:rFonts w:ascii="宋体" w:hAnsi="宋体" w:cs="宋体"/>
                <w:bCs/>
                <w:kern w:val="0"/>
                <w:szCs w:val="21"/>
              </w:rPr>
            </w:pPr>
            <w:r>
              <w:rPr>
                <w:rFonts w:hint="eastAsia" w:ascii="宋体" w:hAnsi="宋体" w:cs="宋体"/>
                <w:bCs/>
                <w:kern w:val="0"/>
                <w:szCs w:val="21"/>
              </w:rPr>
              <w:t>上网访问控制</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能够基于URL关键字设定允许或禁止终端设备访问的网站，能够对违规访问设备进行报警或阻断。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continue"/>
            <w:vAlign w:val="center"/>
          </w:tcPr>
          <w:p>
            <w:pPr>
              <w:widowControl/>
              <w:jc w:val="left"/>
              <w:rPr>
                <w:rFonts w:ascii="宋体" w:hAnsi="宋体" w:cs="宋体"/>
                <w:bCs/>
                <w:kern w:val="0"/>
                <w:szCs w:val="21"/>
              </w:rPr>
            </w:pPr>
          </w:p>
        </w:tc>
        <w:tc>
          <w:tcPr>
            <w:tcW w:w="1278" w:type="dxa"/>
            <w:vAlign w:val="center"/>
          </w:tcPr>
          <w:p>
            <w:pPr>
              <w:widowControl/>
              <w:jc w:val="center"/>
              <w:rPr>
                <w:rFonts w:ascii="宋体" w:hAnsi="宋体" w:cs="宋体"/>
                <w:bCs/>
                <w:kern w:val="0"/>
                <w:szCs w:val="21"/>
              </w:rPr>
            </w:pPr>
            <w:r>
              <w:rPr>
                <w:rFonts w:hint="eastAsia" w:ascii="宋体" w:hAnsi="宋体" w:cs="宋体"/>
                <w:bCs/>
                <w:kern w:val="0"/>
                <w:szCs w:val="21"/>
              </w:rPr>
              <w:t>可信主机访问</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能够设置为例外可信设备，与其他安装客户端的设备通信。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移动存储介质管理</w:t>
            </w:r>
          </w:p>
        </w:tc>
        <w:tc>
          <w:tcPr>
            <w:tcW w:w="1278"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移动介质授信管理</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禁止未注册USB移动存储设备的随意接入。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必须支持新USB移动存储设备用户在线申请、注册，管理员在线审核，无需上交信息中心注册。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能够对指定的USB移动存储设备进行注册，设定所属部门和使用人，并进行加密、只读和可写的控制。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控制指定USB移动存储设备在外网无法使用。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2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能够针对区域、部门、组、IP段或单台设备控制指定USB移动存储设备的读写权限，能够对终端和USB移动存储设备进行一对一绑定。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continue"/>
            <w:vAlign w:val="center"/>
          </w:tcPr>
          <w:p>
            <w:pPr>
              <w:widowControl/>
              <w:jc w:val="left"/>
              <w:rPr>
                <w:rFonts w:ascii="宋体" w:hAnsi="宋体" w:cs="宋体"/>
                <w:bCs/>
                <w:kern w:val="0"/>
                <w:szCs w:val="21"/>
              </w:rPr>
            </w:pPr>
          </w:p>
        </w:tc>
        <w:tc>
          <w:tcPr>
            <w:tcW w:w="1278"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移动介质安全管理</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能够对USB移动存储设备中指定名称的文件进行允许或禁止访问的控制。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 能够禁止访问USB移动存储设备中的可执行文件。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能够禁止USB移动存储设备的自动运行。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移动介质审计</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能够对USB移动存储介质的插入和拔出行为进行审计。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能够指定审计的设备范围，能够指定审计的USB设备，能够指定审计的文件名称和操作类型，能够对通过USB设备进行的文件拷入、拷出行为进行审计，支持按照使用设备、文件路径、操作名称、操作时间进行报表的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80" w:hRule="atLeast"/>
        </w:trPr>
        <w:tc>
          <w:tcPr>
            <w:tcW w:w="557"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行为控制</w:t>
            </w:r>
          </w:p>
        </w:tc>
        <w:tc>
          <w:tcPr>
            <w:tcW w:w="1278"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组策略管理</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支持基于组策略的操作系统组件功能，如：禁用控制面板、禁止添加打印机、禁用任务管理器、阻止更改桌面背景、禁用注册表编辑器、阻止访问命令提示符等。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支持基于自定义工具定制组策略模板配置，可自动录制计算机的组策略配置信息，并可批量下发和批量执行。组策略模板执行的内容，在策略取消或停止后能自动回滚到执行前的配置状态。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行为审计</w:t>
            </w:r>
          </w:p>
        </w:tc>
        <w:tc>
          <w:tcPr>
            <w:tcW w:w="1278" w:type="dxa"/>
            <w:vAlign w:val="center"/>
          </w:tcPr>
          <w:p>
            <w:pPr>
              <w:widowControl/>
              <w:jc w:val="center"/>
              <w:rPr>
                <w:rFonts w:ascii="宋体" w:hAnsi="宋体" w:cs="宋体"/>
                <w:bCs/>
                <w:kern w:val="0"/>
                <w:szCs w:val="21"/>
              </w:rPr>
            </w:pPr>
            <w:r>
              <w:rPr>
                <w:rFonts w:hint="eastAsia" w:ascii="宋体" w:hAnsi="宋体" w:cs="宋体"/>
                <w:bCs/>
                <w:kern w:val="0"/>
                <w:szCs w:val="21"/>
              </w:rPr>
              <w:t>文档审计</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能够记录终端用户日常的文档的操作行为，可以详细审计用户新建、拷贝、修改、移动、删除等操作行为。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continue"/>
            <w:vAlign w:val="center"/>
          </w:tcPr>
          <w:p>
            <w:pPr>
              <w:widowControl/>
              <w:jc w:val="left"/>
              <w:rPr>
                <w:rFonts w:ascii="宋体" w:hAnsi="宋体" w:cs="宋体"/>
                <w:bCs/>
                <w:kern w:val="0"/>
                <w:szCs w:val="21"/>
              </w:rPr>
            </w:pPr>
          </w:p>
        </w:tc>
        <w:tc>
          <w:tcPr>
            <w:tcW w:w="1278" w:type="dxa"/>
            <w:vAlign w:val="center"/>
          </w:tcPr>
          <w:p>
            <w:pPr>
              <w:widowControl/>
              <w:jc w:val="center"/>
              <w:rPr>
                <w:rFonts w:ascii="宋体" w:hAnsi="宋体" w:cs="宋体"/>
                <w:bCs/>
                <w:kern w:val="0"/>
                <w:szCs w:val="21"/>
              </w:rPr>
            </w:pPr>
            <w:r>
              <w:rPr>
                <w:rFonts w:hint="eastAsia" w:ascii="宋体" w:hAnsi="宋体" w:cs="宋体"/>
                <w:bCs/>
                <w:kern w:val="0"/>
                <w:szCs w:val="21"/>
              </w:rPr>
              <w:t>邮件审计</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能够对用户日常邮件的收发做有效审计，审计内容包括邮件地址、邮件标题、邮件内容以及附件等，方便事后追查。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continue"/>
            <w:vAlign w:val="center"/>
          </w:tcPr>
          <w:p>
            <w:pPr>
              <w:widowControl/>
              <w:jc w:val="left"/>
              <w:rPr>
                <w:rFonts w:ascii="宋体" w:hAnsi="宋体" w:cs="宋体"/>
                <w:bCs/>
                <w:kern w:val="0"/>
                <w:szCs w:val="21"/>
              </w:rPr>
            </w:pPr>
          </w:p>
        </w:tc>
        <w:tc>
          <w:tcPr>
            <w:tcW w:w="1278" w:type="dxa"/>
            <w:vAlign w:val="center"/>
          </w:tcPr>
          <w:p>
            <w:pPr>
              <w:widowControl/>
              <w:jc w:val="center"/>
              <w:rPr>
                <w:rFonts w:ascii="宋体" w:hAnsi="宋体" w:cs="宋体"/>
                <w:bCs/>
                <w:kern w:val="0"/>
                <w:szCs w:val="21"/>
              </w:rPr>
            </w:pPr>
            <w:r>
              <w:rPr>
                <w:rFonts w:hint="eastAsia" w:ascii="宋体" w:hAnsi="宋体" w:cs="宋体"/>
                <w:bCs/>
                <w:kern w:val="0"/>
                <w:szCs w:val="21"/>
              </w:rPr>
              <w:t>网站审计</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实时记录终端计算机访问过那些网站，并以饼状、表单等图表方式形象的展现统计结果、访问量排行。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continue"/>
            <w:vAlign w:val="center"/>
          </w:tcPr>
          <w:p>
            <w:pPr>
              <w:widowControl/>
              <w:jc w:val="left"/>
              <w:rPr>
                <w:rFonts w:ascii="宋体" w:hAnsi="宋体" w:cs="宋体"/>
                <w:bCs/>
                <w:kern w:val="0"/>
                <w:szCs w:val="21"/>
              </w:rPr>
            </w:pPr>
          </w:p>
        </w:tc>
        <w:tc>
          <w:tcPr>
            <w:tcW w:w="1278" w:type="dxa"/>
            <w:vAlign w:val="center"/>
          </w:tcPr>
          <w:p>
            <w:pPr>
              <w:widowControl/>
              <w:jc w:val="center"/>
              <w:rPr>
                <w:rFonts w:ascii="宋体" w:hAnsi="宋体" w:cs="宋体"/>
                <w:bCs/>
                <w:kern w:val="0"/>
                <w:szCs w:val="21"/>
              </w:rPr>
            </w:pPr>
            <w:r>
              <w:rPr>
                <w:rFonts w:hint="eastAsia" w:ascii="宋体" w:hAnsi="宋体" w:cs="宋体"/>
                <w:bCs/>
                <w:kern w:val="0"/>
                <w:szCs w:val="21"/>
              </w:rPr>
              <w:t>刻录审计</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可以通过黑白名单方式进行审计或不审计指定光盘刻录机，同时可以对指定审计某种文件格式以及所在路径的文件。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restart"/>
            <w:vAlign w:val="center"/>
          </w:tcPr>
          <w:p>
            <w:pPr>
              <w:widowControl/>
              <w:jc w:val="center"/>
              <w:rPr>
                <w:rFonts w:ascii="宋体" w:hAnsi="宋体" w:cs="宋体"/>
                <w:bCs/>
                <w:kern w:val="0"/>
                <w:szCs w:val="21"/>
              </w:rPr>
            </w:pPr>
            <w:r>
              <w:rPr>
                <w:rFonts w:hint="eastAsia" w:ascii="宋体" w:hAnsi="宋体" w:cs="宋体"/>
                <w:bCs/>
                <w:kern w:val="0"/>
                <w:szCs w:val="21"/>
              </w:rPr>
              <w:t>屏幕录像审计</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支持以截图的形式录制计算机的操作录像。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支持以视频的形式播放，支持快进、快退、暂停、播放速度调节。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支持自定义选择录制的帧率、图像质量。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支持上传和存储到第三方的文件服务器。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支持录像记录文件的定期自动清理功能。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557" w:type="dxa"/>
            <w:vMerge w:val="continue"/>
            <w:vAlign w:val="center"/>
          </w:tcPr>
          <w:p>
            <w:pPr>
              <w:widowControl/>
              <w:jc w:val="left"/>
              <w:rPr>
                <w:rFonts w:ascii="宋体" w:hAnsi="宋体" w:cs="宋体"/>
                <w:bCs/>
                <w:kern w:val="0"/>
                <w:szCs w:val="21"/>
              </w:rPr>
            </w:pPr>
          </w:p>
        </w:tc>
        <w:tc>
          <w:tcPr>
            <w:tcW w:w="1278" w:type="dxa"/>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支持基于桌面程序窗口的筛选录制，可实现只录制指定窗口的屏幕记录。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5" w:hRule="atLeast"/>
        </w:trPr>
        <w:tc>
          <w:tcPr>
            <w:tcW w:w="1835" w:type="dxa"/>
            <w:gridSpan w:val="2"/>
            <w:vAlign w:val="center"/>
          </w:tcPr>
          <w:p>
            <w:pPr>
              <w:widowControl/>
              <w:jc w:val="center"/>
              <w:rPr>
                <w:rFonts w:ascii="宋体" w:hAnsi="宋体" w:cs="宋体"/>
                <w:bCs/>
                <w:kern w:val="0"/>
                <w:szCs w:val="21"/>
              </w:rPr>
            </w:pPr>
            <w:r>
              <w:rPr>
                <w:rFonts w:hint="eastAsia" w:ascii="宋体" w:hAnsi="宋体" w:cs="宋体"/>
                <w:bCs/>
                <w:kern w:val="0"/>
                <w:szCs w:val="21"/>
              </w:rPr>
              <w:t>测试</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签合同前要求进行上述产品功能测试。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835" w:type="dxa"/>
            <w:gridSpan w:val="2"/>
            <w:vMerge w:val="restart"/>
            <w:vAlign w:val="center"/>
          </w:tcPr>
          <w:p>
            <w:pPr>
              <w:widowControl/>
              <w:jc w:val="center"/>
              <w:rPr>
                <w:rFonts w:ascii="宋体" w:hAnsi="宋体" w:cs="宋体"/>
                <w:bCs/>
                <w:kern w:val="0"/>
                <w:szCs w:val="21"/>
              </w:rPr>
            </w:pPr>
            <w:r>
              <w:rPr>
                <w:rFonts w:hint="eastAsia" w:ascii="宋体" w:hAnsi="宋体" w:cs="宋体"/>
                <w:bCs/>
                <w:kern w:val="0"/>
                <w:szCs w:val="21"/>
              </w:rPr>
              <w:t>资质要求</w:t>
            </w: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公安部《信息安全产品检测报告》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835" w:type="dxa"/>
            <w:gridSpan w:val="2"/>
            <w:vMerge w:val="continue"/>
            <w:vAlign w:val="center"/>
          </w:tcPr>
          <w:p>
            <w:pPr>
              <w:widowControl/>
              <w:jc w:val="left"/>
              <w:rPr>
                <w:rFonts w:ascii="宋体" w:hAnsi="宋体" w:cs="宋体"/>
                <w:bCs/>
                <w:kern w:val="0"/>
                <w:szCs w:val="21"/>
              </w:rPr>
            </w:pPr>
          </w:p>
        </w:tc>
        <w:tc>
          <w:tcPr>
            <w:tcW w:w="6461" w:type="dxa"/>
            <w:vAlign w:val="center"/>
          </w:tcPr>
          <w:p>
            <w:pPr>
              <w:widowControl/>
              <w:jc w:val="left"/>
              <w:rPr>
                <w:rFonts w:ascii="宋体" w:hAnsi="宋体" w:cs="宋体"/>
                <w:kern w:val="0"/>
                <w:szCs w:val="21"/>
              </w:rPr>
            </w:pPr>
            <w:r>
              <w:rPr>
                <w:rFonts w:hint="eastAsia" w:ascii="宋体" w:hAnsi="宋体" w:cs="宋体"/>
                <w:kern w:val="0"/>
                <w:szCs w:val="21"/>
              </w:rPr>
              <w:t>公安部《计算机信息系统安全专用产品销售许可证》</w:t>
            </w:r>
          </w:p>
        </w:tc>
      </w:tr>
    </w:tbl>
    <w:p>
      <w:pPr>
        <w:widowControl/>
        <w:jc w:val="left"/>
      </w:pPr>
    </w:p>
    <w:p>
      <w:pPr>
        <w:pStyle w:val="4"/>
        <w:tabs>
          <w:tab w:val="left" w:pos="432"/>
        </w:tabs>
        <w:rPr>
          <w:sz w:val="24"/>
          <w:szCs w:val="24"/>
        </w:rPr>
      </w:pPr>
      <w:r>
        <w:rPr>
          <w:rFonts w:hint="eastAsia"/>
          <w:sz w:val="24"/>
          <w:szCs w:val="24"/>
        </w:rPr>
        <w:t>7.3.22 内网核心防火墙</w:t>
      </w:r>
    </w:p>
    <w:tbl>
      <w:tblPr>
        <w:tblStyle w:val="35"/>
        <w:tblW w:w="82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066"/>
        <w:gridCol w:w="6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8" w:type="dxa"/>
            <w:gridSpan w:val="2"/>
            <w:vAlign w:val="center"/>
          </w:tcPr>
          <w:p>
            <w:pPr>
              <w:rPr>
                <w:rFonts w:ascii="宋体" w:hAnsi="宋体"/>
                <w:b/>
                <w:szCs w:val="21"/>
              </w:rPr>
            </w:pPr>
            <w:r>
              <w:rPr>
                <w:rFonts w:hint="eastAsia" w:ascii="宋体" w:hAnsi="宋体"/>
                <w:b/>
                <w:szCs w:val="21"/>
              </w:rPr>
              <w:t>指标项</w:t>
            </w:r>
          </w:p>
        </w:tc>
        <w:tc>
          <w:tcPr>
            <w:tcW w:w="6559" w:type="dxa"/>
            <w:vAlign w:val="center"/>
          </w:tcPr>
          <w:p>
            <w:pPr>
              <w:ind w:firstLine="1897" w:firstLineChars="900"/>
              <w:rPr>
                <w:rFonts w:ascii="宋体" w:hAnsi="宋体"/>
                <w:b/>
                <w:szCs w:val="21"/>
              </w:rPr>
            </w:pPr>
            <w:r>
              <w:rPr>
                <w:rFonts w:hint="eastAsia" w:ascii="宋体" w:hAnsi="宋体"/>
                <w:b/>
                <w:szCs w:val="21"/>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jc w:val="center"/>
        </w:trPr>
        <w:tc>
          <w:tcPr>
            <w:tcW w:w="672" w:type="dxa"/>
            <w:vAlign w:val="center"/>
          </w:tcPr>
          <w:p>
            <w:pPr>
              <w:jc w:val="center"/>
              <w:rPr>
                <w:rFonts w:ascii="宋体" w:hAnsi="宋体"/>
                <w:b/>
                <w:szCs w:val="21"/>
              </w:rPr>
            </w:pPr>
            <w:r>
              <w:rPr>
                <w:rFonts w:hint="eastAsia" w:ascii="宋体" w:hAnsi="宋体"/>
                <w:b/>
                <w:szCs w:val="21"/>
              </w:rPr>
              <w:t>基本要求</w:t>
            </w:r>
          </w:p>
        </w:tc>
        <w:tc>
          <w:tcPr>
            <w:tcW w:w="1066" w:type="dxa"/>
            <w:vAlign w:val="center"/>
          </w:tcPr>
          <w:p>
            <w:pPr>
              <w:rPr>
                <w:rFonts w:ascii="宋体" w:hAnsi="宋体"/>
                <w:szCs w:val="21"/>
              </w:rPr>
            </w:pPr>
            <w:r>
              <w:rPr>
                <w:rFonts w:hint="eastAsia" w:ascii="宋体" w:hAnsi="宋体"/>
                <w:szCs w:val="21"/>
              </w:rPr>
              <w:t>操作</w:t>
            </w:r>
            <w:r>
              <w:rPr>
                <w:rFonts w:ascii="宋体" w:hAnsi="宋体"/>
                <w:szCs w:val="21"/>
              </w:rPr>
              <w:t>系统</w:t>
            </w:r>
          </w:p>
        </w:tc>
        <w:tc>
          <w:tcPr>
            <w:tcW w:w="6559" w:type="dxa"/>
            <w:vAlign w:val="center"/>
          </w:tcPr>
          <w:p>
            <w:pPr>
              <w:rPr>
                <w:rFonts w:ascii="宋体" w:hAnsi="宋体"/>
                <w:szCs w:val="21"/>
              </w:rPr>
            </w:pPr>
            <w:r>
              <w:rPr>
                <w:rFonts w:hint="eastAsia" w:ascii="宋体" w:hAnsi="宋体"/>
                <w:szCs w:val="21"/>
              </w:rPr>
              <w:t>要求采用先进的多核网络专用架构</w:t>
            </w:r>
            <w:r>
              <w:rPr>
                <w:rFonts w:ascii="宋体" w:hAnsi="宋体"/>
                <w:szCs w:val="21"/>
              </w:rPr>
              <w:t>多核硬件平台</w:t>
            </w:r>
            <w:r>
              <w:rPr>
                <w:rFonts w:hint="eastAsia" w:ascii="宋体" w:hAnsi="宋体"/>
                <w:szCs w:val="21"/>
              </w:rPr>
              <w:t>，x</w:t>
            </w:r>
            <w:r>
              <w:rPr>
                <w:rFonts w:ascii="宋体" w:hAnsi="宋体"/>
                <w:szCs w:val="21"/>
              </w:rPr>
              <w:t>86多核处理器，非MIPS的多核架构或ASIC架构；安全操作系统</w:t>
            </w:r>
            <w:r>
              <w:rPr>
                <w:rFonts w:hint="eastAsia" w:ascii="宋体" w:hAnsi="宋体"/>
                <w:szCs w:val="21"/>
              </w:rPr>
              <w:t>采用</w:t>
            </w:r>
            <w:r>
              <w:rPr>
                <w:rFonts w:ascii="宋体" w:hAnsi="宋体"/>
                <w:szCs w:val="21"/>
              </w:rPr>
              <w:t>冗余设计</w:t>
            </w:r>
            <w:r>
              <w:rPr>
                <w:rFonts w:hint="eastAsia" w:ascii="宋体" w:hAnsi="宋体"/>
                <w:szCs w:val="21"/>
              </w:rPr>
              <w:t>，系统运行的可靠性与稳定性，要求信息安全设备、系统软件的开发、生产符合</w:t>
            </w:r>
            <w:r>
              <w:rPr>
                <w:rFonts w:hint="eastAsia"/>
              </w:rPr>
              <w:t>ios9001</w:t>
            </w:r>
            <w:r>
              <w:rPr>
                <w:rFonts w:hint="eastAsia" w:ascii="宋体" w:hAnsi="宋体"/>
                <w:szCs w:val="21"/>
              </w:rPr>
              <w:t>标准，提供相关证明；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8" w:hRule="atLeast"/>
          <w:jc w:val="center"/>
        </w:trPr>
        <w:tc>
          <w:tcPr>
            <w:tcW w:w="672" w:type="dxa"/>
            <w:vAlign w:val="center"/>
          </w:tcPr>
          <w:p>
            <w:pPr>
              <w:jc w:val="center"/>
              <w:rPr>
                <w:rFonts w:ascii="宋体" w:hAnsi="宋体"/>
                <w:b/>
                <w:szCs w:val="21"/>
              </w:rPr>
            </w:pPr>
            <w:r>
              <w:rPr>
                <w:rFonts w:hint="eastAsia" w:ascii="宋体" w:hAnsi="宋体"/>
                <w:b/>
                <w:szCs w:val="21"/>
              </w:rPr>
              <w:t>系统</w:t>
            </w:r>
            <w:r>
              <w:rPr>
                <w:rFonts w:ascii="宋体" w:hAnsi="宋体"/>
                <w:b/>
                <w:szCs w:val="21"/>
              </w:rPr>
              <w:t>性能</w:t>
            </w:r>
          </w:p>
        </w:tc>
        <w:tc>
          <w:tcPr>
            <w:tcW w:w="1066" w:type="dxa"/>
            <w:vAlign w:val="center"/>
          </w:tcPr>
          <w:p>
            <w:pPr>
              <w:rPr>
                <w:rFonts w:ascii="宋体" w:hAnsi="宋体"/>
                <w:szCs w:val="21"/>
              </w:rPr>
            </w:pPr>
            <w:r>
              <w:rPr>
                <w:rFonts w:hint="eastAsia" w:ascii="宋体" w:hAnsi="宋体"/>
                <w:szCs w:val="21"/>
              </w:rPr>
              <w:t>系统配置</w:t>
            </w:r>
          </w:p>
        </w:tc>
        <w:tc>
          <w:tcPr>
            <w:tcW w:w="6559" w:type="dxa"/>
            <w:vAlign w:val="center"/>
          </w:tcPr>
          <w:p>
            <w:pPr>
              <w:jc w:val="left"/>
              <w:rPr>
                <w:rFonts w:ascii="宋体" w:hAnsi="宋体"/>
                <w:szCs w:val="21"/>
                <w:highlight w:val="yellow"/>
              </w:rPr>
            </w:pPr>
            <w:r>
              <w:rPr>
                <w:rFonts w:ascii="宋体" w:hAnsi="宋体"/>
                <w:szCs w:val="21"/>
              </w:rPr>
              <w:t>1</w:t>
            </w:r>
            <w:r>
              <w:rPr>
                <w:rFonts w:hint="eastAsia" w:ascii="宋体" w:hAnsi="宋体"/>
                <w:szCs w:val="21"/>
              </w:rPr>
              <w:t>U机架式机型，标配6个10/100/1000MBase-T端口，</w:t>
            </w:r>
            <w:r>
              <w:rPr>
                <w:rFonts w:ascii="宋体" w:hAnsi="宋体"/>
                <w:szCs w:val="21"/>
              </w:rPr>
              <w:t>2</w:t>
            </w:r>
            <w:r>
              <w:rPr>
                <w:rFonts w:hint="eastAsia" w:ascii="宋体" w:hAnsi="宋体"/>
                <w:szCs w:val="21"/>
              </w:rPr>
              <w:t>个SFP扩展插槽，4个万兆光口，4个光模块；</w:t>
            </w:r>
            <w:r>
              <w:rPr>
                <w:rFonts w:hint="eastAsia" w:ascii="宋体" w:hAnsi="宋体" w:cs="宋体"/>
                <w:color w:val="000000"/>
                <w:kern w:val="0"/>
                <w:szCs w:val="21"/>
              </w:rPr>
              <w:t>1T硬盘；</w:t>
            </w:r>
            <w:r>
              <w:rPr>
                <w:rFonts w:hint="eastAsia" w:ascii="宋体" w:hAnsi="宋体"/>
                <w:szCs w:val="21"/>
              </w:rPr>
              <w:t>整机吞吐率：&gt;</w:t>
            </w:r>
            <w:r>
              <w:rPr>
                <w:rFonts w:ascii="宋体" w:hAnsi="宋体"/>
                <w:szCs w:val="21"/>
              </w:rPr>
              <w:t>16</w:t>
            </w:r>
            <w:r>
              <w:rPr>
                <w:rFonts w:hint="eastAsia" w:ascii="宋体" w:hAnsi="宋体"/>
                <w:szCs w:val="21"/>
              </w:rPr>
              <w:t>Gbps；应用层吞吐率：</w:t>
            </w:r>
            <w:r>
              <w:rPr>
                <w:rFonts w:ascii="宋体" w:hAnsi="宋体"/>
                <w:szCs w:val="21"/>
              </w:rPr>
              <w:t>8</w:t>
            </w:r>
            <w:r>
              <w:rPr>
                <w:rFonts w:hint="eastAsia" w:ascii="宋体" w:hAnsi="宋体"/>
                <w:szCs w:val="21"/>
              </w:rPr>
              <w:t>Gbps；最大并发连接数：&gt;</w:t>
            </w:r>
            <w:r>
              <w:rPr>
                <w:rFonts w:ascii="宋体" w:hAnsi="宋体"/>
                <w:szCs w:val="21"/>
              </w:rPr>
              <w:t>8</w:t>
            </w:r>
            <w:r>
              <w:rPr>
                <w:rFonts w:hint="eastAsia" w:ascii="宋体" w:hAnsi="宋体"/>
                <w:szCs w:val="21"/>
              </w:rPr>
              <w:t>00W，配置IPS攻击规则特征库三年许可；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restart"/>
            <w:vAlign w:val="center"/>
          </w:tcPr>
          <w:p>
            <w:pPr>
              <w:jc w:val="center"/>
              <w:rPr>
                <w:rFonts w:ascii="宋体" w:hAnsi="宋体"/>
                <w:b/>
                <w:szCs w:val="21"/>
              </w:rPr>
            </w:pPr>
            <w:r>
              <w:rPr>
                <w:rFonts w:hint="eastAsia" w:ascii="宋体" w:hAnsi="宋体"/>
                <w:b/>
                <w:szCs w:val="21"/>
              </w:rPr>
              <w:t>网络</w:t>
            </w:r>
          </w:p>
          <w:p>
            <w:pPr>
              <w:jc w:val="center"/>
              <w:rPr>
                <w:rFonts w:ascii="宋体" w:hAnsi="宋体"/>
                <w:b/>
                <w:szCs w:val="21"/>
              </w:rPr>
            </w:pPr>
            <w:r>
              <w:rPr>
                <w:rFonts w:ascii="宋体" w:hAnsi="宋体"/>
                <w:b/>
                <w:szCs w:val="21"/>
              </w:rPr>
              <w:t>接入</w:t>
            </w:r>
          </w:p>
        </w:tc>
        <w:tc>
          <w:tcPr>
            <w:tcW w:w="1066" w:type="dxa"/>
            <w:vAlign w:val="center"/>
          </w:tcPr>
          <w:p>
            <w:pPr>
              <w:rPr>
                <w:rFonts w:ascii="宋体" w:hAnsi="宋体"/>
                <w:szCs w:val="21"/>
              </w:rPr>
            </w:pPr>
            <w:r>
              <w:rPr>
                <w:rFonts w:hint="eastAsia" w:ascii="宋体" w:hAnsi="宋体"/>
                <w:szCs w:val="21"/>
              </w:rPr>
              <w:t>工作</w:t>
            </w:r>
            <w:r>
              <w:rPr>
                <w:rFonts w:ascii="宋体" w:hAnsi="宋体"/>
                <w:szCs w:val="21"/>
              </w:rPr>
              <w:t>模式</w:t>
            </w:r>
          </w:p>
        </w:tc>
        <w:tc>
          <w:tcPr>
            <w:tcW w:w="6559" w:type="dxa"/>
            <w:vAlign w:val="center"/>
          </w:tcPr>
          <w:p>
            <w:pPr>
              <w:rPr>
                <w:rFonts w:ascii="宋体" w:hAnsi="宋体"/>
                <w:szCs w:val="21"/>
              </w:rPr>
            </w:pPr>
            <w:r>
              <w:rPr>
                <w:rFonts w:ascii="宋体" w:hAnsi="宋体"/>
                <w:szCs w:val="21"/>
              </w:rPr>
              <w:t>支持路由、交换、混合</w:t>
            </w:r>
            <w:r>
              <w:rPr>
                <w:rFonts w:hint="eastAsia" w:ascii="宋体" w:hAnsi="宋体"/>
                <w:szCs w:val="21"/>
              </w:rPr>
              <w:t>、</w:t>
            </w:r>
            <w:r>
              <w:rPr>
                <w:rFonts w:ascii="宋体" w:hAnsi="宋体"/>
                <w:szCs w:val="21"/>
              </w:rPr>
              <w:t>工作模式</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continue"/>
            <w:vAlign w:val="center"/>
          </w:tcPr>
          <w:p>
            <w:pPr>
              <w:jc w:val="center"/>
              <w:rPr>
                <w:rFonts w:ascii="宋体" w:hAnsi="宋体"/>
                <w:b/>
                <w:szCs w:val="21"/>
              </w:rPr>
            </w:pPr>
          </w:p>
        </w:tc>
        <w:tc>
          <w:tcPr>
            <w:tcW w:w="1066" w:type="dxa"/>
            <w:vMerge w:val="restart"/>
            <w:vAlign w:val="center"/>
          </w:tcPr>
          <w:p>
            <w:pPr>
              <w:rPr>
                <w:rFonts w:ascii="宋体" w:hAnsi="宋体"/>
                <w:szCs w:val="21"/>
              </w:rPr>
            </w:pPr>
            <w:r>
              <w:rPr>
                <w:rFonts w:hint="eastAsia" w:ascii="宋体" w:hAnsi="宋体"/>
                <w:szCs w:val="21"/>
              </w:rPr>
              <w:t>路由交换</w:t>
            </w:r>
          </w:p>
        </w:tc>
        <w:tc>
          <w:tcPr>
            <w:tcW w:w="6559" w:type="dxa"/>
            <w:vAlign w:val="center"/>
          </w:tcPr>
          <w:p>
            <w:pPr>
              <w:rPr>
                <w:rFonts w:ascii="宋体" w:hAnsi="宋体"/>
                <w:szCs w:val="21"/>
              </w:rPr>
            </w:pPr>
            <w:r>
              <w:rPr>
                <w:rFonts w:hint="eastAsia" w:ascii="宋体" w:hAnsi="宋体"/>
                <w:szCs w:val="21"/>
              </w:rPr>
              <w:t>支持</w:t>
            </w:r>
            <w:r>
              <w:rPr>
                <w:rFonts w:ascii="宋体" w:hAnsi="宋体"/>
                <w:szCs w:val="21"/>
              </w:rPr>
              <w:t>静态路由、</w:t>
            </w:r>
            <w:r>
              <w:rPr>
                <w:rFonts w:hint="eastAsia" w:ascii="宋体" w:hAnsi="宋体"/>
                <w:szCs w:val="21"/>
              </w:rPr>
              <w:t>ISP路由及动态</w:t>
            </w:r>
            <w:r>
              <w:rPr>
                <w:rFonts w:ascii="宋体" w:hAnsi="宋体"/>
                <w:szCs w:val="21"/>
              </w:rPr>
              <w:t>路由协议</w:t>
            </w:r>
            <w:r>
              <w:rPr>
                <w:rFonts w:hint="eastAsia" w:ascii="宋体" w:hAnsi="宋体"/>
                <w:szCs w:val="21"/>
              </w:rPr>
              <w:t>，支持802.1</w:t>
            </w:r>
            <w:r>
              <w:rPr>
                <w:rFonts w:ascii="宋体" w:hAnsi="宋体"/>
                <w:szCs w:val="21"/>
              </w:rPr>
              <w:t>q</w:t>
            </w:r>
            <w:r>
              <w:rPr>
                <w:rFonts w:hint="eastAsia" w:ascii="宋体" w:hAnsi="宋体"/>
                <w:szCs w:val="21"/>
              </w:rPr>
              <w:t>、Q</w:t>
            </w:r>
            <w:r>
              <w:rPr>
                <w:rFonts w:ascii="宋体" w:hAnsi="宋体"/>
                <w:szCs w:val="21"/>
              </w:rPr>
              <w:t>inQ</w:t>
            </w:r>
            <w:r>
              <w:rPr>
                <w:rFonts w:hint="eastAsia" w:ascii="宋体" w:hAnsi="宋体"/>
                <w:szCs w:val="21"/>
              </w:rPr>
              <w:t>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559" w:type="dxa"/>
            <w:vAlign w:val="center"/>
          </w:tcPr>
          <w:p>
            <w:pPr>
              <w:rPr>
                <w:rFonts w:ascii="宋体" w:hAnsi="宋体"/>
                <w:szCs w:val="21"/>
              </w:rPr>
            </w:pPr>
            <w:r>
              <w:rPr>
                <w:rFonts w:hint="eastAsia" w:ascii="宋体" w:hAnsi="宋体"/>
                <w:szCs w:val="21"/>
              </w:rPr>
              <w:t>支持基于</w:t>
            </w:r>
            <w:r>
              <w:rPr>
                <w:rFonts w:ascii="宋体" w:hAnsi="宋体"/>
                <w:szCs w:val="21"/>
              </w:rPr>
              <w:t>源/目的</w:t>
            </w:r>
            <w:r>
              <w:rPr>
                <w:rFonts w:hint="eastAsia" w:ascii="宋体" w:hAnsi="宋体"/>
                <w:szCs w:val="21"/>
              </w:rPr>
              <w:t>地址、</w:t>
            </w:r>
            <w:r>
              <w:rPr>
                <w:rFonts w:ascii="宋体" w:hAnsi="宋体"/>
                <w:szCs w:val="21"/>
              </w:rPr>
              <w:t>源</w:t>
            </w:r>
            <w:r>
              <w:rPr>
                <w:rFonts w:hint="eastAsia" w:ascii="宋体" w:hAnsi="宋体"/>
                <w:szCs w:val="21"/>
              </w:rPr>
              <w:t>/目的</w:t>
            </w:r>
            <w:r>
              <w:rPr>
                <w:rFonts w:ascii="宋体" w:hAnsi="宋体"/>
                <w:szCs w:val="21"/>
              </w:rPr>
              <w:t>端口、</w:t>
            </w:r>
            <w:r>
              <w:rPr>
                <w:rFonts w:hint="eastAsia" w:ascii="宋体" w:hAnsi="宋体"/>
                <w:szCs w:val="21"/>
              </w:rPr>
              <w:t>用户</w:t>
            </w:r>
            <w:r>
              <w:rPr>
                <w:rFonts w:ascii="宋体" w:hAnsi="宋体"/>
                <w:szCs w:val="21"/>
              </w:rPr>
              <w:t>、应用</w:t>
            </w:r>
            <w:r>
              <w:rPr>
                <w:rFonts w:hint="eastAsia" w:ascii="宋体" w:hAnsi="宋体"/>
                <w:szCs w:val="21"/>
              </w:rPr>
              <w:t>的</w:t>
            </w:r>
            <w:r>
              <w:rPr>
                <w:rFonts w:ascii="宋体" w:hAnsi="宋体"/>
                <w:szCs w:val="21"/>
              </w:rPr>
              <w:t>策略路由</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接入功能</w:t>
            </w:r>
          </w:p>
        </w:tc>
        <w:tc>
          <w:tcPr>
            <w:tcW w:w="6559" w:type="dxa"/>
            <w:vAlign w:val="center"/>
          </w:tcPr>
          <w:p>
            <w:pPr>
              <w:rPr>
                <w:rFonts w:ascii="宋体" w:hAnsi="宋体"/>
                <w:szCs w:val="21"/>
              </w:rPr>
            </w:pPr>
            <w:r>
              <w:rPr>
                <w:rFonts w:hint="eastAsia" w:ascii="宋体" w:hAnsi="宋体"/>
                <w:szCs w:val="21"/>
              </w:rPr>
              <w:t>支持GRE与IPSEC VPN接入；IPSEC VPN可</w:t>
            </w:r>
            <w:r>
              <w:rPr>
                <w:rFonts w:ascii="宋体" w:hAnsi="宋体"/>
                <w:szCs w:val="21"/>
              </w:rPr>
              <w:t>提供国密算法；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链路</w:t>
            </w:r>
            <w:r>
              <w:rPr>
                <w:rFonts w:ascii="宋体" w:hAnsi="宋体"/>
                <w:szCs w:val="21"/>
              </w:rPr>
              <w:t>聚合</w:t>
            </w:r>
          </w:p>
        </w:tc>
        <w:tc>
          <w:tcPr>
            <w:tcW w:w="6559" w:type="dxa"/>
            <w:vAlign w:val="center"/>
          </w:tcPr>
          <w:p>
            <w:pPr>
              <w:rPr>
                <w:rFonts w:ascii="宋体" w:hAnsi="宋体"/>
                <w:szCs w:val="21"/>
              </w:rPr>
            </w:pPr>
            <w:r>
              <w:rPr>
                <w:rFonts w:hint="eastAsia" w:ascii="宋体" w:hAnsi="宋体"/>
                <w:szCs w:val="21"/>
              </w:rPr>
              <w:t>提供</w:t>
            </w:r>
            <w:r>
              <w:rPr>
                <w:rFonts w:ascii="宋体" w:hAnsi="宋体"/>
                <w:szCs w:val="21"/>
              </w:rPr>
              <w:t>不少于</w:t>
            </w:r>
            <w:r>
              <w:rPr>
                <w:rFonts w:hint="eastAsia" w:ascii="宋体" w:hAnsi="宋体"/>
                <w:szCs w:val="21"/>
              </w:rPr>
              <w:t>11种的负载</w:t>
            </w:r>
            <w:r>
              <w:rPr>
                <w:rFonts w:ascii="宋体" w:hAnsi="宋体"/>
                <w:szCs w:val="21"/>
              </w:rPr>
              <w:t>分担算法</w:t>
            </w:r>
            <w:r>
              <w:rPr>
                <w:rFonts w:hint="eastAsia" w:ascii="宋体" w:hAnsi="宋体"/>
                <w:szCs w:val="21"/>
              </w:rPr>
              <w:t>，灵活实现对聚合组内业务流量的负载分担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地址转换</w:t>
            </w:r>
          </w:p>
        </w:tc>
        <w:tc>
          <w:tcPr>
            <w:tcW w:w="6559" w:type="dxa"/>
            <w:vAlign w:val="center"/>
          </w:tcPr>
          <w:p>
            <w:pPr>
              <w:rPr>
                <w:rFonts w:ascii="宋体" w:hAnsi="宋体"/>
                <w:szCs w:val="21"/>
              </w:rPr>
            </w:pPr>
            <w:r>
              <w:rPr>
                <w:rFonts w:hint="eastAsia" w:ascii="宋体" w:hAnsi="宋体"/>
                <w:szCs w:val="21"/>
              </w:rPr>
              <w:t>支持一对一SNAT、</w:t>
            </w:r>
            <w:r>
              <w:rPr>
                <w:rFonts w:ascii="宋体" w:hAnsi="宋体"/>
                <w:szCs w:val="21"/>
              </w:rPr>
              <w:t>多对一</w:t>
            </w:r>
            <w:r>
              <w:rPr>
                <w:rFonts w:hint="eastAsia" w:ascii="宋体" w:hAnsi="宋体"/>
                <w:szCs w:val="21"/>
              </w:rPr>
              <w:t>SNAT、一对一DNAT、</w:t>
            </w:r>
            <w:r>
              <w:rPr>
                <w:rFonts w:ascii="宋体" w:hAnsi="宋体"/>
                <w:szCs w:val="21"/>
              </w:rPr>
              <w:t>双向</w:t>
            </w:r>
            <w:r>
              <w:rPr>
                <w:rFonts w:hint="eastAsia" w:ascii="宋体" w:hAnsi="宋体"/>
                <w:szCs w:val="21"/>
              </w:rPr>
              <w:t>NAT、N</w:t>
            </w:r>
            <w:r>
              <w:rPr>
                <w:rFonts w:ascii="宋体" w:hAnsi="宋体"/>
                <w:szCs w:val="21"/>
              </w:rPr>
              <w:t>oNAT</w:t>
            </w:r>
            <w:r>
              <w:rPr>
                <w:rFonts w:hint="eastAsia" w:ascii="宋体" w:hAnsi="宋体"/>
                <w:szCs w:val="21"/>
              </w:rPr>
              <w:t>等</w:t>
            </w:r>
            <w:r>
              <w:rPr>
                <w:rFonts w:ascii="宋体" w:hAnsi="宋体"/>
                <w:szCs w:val="21"/>
              </w:rPr>
              <w:t>多种</w:t>
            </w:r>
            <w:r>
              <w:rPr>
                <w:rFonts w:hint="eastAsia" w:ascii="宋体" w:hAnsi="宋体"/>
                <w:szCs w:val="21"/>
              </w:rPr>
              <w:t>转换</w:t>
            </w:r>
            <w:r>
              <w:rPr>
                <w:rFonts w:ascii="宋体" w:hAnsi="宋体"/>
                <w:szCs w:val="21"/>
              </w:rPr>
              <w:t>方式</w:t>
            </w:r>
            <w:r>
              <w:rPr>
                <w:rFonts w:hint="eastAsia" w:ascii="宋体" w:hAnsi="宋体"/>
                <w:szCs w:val="21"/>
              </w:rPr>
              <w:t>；</w:t>
            </w:r>
            <w:r>
              <w:rPr>
                <w:rFonts w:ascii="宋体" w:hAnsi="宋体"/>
                <w:szCs w:val="21"/>
              </w:rPr>
              <w:t>支持</w:t>
            </w:r>
            <w:r>
              <w:rPr>
                <w:rFonts w:hint="eastAsia" w:ascii="宋体" w:hAnsi="宋体"/>
                <w:szCs w:val="21"/>
              </w:rPr>
              <w:t>Sticky NAT开关，使相同源IP的数据包经过地址转换后为其转换的源 IP 地址相同；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智能DNS</w:t>
            </w:r>
          </w:p>
        </w:tc>
        <w:tc>
          <w:tcPr>
            <w:tcW w:w="6559" w:type="dxa"/>
            <w:vAlign w:val="center"/>
          </w:tcPr>
          <w:p>
            <w:pPr>
              <w:rPr>
                <w:rFonts w:ascii="宋体" w:hAnsi="宋体"/>
                <w:szCs w:val="21"/>
              </w:rPr>
            </w:pPr>
            <w:r>
              <w:rPr>
                <w:rFonts w:hint="eastAsia" w:ascii="宋体" w:hAnsi="宋体"/>
                <w:szCs w:val="21"/>
              </w:rPr>
              <w:t>支持智能DNS及</w:t>
            </w:r>
            <w:r>
              <w:rPr>
                <w:rFonts w:ascii="宋体" w:hAnsi="宋体"/>
                <w:szCs w:val="21"/>
              </w:rPr>
              <w:t>DNS Docting</w:t>
            </w:r>
            <w:r>
              <w:rPr>
                <w:rFonts w:hint="eastAsia" w:ascii="宋体" w:hAnsi="宋体"/>
                <w:szCs w:val="21"/>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restart"/>
            <w:vAlign w:val="center"/>
          </w:tcPr>
          <w:p>
            <w:pPr>
              <w:jc w:val="center"/>
              <w:rPr>
                <w:rFonts w:ascii="宋体" w:hAnsi="宋体"/>
                <w:b/>
                <w:szCs w:val="21"/>
              </w:rPr>
            </w:pPr>
            <w:r>
              <w:rPr>
                <w:rFonts w:hint="eastAsia" w:ascii="宋体" w:hAnsi="宋体"/>
                <w:b/>
                <w:szCs w:val="21"/>
              </w:rPr>
              <w:t>IPv6</w:t>
            </w:r>
          </w:p>
        </w:tc>
        <w:tc>
          <w:tcPr>
            <w:tcW w:w="1066" w:type="dxa"/>
            <w:vAlign w:val="center"/>
          </w:tcPr>
          <w:p>
            <w:pPr>
              <w:rPr>
                <w:rFonts w:ascii="宋体" w:hAnsi="宋体"/>
                <w:szCs w:val="21"/>
              </w:rPr>
            </w:pPr>
            <w:r>
              <w:rPr>
                <w:rFonts w:hint="eastAsia" w:ascii="宋体" w:hAnsi="宋体"/>
                <w:szCs w:val="21"/>
              </w:rPr>
              <w:t>双栈模式</w:t>
            </w:r>
          </w:p>
        </w:tc>
        <w:tc>
          <w:tcPr>
            <w:tcW w:w="6559" w:type="dxa"/>
            <w:vAlign w:val="center"/>
          </w:tcPr>
          <w:p>
            <w:pPr>
              <w:rPr>
                <w:rFonts w:ascii="宋体" w:hAnsi="宋体"/>
                <w:szCs w:val="21"/>
              </w:rPr>
            </w:pPr>
            <w:r>
              <w:rPr>
                <w:rFonts w:hint="eastAsia" w:ascii="宋体" w:hAnsi="宋体"/>
                <w:szCs w:val="21"/>
              </w:rPr>
              <w:t>支持IPv4/IPv6双栈工作模式；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访问控制</w:t>
            </w:r>
          </w:p>
        </w:tc>
        <w:tc>
          <w:tcPr>
            <w:tcW w:w="6559" w:type="dxa"/>
            <w:vAlign w:val="center"/>
          </w:tcPr>
          <w:p>
            <w:pPr>
              <w:rPr>
                <w:rFonts w:ascii="宋体" w:hAnsi="宋体"/>
                <w:szCs w:val="21"/>
              </w:rPr>
            </w:pPr>
            <w:r>
              <w:rPr>
                <w:rFonts w:hint="eastAsia" w:ascii="宋体" w:hAnsi="宋体"/>
                <w:szCs w:val="21"/>
              </w:rPr>
              <w:t>支持IPv6安全控制策略设置，能针对IPv6的目的/源地址、目的/源服务端口、区域、服务、时间、扩展头属性等条件进行安全访问规则的设置；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安全防护</w:t>
            </w:r>
          </w:p>
        </w:tc>
        <w:tc>
          <w:tcPr>
            <w:tcW w:w="6559" w:type="dxa"/>
            <w:vAlign w:val="center"/>
          </w:tcPr>
          <w:p>
            <w:pPr>
              <w:rPr>
                <w:rFonts w:ascii="宋体" w:hAnsi="宋体"/>
                <w:szCs w:val="21"/>
              </w:rPr>
            </w:pPr>
            <w:r>
              <w:rPr>
                <w:rFonts w:hint="eastAsia" w:ascii="宋体" w:hAnsi="宋体"/>
                <w:szCs w:val="21"/>
              </w:rPr>
              <w:t>支持基于IPv6的应用层检测（FTP\TFTP）、病毒过滤、URL过滤</w:t>
            </w:r>
            <w:r>
              <w:rPr>
                <w:rFonts w:ascii="宋体" w:hAnsi="宋体"/>
                <w:szCs w:val="21"/>
              </w:rPr>
              <w:t>、</w:t>
            </w:r>
            <w:r>
              <w:rPr>
                <w:rFonts w:hint="eastAsia" w:ascii="宋体" w:hAnsi="宋体"/>
                <w:szCs w:val="21"/>
              </w:rPr>
              <w:t>ADS、IPS检测；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restart"/>
            <w:vAlign w:val="center"/>
          </w:tcPr>
          <w:p>
            <w:pPr>
              <w:jc w:val="center"/>
              <w:rPr>
                <w:rFonts w:ascii="宋体" w:hAnsi="宋体"/>
                <w:b/>
                <w:szCs w:val="21"/>
              </w:rPr>
            </w:pPr>
            <w:r>
              <w:rPr>
                <w:rFonts w:hint="eastAsia" w:ascii="宋体" w:hAnsi="宋体"/>
                <w:b/>
                <w:szCs w:val="21"/>
              </w:rPr>
              <w:t>虚拟</w:t>
            </w:r>
            <w:r>
              <w:rPr>
                <w:rFonts w:ascii="宋体" w:hAnsi="宋体"/>
                <w:b/>
                <w:szCs w:val="21"/>
              </w:rPr>
              <w:t>系统</w:t>
            </w:r>
          </w:p>
        </w:tc>
        <w:tc>
          <w:tcPr>
            <w:tcW w:w="1066" w:type="dxa"/>
            <w:vAlign w:val="center"/>
          </w:tcPr>
          <w:p>
            <w:pPr>
              <w:rPr>
                <w:rFonts w:ascii="宋体" w:hAnsi="宋体"/>
                <w:szCs w:val="21"/>
              </w:rPr>
            </w:pPr>
            <w:r>
              <w:rPr>
                <w:rFonts w:hint="eastAsia" w:ascii="宋体" w:hAnsi="宋体"/>
                <w:szCs w:val="21"/>
              </w:rPr>
              <w:t>资源</w:t>
            </w:r>
            <w:r>
              <w:rPr>
                <w:rFonts w:ascii="宋体" w:hAnsi="宋体"/>
                <w:szCs w:val="21"/>
              </w:rPr>
              <w:t>虚拟化</w:t>
            </w:r>
          </w:p>
        </w:tc>
        <w:tc>
          <w:tcPr>
            <w:tcW w:w="6559" w:type="dxa"/>
            <w:vAlign w:val="center"/>
          </w:tcPr>
          <w:p>
            <w:pPr>
              <w:rPr>
                <w:rFonts w:ascii="宋体" w:hAnsi="宋体"/>
                <w:szCs w:val="21"/>
              </w:rPr>
            </w:pPr>
            <w:r>
              <w:rPr>
                <w:rFonts w:hint="eastAsia" w:ascii="宋体" w:hAnsi="宋体"/>
                <w:szCs w:val="21"/>
              </w:rPr>
              <w:t>支持在一台物理设备上划分出最大4000个相互独立的虚拟</w:t>
            </w:r>
            <w:r>
              <w:rPr>
                <w:rFonts w:ascii="宋体" w:hAnsi="宋体"/>
                <w:szCs w:val="21"/>
              </w:rPr>
              <w:t>系统，</w:t>
            </w:r>
            <w:r>
              <w:rPr>
                <w:rFonts w:hint="eastAsia" w:ascii="宋体" w:hAnsi="宋体"/>
                <w:szCs w:val="21"/>
              </w:rPr>
              <w:t>可根据连接</w:t>
            </w:r>
            <w:r>
              <w:rPr>
                <w:rFonts w:ascii="宋体" w:hAnsi="宋体"/>
                <w:szCs w:val="21"/>
              </w:rPr>
              <w:t>配额及</w:t>
            </w:r>
            <w:r>
              <w:rPr>
                <w:rFonts w:hint="eastAsia" w:ascii="宋体" w:hAnsi="宋体"/>
                <w:szCs w:val="21"/>
              </w:rPr>
              <w:t>连接</w:t>
            </w:r>
            <w:r>
              <w:rPr>
                <w:rFonts w:ascii="宋体" w:hAnsi="宋体"/>
                <w:szCs w:val="21"/>
              </w:rPr>
              <w:t>新建速率</w:t>
            </w:r>
            <w:r>
              <w:rPr>
                <w:rFonts w:hint="eastAsia" w:ascii="宋体" w:hAnsi="宋体"/>
                <w:szCs w:val="21"/>
              </w:rPr>
              <w:t>为</w:t>
            </w:r>
            <w:r>
              <w:rPr>
                <w:rFonts w:ascii="宋体" w:hAnsi="宋体"/>
                <w:szCs w:val="21"/>
              </w:rPr>
              <w:t>每个虚拟系统分配资源</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功能</w:t>
            </w:r>
            <w:r>
              <w:rPr>
                <w:rFonts w:ascii="宋体" w:hAnsi="宋体"/>
                <w:szCs w:val="21"/>
              </w:rPr>
              <w:t>虚拟化</w:t>
            </w:r>
          </w:p>
        </w:tc>
        <w:tc>
          <w:tcPr>
            <w:tcW w:w="6559" w:type="dxa"/>
            <w:vAlign w:val="center"/>
          </w:tcPr>
          <w:p>
            <w:pPr>
              <w:rPr>
                <w:rFonts w:ascii="宋体" w:hAnsi="宋体"/>
                <w:szCs w:val="21"/>
              </w:rPr>
            </w:pPr>
            <w:r>
              <w:rPr>
                <w:rFonts w:ascii="宋体" w:hAnsi="宋体"/>
                <w:szCs w:val="21"/>
              </w:rPr>
              <w:t>支持</w:t>
            </w:r>
            <w:r>
              <w:rPr>
                <w:rFonts w:hint="eastAsia" w:ascii="宋体" w:hAnsi="宋体"/>
                <w:szCs w:val="21"/>
              </w:rPr>
              <w:t>配置</w:t>
            </w:r>
            <w:r>
              <w:rPr>
                <w:rFonts w:ascii="宋体" w:hAnsi="宋体"/>
                <w:szCs w:val="21"/>
              </w:rPr>
              <w:t>文件、</w:t>
            </w:r>
            <w:r>
              <w:rPr>
                <w:rFonts w:hint="eastAsia" w:ascii="宋体" w:hAnsi="宋体"/>
                <w:szCs w:val="21"/>
              </w:rPr>
              <w:t>系统</w:t>
            </w:r>
            <w:r>
              <w:rPr>
                <w:rFonts w:ascii="宋体" w:hAnsi="宋体"/>
                <w:szCs w:val="21"/>
              </w:rPr>
              <w:t>服务</w:t>
            </w:r>
            <w:r>
              <w:rPr>
                <w:rFonts w:hint="eastAsia" w:ascii="宋体" w:hAnsi="宋体"/>
                <w:szCs w:val="21"/>
              </w:rPr>
              <w:t>等系统</w:t>
            </w:r>
            <w:r>
              <w:rPr>
                <w:rFonts w:ascii="宋体" w:hAnsi="宋体"/>
                <w:szCs w:val="21"/>
              </w:rPr>
              <w:t>功能虚拟化</w:t>
            </w:r>
            <w:r>
              <w:rPr>
                <w:rFonts w:hint="eastAsia" w:ascii="宋体" w:hAnsi="宋体"/>
                <w:szCs w:val="21"/>
              </w:rPr>
              <w:t>，支持路由</w:t>
            </w:r>
            <w:r>
              <w:rPr>
                <w:rFonts w:ascii="宋体" w:hAnsi="宋体"/>
                <w:szCs w:val="21"/>
              </w:rPr>
              <w:t>、链路聚合</w:t>
            </w:r>
            <w:r>
              <w:rPr>
                <w:rFonts w:hint="eastAsia" w:ascii="宋体" w:hAnsi="宋体"/>
                <w:szCs w:val="21"/>
              </w:rPr>
              <w:t>等</w:t>
            </w:r>
            <w:r>
              <w:rPr>
                <w:rFonts w:ascii="宋体" w:hAnsi="宋体"/>
                <w:szCs w:val="21"/>
              </w:rPr>
              <w:t>网络</w:t>
            </w:r>
            <w:r>
              <w:rPr>
                <w:rFonts w:hint="eastAsia" w:ascii="宋体" w:hAnsi="宋体"/>
                <w:szCs w:val="21"/>
              </w:rPr>
              <w:t>功能</w:t>
            </w:r>
            <w:r>
              <w:rPr>
                <w:rFonts w:ascii="宋体" w:hAnsi="宋体"/>
                <w:szCs w:val="21"/>
              </w:rPr>
              <w:t>虚拟化</w:t>
            </w:r>
            <w:r>
              <w:rPr>
                <w:rFonts w:hint="eastAsia" w:ascii="宋体" w:hAnsi="宋体"/>
                <w:szCs w:val="21"/>
              </w:rPr>
              <w:t>，支持</w:t>
            </w:r>
            <w:r>
              <w:rPr>
                <w:rFonts w:ascii="宋体" w:hAnsi="宋体"/>
                <w:szCs w:val="21"/>
              </w:rPr>
              <w:t>安全策略、</w:t>
            </w:r>
            <w:r>
              <w:rPr>
                <w:rFonts w:hint="eastAsia" w:ascii="宋体" w:hAnsi="宋体"/>
                <w:szCs w:val="21"/>
              </w:rPr>
              <w:t>NAT策略</w:t>
            </w:r>
            <w:r>
              <w:rPr>
                <w:rFonts w:ascii="宋体" w:hAnsi="宋体"/>
                <w:szCs w:val="21"/>
              </w:rPr>
              <w:t>、带宽管理、</w:t>
            </w:r>
            <w:r>
              <w:rPr>
                <w:rFonts w:hint="eastAsia" w:ascii="宋体" w:hAnsi="宋体"/>
                <w:szCs w:val="21"/>
              </w:rPr>
              <w:t>认证</w:t>
            </w:r>
            <w:r>
              <w:rPr>
                <w:rFonts w:ascii="宋体" w:hAnsi="宋体"/>
                <w:szCs w:val="21"/>
              </w:rPr>
              <w:t>策略、</w:t>
            </w:r>
            <w:r>
              <w:rPr>
                <w:rFonts w:hint="eastAsia" w:ascii="宋体" w:hAnsi="宋体"/>
                <w:szCs w:val="21"/>
              </w:rPr>
              <w:t>IPV6功能</w:t>
            </w:r>
            <w:r>
              <w:rPr>
                <w:rFonts w:ascii="宋体" w:hAnsi="宋体"/>
                <w:szCs w:val="21"/>
              </w:rPr>
              <w:t>、</w:t>
            </w:r>
            <w:r>
              <w:rPr>
                <w:rFonts w:hint="eastAsia" w:ascii="宋体" w:hAnsi="宋体"/>
                <w:szCs w:val="21"/>
              </w:rPr>
              <w:t>URL过滤</w:t>
            </w:r>
            <w:r>
              <w:rPr>
                <w:rFonts w:ascii="宋体" w:hAnsi="宋体"/>
                <w:szCs w:val="21"/>
              </w:rPr>
              <w:t>、</w:t>
            </w:r>
            <w:r>
              <w:rPr>
                <w:rFonts w:hint="eastAsia" w:ascii="宋体" w:hAnsi="宋体"/>
                <w:szCs w:val="21"/>
              </w:rPr>
              <w:t>异常行为</w:t>
            </w:r>
            <w:r>
              <w:rPr>
                <w:rFonts w:ascii="宋体" w:hAnsi="宋体"/>
                <w:szCs w:val="21"/>
              </w:rPr>
              <w:t>分析、</w:t>
            </w:r>
            <w:r>
              <w:rPr>
                <w:rFonts w:hint="eastAsia" w:ascii="宋体" w:hAnsi="宋体"/>
                <w:szCs w:val="21"/>
              </w:rPr>
              <w:t>病毒</w:t>
            </w:r>
            <w:r>
              <w:rPr>
                <w:rFonts w:ascii="宋体" w:hAnsi="宋体"/>
                <w:szCs w:val="21"/>
              </w:rPr>
              <w:t>过滤</w:t>
            </w:r>
            <w:r>
              <w:rPr>
                <w:rFonts w:hint="eastAsia" w:ascii="宋体" w:hAnsi="宋体"/>
                <w:szCs w:val="21"/>
              </w:rPr>
              <w:t>、</w:t>
            </w:r>
            <w:r>
              <w:rPr>
                <w:rFonts w:ascii="宋体" w:hAnsi="宋体"/>
                <w:szCs w:val="21"/>
              </w:rPr>
              <w:t>内容过滤、</w:t>
            </w:r>
            <w:r>
              <w:rPr>
                <w:rFonts w:hint="eastAsia" w:ascii="宋体" w:hAnsi="宋体"/>
                <w:szCs w:val="21"/>
              </w:rPr>
              <w:t>审计、</w:t>
            </w:r>
            <w:r>
              <w:rPr>
                <w:rFonts w:ascii="宋体" w:hAnsi="宋体"/>
                <w:szCs w:val="21"/>
              </w:rPr>
              <w:t>报表</w:t>
            </w:r>
            <w:r>
              <w:rPr>
                <w:rFonts w:hint="eastAsia" w:ascii="宋体" w:hAnsi="宋体"/>
                <w:szCs w:val="21"/>
              </w:rPr>
              <w:t>等</w:t>
            </w:r>
            <w:r>
              <w:rPr>
                <w:rFonts w:ascii="宋体" w:hAnsi="宋体"/>
                <w:szCs w:val="21"/>
              </w:rPr>
              <w:t>安全功能虚拟化</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restart"/>
            <w:vAlign w:val="center"/>
          </w:tcPr>
          <w:p>
            <w:pPr>
              <w:jc w:val="center"/>
              <w:rPr>
                <w:rFonts w:ascii="宋体" w:hAnsi="宋体"/>
                <w:b/>
                <w:szCs w:val="21"/>
              </w:rPr>
            </w:pPr>
            <w:r>
              <w:rPr>
                <w:rFonts w:hint="eastAsia" w:ascii="宋体" w:hAnsi="宋体"/>
                <w:b/>
                <w:szCs w:val="21"/>
              </w:rPr>
              <w:t>用户管控</w:t>
            </w:r>
          </w:p>
        </w:tc>
        <w:tc>
          <w:tcPr>
            <w:tcW w:w="1066" w:type="dxa"/>
            <w:vAlign w:val="center"/>
          </w:tcPr>
          <w:p>
            <w:pPr>
              <w:rPr>
                <w:rFonts w:ascii="宋体" w:hAnsi="宋体"/>
                <w:szCs w:val="21"/>
              </w:rPr>
            </w:pPr>
            <w:r>
              <w:rPr>
                <w:rFonts w:hint="eastAsia" w:ascii="宋体" w:hAnsi="宋体"/>
                <w:szCs w:val="21"/>
              </w:rPr>
              <w:t>认证方式</w:t>
            </w:r>
          </w:p>
        </w:tc>
        <w:tc>
          <w:tcPr>
            <w:tcW w:w="6559" w:type="dxa"/>
            <w:vAlign w:val="center"/>
          </w:tcPr>
          <w:p>
            <w:pPr>
              <w:rPr>
                <w:rFonts w:ascii="宋体" w:hAnsi="宋体"/>
                <w:szCs w:val="21"/>
              </w:rPr>
            </w:pPr>
            <w:r>
              <w:rPr>
                <w:rFonts w:hint="eastAsia" w:ascii="宋体" w:hAnsi="宋体"/>
                <w:szCs w:val="21"/>
              </w:rPr>
              <w:t>内置强大的用户身份管理系统，支持本地</w:t>
            </w:r>
            <w:r>
              <w:rPr>
                <w:rFonts w:ascii="宋体" w:hAnsi="宋体"/>
                <w:szCs w:val="21"/>
              </w:rPr>
              <w:t>认证、</w:t>
            </w:r>
            <w:r>
              <w:rPr>
                <w:rFonts w:hint="eastAsia" w:ascii="宋体" w:hAnsi="宋体"/>
                <w:szCs w:val="21"/>
              </w:rPr>
              <w:t>证书</w:t>
            </w:r>
            <w:r>
              <w:rPr>
                <w:rFonts w:ascii="宋体" w:hAnsi="宋体"/>
                <w:szCs w:val="21"/>
              </w:rPr>
              <w:t>认证</w:t>
            </w:r>
            <w:r>
              <w:rPr>
                <w:rFonts w:hint="eastAsia" w:ascii="宋体" w:hAnsi="宋体"/>
                <w:szCs w:val="21"/>
              </w:rPr>
              <w:t>及</w:t>
            </w:r>
            <w:r>
              <w:rPr>
                <w:rFonts w:ascii="宋体" w:hAnsi="宋体"/>
                <w:szCs w:val="21"/>
              </w:rPr>
              <w:t>免认证等方式，同时支持RADIUS</w:t>
            </w:r>
            <w:r>
              <w:rPr>
                <w:rFonts w:hint="eastAsia" w:ascii="宋体" w:hAnsi="宋体"/>
                <w:szCs w:val="21"/>
              </w:rPr>
              <w:t>、</w:t>
            </w:r>
            <w:r>
              <w:rPr>
                <w:rFonts w:ascii="宋体" w:hAnsi="宋体"/>
                <w:szCs w:val="21"/>
              </w:rPr>
              <w:t>LDAP</w:t>
            </w:r>
            <w:r>
              <w:rPr>
                <w:rFonts w:hint="eastAsia" w:ascii="宋体" w:hAnsi="宋体"/>
                <w:szCs w:val="21"/>
              </w:rPr>
              <w:t>、</w:t>
            </w:r>
            <w:r>
              <w:rPr>
                <w:rFonts w:ascii="宋体" w:hAnsi="宋体"/>
                <w:szCs w:val="21"/>
              </w:rPr>
              <w:t>TACACS</w:t>
            </w:r>
            <w:r>
              <w:rPr>
                <w:rFonts w:hint="eastAsia" w:ascii="宋体" w:hAnsi="宋体"/>
                <w:szCs w:val="21"/>
              </w:rPr>
              <w:t>等多种第三方外部认证设置；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用户管控</w:t>
            </w:r>
          </w:p>
        </w:tc>
        <w:tc>
          <w:tcPr>
            <w:tcW w:w="6559" w:type="dxa"/>
            <w:vAlign w:val="center"/>
          </w:tcPr>
          <w:p>
            <w:pPr>
              <w:rPr>
                <w:rFonts w:ascii="宋体" w:hAnsi="宋体"/>
                <w:szCs w:val="21"/>
              </w:rPr>
            </w:pPr>
            <w:r>
              <w:rPr>
                <w:rFonts w:hint="eastAsia" w:ascii="宋体" w:hAnsi="宋体"/>
                <w:szCs w:val="21"/>
              </w:rPr>
              <w:t>综合运用身份认证与访问控制技术，通过内置智能过滤引擎实现基于用户身份的安全防护策略部署与可视化监控；支持</w:t>
            </w:r>
            <w:r>
              <w:rPr>
                <w:rFonts w:ascii="宋体" w:hAnsi="宋体"/>
                <w:szCs w:val="21"/>
              </w:rPr>
              <w:t>创建用户</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672" w:type="dxa"/>
            <w:vMerge w:val="restart"/>
            <w:vAlign w:val="center"/>
          </w:tcPr>
          <w:p>
            <w:pPr>
              <w:jc w:val="center"/>
              <w:rPr>
                <w:rFonts w:ascii="宋体" w:hAnsi="宋体"/>
                <w:b/>
                <w:szCs w:val="21"/>
              </w:rPr>
            </w:pPr>
            <w:r>
              <w:rPr>
                <w:rFonts w:hint="eastAsia" w:ascii="宋体" w:hAnsi="宋体"/>
                <w:b/>
                <w:szCs w:val="21"/>
              </w:rPr>
              <w:t>应用管控</w:t>
            </w:r>
          </w:p>
        </w:tc>
        <w:tc>
          <w:tcPr>
            <w:tcW w:w="1066" w:type="dxa"/>
            <w:vAlign w:val="center"/>
          </w:tcPr>
          <w:p>
            <w:pPr>
              <w:rPr>
                <w:rFonts w:ascii="宋体" w:hAnsi="宋体"/>
                <w:szCs w:val="21"/>
              </w:rPr>
            </w:pPr>
            <w:r>
              <w:rPr>
                <w:rFonts w:hint="eastAsia" w:ascii="宋体" w:hAnsi="宋体"/>
                <w:szCs w:val="21"/>
              </w:rPr>
              <w:t>应用</w:t>
            </w:r>
            <w:r>
              <w:rPr>
                <w:rFonts w:ascii="宋体" w:hAnsi="宋体"/>
                <w:szCs w:val="21"/>
              </w:rPr>
              <w:t>识别</w:t>
            </w:r>
          </w:p>
        </w:tc>
        <w:tc>
          <w:tcPr>
            <w:tcW w:w="6559" w:type="dxa"/>
            <w:vAlign w:val="center"/>
          </w:tcPr>
          <w:p>
            <w:pPr>
              <w:rPr>
                <w:rFonts w:ascii="宋体" w:hAnsi="宋体"/>
                <w:szCs w:val="21"/>
              </w:rPr>
            </w:pPr>
            <w:r>
              <w:rPr>
                <w:rFonts w:hint="eastAsia" w:ascii="宋体" w:hAnsi="宋体"/>
                <w:szCs w:val="21"/>
              </w:rPr>
              <w:t>内置独立应用识别特征库，总数2100种以上，支持应用特征库在线或本地更新，支持应用特征自定义；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带宽</w:t>
            </w:r>
            <w:r>
              <w:rPr>
                <w:rFonts w:ascii="宋体" w:hAnsi="宋体"/>
                <w:szCs w:val="21"/>
              </w:rPr>
              <w:t>管理</w:t>
            </w:r>
          </w:p>
        </w:tc>
        <w:tc>
          <w:tcPr>
            <w:tcW w:w="6559" w:type="dxa"/>
            <w:vAlign w:val="center"/>
          </w:tcPr>
          <w:p>
            <w:pPr>
              <w:rPr>
                <w:rFonts w:ascii="宋体" w:hAnsi="宋体"/>
                <w:szCs w:val="21"/>
              </w:rPr>
            </w:pPr>
            <w:r>
              <w:rPr>
                <w:rFonts w:hint="eastAsia" w:ascii="宋体" w:hAnsi="宋体"/>
                <w:szCs w:val="21"/>
              </w:rPr>
              <w:t>支持基于IP/IP组、用户/用户组、服务/服务组、应用/应用组和时间等配置带宽策略；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672" w:type="dxa"/>
            <w:vMerge w:val="continue"/>
            <w:vAlign w:val="center"/>
          </w:tcPr>
          <w:p>
            <w:pPr>
              <w:jc w:val="center"/>
              <w:rPr>
                <w:rFonts w:ascii="宋体" w:hAnsi="宋体"/>
                <w:b/>
                <w:szCs w:val="21"/>
              </w:rPr>
            </w:pPr>
          </w:p>
        </w:tc>
        <w:tc>
          <w:tcPr>
            <w:tcW w:w="1066" w:type="dxa"/>
            <w:vMerge w:val="restart"/>
            <w:vAlign w:val="center"/>
          </w:tcPr>
          <w:p>
            <w:pPr>
              <w:rPr>
                <w:rFonts w:ascii="宋体" w:hAnsi="宋体"/>
                <w:szCs w:val="21"/>
              </w:rPr>
            </w:pPr>
            <w:r>
              <w:rPr>
                <w:rFonts w:hint="eastAsia" w:ascii="宋体" w:hAnsi="宋体"/>
                <w:szCs w:val="21"/>
              </w:rPr>
              <w:t>连接</w:t>
            </w:r>
            <w:r>
              <w:rPr>
                <w:rFonts w:ascii="宋体" w:hAnsi="宋体"/>
                <w:szCs w:val="21"/>
              </w:rPr>
              <w:t>控制</w:t>
            </w:r>
          </w:p>
        </w:tc>
        <w:tc>
          <w:tcPr>
            <w:tcW w:w="6559" w:type="dxa"/>
            <w:vAlign w:val="center"/>
          </w:tcPr>
          <w:p>
            <w:pPr>
              <w:rPr>
                <w:rFonts w:ascii="宋体" w:hAnsi="宋体"/>
                <w:szCs w:val="21"/>
              </w:rPr>
            </w:pPr>
            <w:r>
              <w:rPr>
                <w:rFonts w:hint="eastAsia" w:ascii="宋体" w:hAnsi="宋体"/>
                <w:szCs w:val="21"/>
              </w:rPr>
              <w:t>支持对单条访问控制策略进行最大并发连接数限制；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559" w:type="dxa"/>
            <w:vAlign w:val="center"/>
          </w:tcPr>
          <w:p>
            <w:pPr>
              <w:rPr>
                <w:rFonts w:ascii="宋体" w:hAnsi="宋体"/>
                <w:szCs w:val="21"/>
              </w:rPr>
            </w:pPr>
            <w:r>
              <w:rPr>
                <w:rFonts w:hint="eastAsia" w:ascii="宋体" w:hAnsi="宋体"/>
                <w:szCs w:val="21"/>
              </w:rPr>
              <w:t>为保护内部网络资源以及合理分配设备系统资源，需支持对指定的源/目的IP地址、MAC地址、应用制定相应的连接限制策略，策略包含三种限制类型：单个IP每秒新建连接限制、单个IP连接数限制及连接总数限制；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559" w:type="dxa"/>
            <w:vAlign w:val="center"/>
          </w:tcPr>
          <w:p>
            <w:pPr>
              <w:rPr>
                <w:rFonts w:ascii="宋体" w:hAnsi="宋体"/>
                <w:szCs w:val="21"/>
              </w:rPr>
            </w:pPr>
            <w:r>
              <w:rPr>
                <w:rFonts w:hint="eastAsia" w:ascii="宋体" w:hAnsi="宋体"/>
                <w:szCs w:val="21"/>
              </w:rPr>
              <w:t>支持</w:t>
            </w:r>
            <w:r>
              <w:rPr>
                <w:rFonts w:ascii="宋体" w:hAnsi="宋体"/>
                <w:szCs w:val="21"/>
              </w:rPr>
              <w:t>监控</w:t>
            </w:r>
            <w:r>
              <w:rPr>
                <w:rFonts w:hint="eastAsia" w:ascii="宋体" w:hAnsi="宋体"/>
                <w:szCs w:val="21"/>
              </w:rPr>
              <w:t>功能</w:t>
            </w:r>
            <w:r>
              <w:rPr>
                <w:rFonts w:ascii="宋体" w:hAnsi="宋体"/>
                <w:szCs w:val="21"/>
              </w:rPr>
              <w:t>，显示</w:t>
            </w:r>
            <w:r>
              <w:rPr>
                <w:rFonts w:hint="eastAsia" w:ascii="宋体" w:hAnsi="宋体"/>
                <w:szCs w:val="21"/>
              </w:rPr>
              <w:t>最近被拦截</w:t>
            </w:r>
            <w:r>
              <w:rPr>
                <w:rFonts w:ascii="宋体" w:hAnsi="宋体"/>
                <w:szCs w:val="21"/>
              </w:rPr>
              <w:t>的</w:t>
            </w:r>
            <w:r>
              <w:rPr>
                <w:rFonts w:hint="eastAsia" w:ascii="宋体" w:hAnsi="宋体"/>
                <w:szCs w:val="21"/>
              </w:rPr>
              <w:t>IP、地址</w:t>
            </w:r>
            <w:r>
              <w:rPr>
                <w:rFonts w:ascii="宋体" w:hAnsi="宋体"/>
                <w:szCs w:val="21"/>
              </w:rPr>
              <w:t>对象及</w:t>
            </w:r>
            <w:r>
              <w:rPr>
                <w:rFonts w:hint="eastAsia" w:ascii="宋体" w:hAnsi="宋体"/>
                <w:szCs w:val="21"/>
              </w:rPr>
              <w:t>应用的节点</w:t>
            </w:r>
            <w:r>
              <w:rPr>
                <w:rFonts w:ascii="宋体" w:hAnsi="宋体"/>
                <w:szCs w:val="21"/>
              </w:rPr>
              <w:t>信息</w:t>
            </w:r>
            <w:r>
              <w:rPr>
                <w:rFonts w:hint="eastAsia" w:ascii="宋体" w:hAnsi="宋体"/>
                <w:szCs w:val="21"/>
              </w:rPr>
              <w:t>；同时</w:t>
            </w:r>
            <w:r>
              <w:rPr>
                <w:rFonts w:ascii="宋体" w:hAnsi="宋体"/>
                <w:szCs w:val="21"/>
              </w:rPr>
              <w:t>支持</w:t>
            </w:r>
            <w:r>
              <w:rPr>
                <w:rFonts w:hint="eastAsia" w:ascii="宋体" w:hAnsi="宋体"/>
                <w:szCs w:val="21"/>
              </w:rPr>
              <w:t>对连接数限制策略匹配信息进行分类统计，方便管理</w:t>
            </w:r>
            <w:r>
              <w:rPr>
                <w:rFonts w:ascii="宋体" w:hAnsi="宋体"/>
                <w:szCs w:val="21"/>
              </w:rPr>
              <w:t>员</w:t>
            </w:r>
            <w:r>
              <w:rPr>
                <w:rFonts w:hint="eastAsia" w:ascii="宋体" w:hAnsi="宋体"/>
                <w:szCs w:val="21"/>
              </w:rPr>
              <w:t>根据统计</w:t>
            </w:r>
            <w:r>
              <w:rPr>
                <w:rFonts w:ascii="宋体" w:hAnsi="宋体"/>
                <w:szCs w:val="21"/>
              </w:rPr>
              <w:t>分析结果</w:t>
            </w:r>
            <w:r>
              <w:rPr>
                <w:rFonts w:hint="eastAsia" w:ascii="宋体" w:hAnsi="宋体"/>
                <w:szCs w:val="21"/>
              </w:rPr>
              <w:t>进行</w:t>
            </w:r>
            <w:r>
              <w:rPr>
                <w:rFonts w:ascii="宋体" w:hAnsi="宋体"/>
                <w:szCs w:val="21"/>
              </w:rPr>
              <w:t>相应的</w:t>
            </w:r>
            <w:r>
              <w:rPr>
                <w:rFonts w:hint="eastAsia" w:ascii="宋体" w:hAnsi="宋体"/>
                <w:szCs w:val="21"/>
              </w:rPr>
              <w:t>防护控制</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672" w:type="dxa"/>
            <w:vMerge w:val="restart"/>
            <w:vAlign w:val="center"/>
          </w:tcPr>
          <w:p>
            <w:pPr>
              <w:jc w:val="center"/>
              <w:rPr>
                <w:rFonts w:ascii="宋体" w:hAnsi="宋体"/>
                <w:b/>
                <w:szCs w:val="21"/>
              </w:rPr>
            </w:pPr>
            <w:r>
              <w:rPr>
                <w:rFonts w:hint="eastAsia" w:ascii="宋体" w:hAnsi="宋体"/>
                <w:b/>
                <w:szCs w:val="21"/>
              </w:rPr>
              <w:t>访问控制</w:t>
            </w:r>
          </w:p>
        </w:tc>
        <w:tc>
          <w:tcPr>
            <w:tcW w:w="1066" w:type="dxa"/>
            <w:vMerge w:val="restart"/>
            <w:vAlign w:val="center"/>
          </w:tcPr>
          <w:p>
            <w:pPr>
              <w:rPr>
                <w:rFonts w:ascii="宋体" w:hAnsi="宋体"/>
                <w:szCs w:val="21"/>
              </w:rPr>
            </w:pPr>
            <w:r>
              <w:rPr>
                <w:rFonts w:hint="eastAsia" w:ascii="宋体" w:hAnsi="宋体"/>
                <w:szCs w:val="21"/>
              </w:rPr>
              <w:t>一体化访问控制</w:t>
            </w:r>
          </w:p>
        </w:tc>
        <w:tc>
          <w:tcPr>
            <w:tcW w:w="6559" w:type="dxa"/>
            <w:vAlign w:val="center"/>
          </w:tcPr>
          <w:p>
            <w:pPr>
              <w:pStyle w:val="9"/>
              <w:rPr>
                <w:rFonts w:ascii="宋体" w:hAnsi="宋体"/>
                <w:szCs w:val="21"/>
              </w:rPr>
            </w:pPr>
            <w:r>
              <w:rPr>
                <w:rFonts w:hint="eastAsia" w:ascii="宋体" w:hAnsi="宋体"/>
                <w:szCs w:val="21"/>
              </w:rPr>
              <w:t>内置高度集成的一体化智能过滤引擎技术，实现在同一条访问控制策略中配置传统的五元组信息、用户</w:t>
            </w:r>
            <w:r>
              <w:rPr>
                <w:rFonts w:hint="eastAsia"/>
              </w:rPr>
              <w:t>等的识别与控制。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559" w:type="dxa"/>
            <w:vAlign w:val="center"/>
          </w:tcPr>
          <w:p>
            <w:pPr>
              <w:rPr>
                <w:rFonts w:ascii="宋体" w:hAnsi="宋体"/>
                <w:szCs w:val="21"/>
              </w:rPr>
            </w:pPr>
            <w:r>
              <w:rPr>
                <w:rFonts w:hint="eastAsia" w:ascii="宋体" w:hAnsi="宋体"/>
                <w:szCs w:val="21"/>
              </w:rPr>
              <w:t>访问</w:t>
            </w:r>
            <w:r>
              <w:rPr>
                <w:rFonts w:ascii="宋体" w:hAnsi="宋体"/>
                <w:szCs w:val="21"/>
              </w:rPr>
              <w:t>控制策略执行动作</w:t>
            </w:r>
            <w:r>
              <w:rPr>
                <w:rFonts w:hint="eastAsia" w:ascii="宋体" w:hAnsi="宋体"/>
                <w:szCs w:val="21"/>
              </w:rPr>
              <w:t>支持允许</w:t>
            </w:r>
            <w:r>
              <w:rPr>
                <w:rFonts w:ascii="宋体" w:hAnsi="宋体"/>
                <w:szCs w:val="21"/>
              </w:rPr>
              <w:t>、禁止</w:t>
            </w:r>
            <w:r>
              <w:rPr>
                <w:rFonts w:hint="eastAsia" w:ascii="宋体" w:hAnsi="宋体"/>
                <w:szCs w:val="21"/>
              </w:rPr>
              <w:t>及</w:t>
            </w:r>
            <w:r>
              <w:rPr>
                <w:rFonts w:ascii="宋体" w:hAnsi="宋体"/>
                <w:szCs w:val="21"/>
              </w:rPr>
              <w:t>认证，</w:t>
            </w:r>
            <w:r>
              <w:rPr>
                <w:rFonts w:hint="eastAsia" w:ascii="宋体" w:hAnsi="宋体"/>
                <w:szCs w:val="21"/>
              </w:rPr>
              <w:t>对符合条件的流量进行Web认证，在</w:t>
            </w:r>
            <w:r>
              <w:rPr>
                <w:rFonts w:ascii="宋体" w:hAnsi="宋体"/>
                <w:szCs w:val="21"/>
              </w:rPr>
              <w:t>策略中可</w:t>
            </w:r>
            <w:r>
              <w:rPr>
                <w:rFonts w:hint="eastAsia" w:ascii="宋体" w:hAnsi="宋体"/>
                <w:szCs w:val="21"/>
              </w:rPr>
              <w:t>设置用户 Web 认证的门户地址；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559" w:type="dxa"/>
            <w:vAlign w:val="center"/>
          </w:tcPr>
          <w:p>
            <w:pPr>
              <w:rPr>
                <w:rFonts w:ascii="宋体" w:hAnsi="宋体"/>
                <w:szCs w:val="21"/>
              </w:rPr>
            </w:pPr>
            <w:r>
              <w:rPr>
                <w:rFonts w:hint="eastAsia" w:ascii="宋体" w:hAnsi="宋体"/>
                <w:szCs w:val="21"/>
              </w:rPr>
              <w:t>提供智能策略分析功能</w:t>
            </w:r>
            <w:r>
              <w:rPr>
                <w:rFonts w:ascii="宋体" w:hAnsi="宋体"/>
                <w:szCs w:val="21"/>
              </w:rPr>
              <w:t>，</w:t>
            </w:r>
            <w:r>
              <w:rPr>
                <w:rFonts w:hint="eastAsia" w:ascii="宋体" w:hAnsi="宋体"/>
                <w:szCs w:val="21"/>
              </w:rPr>
              <w:t>支持</w:t>
            </w:r>
            <w:r>
              <w:rPr>
                <w:rFonts w:ascii="宋体" w:hAnsi="宋体"/>
                <w:szCs w:val="21"/>
              </w:rPr>
              <w:t>策略命中分析、策略</w:t>
            </w:r>
            <w:r>
              <w:rPr>
                <w:rFonts w:hint="eastAsia" w:ascii="宋体" w:hAnsi="宋体"/>
                <w:szCs w:val="21"/>
              </w:rPr>
              <w:t>冗余</w:t>
            </w:r>
            <w:r>
              <w:rPr>
                <w:rFonts w:ascii="宋体" w:hAnsi="宋体"/>
                <w:szCs w:val="21"/>
              </w:rPr>
              <w:t>分析、策略</w:t>
            </w:r>
            <w:r>
              <w:rPr>
                <w:rFonts w:hint="eastAsia" w:ascii="宋体" w:hAnsi="宋体"/>
                <w:szCs w:val="21"/>
              </w:rPr>
              <w:t>冲突检查</w:t>
            </w:r>
            <w:r>
              <w:rPr>
                <w:rFonts w:ascii="宋体" w:hAnsi="宋体"/>
                <w:szCs w:val="21"/>
              </w:rPr>
              <w:t>，</w:t>
            </w:r>
            <w:r>
              <w:rPr>
                <w:rFonts w:hint="eastAsia" w:ascii="宋体" w:hAnsi="宋体"/>
                <w:szCs w:val="21"/>
              </w:rPr>
              <w:t>并且可在WEB界面显示检测结果；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559" w:type="dxa"/>
            <w:vAlign w:val="center"/>
          </w:tcPr>
          <w:p>
            <w:pPr>
              <w:rPr>
                <w:rFonts w:ascii="宋体" w:hAnsi="宋体"/>
                <w:szCs w:val="21"/>
              </w:rPr>
            </w:pPr>
            <w:r>
              <w:rPr>
                <w:rFonts w:hint="eastAsia" w:ascii="宋体" w:hAnsi="宋体"/>
                <w:szCs w:val="21"/>
              </w:rPr>
              <w:t>支持</w:t>
            </w:r>
            <w:r>
              <w:rPr>
                <w:rFonts w:ascii="宋体" w:hAnsi="宋体"/>
                <w:szCs w:val="21"/>
              </w:rPr>
              <w:t>黑名单功能，</w:t>
            </w:r>
            <w:r>
              <w:rPr>
                <w:rFonts w:hint="eastAsia" w:ascii="宋体" w:hAnsi="宋体"/>
                <w:szCs w:val="21"/>
              </w:rPr>
              <w:t>可</w:t>
            </w:r>
            <w:r>
              <w:rPr>
                <w:rFonts w:ascii="宋体" w:hAnsi="宋体"/>
                <w:szCs w:val="21"/>
              </w:rPr>
              <w:t>设置</w:t>
            </w:r>
            <w:r>
              <w:rPr>
                <w:rFonts w:hint="eastAsia" w:ascii="宋体" w:hAnsi="宋体"/>
                <w:szCs w:val="21"/>
              </w:rPr>
              <w:t>多个</w:t>
            </w:r>
            <w:r>
              <w:rPr>
                <w:rFonts w:ascii="宋体" w:hAnsi="宋体"/>
                <w:szCs w:val="21"/>
              </w:rPr>
              <w:t>对象条件，如：</w:t>
            </w:r>
            <w:r>
              <w:rPr>
                <w:rFonts w:hint="eastAsia" w:ascii="宋体" w:hAnsi="宋体"/>
                <w:szCs w:val="21"/>
              </w:rPr>
              <w:t>五元组信息、地址</w:t>
            </w:r>
            <w:r>
              <w:rPr>
                <w:rFonts w:ascii="宋体" w:hAnsi="宋体"/>
                <w:szCs w:val="21"/>
              </w:rPr>
              <w:t>范围、</w:t>
            </w:r>
            <w:r>
              <w:rPr>
                <w:rFonts w:hint="eastAsia" w:ascii="宋体" w:hAnsi="宋体"/>
                <w:szCs w:val="21"/>
              </w:rPr>
              <w:t>应用</w:t>
            </w:r>
            <w:r>
              <w:rPr>
                <w:rFonts w:ascii="宋体" w:hAnsi="宋体"/>
                <w:szCs w:val="21"/>
              </w:rPr>
              <w:t>、用户等</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672" w:type="dxa"/>
            <w:vMerge w:val="restart"/>
            <w:vAlign w:val="center"/>
          </w:tcPr>
          <w:p>
            <w:pPr>
              <w:jc w:val="center"/>
              <w:rPr>
                <w:rFonts w:ascii="宋体" w:hAnsi="宋体"/>
                <w:b/>
                <w:szCs w:val="21"/>
              </w:rPr>
            </w:pPr>
            <w:r>
              <w:rPr>
                <w:rFonts w:hint="eastAsia" w:ascii="宋体" w:hAnsi="宋体"/>
                <w:b/>
                <w:szCs w:val="21"/>
              </w:rPr>
              <w:t>安全防护</w:t>
            </w:r>
          </w:p>
        </w:tc>
        <w:tc>
          <w:tcPr>
            <w:tcW w:w="1066" w:type="dxa"/>
            <w:vAlign w:val="center"/>
          </w:tcPr>
          <w:p>
            <w:pPr>
              <w:rPr>
                <w:rFonts w:ascii="宋体" w:hAnsi="宋体"/>
                <w:szCs w:val="21"/>
              </w:rPr>
            </w:pPr>
            <w:r>
              <w:rPr>
                <w:rFonts w:hint="eastAsia" w:ascii="宋体" w:hAnsi="宋体"/>
                <w:szCs w:val="21"/>
              </w:rPr>
              <w:t>未知</w:t>
            </w:r>
            <w:r>
              <w:rPr>
                <w:rFonts w:ascii="宋体" w:hAnsi="宋体"/>
                <w:szCs w:val="21"/>
              </w:rPr>
              <w:t>威胁防御</w:t>
            </w:r>
          </w:p>
        </w:tc>
        <w:tc>
          <w:tcPr>
            <w:tcW w:w="6559" w:type="dxa"/>
            <w:vAlign w:val="center"/>
          </w:tcPr>
          <w:p>
            <w:pPr>
              <w:rPr>
                <w:rFonts w:ascii="宋体" w:hAnsi="宋体"/>
                <w:szCs w:val="21"/>
              </w:rPr>
            </w:pPr>
            <w:r>
              <w:rPr>
                <w:rFonts w:hint="eastAsia" w:ascii="宋体" w:hAnsi="宋体"/>
                <w:szCs w:val="21"/>
              </w:rPr>
              <w:t>支持APT防御扩展</w:t>
            </w:r>
            <w:r>
              <w:rPr>
                <w:rFonts w:ascii="宋体" w:hAnsi="宋体"/>
                <w:szCs w:val="21"/>
              </w:rPr>
              <w:t>，</w:t>
            </w:r>
            <w:r>
              <w:rPr>
                <w:rFonts w:hint="eastAsia" w:ascii="宋体" w:hAnsi="宋体"/>
                <w:szCs w:val="21"/>
              </w:rPr>
              <w:t>不依赖于攻击、恶意代码等特征库进行检测，通过沙箱技术对于未知漏洞攻击（</w:t>
            </w:r>
            <w:r>
              <w:rPr>
                <w:rFonts w:ascii="宋体" w:hAnsi="宋体"/>
                <w:szCs w:val="21"/>
              </w:rPr>
              <w:t>0day/1day</w:t>
            </w:r>
            <w:r>
              <w:rPr>
                <w:rFonts w:hint="eastAsia" w:ascii="宋体" w:hAnsi="宋体"/>
                <w:szCs w:val="21"/>
              </w:rPr>
              <w:t>漏洞）、木马、病毒具有检测能力；可根据</w:t>
            </w:r>
            <w:r>
              <w:rPr>
                <w:rFonts w:ascii="宋体" w:hAnsi="宋体"/>
                <w:szCs w:val="21"/>
              </w:rPr>
              <w:t>用户环境，</w:t>
            </w:r>
            <w:r>
              <w:rPr>
                <w:rFonts w:hint="eastAsia" w:ascii="宋体" w:hAnsi="宋体"/>
                <w:szCs w:val="21"/>
              </w:rPr>
              <w:t>将APT工作</w:t>
            </w:r>
            <w:r>
              <w:rPr>
                <w:rFonts w:ascii="宋体" w:hAnsi="宋体"/>
                <w:szCs w:val="21"/>
              </w:rPr>
              <w:t>模式</w:t>
            </w:r>
            <w:r>
              <w:rPr>
                <w:rFonts w:hint="eastAsia" w:ascii="宋体" w:hAnsi="宋体"/>
                <w:szCs w:val="21"/>
              </w:rPr>
              <w:t>设置</w:t>
            </w:r>
            <w:r>
              <w:rPr>
                <w:rFonts w:ascii="宋体" w:hAnsi="宋体"/>
                <w:szCs w:val="21"/>
              </w:rPr>
              <w:t>为</w:t>
            </w:r>
            <w:r>
              <w:rPr>
                <w:rFonts w:hint="eastAsia" w:ascii="宋体" w:hAnsi="宋体"/>
                <w:szCs w:val="21"/>
              </w:rPr>
              <w:t>深度</w:t>
            </w:r>
            <w:r>
              <w:rPr>
                <w:rFonts w:ascii="宋体" w:hAnsi="宋体"/>
                <w:szCs w:val="21"/>
              </w:rPr>
              <w:t>模式或者</w:t>
            </w:r>
            <w:r>
              <w:rPr>
                <w:rFonts w:hint="eastAsia" w:ascii="宋体" w:hAnsi="宋体"/>
                <w:szCs w:val="21"/>
              </w:rPr>
              <w:t>智能</w:t>
            </w:r>
            <w:r>
              <w:rPr>
                <w:rFonts w:ascii="宋体" w:hAnsi="宋体"/>
                <w:szCs w:val="21"/>
              </w:rPr>
              <w:t>模式</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入侵防御</w:t>
            </w:r>
          </w:p>
        </w:tc>
        <w:tc>
          <w:tcPr>
            <w:tcW w:w="6559" w:type="dxa"/>
            <w:vAlign w:val="center"/>
          </w:tcPr>
          <w:p>
            <w:pPr>
              <w:rPr>
                <w:rFonts w:ascii="宋体" w:hAnsi="宋体"/>
                <w:szCs w:val="21"/>
              </w:rPr>
            </w:pPr>
            <w:r>
              <w:rPr>
                <w:rFonts w:hint="eastAsia" w:ascii="宋体" w:hAnsi="宋体"/>
                <w:szCs w:val="21"/>
              </w:rPr>
              <w:t>内置攻击检测引擎，采用协议分析、模式识别、统计阀值和流量异常监视等综合技术手段来判断入侵行为；支持</w:t>
            </w:r>
            <w:r>
              <w:rPr>
                <w:rFonts w:ascii="宋体" w:hAnsi="宋体"/>
                <w:szCs w:val="21"/>
              </w:rPr>
              <w:t>web</w:t>
            </w:r>
            <w:r>
              <w:rPr>
                <w:rFonts w:hint="eastAsia" w:ascii="宋体" w:hAnsi="宋体"/>
                <w:szCs w:val="21"/>
              </w:rPr>
              <w:t>攻击识别和防护，如跨站脚本攻击、</w:t>
            </w:r>
            <w:r>
              <w:rPr>
                <w:rFonts w:ascii="宋体" w:hAnsi="宋体"/>
                <w:szCs w:val="21"/>
              </w:rPr>
              <w:t>SQL</w:t>
            </w:r>
            <w:r>
              <w:rPr>
                <w:rFonts w:hint="eastAsia" w:ascii="宋体" w:hAnsi="宋体"/>
                <w:szCs w:val="21"/>
              </w:rPr>
              <w:t>注入攻击；支持超过</w:t>
            </w:r>
            <w:r>
              <w:rPr>
                <w:rFonts w:ascii="宋体" w:hAnsi="宋体"/>
                <w:szCs w:val="21"/>
              </w:rPr>
              <w:t>4</w:t>
            </w:r>
            <w:r>
              <w:rPr>
                <w:rFonts w:hint="eastAsia" w:ascii="宋体" w:hAnsi="宋体"/>
                <w:szCs w:val="21"/>
              </w:rPr>
              <w:t>0</w:t>
            </w:r>
            <w:r>
              <w:rPr>
                <w:rFonts w:ascii="宋体" w:hAnsi="宋体"/>
                <w:szCs w:val="21"/>
              </w:rPr>
              <w:t>00</w:t>
            </w:r>
            <w:r>
              <w:rPr>
                <w:rFonts w:hint="eastAsia" w:ascii="宋体" w:hAnsi="宋体"/>
                <w:szCs w:val="21"/>
              </w:rPr>
              <w:t>攻击特征库，同时支持自定义特征库。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2" w:type="dxa"/>
            <w:vMerge w:val="continue"/>
            <w:vAlign w:val="center"/>
          </w:tcPr>
          <w:p>
            <w:pPr>
              <w:jc w:val="center"/>
              <w:rPr>
                <w:rFonts w:ascii="宋体" w:hAnsi="宋体"/>
                <w:b/>
                <w:szCs w:val="21"/>
              </w:rPr>
            </w:pPr>
          </w:p>
        </w:tc>
        <w:tc>
          <w:tcPr>
            <w:tcW w:w="1066" w:type="dxa"/>
            <w:vMerge w:val="restart"/>
            <w:vAlign w:val="center"/>
          </w:tcPr>
          <w:p>
            <w:pPr>
              <w:rPr>
                <w:rFonts w:ascii="宋体" w:hAnsi="宋体"/>
                <w:szCs w:val="21"/>
              </w:rPr>
            </w:pPr>
            <w:r>
              <w:rPr>
                <w:rFonts w:hint="eastAsia" w:ascii="宋体" w:hAnsi="宋体"/>
                <w:szCs w:val="21"/>
              </w:rPr>
              <w:t>DDOS防御</w:t>
            </w:r>
          </w:p>
        </w:tc>
        <w:tc>
          <w:tcPr>
            <w:tcW w:w="6559" w:type="dxa"/>
            <w:vAlign w:val="center"/>
          </w:tcPr>
          <w:p>
            <w:pPr>
              <w:rPr>
                <w:rFonts w:ascii="宋体" w:hAnsi="宋体"/>
                <w:szCs w:val="21"/>
              </w:rPr>
            </w:pPr>
            <w:r>
              <w:rPr>
                <w:rFonts w:hint="eastAsia" w:ascii="宋体" w:hAnsi="宋体"/>
                <w:szCs w:val="21"/>
              </w:rPr>
              <w:t>支持</w:t>
            </w:r>
            <w:r>
              <w:rPr>
                <w:rFonts w:ascii="宋体" w:hAnsi="宋体"/>
                <w:szCs w:val="21"/>
              </w:rPr>
              <w:t>基于</w:t>
            </w:r>
            <w:r>
              <w:rPr>
                <w:rFonts w:hint="eastAsia" w:ascii="宋体" w:hAnsi="宋体"/>
                <w:szCs w:val="21"/>
              </w:rPr>
              <w:t>IP协议</w:t>
            </w:r>
            <w:r>
              <w:rPr>
                <w:rFonts w:ascii="宋体" w:hAnsi="宋体"/>
                <w:szCs w:val="21"/>
              </w:rPr>
              <w:t>的</w:t>
            </w:r>
            <w:r>
              <w:rPr>
                <w:rFonts w:hint="eastAsia" w:ascii="宋体" w:hAnsi="宋体"/>
                <w:szCs w:val="21"/>
              </w:rPr>
              <w:t>检测</w:t>
            </w:r>
            <w:r>
              <w:rPr>
                <w:rFonts w:ascii="宋体" w:hAnsi="宋体"/>
                <w:szCs w:val="21"/>
              </w:rPr>
              <w:t>清洗</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559" w:type="dxa"/>
            <w:vAlign w:val="center"/>
          </w:tcPr>
          <w:p>
            <w:pPr>
              <w:rPr>
                <w:rFonts w:ascii="宋体" w:hAnsi="宋体"/>
                <w:szCs w:val="21"/>
              </w:rPr>
            </w:pPr>
            <w:r>
              <w:rPr>
                <w:rFonts w:hint="eastAsia" w:ascii="宋体" w:hAnsi="宋体"/>
                <w:szCs w:val="21"/>
              </w:rPr>
              <w:t>支持</w:t>
            </w:r>
            <w:r>
              <w:rPr>
                <w:rFonts w:ascii="宋体" w:hAnsi="宋体"/>
                <w:szCs w:val="21"/>
              </w:rPr>
              <w:t>基于</w:t>
            </w:r>
            <w:r>
              <w:rPr>
                <w:rFonts w:hint="eastAsia" w:ascii="宋体" w:hAnsi="宋体"/>
                <w:szCs w:val="21"/>
              </w:rPr>
              <w:t>TCP协议</w:t>
            </w:r>
            <w:r>
              <w:rPr>
                <w:rFonts w:ascii="宋体" w:hAnsi="宋体"/>
                <w:szCs w:val="21"/>
              </w:rPr>
              <w:t>的检测清洗；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559" w:type="dxa"/>
            <w:vAlign w:val="center"/>
          </w:tcPr>
          <w:p>
            <w:pPr>
              <w:rPr>
                <w:rFonts w:ascii="宋体" w:hAnsi="宋体"/>
                <w:szCs w:val="21"/>
              </w:rPr>
            </w:pPr>
            <w:r>
              <w:rPr>
                <w:rFonts w:hint="eastAsia" w:ascii="宋体" w:hAnsi="宋体"/>
                <w:szCs w:val="21"/>
              </w:rPr>
              <w:t>支持</w:t>
            </w:r>
            <w:r>
              <w:rPr>
                <w:rFonts w:ascii="宋体" w:hAnsi="宋体"/>
                <w:szCs w:val="21"/>
              </w:rPr>
              <w:t>基于</w:t>
            </w:r>
            <w:r>
              <w:rPr>
                <w:rFonts w:hint="eastAsia" w:ascii="宋体" w:hAnsi="宋体"/>
                <w:szCs w:val="21"/>
              </w:rPr>
              <w:t>UDP协议</w:t>
            </w:r>
            <w:r>
              <w:rPr>
                <w:rFonts w:ascii="宋体" w:hAnsi="宋体"/>
                <w:szCs w:val="21"/>
              </w:rPr>
              <w:t>的检测清洗</w:t>
            </w:r>
            <w:r>
              <w:rPr>
                <w:rFonts w:hint="eastAsia" w:ascii="宋体" w:hAnsi="宋体"/>
                <w:szCs w:val="21"/>
              </w:rPr>
              <w:t>，包括</w:t>
            </w:r>
            <w:r>
              <w:rPr>
                <w:rFonts w:ascii="宋体" w:hAnsi="宋体"/>
                <w:szCs w:val="21"/>
              </w:rPr>
              <w:t>对源、目的</w:t>
            </w:r>
            <w:r>
              <w:rPr>
                <w:rFonts w:hint="eastAsia" w:ascii="宋体" w:hAnsi="宋体"/>
                <w:szCs w:val="21"/>
              </w:rPr>
              <w:t>限速，</w:t>
            </w:r>
            <w:r>
              <w:rPr>
                <w:rFonts w:ascii="宋体" w:hAnsi="宋体"/>
                <w:szCs w:val="21"/>
              </w:rPr>
              <w:t>对</w:t>
            </w:r>
            <w:r>
              <w:rPr>
                <w:rFonts w:hint="eastAsia" w:ascii="宋体" w:hAnsi="宋体"/>
                <w:szCs w:val="21"/>
              </w:rPr>
              <w:t>UDP最大</w:t>
            </w:r>
            <w:r>
              <w:rPr>
                <w:rFonts w:ascii="宋体" w:hAnsi="宋体"/>
                <w:szCs w:val="21"/>
              </w:rPr>
              <w:t>及最</w:t>
            </w:r>
            <w:r>
              <w:rPr>
                <w:rFonts w:hint="eastAsia" w:ascii="宋体" w:hAnsi="宋体"/>
                <w:szCs w:val="21"/>
              </w:rPr>
              <w:t>小</w:t>
            </w:r>
            <w:r>
              <w:rPr>
                <w:rFonts w:ascii="宋体" w:hAnsi="宋体"/>
                <w:szCs w:val="21"/>
              </w:rPr>
              <w:t>报文</w:t>
            </w:r>
            <w:r>
              <w:rPr>
                <w:rFonts w:hint="eastAsia" w:ascii="宋体" w:hAnsi="宋体"/>
                <w:szCs w:val="21"/>
              </w:rPr>
              <w:t>限制；同时</w:t>
            </w:r>
            <w:r>
              <w:rPr>
                <w:rFonts w:ascii="宋体" w:hAnsi="宋体"/>
                <w:szCs w:val="21"/>
              </w:rPr>
              <w:t>支持</w:t>
            </w:r>
            <w:r>
              <w:rPr>
                <w:rFonts w:hint="eastAsia" w:ascii="宋体" w:hAnsi="宋体"/>
                <w:szCs w:val="21"/>
              </w:rPr>
              <w:t>UDP关联</w:t>
            </w:r>
            <w:r>
              <w:rPr>
                <w:rFonts w:ascii="宋体" w:hAnsi="宋体"/>
                <w:szCs w:val="21"/>
              </w:rPr>
              <w:t>认证，</w:t>
            </w:r>
            <w:r>
              <w:rPr>
                <w:rFonts w:hint="eastAsia" w:ascii="宋体" w:hAnsi="宋体"/>
                <w:szCs w:val="21"/>
              </w:rPr>
              <w:t>要求所有去往服务器的UDP报文，必须首先与该服务器的TCP端口建立TCP连接，</w:t>
            </w:r>
            <w:r>
              <w:rPr>
                <w:rFonts w:ascii="宋体" w:hAnsi="宋体"/>
                <w:szCs w:val="21"/>
              </w:rPr>
              <w:t>对源地址进行合法性认证</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559" w:type="dxa"/>
            <w:vAlign w:val="center"/>
          </w:tcPr>
          <w:p>
            <w:pPr>
              <w:rPr>
                <w:rFonts w:ascii="宋体" w:hAnsi="宋体"/>
                <w:szCs w:val="21"/>
              </w:rPr>
            </w:pPr>
            <w:r>
              <w:rPr>
                <w:rFonts w:hint="eastAsia" w:ascii="宋体" w:hAnsi="宋体"/>
                <w:szCs w:val="21"/>
              </w:rPr>
              <w:t>支持</w:t>
            </w:r>
            <w:r>
              <w:rPr>
                <w:rFonts w:ascii="宋体" w:hAnsi="宋体"/>
                <w:szCs w:val="21"/>
              </w:rPr>
              <w:t>基于</w:t>
            </w:r>
            <w:r>
              <w:rPr>
                <w:rFonts w:hint="eastAsia" w:ascii="宋体" w:hAnsi="宋体"/>
                <w:szCs w:val="21"/>
              </w:rPr>
              <w:t>DNS协议</w:t>
            </w:r>
            <w:r>
              <w:rPr>
                <w:rFonts w:ascii="宋体" w:hAnsi="宋体"/>
                <w:szCs w:val="21"/>
              </w:rPr>
              <w:t>的检测清洗</w:t>
            </w:r>
            <w:r>
              <w:rPr>
                <w:rFonts w:hint="eastAsia" w:ascii="宋体" w:hAnsi="宋体"/>
                <w:szCs w:val="21"/>
              </w:rPr>
              <w:t>，包括</w:t>
            </w:r>
            <w:r>
              <w:rPr>
                <w:rFonts w:ascii="宋体" w:hAnsi="宋体"/>
                <w:szCs w:val="21"/>
              </w:rPr>
              <w:t>但不限于：DNS QUERY FLOOD</w:t>
            </w:r>
            <w:r>
              <w:rPr>
                <w:rFonts w:hint="eastAsia" w:ascii="宋体" w:hAnsi="宋体"/>
                <w:szCs w:val="21"/>
              </w:rPr>
              <w:t>、</w:t>
            </w:r>
            <w:r>
              <w:rPr>
                <w:rFonts w:ascii="宋体" w:hAnsi="宋体"/>
                <w:szCs w:val="21"/>
              </w:rPr>
              <w:t>DNS REPLY FLOOD</w:t>
            </w:r>
            <w:r>
              <w:rPr>
                <w:rFonts w:hint="eastAsia" w:ascii="宋体" w:hAnsi="宋体"/>
                <w:szCs w:val="21"/>
              </w:rPr>
              <w:t>、DNS投毒攻击、DNS格式检查、DNS NX异常比率检测等</w:t>
            </w:r>
            <w:r>
              <w:rPr>
                <w:rFonts w:ascii="宋体" w:hAnsi="宋体"/>
                <w:szCs w:val="21"/>
              </w:rPr>
              <w:t>；</w:t>
            </w:r>
            <w:r>
              <w:rPr>
                <w:rFonts w:hint="eastAsia" w:ascii="宋体" w:hAnsi="宋体"/>
                <w:szCs w:val="21"/>
              </w:rPr>
              <w:t>支持DNS QUERY源认证、</w:t>
            </w:r>
            <w:r>
              <w:rPr>
                <w:rFonts w:ascii="宋体" w:hAnsi="宋体"/>
                <w:szCs w:val="21"/>
              </w:rPr>
              <w:t>DNS REPLY</w:t>
            </w:r>
            <w:r>
              <w:rPr>
                <w:rFonts w:hint="eastAsia" w:ascii="宋体" w:hAnsi="宋体"/>
                <w:szCs w:val="21"/>
              </w:rPr>
              <w:t>源认证</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559" w:type="dxa"/>
            <w:vAlign w:val="center"/>
          </w:tcPr>
          <w:p>
            <w:pPr>
              <w:rPr>
                <w:rFonts w:ascii="宋体" w:hAnsi="宋体"/>
                <w:szCs w:val="21"/>
              </w:rPr>
            </w:pPr>
            <w:r>
              <w:rPr>
                <w:rFonts w:hint="eastAsia" w:ascii="宋体" w:hAnsi="宋体"/>
                <w:szCs w:val="21"/>
              </w:rPr>
              <w:t>支持</w:t>
            </w:r>
            <w:r>
              <w:rPr>
                <w:rFonts w:ascii="宋体" w:hAnsi="宋体"/>
                <w:szCs w:val="21"/>
              </w:rPr>
              <w:t>基于</w:t>
            </w:r>
            <w:r>
              <w:rPr>
                <w:rFonts w:hint="eastAsia" w:ascii="宋体" w:hAnsi="宋体"/>
                <w:szCs w:val="21"/>
              </w:rPr>
              <w:t>HTTP协议</w:t>
            </w:r>
            <w:r>
              <w:rPr>
                <w:rFonts w:ascii="宋体" w:hAnsi="宋体"/>
                <w:szCs w:val="21"/>
              </w:rPr>
              <w:t>的检测清洗</w:t>
            </w:r>
            <w:r>
              <w:rPr>
                <w:rFonts w:hint="eastAsia" w:ascii="宋体" w:hAnsi="宋体"/>
                <w:szCs w:val="21"/>
              </w:rPr>
              <w:t>，</w:t>
            </w:r>
            <w:r>
              <w:rPr>
                <w:rFonts w:ascii="宋体" w:hAnsi="宋体"/>
                <w:szCs w:val="21"/>
              </w:rPr>
              <w:t>支持</w:t>
            </w:r>
            <w:r>
              <w:rPr>
                <w:rFonts w:hint="eastAsia" w:ascii="宋体" w:hAnsi="宋体"/>
                <w:szCs w:val="21"/>
              </w:rPr>
              <w:t>对HTTP slow-header和HTTP slow-post设置</w:t>
            </w:r>
            <w:r>
              <w:rPr>
                <w:rFonts w:ascii="宋体" w:hAnsi="宋体"/>
                <w:szCs w:val="21"/>
              </w:rPr>
              <w:t>最大传输</w:t>
            </w:r>
            <w:r>
              <w:rPr>
                <w:rFonts w:hint="eastAsia" w:ascii="宋体" w:hAnsi="宋体"/>
                <w:szCs w:val="21"/>
              </w:rPr>
              <w:t>时间</w:t>
            </w:r>
            <w:r>
              <w:rPr>
                <w:rFonts w:ascii="宋体" w:hAnsi="宋体"/>
                <w:szCs w:val="21"/>
              </w:rPr>
              <w:t>以及</w:t>
            </w:r>
            <w:r>
              <w:rPr>
                <w:rFonts w:hint="eastAsia" w:ascii="宋体" w:hAnsi="宋体"/>
                <w:szCs w:val="21"/>
              </w:rPr>
              <w:t>异常</w:t>
            </w:r>
            <w:r>
              <w:rPr>
                <w:rFonts w:ascii="宋体" w:hAnsi="宋体"/>
                <w:szCs w:val="21"/>
              </w:rPr>
              <w:t>会话数</w:t>
            </w:r>
            <w:r>
              <w:rPr>
                <w:rFonts w:hint="eastAsia" w:ascii="宋体" w:hAnsi="宋体"/>
                <w:szCs w:val="21"/>
              </w:rPr>
              <w:t>阈值</w:t>
            </w:r>
            <w:r>
              <w:rPr>
                <w:rFonts w:ascii="宋体" w:hAnsi="宋体"/>
                <w:szCs w:val="21"/>
              </w:rPr>
              <w:t>，</w:t>
            </w:r>
            <w:r>
              <w:rPr>
                <w:rFonts w:hint="eastAsia" w:ascii="宋体" w:hAnsi="宋体"/>
                <w:szCs w:val="21"/>
              </w:rPr>
              <w:t>有效</w:t>
            </w:r>
            <w:r>
              <w:rPr>
                <w:rFonts w:ascii="宋体" w:hAnsi="宋体"/>
                <w:szCs w:val="21"/>
              </w:rPr>
              <w:t>防御慢速攻击；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559" w:type="dxa"/>
            <w:vAlign w:val="center"/>
          </w:tcPr>
          <w:p>
            <w:pPr>
              <w:rPr>
                <w:rFonts w:ascii="宋体" w:hAnsi="宋体"/>
                <w:szCs w:val="21"/>
              </w:rPr>
            </w:pPr>
            <w:r>
              <w:rPr>
                <w:rFonts w:hint="eastAsia" w:ascii="宋体" w:hAnsi="宋体"/>
                <w:szCs w:val="21"/>
              </w:rPr>
              <w:t>支持根据</w:t>
            </w:r>
            <w:r>
              <w:rPr>
                <w:rFonts w:ascii="宋体" w:hAnsi="宋体"/>
                <w:szCs w:val="21"/>
              </w:rPr>
              <w:t>DOS/DDOS</w:t>
            </w:r>
            <w:r>
              <w:rPr>
                <w:rFonts w:hint="eastAsia" w:ascii="宋体" w:hAnsi="宋体"/>
                <w:szCs w:val="21"/>
              </w:rPr>
              <w:t>攻击</w:t>
            </w:r>
            <w:r>
              <w:rPr>
                <w:rFonts w:ascii="宋体" w:hAnsi="宋体"/>
                <w:szCs w:val="21"/>
              </w:rPr>
              <w:t>行为</w:t>
            </w:r>
            <w:r>
              <w:rPr>
                <w:rFonts w:hint="eastAsia" w:ascii="宋体" w:hAnsi="宋体"/>
                <w:szCs w:val="21"/>
              </w:rPr>
              <w:t>自动添加动态黑/白名单功能；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1"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文件过滤</w:t>
            </w:r>
          </w:p>
        </w:tc>
        <w:tc>
          <w:tcPr>
            <w:tcW w:w="6559" w:type="dxa"/>
            <w:vAlign w:val="center"/>
          </w:tcPr>
          <w:p>
            <w:pPr>
              <w:rPr>
                <w:rFonts w:ascii="宋体" w:hAnsi="宋体"/>
                <w:szCs w:val="21"/>
              </w:rPr>
            </w:pPr>
            <w:r>
              <w:rPr>
                <w:rFonts w:hint="eastAsia" w:ascii="宋体" w:hAnsi="宋体"/>
                <w:szCs w:val="21"/>
              </w:rPr>
              <w:t>内置文件过滤引擎，支持对即时</w:t>
            </w:r>
            <w:r>
              <w:rPr>
                <w:rFonts w:ascii="宋体" w:hAnsi="宋体"/>
                <w:szCs w:val="21"/>
              </w:rPr>
              <w:t>通讯、</w:t>
            </w:r>
            <w:r>
              <w:rPr>
                <w:rFonts w:hint="eastAsia" w:ascii="宋体" w:hAnsi="宋体"/>
                <w:szCs w:val="21"/>
              </w:rPr>
              <w:t>社交网络</w:t>
            </w:r>
            <w:r>
              <w:rPr>
                <w:rFonts w:ascii="宋体" w:hAnsi="宋体"/>
                <w:szCs w:val="21"/>
              </w:rPr>
              <w:t>、</w:t>
            </w:r>
            <w:r>
              <w:rPr>
                <w:rFonts w:hint="eastAsia" w:ascii="宋体" w:hAnsi="宋体"/>
                <w:szCs w:val="21"/>
              </w:rPr>
              <w:t>网络</w:t>
            </w:r>
            <w:r>
              <w:rPr>
                <w:rFonts w:ascii="宋体" w:hAnsi="宋体"/>
                <w:szCs w:val="21"/>
              </w:rPr>
              <w:t>硬盘</w:t>
            </w:r>
            <w:r>
              <w:rPr>
                <w:rFonts w:hint="eastAsia" w:ascii="宋体" w:hAnsi="宋体"/>
                <w:szCs w:val="21"/>
              </w:rPr>
              <w:t>、网页</w:t>
            </w:r>
            <w:r>
              <w:rPr>
                <w:rFonts w:ascii="宋体" w:hAnsi="宋体"/>
                <w:szCs w:val="21"/>
              </w:rPr>
              <w:t>邮箱、</w:t>
            </w:r>
            <w:r>
              <w:rPr>
                <w:rFonts w:hint="eastAsia" w:ascii="宋体" w:hAnsi="宋体"/>
                <w:szCs w:val="21"/>
              </w:rPr>
              <w:t>IM文件</w:t>
            </w:r>
            <w:r>
              <w:rPr>
                <w:rFonts w:ascii="宋体" w:hAnsi="宋体"/>
                <w:szCs w:val="21"/>
              </w:rPr>
              <w:t>传输等应用类型以及HTTP/FTP/SMTP/POP3</w:t>
            </w:r>
            <w:r>
              <w:rPr>
                <w:rFonts w:hint="eastAsia" w:ascii="宋体" w:hAnsi="宋体"/>
                <w:szCs w:val="21"/>
              </w:rPr>
              <w:t>等标准协议进行</w:t>
            </w:r>
            <w:r>
              <w:rPr>
                <w:rFonts w:ascii="宋体" w:hAnsi="宋体"/>
                <w:szCs w:val="21"/>
              </w:rPr>
              <w:t>检测，</w:t>
            </w:r>
            <w:r>
              <w:rPr>
                <w:rFonts w:hint="eastAsia" w:ascii="宋体" w:hAnsi="宋体"/>
                <w:szCs w:val="21"/>
              </w:rPr>
              <w:t>识别可执行</w:t>
            </w:r>
            <w:r>
              <w:rPr>
                <w:rFonts w:ascii="宋体" w:hAnsi="宋体"/>
                <w:szCs w:val="21"/>
              </w:rPr>
              <w:t>文件、office文件、</w:t>
            </w:r>
            <w:r>
              <w:rPr>
                <w:rFonts w:hint="eastAsia" w:ascii="宋体" w:hAnsi="宋体"/>
                <w:szCs w:val="21"/>
              </w:rPr>
              <w:t>视频文件</w:t>
            </w:r>
            <w:r>
              <w:rPr>
                <w:rFonts w:ascii="宋体" w:hAnsi="宋体"/>
                <w:szCs w:val="21"/>
              </w:rPr>
              <w:t>、图片文件、</w:t>
            </w:r>
            <w:r>
              <w:rPr>
                <w:rFonts w:hint="eastAsia" w:ascii="宋体" w:hAnsi="宋体"/>
                <w:szCs w:val="21"/>
              </w:rPr>
              <w:t>帮助</w:t>
            </w:r>
            <w:r>
              <w:rPr>
                <w:rFonts w:ascii="宋体" w:hAnsi="宋体"/>
                <w:szCs w:val="21"/>
              </w:rPr>
              <w:t>文件、</w:t>
            </w:r>
            <w:r>
              <w:rPr>
                <w:rFonts w:hint="eastAsia" w:ascii="宋体" w:hAnsi="宋体"/>
                <w:szCs w:val="21"/>
              </w:rPr>
              <w:t>压缩</w:t>
            </w:r>
            <w:r>
              <w:rPr>
                <w:rFonts w:ascii="宋体" w:hAnsi="宋体"/>
                <w:szCs w:val="21"/>
              </w:rPr>
              <w:t>文件、</w:t>
            </w:r>
            <w:r>
              <w:rPr>
                <w:rFonts w:hint="eastAsia" w:ascii="宋体" w:hAnsi="宋体"/>
                <w:szCs w:val="21"/>
              </w:rPr>
              <w:t>数据</w:t>
            </w:r>
            <w:r>
              <w:rPr>
                <w:rFonts w:ascii="宋体" w:hAnsi="宋体"/>
                <w:szCs w:val="21"/>
              </w:rPr>
              <w:t>文件</w:t>
            </w:r>
            <w:r>
              <w:rPr>
                <w:rFonts w:hint="eastAsia" w:ascii="宋体" w:hAnsi="宋体"/>
                <w:szCs w:val="21"/>
              </w:rPr>
              <w:t>等超过40种文档类型的文件过滤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内容过滤</w:t>
            </w:r>
          </w:p>
        </w:tc>
        <w:tc>
          <w:tcPr>
            <w:tcW w:w="6559" w:type="dxa"/>
            <w:vAlign w:val="center"/>
          </w:tcPr>
          <w:p>
            <w:pPr>
              <w:rPr>
                <w:rFonts w:ascii="宋体" w:hAnsi="宋体"/>
                <w:szCs w:val="21"/>
              </w:rPr>
            </w:pPr>
            <w:r>
              <w:rPr>
                <w:rFonts w:hint="eastAsia" w:ascii="宋体" w:hAnsi="宋体"/>
                <w:szCs w:val="21"/>
              </w:rPr>
              <w:t>支持</w:t>
            </w:r>
            <w:r>
              <w:rPr>
                <w:rFonts w:ascii="宋体" w:hAnsi="宋体"/>
                <w:szCs w:val="21"/>
              </w:rPr>
              <w:t>基于</w:t>
            </w:r>
            <w:r>
              <w:rPr>
                <w:rFonts w:hint="eastAsia" w:ascii="宋体" w:hAnsi="宋体"/>
                <w:szCs w:val="21"/>
              </w:rPr>
              <w:t>http</w:t>
            </w:r>
            <w:r>
              <w:rPr>
                <w:rFonts w:ascii="宋体" w:hAnsi="宋体"/>
                <w:szCs w:val="21"/>
              </w:rPr>
              <w:t>、ftp、telnet、</w:t>
            </w:r>
            <w:r>
              <w:rPr>
                <w:rFonts w:hint="eastAsia" w:ascii="宋体" w:hAnsi="宋体"/>
                <w:szCs w:val="21"/>
              </w:rPr>
              <w:t>smtp</w:t>
            </w:r>
            <w:r>
              <w:rPr>
                <w:rFonts w:ascii="宋体" w:hAnsi="宋体"/>
                <w:szCs w:val="21"/>
              </w:rPr>
              <w:t>、pop3</w:t>
            </w:r>
            <w:r>
              <w:rPr>
                <w:rFonts w:hint="eastAsia" w:ascii="宋体" w:hAnsi="宋体"/>
                <w:szCs w:val="21"/>
              </w:rPr>
              <w:t>等协议</w:t>
            </w:r>
            <w:r>
              <w:rPr>
                <w:rFonts w:ascii="宋体" w:hAnsi="宋体"/>
                <w:szCs w:val="21"/>
              </w:rPr>
              <w:t>的内容过滤策略，</w:t>
            </w:r>
            <w:r>
              <w:rPr>
                <w:rFonts w:hint="eastAsia" w:ascii="宋体" w:hAnsi="宋体"/>
                <w:szCs w:val="21"/>
              </w:rPr>
              <w:t>支持过滤FTP信令：上传文件、下载文件、删除文件、重命名文件、创建目录、删除目录、列出目录等</w:t>
            </w:r>
            <w:r>
              <w:rPr>
                <w:rFonts w:ascii="宋体" w:hAnsi="宋体"/>
                <w:szCs w:val="21"/>
              </w:rPr>
              <w:t>，</w:t>
            </w:r>
            <w:r>
              <w:rPr>
                <w:rFonts w:hint="eastAsia" w:ascii="宋体" w:hAnsi="宋体"/>
                <w:szCs w:val="21"/>
              </w:rPr>
              <w:t>邮件</w:t>
            </w:r>
            <w:r>
              <w:rPr>
                <w:rFonts w:ascii="宋体" w:hAnsi="宋体"/>
                <w:szCs w:val="21"/>
              </w:rPr>
              <w:t>过滤</w:t>
            </w:r>
            <w:r>
              <w:rPr>
                <w:rFonts w:hint="eastAsia" w:ascii="宋体" w:hAnsi="宋体"/>
                <w:szCs w:val="21"/>
              </w:rPr>
              <w:t>支持</w:t>
            </w:r>
            <w:r>
              <w:rPr>
                <w:rFonts w:ascii="宋体" w:hAnsi="宋体"/>
                <w:szCs w:val="21"/>
              </w:rPr>
              <w:t>对发件人、收件人、</w:t>
            </w:r>
            <w:r>
              <w:rPr>
                <w:rFonts w:hint="eastAsia" w:ascii="宋体" w:hAnsi="宋体"/>
                <w:szCs w:val="21"/>
              </w:rPr>
              <w:t>主题</w:t>
            </w:r>
            <w:r>
              <w:rPr>
                <w:rFonts w:ascii="宋体" w:hAnsi="宋体"/>
                <w:szCs w:val="21"/>
              </w:rPr>
              <w:t>、内容、</w:t>
            </w:r>
            <w:r>
              <w:rPr>
                <w:rFonts w:hint="eastAsia" w:ascii="宋体" w:hAnsi="宋体"/>
                <w:szCs w:val="21"/>
              </w:rPr>
              <w:t>附件等进行</w:t>
            </w:r>
            <w:r>
              <w:rPr>
                <w:rFonts w:ascii="宋体" w:hAnsi="宋体"/>
                <w:szCs w:val="21"/>
              </w:rPr>
              <w:t>过滤</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8"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ascii="宋体" w:hAnsi="宋体"/>
                <w:szCs w:val="21"/>
              </w:rPr>
              <w:t>敏感数据泄漏防护</w:t>
            </w:r>
          </w:p>
        </w:tc>
        <w:tc>
          <w:tcPr>
            <w:tcW w:w="6559" w:type="dxa"/>
            <w:vAlign w:val="center"/>
          </w:tcPr>
          <w:p>
            <w:pPr>
              <w:rPr>
                <w:rFonts w:ascii="宋体" w:hAnsi="宋体"/>
                <w:szCs w:val="21"/>
              </w:rPr>
            </w:pPr>
            <w:r>
              <w:rPr>
                <w:rFonts w:hint="eastAsia" w:ascii="宋体" w:hAnsi="宋体"/>
                <w:szCs w:val="21"/>
              </w:rPr>
              <w:t>内置DLP数据</w:t>
            </w:r>
            <w:r>
              <w:rPr>
                <w:rFonts w:ascii="宋体" w:hAnsi="宋体"/>
                <w:szCs w:val="21"/>
              </w:rPr>
              <w:t>防泄漏</w:t>
            </w:r>
            <w:r>
              <w:rPr>
                <w:rFonts w:hint="eastAsia" w:ascii="宋体" w:hAnsi="宋体"/>
                <w:szCs w:val="21"/>
              </w:rPr>
              <w:t>引擎</w:t>
            </w:r>
            <w:r>
              <w:rPr>
                <w:rFonts w:ascii="宋体" w:hAnsi="宋体"/>
                <w:szCs w:val="21"/>
              </w:rPr>
              <w:t>，</w:t>
            </w:r>
            <w:r>
              <w:rPr>
                <w:rFonts w:hint="eastAsia" w:ascii="宋体" w:hAnsi="宋体"/>
                <w:szCs w:val="21"/>
              </w:rPr>
              <w:t>对</w:t>
            </w:r>
            <w:r>
              <w:rPr>
                <w:rFonts w:ascii="宋体" w:hAnsi="宋体"/>
                <w:szCs w:val="21"/>
              </w:rPr>
              <w:t>数据进行</w:t>
            </w:r>
            <w:r>
              <w:rPr>
                <w:rFonts w:hint="eastAsia" w:ascii="宋体" w:hAnsi="宋体"/>
                <w:szCs w:val="21"/>
              </w:rPr>
              <w:t>监控识别，达到敏感数据防护目的。支持识别的文件类型数量不少于</w:t>
            </w:r>
            <w:r>
              <w:rPr>
                <w:rFonts w:ascii="宋体" w:hAnsi="宋体"/>
                <w:szCs w:val="21"/>
              </w:rPr>
              <w:t>1000</w:t>
            </w:r>
            <w:r>
              <w:rPr>
                <w:rFonts w:hint="eastAsia" w:ascii="宋体" w:hAnsi="宋体"/>
                <w:szCs w:val="21"/>
              </w:rPr>
              <w:t>种；文件内容识格式不少于</w:t>
            </w:r>
            <w:r>
              <w:rPr>
                <w:rFonts w:ascii="宋体" w:hAnsi="宋体"/>
                <w:szCs w:val="21"/>
              </w:rPr>
              <w:t>300</w:t>
            </w:r>
            <w:r>
              <w:rPr>
                <w:rFonts w:hint="eastAsia" w:ascii="宋体" w:hAnsi="宋体"/>
                <w:szCs w:val="21"/>
              </w:rPr>
              <w:t>种。</w:t>
            </w:r>
          </w:p>
          <w:p>
            <w:pPr>
              <w:pStyle w:val="9"/>
              <w:rPr>
                <w:rFonts w:ascii="宋体" w:hAnsi="宋体"/>
                <w:szCs w:val="21"/>
              </w:rPr>
            </w:pPr>
            <w:r>
              <w:rPr>
                <w:rFonts w:hint="eastAsia" w:ascii="宋体" w:hAnsi="宋体"/>
                <w:szCs w:val="21"/>
              </w:rPr>
              <w:t>支持多种加密和压缩文件格式，如</w:t>
            </w:r>
            <w:r>
              <w:rPr>
                <w:rFonts w:ascii="宋体" w:hAnsi="宋体"/>
                <w:szCs w:val="21"/>
              </w:rPr>
              <w:t>RAR</w:t>
            </w:r>
            <w:r>
              <w:rPr>
                <w:rFonts w:hint="eastAsia" w:ascii="宋体" w:hAnsi="宋体"/>
                <w:szCs w:val="21"/>
              </w:rPr>
              <w:t>、</w:t>
            </w:r>
            <w:r>
              <w:rPr>
                <w:rFonts w:ascii="宋体" w:hAnsi="宋体"/>
                <w:szCs w:val="21"/>
              </w:rPr>
              <w:t>ZIP</w:t>
            </w:r>
            <w:r>
              <w:rPr>
                <w:rFonts w:hint="eastAsia" w:ascii="宋体" w:hAnsi="宋体"/>
                <w:szCs w:val="21"/>
              </w:rPr>
              <w:t>、</w:t>
            </w:r>
            <w:r>
              <w:rPr>
                <w:rFonts w:ascii="宋体" w:hAnsi="宋体"/>
                <w:szCs w:val="21"/>
              </w:rPr>
              <w:t>GZ</w:t>
            </w:r>
            <w:r>
              <w:rPr>
                <w:rFonts w:hint="eastAsia" w:ascii="宋体" w:hAnsi="宋体"/>
                <w:szCs w:val="21"/>
              </w:rPr>
              <w:t>、</w:t>
            </w:r>
            <w:r>
              <w:rPr>
                <w:rFonts w:ascii="宋体" w:hAnsi="宋体"/>
                <w:szCs w:val="21"/>
              </w:rPr>
              <w:t>TAR</w:t>
            </w:r>
            <w:r>
              <w:rPr>
                <w:rFonts w:hint="eastAsia" w:ascii="宋体" w:hAnsi="宋体"/>
                <w:szCs w:val="21"/>
              </w:rPr>
              <w:t>等；支持识别</w:t>
            </w:r>
            <w:r>
              <w:rPr>
                <w:rFonts w:ascii="宋体" w:hAnsi="宋体"/>
                <w:szCs w:val="21"/>
              </w:rPr>
              <w:t>Linux</w:t>
            </w:r>
            <w:r>
              <w:rPr>
                <w:rFonts w:hint="eastAsia" w:ascii="宋体" w:hAnsi="宋体"/>
                <w:szCs w:val="21"/>
              </w:rPr>
              <w:t>，</w:t>
            </w:r>
            <w:r>
              <w:rPr>
                <w:rFonts w:ascii="宋体" w:hAnsi="宋体"/>
                <w:szCs w:val="21"/>
              </w:rPr>
              <w:t>Unix</w:t>
            </w:r>
            <w:r>
              <w:rPr>
                <w:rFonts w:hint="eastAsia" w:ascii="宋体" w:hAnsi="宋体"/>
                <w:szCs w:val="21"/>
              </w:rPr>
              <w:t>等非</w:t>
            </w:r>
            <w:r>
              <w:rPr>
                <w:rFonts w:ascii="宋体" w:hAnsi="宋体"/>
                <w:szCs w:val="21"/>
              </w:rPr>
              <w:t>Winodws</w:t>
            </w:r>
            <w:r>
              <w:rPr>
                <w:rFonts w:hint="eastAsia" w:ascii="宋体" w:hAnsi="宋体"/>
                <w:szCs w:val="21"/>
              </w:rPr>
              <w:t>的文件类型；支持识别异常文件格式类型；支持识别自定义文件类型。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配置维护</w:t>
            </w:r>
          </w:p>
        </w:tc>
        <w:tc>
          <w:tcPr>
            <w:tcW w:w="6559" w:type="dxa"/>
            <w:vAlign w:val="center"/>
          </w:tcPr>
          <w:p>
            <w:pPr>
              <w:rPr>
                <w:rFonts w:ascii="宋体" w:hAnsi="宋体"/>
                <w:szCs w:val="21"/>
              </w:rPr>
            </w:pPr>
            <w:r>
              <w:rPr>
                <w:rFonts w:hint="eastAsia" w:ascii="宋体" w:hAnsi="宋体"/>
                <w:szCs w:val="21"/>
              </w:rPr>
              <w:t>支持多个配置文件并存，配置文件数量不少于20个；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升级维护</w:t>
            </w:r>
          </w:p>
        </w:tc>
        <w:tc>
          <w:tcPr>
            <w:tcW w:w="6559" w:type="dxa"/>
            <w:vAlign w:val="center"/>
          </w:tcPr>
          <w:p>
            <w:pPr>
              <w:rPr>
                <w:rFonts w:ascii="宋体" w:hAnsi="宋体"/>
                <w:szCs w:val="21"/>
              </w:rPr>
            </w:pPr>
            <w:r>
              <w:rPr>
                <w:rFonts w:hint="eastAsia" w:ascii="宋体" w:hAnsi="宋体"/>
                <w:szCs w:val="21"/>
              </w:rPr>
              <w:t>支持多个系统升级包并存，系统升级包文件数量不少于5个（提供截图）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管理</w:t>
            </w:r>
            <w:r>
              <w:rPr>
                <w:rFonts w:ascii="宋体" w:hAnsi="宋体"/>
                <w:szCs w:val="21"/>
              </w:rPr>
              <w:t>员</w:t>
            </w:r>
          </w:p>
        </w:tc>
        <w:tc>
          <w:tcPr>
            <w:tcW w:w="6559" w:type="dxa"/>
            <w:vAlign w:val="center"/>
          </w:tcPr>
          <w:p>
            <w:pPr>
              <w:rPr>
                <w:rFonts w:ascii="宋体" w:hAnsi="宋体"/>
                <w:szCs w:val="21"/>
              </w:rPr>
            </w:pPr>
            <w:r>
              <w:rPr>
                <w:rFonts w:hint="eastAsia" w:ascii="宋体" w:hAnsi="宋体"/>
                <w:szCs w:val="21"/>
              </w:rPr>
              <w:t>支持管理员分权管理，可自定义管理员权限模板，所有功能模块组合可由管理员自由组合配置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2" w:type="dxa"/>
            <w:vMerge w:val="restart"/>
            <w:vAlign w:val="center"/>
          </w:tcPr>
          <w:p>
            <w:pPr>
              <w:jc w:val="center"/>
              <w:rPr>
                <w:rFonts w:ascii="宋体" w:hAnsi="宋体"/>
                <w:b/>
                <w:szCs w:val="21"/>
              </w:rPr>
            </w:pPr>
            <w:r>
              <w:rPr>
                <w:rFonts w:hint="eastAsia" w:ascii="宋体" w:hAnsi="宋体"/>
                <w:b/>
                <w:szCs w:val="21"/>
              </w:rPr>
              <w:t>数据中心</w:t>
            </w:r>
          </w:p>
        </w:tc>
        <w:tc>
          <w:tcPr>
            <w:tcW w:w="1066" w:type="dxa"/>
            <w:vAlign w:val="center"/>
          </w:tcPr>
          <w:p>
            <w:pPr>
              <w:rPr>
                <w:rFonts w:ascii="宋体" w:hAnsi="宋体"/>
                <w:szCs w:val="21"/>
                <w:highlight w:val="yellow"/>
              </w:rPr>
            </w:pPr>
            <w:r>
              <w:rPr>
                <w:rFonts w:hint="eastAsia" w:ascii="宋体" w:hAnsi="宋体"/>
                <w:szCs w:val="21"/>
              </w:rPr>
              <w:t>审计</w:t>
            </w:r>
          </w:p>
        </w:tc>
        <w:tc>
          <w:tcPr>
            <w:tcW w:w="6559" w:type="dxa"/>
            <w:vAlign w:val="center"/>
          </w:tcPr>
          <w:p>
            <w:pPr>
              <w:rPr>
                <w:rFonts w:ascii="宋体" w:hAnsi="宋体"/>
                <w:szCs w:val="21"/>
              </w:rPr>
            </w:pPr>
            <w:r>
              <w:rPr>
                <w:rFonts w:hint="eastAsia" w:ascii="宋体" w:hAnsi="宋体"/>
                <w:szCs w:val="21"/>
              </w:rPr>
              <w:t>支持</w:t>
            </w:r>
            <w:r>
              <w:rPr>
                <w:rFonts w:ascii="宋体" w:hAnsi="宋体"/>
                <w:szCs w:val="21"/>
              </w:rPr>
              <w:t>独立配置审计策略</w:t>
            </w:r>
            <w:r>
              <w:rPr>
                <w:rFonts w:hint="eastAsia" w:ascii="宋体" w:hAnsi="宋体"/>
                <w:szCs w:val="21"/>
              </w:rPr>
              <w:t>，同时也可将指定的 IP 地址、 URL、应用加入白名单，</w:t>
            </w:r>
            <w:r>
              <w:rPr>
                <w:rFonts w:ascii="宋体" w:hAnsi="宋体"/>
                <w:szCs w:val="21"/>
              </w:rPr>
              <w:t>不进行数据审计</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jc w:val="center"/>
        </w:trPr>
        <w:tc>
          <w:tcPr>
            <w:tcW w:w="672" w:type="dxa"/>
            <w:vMerge w:val="continue"/>
            <w:vAlign w:val="center"/>
          </w:tcPr>
          <w:p>
            <w:pPr>
              <w:jc w:val="center"/>
              <w:rPr>
                <w:rFonts w:ascii="宋体" w:hAnsi="宋体"/>
                <w:b/>
                <w:szCs w:val="21"/>
              </w:rPr>
            </w:pPr>
          </w:p>
        </w:tc>
        <w:tc>
          <w:tcPr>
            <w:tcW w:w="1066" w:type="dxa"/>
            <w:vMerge w:val="restart"/>
            <w:vAlign w:val="center"/>
          </w:tcPr>
          <w:p>
            <w:pPr>
              <w:rPr>
                <w:rFonts w:ascii="宋体" w:hAnsi="宋体"/>
                <w:szCs w:val="21"/>
              </w:rPr>
            </w:pPr>
            <w:r>
              <w:rPr>
                <w:rFonts w:hint="eastAsia" w:ascii="宋体" w:hAnsi="宋体"/>
                <w:szCs w:val="21"/>
              </w:rPr>
              <w:t>日志</w:t>
            </w:r>
          </w:p>
        </w:tc>
        <w:tc>
          <w:tcPr>
            <w:tcW w:w="6559" w:type="dxa"/>
            <w:vAlign w:val="center"/>
          </w:tcPr>
          <w:p>
            <w:pPr>
              <w:rPr>
                <w:rFonts w:ascii="宋体" w:hAnsi="宋体"/>
                <w:szCs w:val="21"/>
              </w:rPr>
            </w:pPr>
            <w:r>
              <w:rPr>
                <w:rFonts w:hint="eastAsia" w:ascii="宋体" w:hAnsi="宋体"/>
                <w:szCs w:val="21"/>
              </w:rPr>
              <w:t>支持</w:t>
            </w:r>
            <w:r>
              <w:rPr>
                <w:rFonts w:ascii="宋体" w:hAnsi="宋体"/>
                <w:szCs w:val="21"/>
              </w:rPr>
              <w:t>日志本地存储，</w:t>
            </w:r>
            <w:r>
              <w:rPr>
                <w:rFonts w:hint="eastAsia" w:ascii="宋体" w:hAnsi="宋体"/>
                <w:szCs w:val="21"/>
              </w:rPr>
              <w:t>可对不同类型日志设置存储空间；</w:t>
            </w:r>
          </w:p>
          <w:p>
            <w:pPr>
              <w:rPr>
                <w:rFonts w:ascii="宋体" w:hAnsi="宋体"/>
                <w:szCs w:val="21"/>
              </w:rPr>
            </w:pPr>
            <w:r>
              <w:rPr>
                <w:rFonts w:ascii="宋体" w:hAnsi="宋体"/>
                <w:szCs w:val="21"/>
              </w:rPr>
              <w:t>支持</w:t>
            </w:r>
            <w:r>
              <w:rPr>
                <w:rFonts w:hint="eastAsia" w:ascii="宋体" w:hAnsi="宋体"/>
                <w:szCs w:val="21"/>
              </w:rPr>
              <w:t>外发至SYSLOG服务器，可将多条日志合并成一条日志传送到日志服务器中，可选择对日志传输是否加密，设定8位的加密密钥；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559" w:type="dxa"/>
            <w:vAlign w:val="center"/>
          </w:tcPr>
          <w:p>
            <w:pPr>
              <w:rPr>
                <w:rFonts w:ascii="宋体" w:hAnsi="宋体"/>
                <w:szCs w:val="21"/>
              </w:rPr>
            </w:pPr>
            <w:r>
              <w:rPr>
                <w:rFonts w:hint="eastAsia" w:ascii="宋体" w:hAnsi="宋体"/>
                <w:szCs w:val="21"/>
              </w:rPr>
              <w:t>日志查看</w:t>
            </w:r>
            <w:r>
              <w:rPr>
                <w:rFonts w:ascii="宋体" w:hAnsi="宋体"/>
                <w:szCs w:val="21"/>
              </w:rPr>
              <w:t>可划分为</w:t>
            </w:r>
            <w:r>
              <w:rPr>
                <w:rFonts w:hint="eastAsia" w:ascii="宋体" w:hAnsi="宋体"/>
                <w:szCs w:val="21"/>
              </w:rPr>
              <w:t>管理日志</w:t>
            </w:r>
            <w:r>
              <w:rPr>
                <w:rFonts w:ascii="宋体" w:hAnsi="宋体"/>
                <w:szCs w:val="21"/>
              </w:rPr>
              <w:t>、</w:t>
            </w:r>
            <w:r>
              <w:rPr>
                <w:rFonts w:hint="eastAsia" w:ascii="宋体" w:hAnsi="宋体"/>
                <w:szCs w:val="21"/>
              </w:rPr>
              <w:t>系统</w:t>
            </w:r>
            <w:r>
              <w:rPr>
                <w:rFonts w:ascii="宋体" w:hAnsi="宋体"/>
                <w:szCs w:val="21"/>
              </w:rPr>
              <w:t>日志、</w:t>
            </w:r>
            <w:r>
              <w:rPr>
                <w:rFonts w:hint="eastAsia" w:ascii="宋体" w:hAnsi="宋体"/>
                <w:szCs w:val="21"/>
              </w:rPr>
              <w:t>策略</w:t>
            </w:r>
            <w:r>
              <w:rPr>
                <w:rFonts w:ascii="宋体" w:hAnsi="宋体"/>
                <w:szCs w:val="21"/>
              </w:rPr>
              <w:t>日志</w:t>
            </w:r>
            <w:r>
              <w:rPr>
                <w:rFonts w:hint="eastAsia" w:ascii="宋体" w:hAnsi="宋体"/>
                <w:szCs w:val="21"/>
              </w:rPr>
              <w:t>、</w:t>
            </w:r>
            <w:r>
              <w:rPr>
                <w:rFonts w:ascii="宋体" w:hAnsi="宋体"/>
                <w:szCs w:val="21"/>
              </w:rPr>
              <w:t>应用行为日志</w:t>
            </w:r>
            <w:r>
              <w:rPr>
                <w:rFonts w:hint="eastAsia" w:ascii="宋体" w:hAnsi="宋体"/>
                <w:szCs w:val="21"/>
              </w:rPr>
              <w:t>等</w:t>
            </w:r>
            <w:r>
              <w:rPr>
                <w:rFonts w:ascii="宋体" w:hAnsi="宋体"/>
                <w:szCs w:val="21"/>
              </w:rPr>
              <w:t>四大</w:t>
            </w:r>
            <w:r>
              <w:rPr>
                <w:rFonts w:hint="eastAsia" w:ascii="宋体" w:hAnsi="宋体"/>
                <w:szCs w:val="21"/>
              </w:rPr>
              <w:t>模块，可</w:t>
            </w:r>
            <w:r>
              <w:rPr>
                <w:rFonts w:ascii="宋体" w:hAnsi="宋体"/>
                <w:szCs w:val="21"/>
              </w:rPr>
              <w:t>将日志</w:t>
            </w:r>
            <w:r>
              <w:rPr>
                <w:rFonts w:hint="eastAsia" w:ascii="宋体" w:hAnsi="宋体"/>
                <w:szCs w:val="21"/>
              </w:rPr>
              <w:t>按照CSV或XML格式</w:t>
            </w:r>
            <w:r>
              <w:rPr>
                <w:rFonts w:ascii="宋体" w:hAnsi="宋体"/>
                <w:szCs w:val="21"/>
              </w:rPr>
              <w:t>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672" w:type="dxa"/>
            <w:vMerge w:val="restart"/>
            <w:vAlign w:val="center"/>
          </w:tcPr>
          <w:p>
            <w:pPr>
              <w:jc w:val="center"/>
              <w:rPr>
                <w:rFonts w:ascii="宋体" w:hAnsi="宋体"/>
                <w:b/>
                <w:szCs w:val="21"/>
              </w:rPr>
            </w:pPr>
            <w:r>
              <w:rPr>
                <w:rFonts w:hint="eastAsia" w:ascii="宋体" w:hAnsi="宋体"/>
                <w:b/>
                <w:szCs w:val="21"/>
              </w:rPr>
              <w:t>显示</w:t>
            </w:r>
            <w:r>
              <w:rPr>
                <w:rFonts w:ascii="宋体" w:hAnsi="宋体"/>
                <w:b/>
                <w:szCs w:val="21"/>
              </w:rPr>
              <w:t>监控</w:t>
            </w:r>
          </w:p>
        </w:tc>
        <w:tc>
          <w:tcPr>
            <w:tcW w:w="1066" w:type="dxa"/>
            <w:vAlign w:val="center"/>
          </w:tcPr>
          <w:p>
            <w:pPr>
              <w:rPr>
                <w:rFonts w:ascii="宋体" w:hAnsi="宋体"/>
                <w:szCs w:val="21"/>
              </w:rPr>
            </w:pPr>
            <w:r>
              <w:rPr>
                <w:rFonts w:hint="eastAsia" w:ascii="宋体" w:hAnsi="宋体"/>
                <w:szCs w:val="21"/>
              </w:rPr>
              <w:t>资源监控</w:t>
            </w:r>
          </w:p>
        </w:tc>
        <w:tc>
          <w:tcPr>
            <w:tcW w:w="6559" w:type="dxa"/>
            <w:vAlign w:val="center"/>
          </w:tcPr>
          <w:p>
            <w:pPr>
              <w:rPr>
                <w:rFonts w:ascii="宋体" w:hAnsi="宋体"/>
                <w:szCs w:val="21"/>
              </w:rPr>
            </w:pPr>
            <w:r>
              <w:rPr>
                <w:rFonts w:hint="eastAsia" w:ascii="宋体" w:hAnsi="宋体"/>
                <w:szCs w:val="21"/>
              </w:rPr>
              <w:t>在WEB界面</w:t>
            </w:r>
            <w:r>
              <w:rPr>
                <w:rFonts w:ascii="宋体" w:hAnsi="宋体"/>
                <w:szCs w:val="21"/>
              </w:rPr>
              <w:t>提供</w:t>
            </w:r>
            <w:r>
              <w:rPr>
                <w:rFonts w:hint="eastAsia" w:ascii="宋体" w:hAnsi="宋体"/>
                <w:szCs w:val="21"/>
              </w:rPr>
              <w:t>资源</w:t>
            </w:r>
            <w:r>
              <w:rPr>
                <w:rFonts w:ascii="宋体" w:hAnsi="宋体"/>
                <w:szCs w:val="21"/>
              </w:rPr>
              <w:t>监控</w:t>
            </w:r>
            <w:r>
              <w:rPr>
                <w:rFonts w:hint="eastAsia" w:ascii="宋体" w:hAnsi="宋体"/>
                <w:szCs w:val="21"/>
              </w:rPr>
              <w:t>开关</w:t>
            </w:r>
            <w:r>
              <w:rPr>
                <w:rFonts w:ascii="宋体" w:hAnsi="宋体"/>
                <w:szCs w:val="21"/>
              </w:rPr>
              <w:t>，可对</w:t>
            </w:r>
            <w:r>
              <w:rPr>
                <w:rFonts w:hint="eastAsia" w:ascii="宋体" w:hAnsi="宋体"/>
                <w:szCs w:val="21"/>
              </w:rPr>
              <w:t>cpu占用率</w:t>
            </w:r>
            <w:r>
              <w:rPr>
                <w:rFonts w:ascii="宋体" w:hAnsi="宋体"/>
                <w:szCs w:val="21"/>
              </w:rPr>
              <w:t>、</w:t>
            </w:r>
            <w:r>
              <w:rPr>
                <w:rFonts w:hint="eastAsia" w:ascii="宋体" w:hAnsi="宋体"/>
                <w:szCs w:val="21"/>
              </w:rPr>
              <w:t>内存</w:t>
            </w:r>
            <w:r>
              <w:rPr>
                <w:rFonts w:ascii="宋体" w:hAnsi="宋体"/>
                <w:szCs w:val="21"/>
              </w:rPr>
              <w:t>占用率、</w:t>
            </w:r>
            <w:r>
              <w:rPr>
                <w:rFonts w:hint="eastAsia" w:ascii="宋体" w:hAnsi="宋体"/>
                <w:szCs w:val="21"/>
              </w:rPr>
              <w:t>磁盘</w:t>
            </w:r>
            <w:r>
              <w:rPr>
                <w:rFonts w:ascii="宋体" w:hAnsi="宋体"/>
                <w:szCs w:val="21"/>
              </w:rPr>
              <w:t>占用率</w:t>
            </w:r>
            <w:r>
              <w:rPr>
                <w:rFonts w:hint="eastAsia" w:ascii="宋体" w:hAnsi="宋体"/>
                <w:szCs w:val="21"/>
              </w:rPr>
              <w:t>设置</w:t>
            </w:r>
            <w:r>
              <w:rPr>
                <w:rFonts w:ascii="宋体" w:hAnsi="宋体"/>
                <w:szCs w:val="21"/>
              </w:rPr>
              <w:t>阈值；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72" w:type="dxa"/>
            <w:vMerge w:val="continue"/>
            <w:vAlign w:val="center"/>
          </w:tcPr>
          <w:p>
            <w:pPr>
              <w:jc w:val="center"/>
              <w:rPr>
                <w:rFonts w:ascii="宋体" w:hAnsi="宋体"/>
                <w:b/>
                <w:szCs w:val="21"/>
              </w:rPr>
            </w:pPr>
          </w:p>
        </w:tc>
        <w:tc>
          <w:tcPr>
            <w:tcW w:w="1066" w:type="dxa"/>
            <w:vMerge w:val="restart"/>
            <w:vAlign w:val="center"/>
          </w:tcPr>
          <w:p>
            <w:pPr>
              <w:rPr>
                <w:rFonts w:ascii="宋体" w:hAnsi="宋体"/>
                <w:szCs w:val="21"/>
              </w:rPr>
            </w:pPr>
            <w:r>
              <w:rPr>
                <w:rFonts w:hint="eastAsia" w:ascii="宋体" w:hAnsi="宋体"/>
                <w:szCs w:val="21"/>
              </w:rPr>
              <w:t>流量</w:t>
            </w:r>
            <w:r>
              <w:rPr>
                <w:rFonts w:ascii="宋体" w:hAnsi="宋体"/>
                <w:szCs w:val="21"/>
              </w:rPr>
              <w:t>统计</w:t>
            </w:r>
          </w:p>
        </w:tc>
        <w:tc>
          <w:tcPr>
            <w:tcW w:w="6559" w:type="dxa"/>
            <w:vAlign w:val="center"/>
          </w:tcPr>
          <w:p>
            <w:pPr>
              <w:rPr>
                <w:rFonts w:ascii="宋体" w:hAnsi="宋体"/>
                <w:szCs w:val="21"/>
              </w:rPr>
            </w:pPr>
            <w:r>
              <w:rPr>
                <w:rFonts w:hint="eastAsia" w:ascii="宋体" w:hAnsi="宋体"/>
                <w:szCs w:val="21"/>
              </w:rPr>
              <w:t>支持根据应用对通过设备的数据报文流量进行统计；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559" w:type="dxa"/>
            <w:vAlign w:val="center"/>
          </w:tcPr>
          <w:p>
            <w:pPr>
              <w:rPr>
                <w:rFonts w:ascii="宋体" w:hAnsi="宋体"/>
                <w:szCs w:val="21"/>
              </w:rPr>
            </w:pPr>
            <w:r>
              <w:rPr>
                <w:rFonts w:hint="eastAsia" w:ascii="宋体" w:hAnsi="宋体"/>
                <w:szCs w:val="21"/>
              </w:rPr>
              <w:t>支持根据用户/用户组对通过设备的数据报文流量进行统计；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2" w:type="dxa"/>
            <w:vMerge w:val="continue"/>
            <w:vAlign w:val="center"/>
          </w:tcPr>
          <w:p>
            <w:pPr>
              <w:jc w:val="center"/>
              <w:rPr>
                <w:rFonts w:ascii="宋体" w:hAnsi="宋体"/>
                <w:b/>
                <w:szCs w:val="21"/>
              </w:rPr>
            </w:pPr>
          </w:p>
        </w:tc>
        <w:tc>
          <w:tcPr>
            <w:tcW w:w="1066" w:type="dxa"/>
            <w:vMerge w:val="continue"/>
            <w:vAlign w:val="center"/>
          </w:tcPr>
          <w:p>
            <w:pPr>
              <w:rPr>
                <w:rFonts w:ascii="宋体" w:hAnsi="宋体"/>
                <w:szCs w:val="21"/>
              </w:rPr>
            </w:pPr>
          </w:p>
        </w:tc>
        <w:tc>
          <w:tcPr>
            <w:tcW w:w="6559" w:type="dxa"/>
            <w:vAlign w:val="center"/>
          </w:tcPr>
          <w:p>
            <w:pPr>
              <w:rPr>
                <w:rFonts w:ascii="宋体" w:hAnsi="宋体"/>
                <w:szCs w:val="21"/>
              </w:rPr>
            </w:pPr>
            <w:r>
              <w:rPr>
                <w:rFonts w:hint="eastAsia" w:ascii="宋体" w:hAnsi="宋体"/>
                <w:szCs w:val="21"/>
              </w:rPr>
              <w:t>支持根据服务器对通过设备的数据报文流量进行统计；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672" w:type="dxa"/>
            <w:vMerge w:val="continue"/>
            <w:vAlign w:val="center"/>
          </w:tcPr>
          <w:p>
            <w:pPr>
              <w:jc w:val="center"/>
              <w:rPr>
                <w:rFonts w:ascii="宋体" w:hAnsi="宋体"/>
                <w:b/>
                <w:szCs w:val="21"/>
              </w:rPr>
            </w:pPr>
          </w:p>
        </w:tc>
        <w:tc>
          <w:tcPr>
            <w:tcW w:w="1066" w:type="dxa"/>
            <w:vAlign w:val="center"/>
          </w:tcPr>
          <w:p>
            <w:pPr>
              <w:rPr>
                <w:rFonts w:ascii="宋体" w:hAnsi="宋体"/>
                <w:szCs w:val="21"/>
              </w:rPr>
            </w:pPr>
            <w:r>
              <w:rPr>
                <w:rFonts w:hint="eastAsia" w:ascii="宋体" w:hAnsi="宋体"/>
                <w:szCs w:val="21"/>
              </w:rPr>
              <w:t>威胁</w:t>
            </w:r>
            <w:r>
              <w:rPr>
                <w:rFonts w:ascii="宋体" w:hAnsi="宋体"/>
                <w:szCs w:val="21"/>
              </w:rPr>
              <w:t>统计</w:t>
            </w:r>
          </w:p>
        </w:tc>
        <w:tc>
          <w:tcPr>
            <w:tcW w:w="6559" w:type="dxa"/>
            <w:vAlign w:val="center"/>
          </w:tcPr>
          <w:p>
            <w:pPr>
              <w:pStyle w:val="9"/>
              <w:rPr>
                <w:rFonts w:ascii="宋体" w:hAnsi="宋体"/>
                <w:szCs w:val="21"/>
              </w:rPr>
            </w:pPr>
            <w:r>
              <w:rPr>
                <w:rFonts w:hint="eastAsia" w:ascii="宋体" w:hAnsi="宋体"/>
                <w:szCs w:val="21"/>
              </w:rPr>
              <w:t>支持</w:t>
            </w:r>
            <w:r>
              <w:rPr>
                <w:rFonts w:ascii="宋体" w:hAnsi="宋体"/>
                <w:szCs w:val="21"/>
              </w:rPr>
              <w:t>根据</w:t>
            </w:r>
            <w:r>
              <w:rPr>
                <w:rFonts w:hint="eastAsia" w:ascii="宋体" w:hAnsi="宋体"/>
                <w:szCs w:val="21"/>
              </w:rPr>
              <w:t>按照</w:t>
            </w:r>
            <w:r>
              <w:rPr>
                <w:rFonts w:ascii="宋体" w:hAnsi="宋体"/>
                <w:szCs w:val="21"/>
              </w:rPr>
              <w:t>病毒</w:t>
            </w:r>
            <w:r>
              <w:rPr>
                <w:rFonts w:hint="eastAsia" w:ascii="宋体" w:hAnsi="宋体"/>
                <w:szCs w:val="21"/>
              </w:rPr>
              <w:t>防御</w:t>
            </w:r>
            <w:r>
              <w:rPr>
                <w:rFonts w:ascii="宋体" w:hAnsi="宋体"/>
                <w:szCs w:val="21"/>
              </w:rPr>
              <w:t>、入侵防御、</w:t>
            </w:r>
            <w:r>
              <w:rPr>
                <w:rFonts w:hint="eastAsia" w:ascii="宋体" w:hAnsi="宋体"/>
                <w:szCs w:val="21"/>
              </w:rPr>
              <w:t>APT防御</w:t>
            </w:r>
            <w:r>
              <w:rPr>
                <w:rFonts w:ascii="宋体" w:hAnsi="宋体"/>
                <w:szCs w:val="21"/>
              </w:rPr>
              <w:t>、ADS</w:t>
            </w:r>
            <w:r>
              <w:rPr>
                <w:rFonts w:hint="eastAsia" w:ascii="宋体" w:hAnsi="宋体"/>
                <w:szCs w:val="21"/>
              </w:rPr>
              <w:t>攻击进行</w:t>
            </w:r>
            <w:r>
              <w:rPr>
                <w:rFonts w:ascii="宋体" w:hAnsi="宋体"/>
                <w:szCs w:val="21"/>
              </w:rPr>
              <w:t>威胁统计，可按照</w:t>
            </w:r>
            <w:r>
              <w:rPr>
                <w:rFonts w:hint="eastAsia" w:ascii="宋体" w:hAnsi="宋体"/>
                <w:szCs w:val="21"/>
              </w:rPr>
              <w:t>威胁类型/攻击者/受害者</w:t>
            </w:r>
            <w:r>
              <w:rPr>
                <w:rFonts w:hint="eastAsia"/>
              </w:rPr>
              <w:t>等类似威胁排名</w:t>
            </w:r>
            <w:r>
              <w:rPr>
                <w:rFonts w:ascii="宋体" w:hAnsi="宋体"/>
                <w:szCs w:val="21"/>
              </w:rPr>
              <w:t>，</w:t>
            </w:r>
          </w:p>
        </w:tc>
      </w:tr>
    </w:tbl>
    <w:p>
      <w:pPr>
        <w:widowControl/>
        <w:jc w:val="left"/>
      </w:pPr>
    </w:p>
    <w:p>
      <w:pPr>
        <w:pStyle w:val="4"/>
        <w:tabs>
          <w:tab w:val="left" w:pos="432"/>
        </w:tabs>
        <w:rPr>
          <w:sz w:val="24"/>
          <w:szCs w:val="24"/>
        </w:rPr>
      </w:pPr>
      <w:r>
        <w:rPr>
          <w:rFonts w:hint="eastAsia"/>
          <w:sz w:val="24"/>
          <w:szCs w:val="24"/>
        </w:rPr>
        <w:t>7.3.23 运维堡垒机</w:t>
      </w:r>
    </w:p>
    <w:tbl>
      <w:tblPr>
        <w:tblStyle w:val="3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419"/>
        <w:gridCol w:w="6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2" w:type="dxa"/>
            <w:gridSpan w:val="2"/>
            <w:vAlign w:val="center"/>
          </w:tcPr>
          <w:p>
            <w:pPr>
              <w:widowControl/>
              <w:jc w:val="center"/>
              <w:rPr>
                <w:rFonts w:ascii="宋体" w:hAnsi="宋体" w:cs="Arial"/>
                <w:b/>
                <w:bCs/>
                <w:kern w:val="0"/>
                <w:szCs w:val="21"/>
              </w:rPr>
            </w:pPr>
            <w:r>
              <w:rPr>
                <w:rFonts w:hint="eastAsia" w:ascii="宋体" w:hAnsi="宋体" w:cs="Arial"/>
                <w:b/>
                <w:bCs/>
                <w:kern w:val="0"/>
                <w:szCs w:val="21"/>
              </w:rPr>
              <w:t>指标项</w:t>
            </w:r>
          </w:p>
        </w:tc>
        <w:tc>
          <w:tcPr>
            <w:tcW w:w="6174" w:type="dxa"/>
            <w:vAlign w:val="center"/>
          </w:tcPr>
          <w:p>
            <w:pPr>
              <w:widowControl/>
              <w:jc w:val="center"/>
              <w:rPr>
                <w:rFonts w:ascii="宋体" w:hAnsi="宋体" w:cs="Arial"/>
                <w:b/>
                <w:bCs/>
                <w:kern w:val="0"/>
                <w:szCs w:val="21"/>
              </w:rPr>
            </w:pPr>
            <w:r>
              <w:rPr>
                <w:rFonts w:hint="eastAsia" w:ascii="宋体" w:hAnsi="宋体" w:cs="Arial"/>
                <w:b/>
                <w:bCs/>
                <w:kern w:val="0"/>
                <w:szCs w:val="21"/>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restart"/>
            <w:vAlign w:val="center"/>
          </w:tcPr>
          <w:p>
            <w:pPr>
              <w:widowControl/>
              <w:jc w:val="center"/>
              <w:rPr>
                <w:rFonts w:ascii="宋体" w:hAnsi="宋体" w:cs="Arial"/>
                <w:kern w:val="0"/>
                <w:szCs w:val="21"/>
              </w:rPr>
            </w:pPr>
            <w:r>
              <w:rPr>
                <w:rFonts w:hint="eastAsia" w:ascii="宋体" w:hAnsi="宋体" w:cs="Arial"/>
                <w:kern w:val="0"/>
                <w:szCs w:val="21"/>
              </w:rPr>
              <w:t>配置要求</w:t>
            </w:r>
          </w:p>
        </w:tc>
        <w:tc>
          <w:tcPr>
            <w:tcW w:w="1419" w:type="dxa"/>
            <w:vAlign w:val="center"/>
          </w:tcPr>
          <w:p>
            <w:pPr>
              <w:widowControl/>
              <w:jc w:val="center"/>
              <w:rPr>
                <w:rFonts w:ascii="宋体" w:hAnsi="宋体" w:cs="Arial"/>
                <w:kern w:val="0"/>
                <w:szCs w:val="21"/>
              </w:rPr>
            </w:pPr>
            <w:r>
              <w:rPr>
                <w:rFonts w:hint="eastAsia" w:ascii="宋体" w:hAnsi="宋体" w:cs="Arial"/>
                <w:kern w:val="0"/>
                <w:szCs w:val="21"/>
              </w:rPr>
              <w:t>授权管理数</w:t>
            </w: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授权管理100台，含三年服务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Align w:val="center"/>
          </w:tcPr>
          <w:p>
            <w:pPr>
              <w:widowControl/>
              <w:jc w:val="center"/>
              <w:rPr>
                <w:rFonts w:ascii="宋体" w:hAnsi="宋体" w:cs="Arial"/>
                <w:kern w:val="0"/>
                <w:szCs w:val="21"/>
              </w:rPr>
            </w:pPr>
            <w:r>
              <w:rPr>
                <w:rFonts w:hint="eastAsia" w:ascii="宋体" w:hAnsi="宋体" w:cs="Arial"/>
                <w:kern w:val="0"/>
                <w:szCs w:val="21"/>
              </w:rPr>
              <w:t>部署方式</w:t>
            </w: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采用物理旁路模式部署，不影响网络结构。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Align w:val="center"/>
          </w:tcPr>
          <w:p>
            <w:pPr>
              <w:widowControl/>
              <w:jc w:val="center"/>
              <w:rPr>
                <w:rFonts w:ascii="宋体" w:hAnsi="宋体" w:cs="Arial"/>
                <w:kern w:val="0"/>
                <w:szCs w:val="21"/>
              </w:rPr>
            </w:pPr>
            <w:r>
              <w:rPr>
                <w:rFonts w:hint="eastAsia" w:ascii="宋体" w:hAnsi="宋体" w:cs="Arial"/>
                <w:kern w:val="0"/>
                <w:szCs w:val="21"/>
              </w:rPr>
              <w:t>管理结构</w:t>
            </w: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B/S架构，采用HTTPS方式远程安全管理，无需安装客户端。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Merge w:val="restart"/>
            <w:vAlign w:val="center"/>
          </w:tcPr>
          <w:p>
            <w:pPr>
              <w:widowControl/>
              <w:jc w:val="center"/>
              <w:rPr>
                <w:rFonts w:ascii="宋体" w:hAnsi="宋体" w:cs="Arial"/>
                <w:kern w:val="0"/>
                <w:szCs w:val="21"/>
              </w:rPr>
            </w:pPr>
            <w:r>
              <w:rPr>
                <w:rFonts w:hint="eastAsia" w:ascii="宋体" w:hAnsi="宋体" w:cs="Arial"/>
                <w:kern w:val="0"/>
                <w:szCs w:val="21"/>
              </w:rPr>
              <w:t xml:space="preserve"> 网络接口</w:t>
            </w: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1U，含单交流电源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Merge w:val="continue"/>
            <w:vAlign w:val="center"/>
          </w:tcPr>
          <w:p>
            <w:pPr>
              <w:widowControl/>
              <w:jc w:val="center"/>
              <w:rPr>
                <w:rFonts w:ascii="宋体" w:hAnsi="宋体" w:cs="Arial"/>
                <w:kern w:val="0"/>
                <w:szCs w:val="21"/>
              </w:rPr>
            </w:pP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2*USB接口，1*RJ45串口，1*GE管理口，4*GE电口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Align w:val="center"/>
          </w:tcPr>
          <w:p>
            <w:pPr>
              <w:widowControl/>
              <w:jc w:val="center"/>
              <w:rPr>
                <w:rFonts w:ascii="宋体" w:hAnsi="宋体" w:cs="Arial"/>
                <w:kern w:val="0"/>
                <w:szCs w:val="21"/>
              </w:rPr>
            </w:pPr>
            <w:r>
              <w:rPr>
                <w:rFonts w:hint="eastAsia" w:ascii="宋体" w:hAnsi="宋体" w:cs="Arial"/>
                <w:kern w:val="0"/>
                <w:szCs w:val="21"/>
              </w:rPr>
              <w:t>数据存储</w:t>
            </w: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 xml:space="preserve"> 系统自带内部存储，存储空间不低于2T；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Merge w:val="restart"/>
            <w:vAlign w:val="center"/>
          </w:tcPr>
          <w:p>
            <w:pPr>
              <w:widowControl/>
              <w:jc w:val="center"/>
              <w:rPr>
                <w:rFonts w:ascii="宋体" w:hAnsi="宋体" w:cs="Arial"/>
                <w:kern w:val="0"/>
                <w:szCs w:val="21"/>
              </w:rPr>
            </w:pPr>
            <w:r>
              <w:rPr>
                <w:rFonts w:hint="eastAsia" w:ascii="宋体" w:hAnsi="宋体" w:cs="Arial"/>
                <w:kern w:val="0"/>
                <w:szCs w:val="21"/>
              </w:rPr>
              <w:t>并发访问</w:t>
            </w: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图形并发≥80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Merge w:val="continue"/>
            <w:vAlign w:val="center"/>
          </w:tcPr>
          <w:p>
            <w:pPr>
              <w:widowControl/>
              <w:jc w:val="center"/>
              <w:rPr>
                <w:rFonts w:ascii="宋体" w:hAnsi="宋体" w:cs="Arial"/>
                <w:kern w:val="0"/>
                <w:szCs w:val="21"/>
              </w:rPr>
            </w:pP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字符并发≥180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restart"/>
            <w:vAlign w:val="center"/>
          </w:tcPr>
          <w:p>
            <w:pPr>
              <w:widowControl/>
              <w:jc w:val="center"/>
              <w:rPr>
                <w:rFonts w:ascii="宋体" w:hAnsi="宋体" w:cs="Arial"/>
                <w:kern w:val="0"/>
                <w:szCs w:val="21"/>
              </w:rPr>
            </w:pPr>
            <w:r>
              <w:rPr>
                <w:rFonts w:hint="eastAsia" w:ascii="宋体" w:hAnsi="宋体" w:cs="Arial"/>
                <w:kern w:val="0"/>
                <w:szCs w:val="21"/>
              </w:rPr>
              <w:t>权限管理</w:t>
            </w:r>
          </w:p>
        </w:tc>
        <w:tc>
          <w:tcPr>
            <w:tcW w:w="1419" w:type="dxa"/>
            <w:vAlign w:val="center"/>
          </w:tcPr>
          <w:p>
            <w:pPr>
              <w:widowControl/>
              <w:jc w:val="center"/>
              <w:rPr>
                <w:rFonts w:ascii="宋体" w:hAnsi="宋体" w:cs="Arial"/>
                <w:kern w:val="0"/>
                <w:szCs w:val="21"/>
              </w:rPr>
            </w:pPr>
            <w:r>
              <w:rPr>
                <w:rFonts w:hint="eastAsia" w:ascii="宋体" w:hAnsi="宋体" w:cs="Arial"/>
                <w:kern w:val="0"/>
                <w:szCs w:val="21"/>
              </w:rPr>
              <w:t>用户角色</w:t>
            </w: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堡垒机具有用户多角色划分功能，如堡垒机系统管理员、运维主管、设备管理员、普通用户、审计管理员、审计员等，对各类角色需要进行细粒度的权限管理。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Align w:val="center"/>
          </w:tcPr>
          <w:p>
            <w:pPr>
              <w:widowControl/>
              <w:jc w:val="center"/>
              <w:rPr>
                <w:rFonts w:ascii="宋体" w:hAnsi="宋体" w:cs="Arial"/>
                <w:kern w:val="0"/>
                <w:szCs w:val="21"/>
              </w:rPr>
            </w:pPr>
            <w:r>
              <w:rPr>
                <w:rFonts w:hint="eastAsia" w:ascii="宋体" w:hAnsi="宋体" w:cs="Arial"/>
                <w:kern w:val="0"/>
                <w:szCs w:val="21"/>
              </w:rPr>
              <w:t>设备访问授权</w:t>
            </w: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设备访授权：身份认证之外，需要更高级管理员授权才能对设备进行运维操作；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Align w:val="center"/>
          </w:tcPr>
          <w:p>
            <w:pPr>
              <w:widowControl/>
              <w:jc w:val="center"/>
              <w:rPr>
                <w:rFonts w:ascii="宋体" w:hAnsi="宋体" w:cs="Arial"/>
                <w:kern w:val="0"/>
                <w:szCs w:val="21"/>
              </w:rPr>
            </w:pPr>
            <w:r>
              <w:rPr>
                <w:rFonts w:hint="eastAsia" w:ascii="宋体" w:hAnsi="宋体" w:cs="Arial"/>
                <w:kern w:val="0"/>
                <w:szCs w:val="21"/>
              </w:rPr>
              <w:t>命令执行授权</w:t>
            </w: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命令执行授权：对特定命令的执行需要更高级管理员授权才能执行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Align w:val="center"/>
          </w:tcPr>
          <w:p>
            <w:pPr>
              <w:widowControl/>
              <w:jc w:val="center"/>
              <w:rPr>
                <w:rFonts w:ascii="宋体" w:hAnsi="宋体" w:cs="Arial"/>
                <w:kern w:val="0"/>
                <w:szCs w:val="21"/>
              </w:rPr>
            </w:pPr>
            <w:r>
              <w:rPr>
                <w:rFonts w:hint="eastAsia" w:ascii="宋体" w:hAnsi="宋体" w:cs="Arial"/>
                <w:kern w:val="0"/>
                <w:szCs w:val="21"/>
              </w:rPr>
              <w:t>工单系统</w:t>
            </w: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支持工单授权功能，通过运维人员申请或管理员下发工单的方式来赋予运维人员访问目标服务器的权限，且有工单生效时间限制，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restart"/>
            <w:vAlign w:val="center"/>
          </w:tcPr>
          <w:p>
            <w:pPr>
              <w:widowControl/>
              <w:jc w:val="center"/>
              <w:rPr>
                <w:rFonts w:ascii="宋体" w:hAnsi="宋体" w:cs="Arial"/>
                <w:kern w:val="0"/>
                <w:szCs w:val="21"/>
              </w:rPr>
            </w:pPr>
            <w:r>
              <w:rPr>
                <w:rFonts w:hint="eastAsia" w:ascii="宋体" w:hAnsi="宋体" w:cs="Arial"/>
                <w:kern w:val="0"/>
                <w:szCs w:val="21"/>
              </w:rPr>
              <w:t>身份认证</w:t>
            </w:r>
          </w:p>
        </w:tc>
        <w:tc>
          <w:tcPr>
            <w:tcW w:w="1419" w:type="dxa"/>
            <w:vMerge w:val="restart"/>
            <w:vAlign w:val="center"/>
          </w:tcPr>
          <w:p>
            <w:pPr>
              <w:widowControl/>
              <w:jc w:val="center"/>
              <w:rPr>
                <w:rFonts w:ascii="宋体" w:hAnsi="宋体" w:cs="Arial"/>
                <w:kern w:val="0"/>
                <w:szCs w:val="21"/>
              </w:rPr>
            </w:pPr>
            <w:r>
              <w:rPr>
                <w:rFonts w:hint="eastAsia" w:ascii="宋体" w:hAnsi="宋体" w:cs="Arial"/>
                <w:kern w:val="0"/>
                <w:szCs w:val="21"/>
              </w:rPr>
              <w:t>身份认证</w:t>
            </w: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主帐号登录堡垒机应支持本地静态密码认证、LDAP认证、RADIUS认证、证书认证等身份认证方式；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Merge w:val="continue"/>
            <w:vAlign w:val="center"/>
          </w:tcPr>
          <w:p>
            <w:pPr>
              <w:widowControl/>
              <w:jc w:val="center"/>
              <w:rPr>
                <w:rFonts w:ascii="宋体" w:hAnsi="宋体" w:cs="Arial"/>
                <w:kern w:val="0"/>
                <w:szCs w:val="21"/>
              </w:rPr>
            </w:pP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用户登陆堡垒机支持MAC绑定，非法地址无法登陆堡垒机；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Merge w:val="continue"/>
            <w:vAlign w:val="center"/>
          </w:tcPr>
          <w:p>
            <w:pPr>
              <w:widowControl/>
              <w:jc w:val="center"/>
              <w:rPr>
                <w:rFonts w:ascii="宋体" w:hAnsi="宋体" w:cs="Arial"/>
                <w:kern w:val="0"/>
                <w:szCs w:val="21"/>
              </w:rPr>
            </w:pP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堡垒机访问自身的ACL限制，支持配置可访问的IP范围；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restart"/>
            <w:vAlign w:val="center"/>
          </w:tcPr>
          <w:p>
            <w:pPr>
              <w:widowControl/>
              <w:jc w:val="center"/>
              <w:rPr>
                <w:rFonts w:ascii="宋体" w:hAnsi="宋体" w:cs="Arial"/>
                <w:kern w:val="0"/>
                <w:szCs w:val="21"/>
              </w:rPr>
            </w:pPr>
            <w:r>
              <w:rPr>
                <w:rFonts w:hint="eastAsia" w:ascii="宋体" w:hAnsi="宋体" w:cs="Arial"/>
                <w:kern w:val="0"/>
                <w:szCs w:val="21"/>
              </w:rPr>
              <w:t>设备资产管理</w:t>
            </w:r>
          </w:p>
        </w:tc>
        <w:tc>
          <w:tcPr>
            <w:tcW w:w="1419" w:type="dxa"/>
            <w:vMerge w:val="restart"/>
            <w:vAlign w:val="center"/>
          </w:tcPr>
          <w:p>
            <w:pPr>
              <w:widowControl/>
              <w:jc w:val="center"/>
              <w:rPr>
                <w:rFonts w:ascii="宋体" w:hAnsi="宋体" w:cs="Arial"/>
                <w:kern w:val="0"/>
                <w:szCs w:val="21"/>
              </w:rPr>
            </w:pPr>
            <w:r>
              <w:rPr>
                <w:rFonts w:hint="eastAsia" w:ascii="宋体" w:hAnsi="宋体" w:cs="Arial"/>
                <w:kern w:val="0"/>
                <w:szCs w:val="21"/>
              </w:rPr>
              <w:t>支持的协议</w:t>
            </w: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字符型远程操作协议：SSH(V1、V2)、TELNET；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Merge w:val="continue"/>
            <w:vAlign w:val="center"/>
          </w:tcPr>
          <w:p>
            <w:pPr>
              <w:widowControl/>
              <w:jc w:val="center"/>
              <w:rPr>
                <w:rFonts w:ascii="宋体" w:hAnsi="宋体" w:cs="Arial"/>
                <w:kern w:val="0"/>
                <w:szCs w:val="21"/>
              </w:rPr>
            </w:pP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图形化远程操作协议：RDP、VNC、X11，其支持文件共享；可支持RDP、VNC的客户端直接访问堡垒机；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Merge w:val="continue"/>
            <w:vAlign w:val="center"/>
          </w:tcPr>
          <w:p>
            <w:pPr>
              <w:widowControl/>
              <w:jc w:val="center"/>
              <w:rPr>
                <w:rFonts w:ascii="宋体" w:hAnsi="宋体" w:cs="Arial"/>
                <w:kern w:val="0"/>
                <w:szCs w:val="21"/>
              </w:rPr>
            </w:pP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文件传输协议：FTP、SFTP、SCP；可支持FTP客户端Winscp直接访问堡垒机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Merge w:val="continue"/>
            <w:vAlign w:val="center"/>
          </w:tcPr>
          <w:p>
            <w:pPr>
              <w:widowControl/>
              <w:jc w:val="center"/>
              <w:rPr>
                <w:rFonts w:ascii="宋体" w:hAnsi="宋体" w:cs="Arial"/>
                <w:kern w:val="0"/>
                <w:szCs w:val="21"/>
              </w:rPr>
            </w:pP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支持Oracle、MS SQL Server、IBM DB2、Sybase、IBM Informix Dynamic Server、PostgreSQL等数据库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Merge w:val="continue"/>
            <w:vAlign w:val="center"/>
          </w:tcPr>
          <w:p>
            <w:pPr>
              <w:widowControl/>
              <w:jc w:val="center"/>
              <w:rPr>
                <w:rFonts w:ascii="宋体" w:hAnsi="宋体" w:cs="Arial"/>
                <w:kern w:val="0"/>
                <w:szCs w:val="21"/>
              </w:rPr>
            </w:pP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支持HTTP、HTTPS操作审计，HTTP/HTTPS协议可以直接代理；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Align w:val="center"/>
          </w:tcPr>
          <w:p>
            <w:pPr>
              <w:widowControl/>
              <w:jc w:val="center"/>
              <w:rPr>
                <w:rFonts w:ascii="宋体" w:hAnsi="宋体" w:cs="Arial"/>
                <w:kern w:val="0"/>
                <w:szCs w:val="21"/>
              </w:rPr>
            </w:pPr>
            <w:r>
              <w:rPr>
                <w:rFonts w:hint="eastAsia" w:ascii="宋体" w:hAnsi="宋体" w:cs="Arial"/>
                <w:kern w:val="0"/>
                <w:szCs w:val="21"/>
              </w:rPr>
              <w:t>数据库运维支持能力</w:t>
            </w: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 xml:space="preserve">要求支持数据库审计功能，能够将网络中的流量通过镜像的方式传到堡垒机，堡垒机以录屏加数据库日志的形式审计运维人员的操作，支持将操作语句与录屏进行实时绑定，能够准确快速的定位数据库语句执行时，整个屏幕的状态。提供产品功能截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Merge w:val="restart"/>
            <w:vAlign w:val="center"/>
          </w:tcPr>
          <w:p>
            <w:pPr>
              <w:widowControl/>
              <w:jc w:val="center"/>
              <w:rPr>
                <w:rFonts w:ascii="宋体" w:hAnsi="宋体" w:cs="Arial"/>
                <w:kern w:val="0"/>
                <w:szCs w:val="21"/>
              </w:rPr>
            </w:pPr>
            <w:r>
              <w:rPr>
                <w:rFonts w:hint="eastAsia" w:ascii="宋体" w:hAnsi="宋体" w:cs="Arial"/>
                <w:kern w:val="0"/>
                <w:szCs w:val="21"/>
              </w:rPr>
              <w:t>目标设备登录方式</w:t>
            </w: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自动登录目标设备：运维人员不必知道目标设备帐号及密码，无需进行二次登录认证，实现单点登录；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Merge w:val="continue"/>
            <w:vAlign w:val="center"/>
          </w:tcPr>
          <w:p>
            <w:pPr>
              <w:widowControl/>
              <w:jc w:val="center"/>
              <w:rPr>
                <w:rFonts w:ascii="宋体" w:hAnsi="宋体" w:cs="Arial"/>
                <w:kern w:val="0"/>
                <w:szCs w:val="21"/>
              </w:rPr>
            </w:pP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手工登录目标设备：运维人员每次通过堡垒机登录目标设备都需要手工输入目标设备用户名密码；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Merge w:val="continue"/>
            <w:vAlign w:val="center"/>
          </w:tcPr>
          <w:p>
            <w:pPr>
              <w:widowControl/>
              <w:jc w:val="center"/>
              <w:rPr>
                <w:rFonts w:ascii="宋体" w:hAnsi="宋体" w:cs="Arial"/>
                <w:kern w:val="0"/>
                <w:szCs w:val="21"/>
              </w:rPr>
            </w:pP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半自动登录目标设备：即第一次登录目标设备时运维人员需手工输入目标设备帐号和密码并允许堡垒机保存该帐号密码，运维人员在后期登录时即可实现自动登录目标设备。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Merge w:val="continue"/>
            <w:vAlign w:val="center"/>
          </w:tcPr>
          <w:p>
            <w:pPr>
              <w:widowControl/>
              <w:jc w:val="center"/>
              <w:rPr>
                <w:rFonts w:ascii="宋体" w:hAnsi="宋体" w:cs="Arial"/>
                <w:kern w:val="0"/>
                <w:szCs w:val="21"/>
              </w:rPr>
            </w:pP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密钥登录方式：在登录目标服务器时，使用的是秘钥登录，而非密码。在既可以使用密码，又可以使用秘钥的环境，可以自由选择登录认证方式。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Merge w:val="restart"/>
            <w:vAlign w:val="center"/>
          </w:tcPr>
          <w:p>
            <w:pPr>
              <w:widowControl/>
              <w:jc w:val="center"/>
              <w:rPr>
                <w:rFonts w:ascii="宋体" w:hAnsi="宋体" w:cs="Arial"/>
                <w:kern w:val="0"/>
                <w:szCs w:val="21"/>
              </w:rPr>
            </w:pPr>
            <w:r>
              <w:rPr>
                <w:rFonts w:hint="eastAsia" w:ascii="宋体" w:hAnsi="宋体" w:cs="Arial"/>
                <w:kern w:val="0"/>
                <w:szCs w:val="21"/>
              </w:rPr>
              <w:t>设备维护</w:t>
            </w: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 xml:space="preserve">支持批量导入/导出/修改目标设备信息；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Merge w:val="continue"/>
            <w:vAlign w:val="center"/>
          </w:tcPr>
          <w:p>
            <w:pPr>
              <w:widowControl/>
              <w:jc w:val="center"/>
              <w:rPr>
                <w:rFonts w:ascii="宋体" w:hAnsi="宋体" w:cs="Arial"/>
                <w:kern w:val="0"/>
                <w:szCs w:val="21"/>
              </w:rPr>
            </w:pPr>
          </w:p>
        </w:tc>
        <w:tc>
          <w:tcPr>
            <w:tcW w:w="6174" w:type="dxa"/>
            <w:tcBorders>
              <w:bottom w:val="single" w:color="auto" w:sz="4" w:space="0"/>
            </w:tcBorders>
            <w:vAlign w:val="center"/>
          </w:tcPr>
          <w:p>
            <w:pPr>
              <w:widowControl/>
              <w:jc w:val="left"/>
              <w:rPr>
                <w:rFonts w:ascii="宋体" w:hAnsi="宋体" w:cs="Arial"/>
                <w:kern w:val="0"/>
                <w:szCs w:val="21"/>
              </w:rPr>
            </w:pPr>
            <w:r>
              <w:rPr>
                <w:rFonts w:hint="eastAsia" w:ascii="宋体" w:hAnsi="宋体" w:cs="Arial"/>
                <w:kern w:val="0"/>
                <w:szCs w:val="21"/>
              </w:rPr>
              <w:t>支持智能扫描方式自动发现网络中的设备，通过IP地址扫描，快速发现指定IP地址范围内的主机、服务器和网络设备，并自动识别启用服务和端口，方便管理员快速添加设备。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shd w:val="clear" w:color="auto" w:fill="auto"/>
            <w:vAlign w:val="center"/>
          </w:tcPr>
          <w:p>
            <w:pPr>
              <w:widowControl/>
              <w:jc w:val="left"/>
              <w:rPr>
                <w:rFonts w:ascii="宋体" w:hAnsi="宋体" w:cs="Arial"/>
                <w:kern w:val="0"/>
                <w:szCs w:val="21"/>
              </w:rPr>
            </w:pPr>
          </w:p>
        </w:tc>
        <w:tc>
          <w:tcPr>
            <w:tcW w:w="1419" w:type="dxa"/>
            <w:vMerge w:val="restart"/>
            <w:shd w:val="clear" w:color="auto" w:fill="auto"/>
            <w:vAlign w:val="center"/>
          </w:tcPr>
          <w:p>
            <w:pPr>
              <w:widowControl/>
              <w:jc w:val="center"/>
              <w:rPr>
                <w:rFonts w:ascii="宋体" w:hAnsi="宋体" w:cs="Arial"/>
                <w:kern w:val="0"/>
                <w:szCs w:val="21"/>
              </w:rPr>
            </w:pPr>
            <w:r>
              <w:rPr>
                <w:rFonts w:hint="eastAsia" w:ascii="宋体" w:hAnsi="宋体" w:cs="Arial"/>
                <w:kern w:val="0"/>
                <w:szCs w:val="21"/>
              </w:rPr>
              <w:t>密码对象管理</w:t>
            </w:r>
          </w:p>
        </w:tc>
        <w:tc>
          <w:tcPr>
            <w:tcW w:w="6174" w:type="dxa"/>
            <w:shd w:val="clear" w:color="000000" w:fill="auto"/>
            <w:vAlign w:val="center"/>
          </w:tcPr>
          <w:p>
            <w:pPr>
              <w:widowControl/>
              <w:jc w:val="left"/>
              <w:rPr>
                <w:rFonts w:ascii="宋体" w:hAnsi="宋体" w:cs="Arial"/>
                <w:kern w:val="0"/>
                <w:szCs w:val="21"/>
              </w:rPr>
            </w:pPr>
            <w:r>
              <w:rPr>
                <w:rFonts w:hint="eastAsia" w:ascii="宋体" w:hAnsi="宋体" w:cs="Arial"/>
                <w:kern w:val="0"/>
                <w:szCs w:val="21"/>
              </w:rPr>
              <w:t>支持改密审批，改密前可选择是否需要提交领导审批，进一步确保改密安全。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Merge w:val="continue"/>
            <w:vAlign w:val="center"/>
          </w:tcPr>
          <w:p>
            <w:pPr>
              <w:widowControl/>
              <w:jc w:val="center"/>
              <w:rPr>
                <w:rFonts w:ascii="宋体" w:hAnsi="宋体" w:cs="Arial"/>
                <w:kern w:val="0"/>
                <w:szCs w:val="21"/>
              </w:rPr>
            </w:pP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改密结果详情中显示旧密码和新密码列，提供链接来测试登录。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Merge w:val="continue"/>
            <w:vAlign w:val="center"/>
          </w:tcPr>
          <w:p>
            <w:pPr>
              <w:widowControl/>
              <w:jc w:val="center"/>
              <w:rPr>
                <w:rFonts w:ascii="宋体" w:hAnsi="宋体" w:cs="Arial"/>
                <w:kern w:val="0"/>
                <w:szCs w:val="21"/>
              </w:rPr>
            </w:pP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由于密码的重要性，备份的密码文件必须采用加密的方式，支持通过配置界面将需要备份的密码打包成压缩文件并设置加密口令；请提供截图证明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Merge w:val="continue"/>
            <w:vAlign w:val="center"/>
          </w:tcPr>
          <w:p>
            <w:pPr>
              <w:widowControl/>
              <w:jc w:val="center"/>
              <w:rPr>
                <w:rFonts w:ascii="宋体" w:hAnsi="宋体" w:cs="Arial"/>
                <w:kern w:val="0"/>
                <w:szCs w:val="21"/>
              </w:rPr>
            </w:pP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设置账号可设置自动定期改密，自动改密后支持邮件通知，将改密后的密码文件发送到指定邮箱，须支持设置附件密码；请提供截图证明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restart"/>
            <w:vAlign w:val="center"/>
          </w:tcPr>
          <w:p>
            <w:pPr>
              <w:widowControl/>
              <w:jc w:val="center"/>
              <w:rPr>
                <w:rFonts w:ascii="宋体" w:hAnsi="宋体" w:cs="Arial"/>
                <w:kern w:val="0"/>
                <w:szCs w:val="21"/>
              </w:rPr>
            </w:pPr>
            <w:r>
              <w:rPr>
                <w:rFonts w:hint="eastAsia" w:ascii="宋体" w:hAnsi="宋体" w:cs="Arial"/>
                <w:kern w:val="0"/>
                <w:szCs w:val="21"/>
              </w:rPr>
              <w:t>系统管理</w:t>
            </w:r>
          </w:p>
        </w:tc>
        <w:tc>
          <w:tcPr>
            <w:tcW w:w="1419" w:type="dxa"/>
            <w:vAlign w:val="center"/>
          </w:tcPr>
          <w:p>
            <w:pPr>
              <w:widowControl/>
              <w:jc w:val="center"/>
              <w:rPr>
                <w:rFonts w:ascii="宋体" w:hAnsi="宋体" w:cs="Arial"/>
                <w:kern w:val="0"/>
                <w:szCs w:val="21"/>
              </w:rPr>
            </w:pPr>
            <w:r>
              <w:rPr>
                <w:rFonts w:hint="eastAsia" w:ascii="宋体" w:hAnsi="宋体" w:cs="Arial"/>
                <w:kern w:val="0"/>
                <w:szCs w:val="21"/>
              </w:rPr>
              <w:t>配置向导</w:t>
            </w: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提供对部分配置操作进行向导式配置界面，尤其是操作步骤比较多，前后有关联的数据库审计配置。请提供截图证明并加盖公章。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Align w:val="center"/>
          </w:tcPr>
          <w:p>
            <w:pPr>
              <w:widowControl/>
              <w:jc w:val="center"/>
              <w:rPr>
                <w:rFonts w:ascii="宋体" w:hAnsi="宋体" w:cs="Arial"/>
                <w:kern w:val="0"/>
                <w:szCs w:val="21"/>
              </w:rPr>
            </w:pPr>
            <w:r>
              <w:rPr>
                <w:rFonts w:hint="eastAsia" w:ascii="宋体" w:hAnsi="宋体" w:cs="Arial"/>
                <w:kern w:val="0"/>
                <w:szCs w:val="21"/>
              </w:rPr>
              <w:t>实时监控</w:t>
            </w: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支持实时监控通过SSH、SFTP、RDP、VNC 、Telnet、FTP、X11等协议的操作行为；对监控到的非法操作，可实时手工切断。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Align w:val="center"/>
          </w:tcPr>
          <w:p>
            <w:pPr>
              <w:widowControl/>
              <w:jc w:val="center"/>
              <w:rPr>
                <w:rFonts w:ascii="宋体" w:hAnsi="宋体" w:cs="Arial"/>
                <w:kern w:val="0"/>
                <w:szCs w:val="21"/>
              </w:rPr>
            </w:pPr>
            <w:r>
              <w:rPr>
                <w:rFonts w:hint="eastAsia" w:ascii="宋体" w:hAnsi="宋体" w:cs="Arial"/>
                <w:kern w:val="0"/>
                <w:szCs w:val="21"/>
              </w:rPr>
              <w:t>静态路由</w:t>
            </w: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可添加静态路由信息，部署于复杂的网络环境。提供截图证明并加盖公章。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Align w:val="center"/>
          </w:tcPr>
          <w:p>
            <w:pPr>
              <w:widowControl/>
              <w:jc w:val="center"/>
              <w:rPr>
                <w:rFonts w:ascii="宋体" w:hAnsi="宋体" w:cs="Arial"/>
                <w:kern w:val="0"/>
                <w:szCs w:val="21"/>
              </w:rPr>
            </w:pPr>
            <w:r>
              <w:rPr>
                <w:rFonts w:hint="eastAsia" w:ascii="宋体" w:hAnsi="宋体" w:cs="Arial"/>
                <w:kern w:val="0"/>
                <w:szCs w:val="21"/>
              </w:rPr>
              <w:t>自动生成报表</w:t>
            </w: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提供周期生成报表，用于审计或者上报，提供给用户按照自定义规则自动周期生成报表的功能。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restart"/>
            <w:vAlign w:val="center"/>
          </w:tcPr>
          <w:p>
            <w:pPr>
              <w:widowControl/>
              <w:jc w:val="center"/>
              <w:rPr>
                <w:rFonts w:ascii="宋体" w:hAnsi="宋体" w:cs="Arial"/>
                <w:kern w:val="0"/>
                <w:szCs w:val="21"/>
              </w:rPr>
            </w:pPr>
            <w:r>
              <w:rPr>
                <w:rFonts w:hint="eastAsia" w:ascii="宋体" w:hAnsi="宋体" w:cs="Arial"/>
                <w:kern w:val="0"/>
                <w:szCs w:val="21"/>
              </w:rPr>
              <w:t>增强功能</w:t>
            </w:r>
          </w:p>
        </w:tc>
        <w:tc>
          <w:tcPr>
            <w:tcW w:w="1419" w:type="dxa"/>
            <w:vAlign w:val="center"/>
          </w:tcPr>
          <w:p>
            <w:pPr>
              <w:widowControl/>
              <w:jc w:val="center"/>
              <w:rPr>
                <w:rFonts w:ascii="宋体" w:hAnsi="宋体" w:cs="Arial"/>
                <w:kern w:val="0"/>
                <w:szCs w:val="21"/>
              </w:rPr>
            </w:pPr>
            <w:r>
              <w:rPr>
                <w:rFonts w:hint="eastAsia" w:ascii="宋体" w:hAnsi="宋体" w:cs="Arial"/>
                <w:kern w:val="0"/>
                <w:szCs w:val="21"/>
              </w:rPr>
              <w:t>应用发布</w:t>
            </w: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可通过应用发布的方式进行协议扩展，无需定制即可支持其他通用及专有的运维客户端程序。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Merge w:val="restart"/>
            <w:vAlign w:val="center"/>
          </w:tcPr>
          <w:p>
            <w:pPr>
              <w:widowControl/>
              <w:jc w:val="center"/>
              <w:rPr>
                <w:rFonts w:ascii="宋体" w:hAnsi="宋体" w:cs="Arial"/>
                <w:kern w:val="0"/>
                <w:szCs w:val="21"/>
              </w:rPr>
            </w:pPr>
            <w:r>
              <w:rPr>
                <w:rFonts w:hint="eastAsia" w:ascii="宋体" w:hAnsi="宋体" w:cs="Arial"/>
                <w:kern w:val="0"/>
                <w:szCs w:val="21"/>
              </w:rPr>
              <w:t>支持的设备访问方式</w:t>
            </w: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Web访问方式:支持通过审计系统的Web页面直接访问设备；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Merge w:val="continue"/>
            <w:vAlign w:val="center"/>
          </w:tcPr>
          <w:p>
            <w:pPr>
              <w:widowControl/>
              <w:jc w:val="center"/>
              <w:rPr>
                <w:rFonts w:ascii="宋体" w:hAnsi="宋体" w:cs="Arial"/>
                <w:kern w:val="0"/>
                <w:szCs w:val="21"/>
              </w:rPr>
            </w:pP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客户端访问方式：支持通过SecurCRT等常用的命令行客户端工具登录堡垒机并访问目标设备，并支持会话克隆；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Merge w:val="continue"/>
            <w:tcBorders>
              <w:bottom w:val="single" w:color="auto" w:sz="4" w:space="0"/>
            </w:tcBorders>
            <w:vAlign w:val="center"/>
          </w:tcPr>
          <w:p>
            <w:pPr>
              <w:widowControl/>
              <w:jc w:val="center"/>
              <w:rPr>
                <w:rFonts w:ascii="宋体" w:hAnsi="宋体" w:cs="Arial"/>
                <w:kern w:val="0"/>
                <w:szCs w:val="21"/>
              </w:rPr>
            </w:pPr>
          </w:p>
        </w:tc>
        <w:tc>
          <w:tcPr>
            <w:tcW w:w="6174" w:type="dxa"/>
            <w:tcBorders>
              <w:bottom w:val="single" w:color="auto" w:sz="4" w:space="0"/>
            </w:tcBorders>
            <w:vAlign w:val="center"/>
          </w:tcPr>
          <w:p>
            <w:pPr>
              <w:widowControl/>
              <w:jc w:val="left"/>
              <w:rPr>
                <w:rFonts w:ascii="宋体" w:hAnsi="宋体" w:cs="Arial"/>
                <w:kern w:val="0"/>
                <w:szCs w:val="21"/>
              </w:rPr>
            </w:pPr>
            <w:r>
              <w:rPr>
                <w:rFonts w:hint="eastAsia" w:ascii="宋体" w:hAnsi="宋体" w:cs="Arial"/>
                <w:kern w:val="0"/>
                <w:szCs w:val="21"/>
              </w:rPr>
              <w:t>支持web服务器访问用户名密码代填，支持vSphere Web Client 用户名密码代填。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03" w:type="dxa"/>
            <w:vMerge w:val="continue"/>
            <w:vAlign w:val="center"/>
          </w:tcPr>
          <w:p>
            <w:pPr>
              <w:widowControl/>
              <w:jc w:val="left"/>
              <w:rPr>
                <w:rFonts w:ascii="宋体" w:hAnsi="宋体" w:cs="Arial"/>
                <w:kern w:val="0"/>
                <w:szCs w:val="21"/>
              </w:rPr>
            </w:pPr>
          </w:p>
        </w:tc>
        <w:tc>
          <w:tcPr>
            <w:tcW w:w="1419" w:type="dxa"/>
            <w:vMerge w:val="restart"/>
            <w:vAlign w:val="center"/>
          </w:tcPr>
          <w:p>
            <w:pPr>
              <w:widowControl/>
              <w:jc w:val="center"/>
              <w:rPr>
                <w:rFonts w:ascii="宋体" w:hAnsi="宋体" w:cs="Arial"/>
                <w:kern w:val="0"/>
                <w:szCs w:val="21"/>
              </w:rPr>
            </w:pPr>
            <w:r>
              <w:rPr>
                <w:rFonts w:hint="eastAsia" w:ascii="宋体" w:hAnsi="宋体" w:cs="Arial"/>
                <w:kern w:val="0"/>
                <w:szCs w:val="21"/>
              </w:rPr>
              <w:t>访问控制及异常告警</w:t>
            </w:r>
          </w:p>
        </w:tc>
        <w:tc>
          <w:tcPr>
            <w:tcW w:w="6174" w:type="dxa"/>
            <w:vMerge w:val="restart"/>
            <w:vAlign w:val="center"/>
          </w:tcPr>
          <w:p>
            <w:pPr>
              <w:widowControl/>
              <w:jc w:val="left"/>
              <w:rPr>
                <w:rFonts w:ascii="宋体" w:hAnsi="宋体" w:cs="Arial"/>
                <w:kern w:val="0"/>
                <w:szCs w:val="21"/>
              </w:rPr>
            </w:pPr>
            <w:r>
              <w:rPr>
                <w:rFonts w:hint="eastAsia" w:ascii="宋体" w:hAnsi="宋体" w:cs="Arial"/>
                <w:kern w:val="0"/>
                <w:szCs w:val="21"/>
              </w:rPr>
              <w:t>支持通过基于时间、IP/IP段、用户/用户组、设备/设备组、设备账号、命令关键字、命令关键字正则表达式、内置命令集、危险级别（按危险程度分为高、中、低）等组合访问控制策略，授权用户可访问的目标设备。内置命令集请提供截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2" w:hRule="atLeast"/>
        </w:trPr>
        <w:tc>
          <w:tcPr>
            <w:tcW w:w="703" w:type="dxa"/>
            <w:vMerge w:val="continue"/>
            <w:vAlign w:val="center"/>
          </w:tcPr>
          <w:p>
            <w:pPr>
              <w:widowControl/>
              <w:jc w:val="left"/>
              <w:rPr>
                <w:rFonts w:ascii="宋体" w:hAnsi="宋体" w:cs="Arial"/>
                <w:kern w:val="0"/>
                <w:szCs w:val="21"/>
              </w:rPr>
            </w:pPr>
          </w:p>
        </w:tc>
        <w:tc>
          <w:tcPr>
            <w:tcW w:w="1419" w:type="dxa"/>
            <w:vMerge w:val="continue"/>
            <w:vAlign w:val="center"/>
          </w:tcPr>
          <w:p>
            <w:pPr>
              <w:widowControl/>
              <w:jc w:val="center"/>
              <w:rPr>
                <w:rFonts w:ascii="宋体" w:hAnsi="宋体" w:cs="Arial"/>
                <w:kern w:val="0"/>
                <w:szCs w:val="21"/>
              </w:rPr>
            </w:pPr>
          </w:p>
        </w:tc>
        <w:tc>
          <w:tcPr>
            <w:tcW w:w="6174" w:type="dxa"/>
            <w:vMerge w:val="continue"/>
            <w:vAlign w:val="center"/>
          </w:tcPr>
          <w:p>
            <w:pPr>
              <w:widowControl/>
              <w:jc w:val="left"/>
              <w:rPr>
                <w:rFonts w:ascii="宋体" w:hAnsi="宋体" w:cs="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Align w:val="center"/>
          </w:tcPr>
          <w:p>
            <w:pPr>
              <w:widowControl/>
              <w:jc w:val="center"/>
              <w:rPr>
                <w:rFonts w:ascii="宋体" w:hAnsi="宋体" w:cs="Arial"/>
                <w:kern w:val="0"/>
                <w:szCs w:val="21"/>
              </w:rPr>
            </w:pPr>
            <w:r>
              <w:rPr>
                <w:rFonts w:hint="eastAsia" w:ascii="宋体" w:hAnsi="宋体" w:cs="Arial"/>
                <w:kern w:val="0"/>
                <w:szCs w:val="21"/>
              </w:rPr>
              <w:t>入侵审计</w:t>
            </w: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要求支持主动对配置的子账号进行关联分析，当发现攻击者植入的异常账号时，对相关管理员采取告警、记录及通知等操作。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Merge w:val="continue"/>
            <w:vAlign w:val="center"/>
          </w:tcPr>
          <w:p>
            <w:pPr>
              <w:widowControl/>
              <w:jc w:val="left"/>
              <w:rPr>
                <w:rFonts w:ascii="宋体" w:hAnsi="宋体" w:cs="Arial"/>
                <w:kern w:val="0"/>
                <w:szCs w:val="21"/>
              </w:rPr>
            </w:pPr>
          </w:p>
        </w:tc>
        <w:tc>
          <w:tcPr>
            <w:tcW w:w="1419" w:type="dxa"/>
            <w:vAlign w:val="center"/>
          </w:tcPr>
          <w:p>
            <w:pPr>
              <w:widowControl/>
              <w:jc w:val="center"/>
              <w:rPr>
                <w:rFonts w:ascii="宋体" w:hAnsi="宋体" w:cs="Arial"/>
                <w:kern w:val="0"/>
                <w:szCs w:val="21"/>
              </w:rPr>
            </w:pPr>
            <w:r>
              <w:rPr>
                <w:rFonts w:hint="eastAsia" w:ascii="宋体" w:hAnsi="宋体" w:cs="Arial"/>
                <w:kern w:val="0"/>
                <w:szCs w:val="21"/>
              </w:rPr>
              <w:t>远程运维安全</w:t>
            </w:r>
          </w:p>
        </w:tc>
        <w:tc>
          <w:tcPr>
            <w:tcW w:w="6174" w:type="dxa"/>
            <w:vAlign w:val="center"/>
          </w:tcPr>
          <w:p>
            <w:pPr>
              <w:pStyle w:val="9"/>
              <w:rPr>
                <w:rFonts w:ascii="宋体" w:hAnsi="宋体" w:cs="Arial"/>
                <w:kern w:val="0"/>
                <w:szCs w:val="21"/>
              </w:rPr>
            </w:pPr>
            <w:r>
              <w:rPr>
                <w:rFonts w:hint="eastAsia"/>
              </w:rPr>
              <w:t>支持通过VPN联动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3" w:type="dxa"/>
            <w:vAlign w:val="center"/>
          </w:tcPr>
          <w:p>
            <w:pPr>
              <w:widowControl/>
              <w:jc w:val="center"/>
              <w:rPr>
                <w:rFonts w:ascii="宋体" w:hAnsi="宋体" w:cs="Arial"/>
                <w:kern w:val="0"/>
                <w:szCs w:val="21"/>
              </w:rPr>
            </w:pPr>
            <w:r>
              <w:rPr>
                <w:rFonts w:hint="eastAsia" w:ascii="宋体" w:hAnsi="宋体" w:cs="Arial"/>
                <w:kern w:val="0"/>
                <w:szCs w:val="21"/>
              </w:rPr>
              <w:t>资质要求</w:t>
            </w:r>
          </w:p>
        </w:tc>
        <w:tc>
          <w:tcPr>
            <w:tcW w:w="1419" w:type="dxa"/>
            <w:vAlign w:val="center"/>
          </w:tcPr>
          <w:p>
            <w:pPr>
              <w:widowControl/>
              <w:jc w:val="center"/>
              <w:rPr>
                <w:rFonts w:ascii="宋体" w:hAnsi="宋体" w:cs="Arial"/>
                <w:kern w:val="0"/>
                <w:szCs w:val="21"/>
              </w:rPr>
            </w:pPr>
            <w:r>
              <w:rPr>
                <w:rFonts w:hint="eastAsia" w:ascii="宋体" w:hAnsi="宋体" w:cs="Arial"/>
                <w:kern w:val="0"/>
                <w:szCs w:val="21"/>
              </w:rPr>
              <w:t>产品资质</w:t>
            </w:r>
          </w:p>
        </w:tc>
        <w:tc>
          <w:tcPr>
            <w:tcW w:w="6174" w:type="dxa"/>
            <w:vAlign w:val="center"/>
          </w:tcPr>
          <w:p>
            <w:pPr>
              <w:widowControl/>
              <w:jc w:val="left"/>
              <w:rPr>
                <w:rFonts w:ascii="宋体" w:hAnsi="宋体" w:cs="Arial"/>
                <w:kern w:val="0"/>
                <w:szCs w:val="21"/>
              </w:rPr>
            </w:pPr>
            <w:r>
              <w:rPr>
                <w:rFonts w:hint="eastAsia" w:ascii="宋体" w:hAnsi="宋体" w:cs="Arial"/>
                <w:kern w:val="0"/>
                <w:szCs w:val="21"/>
              </w:rPr>
              <w:t>获得由国家信息安全测评中心颁发的《信息技术产品安全测评证书（EAL3+）》，并提供证书复印件</w:t>
            </w:r>
          </w:p>
        </w:tc>
      </w:tr>
    </w:tbl>
    <w:p/>
    <w:p>
      <w:pPr>
        <w:widowControl/>
        <w:jc w:val="left"/>
        <w:rPr>
          <w:b/>
          <w:sz w:val="24"/>
        </w:rPr>
      </w:pPr>
      <w:r>
        <w:rPr>
          <w:rFonts w:hint="eastAsia"/>
          <w:b/>
          <w:sz w:val="24"/>
        </w:rPr>
        <w:t>7.3.24 数据库审计</w:t>
      </w:r>
    </w:p>
    <w:tbl>
      <w:tblPr>
        <w:tblStyle w:val="35"/>
        <w:tblW w:w="8296" w:type="dxa"/>
        <w:tblInd w:w="0" w:type="dxa"/>
        <w:tblLayout w:type="fixed"/>
        <w:tblCellMar>
          <w:top w:w="0" w:type="dxa"/>
          <w:left w:w="108" w:type="dxa"/>
          <w:bottom w:w="0" w:type="dxa"/>
          <w:right w:w="108" w:type="dxa"/>
        </w:tblCellMar>
      </w:tblPr>
      <w:tblGrid>
        <w:gridCol w:w="1656"/>
        <w:gridCol w:w="6640"/>
      </w:tblGrid>
      <w:tr>
        <w:tblPrEx>
          <w:tblLayout w:type="fixed"/>
          <w:tblCellMar>
            <w:top w:w="0" w:type="dxa"/>
            <w:left w:w="108" w:type="dxa"/>
            <w:bottom w:w="0" w:type="dxa"/>
            <w:right w:w="108" w:type="dxa"/>
          </w:tblCellMar>
        </w:tblPrEx>
        <w:trPr>
          <w:trHeight w:val="285" w:hRule="atLeast"/>
        </w:trPr>
        <w:tc>
          <w:tcPr>
            <w:tcW w:w="16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指标项</w:t>
            </w:r>
          </w:p>
        </w:tc>
        <w:tc>
          <w:tcPr>
            <w:tcW w:w="66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指标要求</w:t>
            </w:r>
          </w:p>
        </w:tc>
      </w:tr>
      <w:tr>
        <w:tblPrEx>
          <w:tblLayout w:type="fixed"/>
          <w:tblCellMar>
            <w:top w:w="0" w:type="dxa"/>
            <w:left w:w="108" w:type="dxa"/>
            <w:bottom w:w="0" w:type="dxa"/>
            <w:right w:w="108" w:type="dxa"/>
          </w:tblCellMar>
        </w:tblPrEx>
        <w:trPr>
          <w:trHeight w:val="570" w:hRule="atLeast"/>
        </w:trPr>
        <w:tc>
          <w:tcPr>
            <w:tcW w:w="165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产品资质</w:t>
            </w: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所有资质必须为数据库审计产品专有的资质，不能是网络审计产品或者综合审计的产品资质。</w:t>
            </w:r>
          </w:p>
        </w:tc>
      </w:tr>
      <w:tr>
        <w:tblPrEx>
          <w:tblLayout w:type="fixed"/>
          <w:tblCellMar>
            <w:top w:w="0" w:type="dxa"/>
            <w:left w:w="108" w:type="dxa"/>
            <w:bottom w:w="0" w:type="dxa"/>
            <w:right w:w="108" w:type="dxa"/>
          </w:tblCellMar>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具备公安部颁发的《计算机信息系统安全专用产品销售许可证》,提供证书复印件；</w:t>
            </w:r>
          </w:p>
        </w:tc>
      </w:tr>
      <w:tr>
        <w:tblPrEx>
          <w:tblLayout w:type="fixed"/>
          <w:tblCellMar>
            <w:top w:w="0" w:type="dxa"/>
            <w:left w:w="108" w:type="dxa"/>
            <w:bottom w:w="0" w:type="dxa"/>
            <w:right w:w="108" w:type="dxa"/>
          </w:tblCellMar>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产品通过国家信息安全认证中心3C认证检测，提供证书复印件；</w:t>
            </w:r>
          </w:p>
        </w:tc>
      </w:tr>
      <w:tr>
        <w:tblPrEx>
          <w:tblLayout w:type="fixed"/>
          <w:tblCellMar>
            <w:top w:w="0" w:type="dxa"/>
            <w:left w:w="108" w:type="dxa"/>
            <w:bottom w:w="0" w:type="dxa"/>
            <w:right w:w="108" w:type="dxa"/>
          </w:tblCellMar>
        </w:tblPrEx>
        <w:trPr>
          <w:trHeight w:val="379"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rPr>
              <w:t>提供产品第三方权威检测报告，根据关联程度和完整程度评定。</w:t>
            </w:r>
          </w:p>
        </w:tc>
      </w:tr>
      <w:tr>
        <w:tblPrEx>
          <w:tblLayout w:type="fixed"/>
        </w:tblPrEx>
        <w:trPr>
          <w:trHeight w:val="570" w:hRule="atLeast"/>
        </w:trPr>
        <w:tc>
          <w:tcPr>
            <w:tcW w:w="165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硬件指标</w:t>
            </w: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产品须采用专用工控机硬件架构，非普通PC服务器， MTBF(平均故障间隔时间)≥65000小时；</w:t>
            </w:r>
          </w:p>
        </w:tc>
      </w:tr>
      <w:tr>
        <w:tblPrEx>
          <w:tblLayout w:type="fixed"/>
          <w:tblCellMar>
            <w:top w:w="0" w:type="dxa"/>
            <w:left w:w="108" w:type="dxa"/>
            <w:bottom w:w="0" w:type="dxa"/>
            <w:right w:w="108" w:type="dxa"/>
          </w:tblCellMar>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系统须启动采用CF卡加硬盘方式，保证稳定可靠不可篡改。</w:t>
            </w:r>
          </w:p>
        </w:tc>
      </w:tr>
      <w:tr>
        <w:tblPrEx>
          <w:tblLayout w:type="fixed"/>
          <w:tblCellMar>
            <w:top w:w="0" w:type="dxa"/>
            <w:left w:w="108" w:type="dxa"/>
            <w:bottom w:w="0" w:type="dxa"/>
            <w:right w:w="108" w:type="dxa"/>
          </w:tblCellMar>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规格：1U机架式设备，</w:t>
            </w:r>
          </w:p>
        </w:tc>
      </w:tr>
      <w:tr>
        <w:tblPrEx>
          <w:tblLayout w:type="fixed"/>
          <w:tblCellMar>
            <w:top w:w="0" w:type="dxa"/>
            <w:left w:w="108" w:type="dxa"/>
            <w:bottom w:w="0" w:type="dxa"/>
            <w:right w:w="108" w:type="dxa"/>
          </w:tblCellMar>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硬盘可用容量：≥1TB, 支持RAID0、RAID1</w:t>
            </w:r>
          </w:p>
        </w:tc>
      </w:tr>
      <w:tr>
        <w:tblPrEx>
          <w:tblLayout w:type="fixed"/>
          <w:tblCellMar>
            <w:top w:w="0" w:type="dxa"/>
            <w:left w:w="108" w:type="dxa"/>
            <w:bottom w:w="0" w:type="dxa"/>
            <w:right w:w="108" w:type="dxa"/>
          </w:tblCellMar>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xml:space="preserve">网络端口：千兆电口*4 </w:t>
            </w:r>
          </w:p>
        </w:tc>
      </w:tr>
      <w:tr>
        <w:tblPrEx>
          <w:tblLayout w:type="fixed"/>
          <w:tblCellMar>
            <w:top w:w="0" w:type="dxa"/>
            <w:left w:w="108" w:type="dxa"/>
            <w:bottom w:w="0" w:type="dxa"/>
            <w:right w:w="108" w:type="dxa"/>
          </w:tblCellMar>
        </w:tblPrEx>
        <w:trPr>
          <w:trHeight w:val="285" w:hRule="atLeast"/>
        </w:trPr>
        <w:tc>
          <w:tcPr>
            <w:tcW w:w="165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处理能力</w:t>
            </w: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吞吐能力：≥1000M，日处理业务操作数：≥2亿条</w:t>
            </w:r>
          </w:p>
        </w:tc>
      </w:tr>
      <w:tr>
        <w:tblPrEx>
          <w:tblLayout w:type="fixed"/>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数据采集性能：≥1万条/秒</w:t>
            </w:r>
          </w:p>
        </w:tc>
      </w:tr>
      <w:tr>
        <w:tblPrEx>
          <w:tblLayout w:type="fixed"/>
          <w:tblCellMar>
            <w:top w:w="0" w:type="dxa"/>
            <w:left w:w="108" w:type="dxa"/>
            <w:bottom w:w="0" w:type="dxa"/>
            <w:right w:w="108" w:type="dxa"/>
          </w:tblCellMar>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审计日志检索能力：≥1500万条/秒；</w:t>
            </w:r>
          </w:p>
        </w:tc>
      </w:tr>
      <w:tr>
        <w:tblPrEx>
          <w:tblLayout w:type="fixed"/>
          <w:tblCellMar>
            <w:top w:w="0" w:type="dxa"/>
            <w:left w:w="108" w:type="dxa"/>
            <w:bottom w:w="0" w:type="dxa"/>
            <w:right w:w="108" w:type="dxa"/>
          </w:tblCellMar>
        </w:tblPrEx>
        <w:trPr>
          <w:trHeight w:val="570" w:hRule="atLeast"/>
        </w:trPr>
        <w:tc>
          <w:tcPr>
            <w:tcW w:w="165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部署方式</w:t>
            </w: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旁路部署模式下无须在被审计数据库系统上安装任何代理即可实现审计</w:t>
            </w:r>
          </w:p>
        </w:tc>
      </w:tr>
      <w:tr>
        <w:tblPrEx>
          <w:tblLayout w:type="fixed"/>
          <w:tblCellMar>
            <w:top w:w="0" w:type="dxa"/>
            <w:left w:w="108" w:type="dxa"/>
            <w:bottom w:w="0" w:type="dxa"/>
            <w:right w:w="108" w:type="dxa"/>
          </w:tblCellMar>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软件代理模式：支持在目标数据库安装软件代理（agent）解决云环境、虚拟化环境内部流量无法镜像场景下数据库的审计。</w:t>
            </w:r>
          </w:p>
        </w:tc>
      </w:tr>
      <w:tr>
        <w:tblPrEx>
          <w:tblLayout w:type="fixed"/>
          <w:tblCellMar>
            <w:top w:w="0" w:type="dxa"/>
            <w:left w:w="108" w:type="dxa"/>
            <w:bottom w:w="0" w:type="dxa"/>
            <w:right w:w="108" w:type="dxa"/>
          </w:tblCellMar>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支持分布式部署，管理中心可实现统一配置、统一报表生成、统一查询；</w:t>
            </w:r>
          </w:p>
        </w:tc>
      </w:tr>
      <w:tr>
        <w:tblPrEx>
          <w:tblLayout w:type="fixed"/>
          <w:tblCellMar>
            <w:top w:w="0" w:type="dxa"/>
            <w:left w:w="108" w:type="dxa"/>
            <w:bottom w:w="0" w:type="dxa"/>
            <w:right w:w="108" w:type="dxa"/>
          </w:tblCellMar>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管理中心和探测器都可存储审计数据，实现大数据环境下磁盘空间的有效利用和扩展；</w:t>
            </w:r>
          </w:p>
        </w:tc>
      </w:tr>
      <w:tr>
        <w:tblPrEx>
          <w:tblLayout w:type="fixed"/>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管理中心和探测器之间的数据传输速率、时间、端口都可自定义；</w:t>
            </w:r>
          </w:p>
        </w:tc>
      </w:tr>
      <w:tr>
        <w:tblPrEx>
          <w:tblLayout w:type="fixed"/>
          <w:tblCellMar>
            <w:top w:w="0" w:type="dxa"/>
            <w:left w:w="108" w:type="dxa"/>
            <w:bottom w:w="0" w:type="dxa"/>
            <w:right w:w="108" w:type="dxa"/>
          </w:tblCellMar>
        </w:tblPrEx>
        <w:trPr>
          <w:trHeight w:val="630" w:hRule="atLeast"/>
        </w:trPr>
        <w:tc>
          <w:tcPr>
            <w:tcW w:w="165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协议支持</w:t>
            </w: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支持Oracle、SQL-Server、DB2、Informix、Sybase、MySQL等六种主流数据库审计；</w:t>
            </w:r>
          </w:p>
        </w:tc>
      </w:tr>
      <w:tr>
        <w:tblPrEx>
          <w:tblLayout w:type="fixed"/>
          <w:tblCellMar>
            <w:top w:w="0" w:type="dxa"/>
            <w:left w:w="108" w:type="dxa"/>
            <w:bottom w:w="0" w:type="dxa"/>
            <w:right w:w="108" w:type="dxa"/>
          </w:tblCellMar>
        </w:tblPrEx>
        <w:trPr>
          <w:trHeight w:val="34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支持对SQLserver 2005以上版本加密用户名的审计</w:t>
            </w:r>
          </w:p>
        </w:tc>
      </w:tr>
      <w:tr>
        <w:tblPrEx>
          <w:tblLayout w:type="fixed"/>
          <w:tblCellMar>
            <w:top w:w="0" w:type="dxa"/>
            <w:left w:w="108" w:type="dxa"/>
            <w:bottom w:w="0" w:type="dxa"/>
            <w:right w:w="108" w:type="dxa"/>
          </w:tblCellMar>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支持PostgreSQL、Teradata、Cache、人大金仓、达梦、南大通用等数据库审计；</w:t>
            </w:r>
          </w:p>
        </w:tc>
      </w:tr>
      <w:tr>
        <w:tblPrEx>
          <w:tblLayout w:type="fixed"/>
          <w:tblCellMar>
            <w:top w:w="0" w:type="dxa"/>
            <w:left w:w="108" w:type="dxa"/>
            <w:bottom w:w="0" w:type="dxa"/>
            <w:right w:w="108" w:type="dxa"/>
          </w:tblCellMar>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支持主流业务协议 HTTP、Telnet、FTP、SMTP、POP3、DCOM；</w:t>
            </w:r>
          </w:p>
        </w:tc>
      </w:tr>
      <w:tr>
        <w:tblPrEx>
          <w:tblLayout w:type="fixed"/>
          <w:tblCellMar>
            <w:top w:w="0" w:type="dxa"/>
            <w:left w:w="108" w:type="dxa"/>
            <w:bottom w:w="0" w:type="dxa"/>
            <w:right w:w="108" w:type="dxa"/>
          </w:tblCellMar>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xml:space="preserve">支持对各种协议自动识别编码及在web界面手工配置特定编码 </w:t>
            </w:r>
          </w:p>
        </w:tc>
      </w:tr>
      <w:tr>
        <w:tblPrEx>
          <w:tblLayout w:type="fixed"/>
        </w:tblPrEx>
        <w:trPr>
          <w:trHeight w:val="570" w:hRule="atLeast"/>
        </w:trPr>
        <w:tc>
          <w:tcPr>
            <w:tcW w:w="165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审计功能</w:t>
            </w: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支持数据库操作类、表、视图、索引、存储过程等各种对象的所有SQL操作审计；</w:t>
            </w:r>
          </w:p>
        </w:tc>
      </w:tr>
      <w:tr>
        <w:tblPrEx>
          <w:tblLayout w:type="fixed"/>
          <w:tblCellMar>
            <w:top w:w="0" w:type="dxa"/>
            <w:left w:w="108" w:type="dxa"/>
            <w:bottom w:w="0" w:type="dxa"/>
            <w:right w:w="108" w:type="dxa"/>
          </w:tblCellMar>
        </w:tblPrEx>
        <w:trPr>
          <w:trHeight w:val="142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对操作时间、SQL语句、执行结果、返回结果集、影响行数、执行时长、数据库用户名、实例名、源/目的IP、源/目的端口、源/目的MAC、客户端主机名、客户端程序名称、客户端操作系统用户名、业务主机群、SQL模板、会话ID、事件唯一ID等至少21个条件进行审计；</w:t>
            </w:r>
          </w:p>
        </w:tc>
      </w:tr>
      <w:tr>
        <w:tblPrEx>
          <w:tblLayout w:type="fixed"/>
          <w:tblCellMar>
            <w:top w:w="0" w:type="dxa"/>
            <w:left w:w="108" w:type="dxa"/>
            <w:bottom w:w="0" w:type="dxa"/>
            <w:right w:w="108" w:type="dxa"/>
          </w:tblCellMar>
        </w:tblPrEx>
        <w:trPr>
          <w:trHeight w:val="549"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数据库请求和返回的双向审计：支持审计返回时长、SQL错误代码、返回行数、返回结果集的审计，以及客户端发送的数据库操作指令。</w:t>
            </w:r>
          </w:p>
        </w:tc>
      </w:tr>
      <w:tr>
        <w:tblPrEx>
          <w:tblLayout w:type="fixed"/>
          <w:tblCellMar>
            <w:top w:w="0" w:type="dxa"/>
            <w:left w:w="108" w:type="dxa"/>
            <w:bottom w:w="0" w:type="dxa"/>
            <w:right w:w="108" w:type="dxa"/>
          </w:tblCellMar>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支持跨语句、跨多包的绑定变量名及绑定变量值的审计</w:t>
            </w:r>
          </w:p>
        </w:tc>
      </w:tr>
      <w:tr>
        <w:tblPrEx>
          <w:tblLayout w:type="fixed"/>
          <w:tblCellMar>
            <w:top w:w="0" w:type="dxa"/>
            <w:left w:w="108" w:type="dxa"/>
            <w:bottom w:w="0" w:type="dxa"/>
            <w:right w:w="108" w:type="dxa"/>
          </w:tblCellMar>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支持对超长SQL操作语句审计，可以正常记录单条长度&lt;=64K个字节的SQL语句内容；</w:t>
            </w:r>
          </w:p>
        </w:tc>
      </w:tr>
      <w:tr>
        <w:tblPrEx>
          <w:tblLayout w:type="fixed"/>
          <w:tblCellMar>
            <w:top w:w="0" w:type="dxa"/>
            <w:left w:w="108" w:type="dxa"/>
            <w:bottom w:w="0" w:type="dxa"/>
            <w:right w:w="108" w:type="dxa"/>
          </w:tblCellMar>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支持在IPV6环境中部署，且支持所有数据库IPV6协议的审计</w:t>
            </w:r>
          </w:p>
        </w:tc>
      </w:tr>
      <w:tr>
        <w:tblPrEx>
          <w:tblLayout w:type="fixed"/>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支持数据库防火墙功能，支持对根据IP、账号、客户端工具名、时间等定制规则进行阻断</w:t>
            </w:r>
          </w:p>
        </w:tc>
      </w:tr>
      <w:tr>
        <w:tblPrEx>
          <w:tblLayout w:type="fixed"/>
          <w:tblCellMar>
            <w:top w:w="0" w:type="dxa"/>
            <w:left w:w="108" w:type="dxa"/>
            <w:bottom w:w="0" w:type="dxa"/>
            <w:right w:w="108" w:type="dxa"/>
          </w:tblCellMar>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支持导入审计关联的账号信息，支持通过IP和账号关联到具体SQL是哪个自然人操作。</w:t>
            </w:r>
          </w:p>
        </w:tc>
      </w:tr>
      <w:tr>
        <w:tblPrEx>
          <w:tblLayout w:type="fixed"/>
          <w:tblCellMar>
            <w:top w:w="0" w:type="dxa"/>
            <w:left w:w="108" w:type="dxa"/>
            <w:bottom w:w="0" w:type="dxa"/>
            <w:right w:w="108" w:type="dxa"/>
          </w:tblCellMar>
        </w:tblPrEx>
        <w:trPr>
          <w:trHeight w:val="570" w:hRule="atLeast"/>
        </w:trPr>
        <w:tc>
          <w:tcPr>
            <w:tcW w:w="165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智能发现</w:t>
            </w: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自动识别流量中存在的数据库，也可通过扫描发现网络中的数据库</w:t>
            </w:r>
          </w:p>
        </w:tc>
      </w:tr>
      <w:tr>
        <w:tblPrEx>
          <w:tblLayout w:type="fixed"/>
          <w:tblCellMar>
            <w:top w:w="0" w:type="dxa"/>
            <w:left w:w="108" w:type="dxa"/>
            <w:bottom w:w="0" w:type="dxa"/>
            <w:right w:w="108" w:type="dxa"/>
          </w:tblCellMar>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数据库风险评估：支持对主流数据库的安全漏洞扫描。</w:t>
            </w:r>
          </w:p>
        </w:tc>
      </w:tr>
      <w:tr>
        <w:tblPrEx>
          <w:tblLayout w:type="fixed"/>
          <w:tblCellMar>
            <w:top w:w="0" w:type="dxa"/>
            <w:left w:w="108" w:type="dxa"/>
            <w:bottom w:w="0" w:type="dxa"/>
            <w:right w:w="108" w:type="dxa"/>
          </w:tblCellMar>
        </w:tblPrEx>
        <w:trPr>
          <w:trHeight w:val="596" w:hRule="atLeast"/>
        </w:trPr>
        <w:tc>
          <w:tcPr>
            <w:tcW w:w="165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应用关联 (三层关联)</w:t>
            </w: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支持B/S业务系统三层关联审计，客户端访问WEB服务器执行SQL操作，系统需支持将URL和SQL语句关联，记录客户端地址等信息。</w:t>
            </w:r>
          </w:p>
        </w:tc>
      </w:tr>
      <w:tr>
        <w:tblPrEx>
          <w:tblLayout w:type="fixed"/>
          <w:tblCellMar>
            <w:top w:w="0" w:type="dxa"/>
            <w:left w:w="108" w:type="dxa"/>
            <w:bottom w:w="0" w:type="dxa"/>
            <w:right w:w="108" w:type="dxa"/>
          </w:tblCellMar>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支持C/S、B/S三层架构下的真实用户名关联配置</w:t>
            </w:r>
          </w:p>
        </w:tc>
      </w:tr>
      <w:tr>
        <w:tblPrEx>
          <w:tblLayout w:type="fixed"/>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支持通过部署agent实现java web环境100%准确关联</w:t>
            </w:r>
          </w:p>
        </w:tc>
      </w:tr>
      <w:tr>
        <w:tblPrEx>
          <w:tblLayout w:type="fixed"/>
          <w:tblCellMar>
            <w:top w:w="0" w:type="dxa"/>
            <w:left w:w="108" w:type="dxa"/>
            <w:bottom w:w="0" w:type="dxa"/>
            <w:right w:w="108" w:type="dxa"/>
          </w:tblCellMar>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支持旁路自动学习三层审计关联功能</w:t>
            </w:r>
          </w:p>
        </w:tc>
      </w:tr>
      <w:tr>
        <w:tblPrEx>
          <w:tblLayout w:type="fixed"/>
          <w:tblCellMar>
            <w:top w:w="0" w:type="dxa"/>
            <w:left w:w="108" w:type="dxa"/>
            <w:bottom w:w="0" w:type="dxa"/>
            <w:right w:w="108" w:type="dxa"/>
          </w:tblCellMar>
        </w:tblPrEx>
        <w:trPr>
          <w:trHeight w:val="285" w:hRule="atLeast"/>
        </w:trPr>
        <w:tc>
          <w:tcPr>
            <w:tcW w:w="165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运维审计</w:t>
            </w: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xml:space="preserve">支持网络TCP会话审计； </w:t>
            </w:r>
          </w:p>
        </w:tc>
      </w:tr>
      <w:tr>
        <w:tblPrEx>
          <w:tblLayout w:type="fixed"/>
          <w:tblCellMar>
            <w:top w:w="0" w:type="dxa"/>
            <w:left w:w="108" w:type="dxa"/>
            <w:bottom w:w="0" w:type="dxa"/>
            <w:right w:w="108" w:type="dxa"/>
          </w:tblCellMar>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支持数据库协议解析成会话形式，并支持一键关联到具体的SQL操作会话。</w:t>
            </w:r>
          </w:p>
        </w:tc>
      </w:tr>
      <w:tr>
        <w:tblPrEx>
          <w:tblLayout w:type="fixed"/>
          <w:tblCellMar>
            <w:top w:w="0" w:type="dxa"/>
            <w:left w:w="108" w:type="dxa"/>
            <w:bottom w:w="0" w:type="dxa"/>
            <w:right w:w="108" w:type="dxa"/>
          </w:tblCellMar>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支持与堡垒主机自动关联审计通过ssh、rdp等加密协议操作数据库行为</w:t>
            </w:r>
          </w:p>
        </w:tc>
      </w:tr>
      <w:tr>
        <w:tblPrEx>
          <w:tblLayout w:type="fixed"/>
          <w:tblCellMar>
            <w:top w:w="0" w:type="dxa"/>
            <w:left w:w="108" w:type="dxa"/>
            <w:bottom w:w="0" w:type="dxa"/>
            <w:right w:w="108" w:type="dxa"/>
          </w:tblCellMar>
        </w:tblPrEx>
        <w:trPr>
          <w:trHeight w:val="570" w:hRule="atLeast"/>
        </w:trPr>
        <w:tc>
          <w:tcPr>
            <w:tcW w:w="165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安全审计</w:t>
            </w: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支持审计记录中敏感数据的模糊化处理，内置常见敏感数据掩码规则，支持自定义敏感数据掩码规则</w:t>
            </w:r>
          </w:p>
        </w:tc>
      </w:tr>
      <w:tr>
        <w:tblPrEx>
          <w:tblLayout w:type="fixed"/>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内置安全特征库规则不少于300条，支持对数据库安全进行检查，如SQL注入，缓冲区溢出，数据库漏洞、弱口令等；</w:t>
            </w:r>
          </w:p>
        </w:tc>
      </w:tr>
      <w:tr>
        <w:tblPrEx>
          <w:tblLayout w:type="fixed"/>
          <w:tblCellMar>
            <w:top w:w="0" w:type="dxa"/>
            <w:left w:w="108" w:type="dxa"/>
            <w:bottom w:w="0" w:type="dxa"/>
            <w:right w:w="108" w:type="dxa"/>
          </w:tblCellMar>
        </w:tblPrEx>
        <w:trPr>
          <w:trHeight w:val="690" w:hRule="atLeast"/>
        </w:trPr>
        <w:tc>
          <w:tcPr>
            <w:tcW w:w="165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审计策略</w:t>
            </w: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内置审计规则库不少于200条。支持事件类型和策略分组，同时支持黑白名单方式策略</w:t>
            </w:r>
          </w:p>
        </w:tc>
      </w:tr>
      <w:tr>
        <w:tblPrEx>
          <w:tblLayout w:type="fixed"/>
          <w:tblCellMar>
            <w:top w:w="0" w:type="dxa"/>
            <w:left w:w="108" w:type="dxa"/>
            <w:bottom w:w="0" w:type="dxa"/>
            <w:right w:w="108" w:type="dxa"/>
          </w:tblCellMar>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xml:space="preserve">可自定义审计策略。审计策略至少支持18个条件； </w:t>
            </w:r>
          </w:p>
        </w:tc>
      </w:tr>
      <w:tr>
        <w:tblPrEx>
          <w:tblLayout w:type="fixed"/>
          <w:tblCellMar>
            <w:top w:w="0" w:type="dxa"/>
            <w:left w:w="108" w:type="dxa"/>
            <w:bottom w:w="0" w:type="dxa"/>
            <w:right w:w="108" w:type="dxa"/>
          </w:tblCellMar>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规则各条件之间支持与或非逻辑关系</w:t>
            </w:r>
          </w:p>
        </w:tc>
      </w:tr>
      <w:tr>
        <w:tblPrEx>
          <w:tblLayout w:type="fixed"/>
          <w:tblCellMar>
            <w:top w:w="0" w:type="dxa"/>
            <w:left w:w="108" w:type="dxa"/>
            <w:bottom w:w="0" w:type="dxa"/>
            <w:right w:w="108" w:type="dxa"/>
          </w:tblCellMar>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告警数量需支持最大告警数量限制，超过告警阈值之后便不告警</w:t>
            </w:r>
          </w:p>
        </w:tc>
      </w:tr>
      <w:tr>
        <w:tblPrEx>
          <w:tblLayout w:type="fixed"/>
          <w:tblCellMar>
            <w:top w:w="0" w:type="dxa"/>
            <w:left w:w="108" w:type="dxa"/>
            <w:bottom w:w="0" w:type="dxa"/>
            <w:right w:w="108" w:type="dxa"/>
          </w:tblCellMar>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告警分析应支持根据SQL模板排行分析，便于告警处理。</w:t>
            </w:r>
          </w:p>
        </w:tc>
      </w:tr>
      <w:tr>
        <w:tblPrEx>
          <w:tblLayout w:type="fixed"/>
        </w:tblPrEx>
        <w:trPr>
          <w:trHeight w:val="85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告警查询应支持根据登陆用户、客户端工具名、客户端IP、规则进行归并分析，能详细展示每类告警占总告警数量百分比，便于告警分析处理</w:t>
            </w:r>
          </w:p>
        </w:tc>
      </w:tr>
      <w:tr>
        <w:tblPrEx>
          <w:tblLayout w:type="fixed"/>
          <w:tblCellMar>
            <w:top w:w="0" w:type="dxa"/>
            <w:left w:w="108" w:type="dxa"/>
            <w:bottom w:w="0" w:type="dxa"/>
            <w:right w:w="108" w:type="dxa"/>
          </w:tblCellMar>
        </w:tblPrEx>
        <w:trPr>
          <w:trHeight w:val="285" w:hRule="atLeast"/>
        </w:trPr>
        <w:tc>
          <w:tcPr>
            <w:tcW w:w="165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审计查询</w:t>
            </w: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具有高效的查询性能，后台采用SPHINX全文检索引擎检索</w:t>
            </w:r>
          </w:p>
        </w:tc>
      </w:tr>
      <w:tr>
        <w:tblPrEx>
          <w:tblLayout w:type="fixed"/>
          <w:tblCellMar>
            <w:top w:w="0" w:type="dxa"/>
            <w:left w:w="108" w:type="dxa"/>
            <w:bottom w:w="0" w:type="dxa"/>
            <w:right w:w="108" w:type="dxa"/>
          </w:tblCellMar>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查询条件易于使用，审计查询条件均为非正则表达式形式进行</w:t>
            </w:r>
          </w:p>
        </w:tc>
      </w:tr>
      <w:tr>
        <w:tblPrEx>
          <w:tblLayout w:type="fixed"/>
          <w:tblCellMar>
            <w:top w:w="0" w:type="dxa"/>
            <w:left w:w="108" w:type="dxa"/>
            <w:bottom w:w="0" w:type="dxa"/>
            <w:right w:w="108" w:type="dxa"/>
          </w:tblCellMar>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xml:space="preserve">支持采用部分匹配模糊查询方式检索审计日志 </w:t>
            </w:r>
          </w:p>
        </w:tc>
      </w:tr>
      <w:tr>
        <w:tblPrEx>
          <w:tblLayout w:type="fixed"/>
          <w:tblCellMar>
            <w:top w:w="0" w:type="dxa"/>
            <w:left w:w="108" w:type="dxa"/>
            <w:bottom w:w="0" w:type="dxa"/>
            <w:right w:w="108" w:type="dxa"/>
          </w:tblCellMar>
        </w:tblPrEx>
        <w:trPr>
          <w:trHeight w:val="114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支持基于数据库访问日期、时间、源/目的IP、来源、数据库名、数据库表名、字段值、数据库登陆账号、SQL关键词、数据库返回码、SQL响应时间、数据库操作类型、影响行数等条件的审计查询；</w:t>
            </w:r>
          </w:p>
        </w:tc>
      </w:tr>
      <w:tr>
        <w:tblPrEx>
          <w:tblLayout w:type="fixed"/>
          <w:tblCellMar>
            <w:top w:w="0" w:type="dxa"/>
            <w:left w:w="108" w:type="dxa"/>
            <w:bottom w:w="0" w:type="dxa"/>
            <w:right w:w="108" w:type="dxa"/>
          </w:tblCellMar>
        </w:tblPrEx>
        <w:trPr>
          <w:trHeight w:val="285" w:hRule="atLeast"/>
        </w:trPr>
        <w:tc>
          <w:tcPr>
            <w:tcW w:w="165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统计报表</w:t>
            </w: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xml:space="preserve">系统提供内置多种报表模板库，内置的报表不少于35种, </w:t>
            </w:r>
          </w:p>
        </w:tc>
      </w:tr>
      <w:tr>
        <w:tblPrEx>
          <w:tblLayout w:type="fixed"/>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支持根据单个数据库或逻辑数据库组生成报表</w:t>
            </w:r>
          </w:p>
        </w:tc>
      </w:tr>
      <w:tr>
        <w:tblPrEx>
          <w:tblLayout w:type="fixed"/>
          <w:tblCellMar>
            <w:top w:w="0" w:type="dxa"/>
            <w:left w:w="108" w:type="dxa"/>
            <w:bottom w:w="0" w:type="dxa"/>
            <w:right w:w="108" w:type="dxa"/>
          </w:tblCellMar>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报表支持严格按照塞班斯（SOX）法案、等级保护标准要求生成多维度综合报告；</w:t>
            </w:r>
          </w:p>
        </w:tc>
      </w:tr>
      <w:tr>
        <w:tblPrEx>
          <w:tblLayout w:type="fixed"/>
          <w:tblCellMar>
            <w:top w:w="0" w:type="dxa"/>
            <w:left w:w="108" w:type="dxa"/>
            <w:bottom w:w="0" w:type="dxa"/>
            <w:right w:w="108" w:type="dxa"/>
          </w:tblCellMar>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支持按照源IP地址、客户端工具、帐号、告警数等源信息生成报表；</w:t>
            </w:r>
          </w:p>
        </w:tc>
      </w:tr>
      <w:tr>
        <w:tblPrEx>
          <w:tblLayout w:type="fixed"/>
          <w:tblCellMar>
            <w:top w:w="0" w:type="dxa"/>
            <w:left w:w="108" w:type="dxa"/>
            <w:bottom w:w="0" w:type="dxa"/>
            <w:right w:w="108" w:type="dxa"/>
          </w:tblCellMar>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支持按照数据库访问行为生成报表，智能识别帐号的增删、权限变更、密码修改、特权操作等行为；</w:t>
            </w:r>
          </w:p>
        </w:tc>
      </w:tr>
      <w:tr>
        <w:tblPrEx>
          <w:tblLayout w:type="fixed"/>
          <w:tblCellMar>
            <w:top w:w="0" w:type="dxa"/>
            <w:left w:w="108" w:type="dxa"/>
            <w:bottom w:w="0" w:type="dxa"/>
            <w:right w:w="108" w:type="dxa"/>
          </w:tblCellMar>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xml:space="preserve">支持按照时间曲线统计流量、在线用户数、并发会话、DDL操作数、DML操作数、执行量最多的SQL语句等报表； </w:t>
            </w:r>
          </w:p>
        </w:tc>
      </w:tr>
      <w:tr>
        <w:tblPrEx>
          <w:tblLayout w:type="fixed"/>
          <w:tblCellMar>
            <w:top w:w="0" w:type="dxa"/>
            <w:left w:w="108" w:type="dxa"/>
            <w:bottom w:w="0" w:type="dxa"/>
            <w:right w:w="108" w:type="dxa"/>
          </w:tblCellMar>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支持性能分析，准确提炼出SQL语句执行频率和执行时间异常的报表；</w:t>
            </w:r>
          </w:p>
        </w:tc>
      </w:tr>
      <w:tr>
        <w:tblPrEx>
          <w:tblLayout w:type="fixed"/>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支持Word、PDF、ppt等格式的报表导出；</w:t>
            </w:r>
          </w:p>
        </w:tc>
      </w:tr>
      <w:tr>
        <w:tblPrEx>
          <w:tblLayout w:type="fixed"/>
          <w:tblCellMar>
            <w:top w:w="0" w:type="dxa"/>
            <w:left w:w="108" w:type="dxa"/>
            <w:bottom w:w="0" w:type="dxa"/>
            <w:right w:w="108" w:type="dxa"/>
          </w:tblCellMar>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xml:space="preserve">支持定期自动生成审计报表且以电子邮件方式自动进行发送； </w:t>
            </w:r>
          </w:p>
        </w:tc>
      </w:tr>
      <w:tr>
        <w:tblPrEx>
          <w:tblLayout w:type="fixed"/>
          <w:tblCellMar>
            <w:top w:w="0" w:type="dxa"/>
            <w:left w:w="108" w:type="dxa"/>
            <w:bottom w:w="0" w:type="dxa"/>
            <w:right w:w="108" w:type="dxa"/>
          </w:tblCellMar>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支持报表自定义，自定义的条件不少于20个</w:t>
            </w:r>
          </w:p>
        </w:tc>
      </w:tr>
      <w:tr>
        <w:tblPrEx>
          <w:tblLayout w:type="fixed"/>
          <w:tblCellMar>
            <w:top w:w="0" w:type="dxa"/>
            <w:left w:w="108" w:type="dxa"/>
            <w:bottom w:w="0" w:type="dxa"/>
            <w:right w:w="108" w:type="dxa"/>
          </w:tblCellMar>
        </w:tblPrEx>
        <w:trPr>
          <w:trHeight w:val="855" w:hRule="atLeast"/>
        </w:trPr>
        <w:tc>
          <w:tcPr>
            <w:tcW w:w="165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模型分析</w:t>
            </w: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支持对数据库自动建模及智能对异常行为告警功能；模型包括但不限于：新增行为、帐号视图、源IP视图等，并自动对模型以外的行为进行告警。</w:t>
            </w:r>
          </w:p>
        </w:tc>
      </w:tr>
      <w:tr>
        <w:tblPrEx>
          <w:tblLayout w:type="fixed"/>
          <w:tblCellMar>
            <w:top w:w="0" w:type="dxa"/>
            <w:left w:w="108" w:type="dxa"/>
            <w:bottom w:w="0" w:type="dxa"/>
            <w:right w:w="108" w:type="dxa"/>
          </w:tblCellMar>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可通过行为轨迹图方式展示数据库访问行为</w:t>
            </w:r>
          </w:p>
        </w:tc>
      </w:tr>
      <w:tr>
        <w:tblPrEx>
          <w:tblLayout w:type="fixed"/>
          <w:tblCellMar>
            <w:top w:w="0" w:type="dxa"/>
            <w:left w:w="108" w:type="dxa"/>
            <w:bottom w:w="0" w:type="dxa"/>
            <w:right w:w="108" w:type="dxa"/>
          </w:tblCellMar>
        </w:tblPrEx>
        <w:trPr>
          <w:trHeight w:val="85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可基于账号、IP地址、访问权限、客户端工具等维度对行为模型做钻取分析、变更分析，对学习的安全基线以外的行为自动智能的进行告警</w:t>
            </w:r>
          </w:p>
        </w:tc>
      </w:tr>
      <w:tr>
        <w:tblPrEx>
          <w:tblLayout w:type="fixed"/>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可以自动对比不同时期的行为模型，以区分其审计日志数趋势、用户、IP地址、工具、访问权限的差异情况；</w:t>
            </w:r>
          </w:p>
        </w:tc>
      </w:tr>
      <w:tr>
        <w:tblPrEx>
          <w:tblLayout w:type="fixed"/>
          <w:tblCellMar>
            <w:top w:w="0" w:type="dxa"/>
            <w:left w:w="108" w:type="dxa"/>
            <w:bottom w:w="0" w:type="dxa"/>
            <w:right w:w="108" w:type="dxa"/>
          </w:tblCellMar>
        </w:tblPrEx>
        <w:trPr>
          <w:trHeight w:val="285" w:hRule="atLeast"/>
        </w:trPr>
        <w:tc>
          <w:tcPr>
            <w:tcW w:w="165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数据管理</w:t>
            </w: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支持根据保留天数和占用百分比自动清理最早的数据</w:t>
            </w:r>
          </w:p>
        </w:tc>
      </w:tr>
      <w:tr>
        <w:tblPrEx>
          <w:tblLayout w:type="fixed"/>
          <w:tblCellMar>
            <w:top w:w="0" w:type="dxa"/>
            <w:left w:w="108" w:type="dxa"/>
            <w:bottom w:w="0" w:type="dxa"/>
            <w:right w:w="108" w:type="dxa"/>
          </w:tblCellMar>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备份文件需要加密，支持审计数据自动备份审计日志，并外送到独立FTP服务器；</w:t>
            </w:r>
          </w:p>
        </w:tc>
      </w:tr>
      <w:tr>
        <w:tblPrEx>
          <w:tblLayout w:type="fixed"/>
          <w:tblCellMar>
            <w:top w:w="0" w:type="dxa"/>
            <w:left w:w="108" w:type="dxa"/>
            <w:bottom w:w="0" w:type="dxa"/>
            <w:right w:w="108" w:type="dxa"/>
          </w:tblCellMar>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xml:space="preserve">提供审计策略和系统配置信息的单独导入、导出功能； </w:t>
            </w:r>
          </w:p>
        </w:tc>
      </w:tr>
      <w:tr>
        <w:tblPrEx>
          <w:tblLayout w:type="fixed"/>
          <w:tblCellMar>
            <w:top w:w="0" w:type="dxa"/>
            <w:left w:w="108" w:type="dxa"/>
            <w:bottom w:w="0" w:type="dxa"/>
            <w:right w:w="108" w:type="dxa"/>
          </w:tblCellMar>
        </w:tblPrEx>
        <w:trPr>
          <w:trHeight w:val="285" w:hRule="atLeast"/>
        </w:trPr>
        <w:tc>
          <w:tcPr>
            <w:tcW w:w="165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数据库弱点扫描模块</w:t>
            </w: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模块类型为软件形式，须提供光盘介质一套；</w:t>
            </w:r>
          </w:p>
        </w:tc>
      </w:tr>
      <w:tr>
        <w:tblPrEx>
          <w:tblLayout w:type="fixed"/>
          <w:tblCellMar>
            <w:top w:w="0" w:type="dxa"/>
            <w:left w:w="108" w:type="dxa"/>
            <w:bottom w:w="0" w:type="dxa"/>
            <w:right w:w="108" w:type="dxa"/>
          </w:tblCellMar>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支持对Oracle、MS SQLserver、Mysql、Infomix、DB2、Sybase、达梦、人大金仓等数据库进行弱点扫描并提供检测报告。</w:t>
            </w:r>
          </w:p>
        </w:tc>
      </w:tr>
      <w:tr>
        <w:tblPrEx>
          <w:tblLayout w:type="fixed"/>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模块拥有独立国内自主知识产权；通过公安部信息安全产品检测中心检测并获得销售许可证书。</w:t>
            </w:r>
          </w:p>
        </w:tc>
      </w:tr>
      <w:tr>
        <w:tblPrEx>
          <w:tblLayout w:type="fixed"/>
          <w:tblCellMar>
            <w:top w:w="0" w:type="dxa"/>
            <w:left w:w="108" w:type="dxa"/>
            <w:bottom w:w="0" w:type="dxa"/>
            <w:right w:w="108" w:type="dxa"/>
          </w:tblCellMar>
        </w:tblPrEx>
        <w:trPr>
          <w:trHeight w:val="570" w:hRule="atLeast"/>
        </w:trPr>
        <w:tc>
          <w:tcPr>
            <w:tcW w:w="165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实时监视</w:t>
            </w: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提供用户界面告警、Syslog告警、SNMP告警、邮件告警、短信告警、ftp告警等六种方式</w:t>
            </w:r>
          </w:p>
        </w:tc>
      </w:tr>
      <w:tr>
        <w:tblPrEx>
          <w:tblLayout w:type="fixed"/>
          <w:tblCellMar>
            <w:top w:w="0" w:type="dxa"/>
            <w:left w:w="108" w:type="dxa"/>
            <w:bottom w:w="0" w:type="dxa"/>
            <w:right w:w="108" w:type="dxa"/>
          </w:tblCellMar>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支持本地和数据中心查看CPU、内存、磁盘、网口、运行状态等信息</w:t>
            </w:r>
          </w:p>
        </w:tc>
      </w:tr>
      <w:tr>
        <w:tblPrEx>
          <w:tblLayout w:type="fixed"/>
          <w:tblCellMar>
            <w:top w:w="0" w:type="dxa"/>
            <w:left w:w="108" w:type="dxa"/>
            <w:bottom w:w="0" w:type="dxa"/>
            <w:right w:w="108" w:type="dxa"/>
          </w:tblCellMar>
        </w:tblPrEx>
        <w:trPr>
          <w:trHeight w:val="285" w:hRule="atLeast"/>
        </w:trPr>
        <w:tc>
          <w:tcPr>
            <w:tcW w:w="165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系统管理</w:t>
            </w: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采用B/S架构管理，支持中英文两种管理界面</w:t>
            </w:r>
          </w:p>
        </w:tc>
      </w:tr>
      <w:tr>
        <w:tblPrEx>
          <w:tblLayout w:type="fixed"/>
          <w:tblCellMar>
            <w:top w:w="0" w:type="dxa"/>
            <w:left w:w="108" w:type="dxa"/>
            <w:bottom w:w="0" w:type="dxa"/>
            <w:right w:w="108" w:type="dxa"/>
          </w:tblCellMar>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支持系统安全配置（会话锁定、超时退出、IP地址访问控制、密码复杂性管理、验证码登陆等安全措施）</w:t>
            </w:r>
          </w:p>
        </w:tc>
      </w:tr>
      <w:tr>
        <w:tblPrEx>
          <w:tblLayout w:type="fixed"/>
          <w:tblCellMar>
            <w:top w:w="0" w:type="dxa"/>
            <w:left w:w="108" w:type="dxa"/>
            <w:bottom w:w="0" w:type="dxa"/>
            <w:right w:w="108" w:type="dxa"/>
          </w:tblCellMar>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支持NTP时间同步、SNMP(v1、V2、V3)网络管理协议</w:t>
            </w:r>
          </w:p>
        </w:tc>
      </w:tr>
      <w:tr>
        <w:tblPrEx>
          <w:tblLayout w:type="fixed"/>
        </w:tblPrEx>
        <w:trPr>
          <w:trHeight w:val="285"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支持离线手工自动升级，升级数据和配置均需保留</w:t>
            </w:r>
          </w:p>
        </w:tc>
      </w:tr>
      <w:tr>
        <w:tblPrEx>
          <w:tblLayout w:type="fixed"/>
          <w:tblCellMar>
            <w:top w:w="0" w:type="dxa"/>
            <w:left w:w="108" w:type="dxa"/>
            <w:bottom w:w="0" w:type="dxa"/>
            <w:right w:w="108" w:type="dxa"/>
          </w:tblCellMar>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支持三权分立，系统默认设定系统管理员、规则配置员、审计查看员、操作日志查看员等角色</w:t>
            </w:r>
          </w:p>
        </w:tc>
      </w:tr>
      <w:tr>
        <w:tblPrEx>
          <w:tblLayout w:type="fixed"/>
          <w:tblCellMar>
            <w:top w:w="0" w:type="dxa"/>
            <w:left w:w="108" w:type="dxa"/>
            <w:bottom w:w="0" w:type="dxa"/>
            <w:right w:w="108" w:type="dxa"/>
          </w:tblCellMar>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具有自身安全审计功能，可以对审计系统的所有用户操作进行审计记录</w:t>
            </w:r>
          </w:p>
        </w:tc>
      </w:tr>
      <w:tr>
        <w:tblPrEx>
          <w:tblLayout w:type="fixed"/>
          <w:tblCellMar>
            <w:top w:w="0" w:type="dxa"/>
            <w:left w:w="108" w:type="dxa"/>
            <w:bottom w:w="0" w:type="dxa"/>
            <w:right w:w="108" w:type="dxa"/>
          </w:tblCellMar>
        </w:tblPrEx>
        <w:trPr>
          <w:trHeight w:val="569" w:hRule="atLeast"/>
        </w:trPr>
        <w:tc>
          <w:tcPr>
            <w:tcW w:w="165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故障排错</w:t>
            </w: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系统内置独立的故障排错系统，可以支持一键导出加密的系统调试日志，支持一键检测服务、许可证、流量等大部分常见常见故障的检测</w:t>
            </w:r>
          </w:p>
        </w:tc>
      </w:tr>
      <w:tr>
        <w:tblPrEx>
          <w:tblLayout w:type="fixed"/>
          <w:tblCellMar>
            <w:top w:w="0" w:type="dxa"/>
            <w:left w:w="108" w:type="dxa"/>
            <w:bottom w:w="0" w:type="dxa"/>
            <w:right w:w="108" w:type="dxa"/>
          </w:tblCellMar>
        </w:tblPrEx>
        <w:trPr>
          <w:trHeight w:val="570" w:hRule="atLeast"/>
        </w:trPr>
        <w:tc>
          <w:tcPr>
            <w:tcW w:w="1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640"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xml:space="preserve">支持流量分析功能，包括抓包、包内容查看、自动探测sql语句等； </w:t>
            </w:r>
          </w:p>
        </w:tc>
      </w:tr>
      <w:tr>
        <w:tblPrEx>
          <w:tblLayout w:type="fixed"/>
          <w:tblCellMar>
            <w:top w:w="0" w:type="dxa"/>
            <w:left w:w="108" w:type="dxa"/>
            <w:bottom w:w="0" w:type="dxa"/>
            <w:right w:w="108" w:type="dxa"/>
          </w:tblCellMar>
        </w:tblPrEx>
        <w:trPr>
          <w:trHeight w:val="299" w:hRule="atLeast"/>
        </w:trPr>
        <w:tc>
          <w:tcPr>
            <w:tcW w:w="165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售后服务</w:t>
            </w:r>
          </w:p>
        </w:tc>
        <w:tc>
          <w:tcPr>
            <w:tcW w:w="6640"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rPr>
            </w:pPr>
            <w:r>
              <w:rPr>
                <w:rFonts w:hint="eastAsia" w:ascii="宋体" w:hAnsi="宋体" w:cs="宋体"/>
                <w:kern w:val="0"/>
                <w:szCs w:val="21"/>
              </w:rPr>
              <w:t>本地应急响应时间&lt;=4小时；</w:t>
            </w:r>
          </w:p>
        </w:tc>
      </w:tr>
    </w:tbl>
    <w:p/>
    <w:p>
      <w:pPr>
        <w:pStyle w:val="4"/>
        <w:tabs>
          <w:tab w:val="left" w:pos="432"/>
        </w:tabs>
        <w:rPr>
          <w:sz w:val="24"/>
          <w:szCs w:val="24"/>
        </w:rPr>
      </w:pPr>
      <w:r>
        <w:rPr>
          <w:rFonts w:hint="eastAsia"/>
          <w:sz w:val="24"/>
          <w:szCs w:val="24"/>
        </w:rPr>
        <w:t xml:space="preserve">7.3.25 </w:t>
      </w:r>
      <w:r>
        <w:rPr>
          <w:sz w:val="24"/>
          <w:szCs w:val="24"/>
        </w:rPr>
        <w:t>应用负载均衡</w:t>
      </w:r>
    </w:p>
    <w:tbl>
      <w:tblPr>
        <w:tblStyle w:val="35"/>
        <w:tblW w:w="8231" w:type="dxa"/>
        <w:tblInd w:w="0" w:type="dxa"/>
        <w:tblLayout w:type="fixed"/>
        <w:tblCellMar>
          <w:top w:w="0" w:type="dxa"/>
          <w:left w:w="108" w:type="dxa"/>
          <w:bottom w:w="0" w:type="dxa"/>
          <w:right w:w="108" w:type="dxa"/>
        </w:tblCellMar>
      </w:tblPr>
      <w:tblGrid>
        <w:gridCol w:w="959"/>
        <w:gridCol w:w="1984"/>
        <w:gridCol w:w="5288"/>
      </w:tblGrid>
      <w:tr>
        <w:tblPrEx>
          <w:tblLayout w:type="fixed"/>
          <w:tblCellMar>
            <w:top w:w="0" w:type="dxa"/>
            <w:left w:w="108" w:type="dxa"/>
            <w:bottom w:w="0" w:type="dxa"/>
            <w:right w:w="108" w:type="dxa"/>
          </w:tblCellMar>
        </w:tblPrEx>
        <w:trPr>
          <w:trHeight w:val="285" w:hRule="atLeast"/>
        </w:trPr>
        <w:tc>
          <w:tcPr>
            <w:tcW w:w="2943" w:type="dxa"/>
            <w:gridSpan w:val="2"/>
            <w:tcBorders>
              <w:top w:val="single" w:color="auto" w:sz="8" w:space="0"/>
              <w:left w:val="single" w:color="auto" w:sz="8" w:space="0"/>
              <w:bottom w:val="single" w:color="auto" w:sz="8" w:space="0"/>
              <w:right w:val="single" w:color="000000" w:sz="8" w:space="0"/>
            </w:tcBorders>
            <w:vAlign w:val="center"/>
          </w:tcPr>
          <w:p>
            <w:pPr>
              <w:widowControl/>
              <w:jc w:val="center"/>
              <w:rPr>
                <w:rFonts w:ascii="宋体" w:hAnsi="宋体" w:cs="Arial"/>
                <w:b/>
                <w:bCs/>
                <w:kern w:val="0"/>
                <w:szCs w:val="21"/>
              </w:rPr>
            </w:pPr>
            <w:r>
              <w:rPr>
                <w:rFonts w:hint="eastAsia" w:ascii="宋体" w:hAnsi="宋体" w:cs="Arial"/>
                <w:b/>
                <w:bCs/>
                <w:kern w:val="0"/>
                <w:szCs w:val="21"/>
              </w:rPr>
              <w:t>指标项</w:t>
            </w:r>
          </w:p>
        </w:tc>
        <w:tc>
          <w:tcPr>
            <w:tcW w:w="5288" w:type="dxa"/>
            <w:tcBorders>
              <w:top w:val="single" w:color="auto" w:sz="8" w:space="0"/>
              <w:left w:val="nil"/>
              <w:bottom w:val="single" w:color="auto" w:sz="8" w:space="0"/>
              <w:right w:val="single" w:color="auto" w:sz="8" w:space="0"/>
            </w:tcBorders>
            <w:vAlign w:val="center"/>
          </w:tcPr>
          <w:p>
            <w:pPr>
              <w:widowControl/>
              <w:jc w:val="center"/>
              <w:rPr>
                <w:rFonts w:ascii="宋体" w:hAnsi="宋体" w:cs="Arial"/>
                <w:b/>
                <w:bCs/>
                <w:kern w:val="0"/>
                <w:szCs w:val="21"/>
              </w:rPr>
            </w:pPr>
            <w:r>
              <w:rPr>
                <w:rFonts w:hint="eastAsia" w:ascii="宋体" w:hAnsi="宋体" w:cs="Arial"/>
                <w:b/>
                <w:bCs/>
                <w:kern w:val="0"/>
                <w:szCs w:val="21"/>
              </w:rPr>
              <w:t>指标要求</w:t>
            </w:r>
          </w:p>
        </w:tc>
      </w:tr>
      <w:tr>
        <w:tblPrEx>
          <w:tblLayout w:type="fixed"/>
          <w:tblCellMar>
            <w:top w:w="0" w:type="dxa"/>
            <w:left w:w="108" w:type="dxa"/>
            <w:bottom w:w="0" w:type="dxa"/>
            <w:right w:w="108" w:type="dxa"/>
          </w:tblCellMar>
        </w:tblPrEx>
        <w:trPr>
          <w:trHeight w:val="285" w:hRule="atLeast"/>
        </w:trPr>
        <w:tc>
          <w:tcPr>
            <w:tcW w:w="959" w:type="dxa"/>
            <w:tcBorders>
              <w:top w:val="nil"/>
              <w:left w:val="single" w:color="auto" w:sz="8" w:space="0"/>
              <w:bottom w:val="single" w:color="000000"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总体要求▲</w:t>
            </w: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产品要求</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 xml:space="preserve">要求产品为独立的硬件负载均衡设备，不接受交换机插板式负载均衡解决方案  </w:t>
            </w:r>
          </w:p>
        </w:tc>
      </w:tr>
      <w:tr>
        <w:tblPrEx>
          <w:tblLayout w:type="fixed"/>
          <w:tblCellMar>
            <w:top w:w="0" w:type="dxa"/>
            <w:left w:w="108" w:type="dxa"/>
            <w:bottom w:w="0" w:type="dxa"/>
            <w:right w:w="108" w:type="dxa"/>
          </w:tblCellMar>
        </w:tblPrEx>
        <w:trPr>
          <w:trHeight w:val="285" w:hRule="atLeast"/>
        </w:trPr>
        <w:tc>
          <w:tcPr>
            <w:tcW w:w="959" w:type="dxa"/>
            <w:vMerge w:val="restart"/>
            <w:tcBorders>
              <w:top w:val="nil"/>
              <w:left w:val="single" w:color="auto" w:sz="8" w:space="0"/>
              <w:bottom w:val="single" w:color="000000"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硬件和系统</w:t>
            </w: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硬件架构</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采用基于每个端口的ASIC芯片</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系统内核</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采用封闭式的专有操作系统，无已知安全漏洞</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处理模式</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多核CPU并行处理，充分利用交换机多CPU资源</w:t>
            </w:r>
          </w:p>
        </w:tc>
      </w:tr>
      <w:tr>
        <w:tblPrEx>
          <w:tblLayout w:type="fixed"/>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CPU</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CPU核数量≥ 4</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内存</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8G，可扩展至32G</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nil"/>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接口</w:t>
            </w:r>
          </w:p>
        </w:tc>
        <w:tc>
          <w:tcPr>
            <w:tcW w:w="5288" w:type="dxa"/>
            <w:tcBorders>
              <w:top w:val="nil"/>
              <w:left w:val="single" w:color="auto" w:sz="8" w:space="0"/>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≥2个万兆光口和≥8个千兆电口</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硬盘</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≥500G</w:t>
            </w:r>
          </w:p>
        </w:tc>
      </w:tr>
      <w:tr>
        <w:tblPrEx>
          <w:tblLayout w:type="fixed"/>
          <w:tblCellMar>
            <w:top w:w="0" w:type="dxa"/>
            <w:left w:w="108" w:type="dxa"/>
            <w:bottom w:w="0" w:type="dxa"/>
            <w:right w:w="108" w:type="dxa"/>
          </w:tblCellMar>
        </w:tblPrEx>
        <w:trPr>
          <w:trHeight w:val="525" w:hRule="atLeast"/>
        </w:trPr>
        <w:tc>
          <w:tcPr>
            <w:tcW w:w="959" w:type="dxa"/>
            <w:vMerge w:val="restart"/>
            <w:tcBorders>
              <w:top w:val="nil"/>
              <w:left w:val="single" w:color="auto" w:sz="8" w:space="0"/>
              <w:bottom w:val="single" w:color="000000"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性能要求</w:t>
            </w: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平台4/7层最大吞吐能力</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≥26G</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投标吞吐能力</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≥6G，可通过License升级到26G</w:t>
            </w:r>
          </w:p>
        </w:tc>
      </w:tr>
      <w:tr>
        <w:tblPrEx>
          <w:tblLayout w:type="fixed"/>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并发连接数</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≥12M</w:t>
            </w:r>
          </w:p>
        </w:tc>
      </w:tr>
      <w:tr>
        <w:tblPrEx>
          <w:tblLayout w:type="fixed"/>
          <w:tblCellMar>
            <w:top w:w="0" w:type="dxa"/>
            <w:left w:w="108" w:type="dxa"/>
            <w:bottom w:w="0" w:type="dxa"/>
            <w:right w:w="108" w:type="dxa"/>
          </w:tblCellMar>
        </w:tblPrEx>
        <w:trPr>
          <w:trHeight w:val="52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L4每秒新建连接（CPS）</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≥600K</w:t>
            </w:r>
          </w:p>
        </w:tc>
      </w:tr>
      <w:tr>
        <w:tblPrEx>
          <w:tblLayout w:type="fixed"/>
          <w:tblCellMar>
            <w:top w:w="0" w:type="dxa"/>
            <w:left w:w="108" w:type="dxa"/>
            <w:bottom w:w="0" w:type="dxa"/>
            <w:right w:w="108" w:type="dxa"/>
          </w:tblCellMar>
        </w:tblPrEx>
        <w:trPr>
          <w:trHeight w:val="52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L7每秒请求处理（RPS）</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≥850K</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SSL CPS(2k) </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≥2000/7000/13000（Std/XL/Extreme）</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SSL吞吐量</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≥6.7/7.7G（Std/XL/Extreme）</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平台HTTP压缩 </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≥2/3.5/6.8G（Std/XL/Extreme）</w:t>
            </w:r>
          </w:p>
        </w:tc>
      </w:tr>
      <w:tr>
        <w:tblPrEx>
          <w:tblLayout w:type="fixed"/>
        </w:tblPrEx>
        <w:trPr>
          <w:trHeight w:val="525" w:hRule="atLeast"/>
        </w:trPr>
        <w:tc>
          <w:tcPr>
            <w:tcW w:w="959" w:type="dxa"/>
            <w:vMerge w:val="restart"/>
            <w:tcBorders>
              <w:top w:val="nil"/>
              <w:left w:val="single" w:color="auto" w:sz="8" w:space="0"/>
              <w:bottom w:val="single" w:color="000000"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虚拟化要求</w:t>
            </w: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虚拟化管理程序▲</w:t>
            </w:r>
          </w:p>
        </w:tc>
        <w:tc>
          <w:tcPr>
            <w:tcW w:w="5288" w:type="dxa"/>
            <w:tcBorders>
              <w:top w:val="nil"/>
              <w:left w:val="nil"/>
              <w:bottom w:val="single" w:color="auto" w:sz="8" w:space="0"/>
              <w:right w:val="single" w:color="auto" w:sz="8" w:space="0"/>
            </w:tcBorders>
            <w:vAlign w:val="center"/>
          </w:tcPr>
          <w:p>
            <w:pPr>
              <w:pStyle w:val="9"/>
              <w:rPr>
                <w:rFonts w:ascii="宋体" w:hAnsi="宋体" w:cs="宋体"/>
                <w:color w:val="000000"/>
                <w:kern w:val="0"/>
                <w:szCs w:val="21"/>
              </w:rPr>
            </w:pPr>
            <w:r>
              <w:rPr>
                <w:rFonts w:hint="eastAsia" w:ascii="宋体" w:hAnsi="宋体" w:cs="宋体"/>
                <w:color w:val="000000"/>
                <w:kern w:val="0"/>
                <w:szCs w:val="21"/>
              </w:rPr>
              <w:t>采用专用</w:t>
            </w:r>
            <w:r>
              <w:rPr>
                <w:rFonts w:hint="eastAsia"/>
              </w:rPr>
              <w:t>虚拟化管理程序</w:t>
            </w:r>
            <w:r>
              <w:rPr>
                <w:rFonts w:hint="eastAsia" w:ascii="宋体" w:hAnsi="宋体" w:cs="宋体"/>
                <w:color w:val="000000"/>
                <w:kern w:val="0"/>
                <w:szCs w:val="21"/>
              </w:rPr>
              <w:t>，非第三方的服务器虚拟化架构</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虚拟化方式</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CPU、内存、SSL加速、网络等计算资源虚拟化。不接受网络标签模式</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平台vADC数量</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≥24，本次配置2个VADC授权</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vADC性能隔离</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每个vADC可以按需扩展性能，并能保证每个vADC达到原先设定的性能指标；</w:t>
            </w:r>
          </w:p>
        </w:tc>
      </w:tr>
      <w:tr>
        <w:tblPrEx>
          <w:tblLayout w:type="fixed"/>
          <w:tblCellMar>
            <w:top w:w="0" w:type="dxa"/>
            <w:left w:w="108" w:type="dxa"/>
            <w:bottom w:w="0" w:type="dxa"/>
            <w:right w:w="108" w:type="dxa"/>
          </w:tblCellMar>
        </w:tblPrEx>
        <w:trPr>
          <w:trHeight w:val="52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vADC网络隔离</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每个vADC有独立的二层和三层的数据处理，包括ARP表、转发表、VLAN、路由表, 可以实现IP地址域的重用；</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vADC版本隔离</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每个vADC单元都具有独立版本的负载均衡操作系统，可以单独升级软件；</w:t>
            </w:r>
          </w:p>
        </w:tc>
      </w:tr>
      <w:tr>
        <w:tblPrEx>
          <w:tblLayout w:type="fixed"/>
        </w:tblPrEx>
        <w:trPr>
          <w:trHeight w:val="52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vADC功能隔离</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每个vADC有完整的应用交付功能，包括本地和全局的服务器负载均衡，链路负载均衡，SSL加密、缓存、压缩等；</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vADC管理隔离</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每个vADC有单独的配置权限和文件，对于一个vADC的配置修改不影响其它的vADC</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vADC故障隔离</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每个vADC可单独重启和冗余切换，不影响其他vADC和主机</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P2V/V2V工具</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提供vADC封装后在不同平台和资源上迁移能力</w:t>
            </w:r>
          </w:p>
        </w:tc>
      </w:tr>
      <w:tr>
        <w:tblPrEx>
          <w:tblLayout w:type="fixed"/>
          <w:tblCellMar>
            <w:top w:w="0" w:type="dxa"/>
            <w:left w:w="108" w:type="dxa"/>
            <w:bottom w:w="0" w:type="dxa"/>
            <w:right w:w="108" w:type="dxa"/>
          </w:tblCellMar>
        </w:tblPrEx>
        <w:trPr>
          <w:trHeight w:val="52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服务器虚拟化环境支持</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支持主流的Orchestration管理软件，提供主流Orchestration系统的插件，包括VMWare、Redhat、HP和IBM等；</w:t>
            </w:r>
          </w:p>
        </w:tc>
      </w:tr>
      <w:tr>
        <w:tblPrEx>
          <w:tblLayout w:type="fixed"/>
          <w:tblCellMar>
            <w:top w:w="0" w:type="dxa"/>
            <w:left w:w="108" w:type="dxa"/>
            <w:bottom w:w="0" w:type="dxa"/>
            <w:right w:w="108" w:type="dxa"/>
          </w:tblCellMar>
        </w:tblPrEx>
        <w:trPr>
          <w:trHeight w:val="285" w:hRule="atLeast"/>
        </w:trPr>
        <w:tc>
          <w:tcPr>
            <w:tcW w:w="959" w:type="dxa"/>
            <w:vMerge w:val="restart"/>
            <w:tcBorders>
              <w:top w:val="nil"/>
              <w:left w:val="single" w:color="auto" w:sz="8" w:space="0"/>
              <w:bottom w:val="single" w:color="000000"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网络功能要求</w:t>
            </w: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VLAN功能</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支持IEEE 802.1Q 标准，可设定至少2048 (含)以上VLAN</w:t>
            </w:r>
          </w:p>
        </w:tc>
      </w:tr>
      <w:tr>
        <w:tblPrEx>
          <w:tblLayout w:type="fixed"/>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链路聚合</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支持802.3ad Link Aggregation 功能</w:t>
            </w:r>
          </w:p>
        </w:tc>
      </w:tr>
      <w:tr>
        <w:tblPrEx>
          <w:tblLayout w:type="fixed"/>
          <w:tblCellMar>
            <w:top w:w="0" w:type="dxa"/>
            <w:left w:w="108" w:type="dxa"/>
            <w:bottom w:w="0" w:type="dxa"/>
            <w:right w:w="108" w:type="dxa"/>
          </w:tblCellMar>
        </w:tblPrEx>
        <w:trPr>
          <w:trHeight w:val="52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其它L2功能</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 IEEE 802.1d Spanning-Tree、802.1Q、802.3x Flow Control、802.3 Auto-Negotiation功能</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路由</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支持RIP、RIP2、OSPF/OSPFv3，BGP等路由协议</w:t>
            </w:r>
          </w:p>
        </w:tc>
      </w:tr>
      <w:tr>
        <w:tblPrEx>
          <w:tblLayout w:type="fixed"/>
          <w:tblCellMar>
            <w:top w:w="0" w:type="dxa"/>
            <w:left w:w="108" w:type="dxa"/>
            <w:bottom w:w="0" w:type="dxa"/>
            <w:right w:w="108" w:type="dxa"/>
          </w:tblCellMar>
        </w:tblPrEx>
        <w:trPr>
          <w:trHeight w:val="52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IPV6网络支持</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完全支持IPV6环境，包括：Address、Neighbor Discovery router advertisements、Static Route、Gateway、VRRP等IPv6 功能，并已获取IPV6 Ready Logo认证</w:t>
            </w:r>
          </w:p>
        </w:tc>
      </w:tr>
      <w:tr>
        <w:tblPrEx>
          <w:tblLayout w:type="fixed"/>
          <w:tblCellMar>
            <w:top w:w="0" w:type="dxa"/>
            <w:left w:w="108" w:type="dxa"/>
            <w:bottom w:w="0" w:type="dxa"/>
            <w:right w:w="108" w:type="dxa"/>
          </w:tblCellMar>
        </w:tblPrEx>
        <w:trPr>
          <w:trHeight w:val="285" w:hRule="atLeast"/>
        </w:trPr>
        <w:tc>
          <w:tcPr>
            <w:tcW w:w="959" w:type="dxa"/>
            <w:vMerge w:val="restart"/>
            <w:tcBorders>
              <w:top w:val="nil"/>
              <w:left w:val="single" w:color="auto" w:sz="8" w:space="0"/>
              <w:bottom w:val="single" w:color="000000"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负载均衡功能要求</w:t>
            </w: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负载均衡算法</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支持负均衡算法：轮询、加权轮询、最少用户数、HASH、最少流量</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对话保持</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支持会话保持方式：cookie，session ID，URL，Http Header等模式</w:t>
            </w:r>
          </w:p>
        </w:tc>
      </w:tr>
      <w:tr>
        <w:tblPrEx>
          <w:tblLayout w:type="fixed"/>
        </w:tblPrEx>
        <w:trPr>
          <w:trHeight w:val="780"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健康检查</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支持基于ICMP、UDP端口、TCP端口和HTTP, Radius, DNS, SMTP, POP3, LDAP, IMAP4,FIX,FTP,RTSP,SSL等应用的健康检查方式，并可自主编写脚本检查应用复杂的服务器</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应用层负载均衡</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支持L7内容智能检查及应用重定向</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全局负载均衡</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支持全局负载均衡</w:t>
            </w:r>
          </w:p>
        </w:tc>
      </w:tr>
      <w:tr>
        <w:tblPrEx>
          <w:tblLayout w:type="fixed"/>
          <w:tblCellMar>
            <w:top w:w="0" w:type="dxa"/>
            <w:left w:w="108" w:type="dxa"/>
            <w:bottom w:w="0" w:type="dxa"/>
            <w:right w:w="108" w:type="dxa"/>
          </w:tblCellMar>
        </w:tblPrEx>
        <w:trPr>
          <w:trHeight w:val="52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Internet链路负载均衡</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支持Internet链路负载均衡</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透明重定向 </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支持透明重定向，实现NAT，代理功能；</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应用支持</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支持防火墙、VPN、IDS 设备负载均衡</w:t>
            </w:r>
          </w:p>
        </w:tc>
      </w:tr>
      <w:tr>
        <w:tblPrEx>
          <w:tblLayout w:type="fixed"/>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应用加速功能</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包括SSL卸载、TCP优化、Http压缩和Caching</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可编程负载均衡</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基于TcL语言的脚本，灵活控制应用交付</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攻击防范</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可防范下列类型的DOS (Denial Of Service)攻击，TCP、IP、UDP、ICMP、ARP</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带宽管理</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可提供带宽管</w:t>
            </w:r>
            <w:r>
              <w:rPr>
                <w:rFonts w:hint="eastAsia" w:ascii="Batang" w:hAnsi="Batang" w:eastAsia="Batang" w:cs="Batang"/>
                <w:color w:val="000000"/>
                <w:kern w:val="0"/>
                <w:szCs w:val="21"/>
              </w:rPr>
              <w:t>理</w:t>
            </w:r>
            <w:r>
              <w:rPr>
                <w:rFonts w:hint="eastAsia" w:ascii="宋体" w:hAnsi="宋体" w:cs="宋体"/>
                <w:color w:val="000000"/>
                <w:kern w:val="0"/>
                <w:szCs w:val="21"/>
              </w:rPr>
              <w:t>功能，</w:t>
            </w:r>
          </w:p>
        </w:tc>
      </w:tr>
      <w:tr>
        <w:tblPrEx>
          <w:tblLayout w:type="fixed"/>
          <w:tblCellMar>
            <w:top w:w="0" w:type="dxa"/>
            <w:left w:w="108" w:type="dxa"/>
            <w:bottom w:w="0" w:type="dxa"/>
            <w:right w:w="108" w:type="dxa"/>
          </w:tblCellMar>
        </w:tblPrEx>
        <w:trPr>
          <w:trHeight w:val="285" w:hRule="atLeast"/>
        </w:trPr>
        <w:tc>
          <w:tcPr>
            <w:tcW w:w="959" w:type="dxa"/>
            <w:vMerge w:val="restart"/>
            <w:tcBorders>
              <w:top w:val="nil"/>
              <w:left w:val="single" w:color="auto" w:sz="8" w:space="0"/>
              <w:bottom w:val="single" w:color="000000"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Web应用加速</w:t>
            </w: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支持浏览器</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支持所有浏览器类型</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减少HTTP请求数量</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CSS/JS代码对象合并和植入，减少内容和HTTP请求数量</w:t>
            </w:r>
          </w:p>
        </w:tc>
      </w:tr>
      <w:tr>
        <w:tblPrEx>
          <w:tblLayout w:type="fixed"/>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动态缓存技术</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支持动态修改页面内容标签，同时支持把缓存内容推送到浏览器</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图像优化</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支持图像优化和压缩，提高页面加载客户QoE</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HTML 5支持</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可识别移动用户类型，实现Web性能加速</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TCP 协议优化</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支持TCP协议优化和拥塞防止，可优化传输层性能，实现压缩</w:t>
            </w:r>
          </w:p>
        </w:tc>
      </w:tr>
      <w:tr>
        <w:tblPrEx>
          <w:tblLayout w:type="fixed"/>
          <w:tblCellMar>
            <w:top w:w="0" w:type="dxa"/>
            <w:left w:w="108" w:type="dxa"/>
            <w:bottom w:w="0" w:type="dxa"/>
            <w:right w:w="108" w:type="dxa"/>
          </w:tblCellMar>
        </w:tblPrEx>
        <w:trPr>
          <w:trHeight w:val="525" w:hRule="atLeast"/>
        </w:trPr>
        <w:tc>
          <w:tcPr>
            <w:tcW w:w="959" w:type="dxa"/>
            <w:vMerge w:val="restart"/>
            <w:tcBorders>
              <w:top w:val="nil"/>
              <w:left w:val="single" w:color="auto" w:sz="8" w:space="0"/>
              <w:bottom w:val="single" w:color="000000"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应用性能监控</w:t>
            </w: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监控方式</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真实用户性能，且用户端无需安装插件或程序，即可实现用户监控端到端的 Web应用响应时间</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监控数据</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提供数据中心、网络和客户端性能数据</w:t>
            </w:r>
          </w:p>
        </w:tc>
      </w:tr>
      <w:tr>
        <w:tblPrEx>
          <w:tblLayout w:type="fixed"/>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性能报告类型</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可基于应用、页面、地理位置提供性能报告</w:t>
            </w:r>
          </w:p>
        </w:tc>
      </w:tr>
      <w:tr>
        <w:tblPrEx>
          <w:tblLayout w:type="fixed"/>
          <w:tblCellMar>
            <w:top w:w="0" w:type="dxa"/>
            <w:left w:w="108" w:type="dxa"/>
            <w:bottom w:w="0" w:type="dxa"/>
            <w:right w:w="108" w:type="dxa"/>
          </w:tblCellMar>
        </w:tblPrEx>
        <w:trPr>
          <w:trHeight w:val="285" w:hRule="atLeast"/>
        </w:trPr>
        <w:tc>
          <w:tcPr>
            <w:tcW w:w="959" w:type="dxa"/>
            <w:vMerge w:val="restart"/>
            <w:tcBorders>
              <w:top w:val="nil"/>
              <w:left w:val="single" w:color="auto" w:sz="8" w:space="0"/>
              <w:bottom w:val="single" w:color="000000"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可靠性部署</w:t>
            </w: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冗余协议</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支持VRRP冗余</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Hot-Standby</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主备模式</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Active-Backup</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互为主备</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Active-Active</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集群方式提供同一VIP地址服务</w:t>
            </w:r>
          </w:p>
        </w:tc>
      </w:tr>
      <w:tr>
        <w:tblPrEx>
          <w:tblLayout w:type="fixed"/>
          <w:tblCellMar>
            <w:top w:w="0" w:type="dxa"/>
            <w:left w:w="108" w:type="dxa"/>
            <w:bottom w:w="0" w:type="dxa"/>
            <w:right w:w="108" w:type="dxa"/>
          </w:tblCellMar>
        </w:tblPrEx>
        <w:trPr>
          <w:trHeight w:val="285" w:hRule="atLeast"/>
        </w:trPr>
        <w:tc>
          <w:tcPr>
            <w:tcW w:w="959" w:type="dxa"/>
            <w:vMerge w:val="restart"/>
            <w:tcBorders>
              <w:top w:val="nil"/>
              <w:left w:val="single" w:color="auto" w:sz="8" w:space="0"/>
              <w:bottom w:val="single" w:color="000000"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管理功能</w:t>
            </w: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应用配置模板</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包括MS Exchange，Web Application，Oracle E-Business等</w:t>
            </w:r>
          </w:p>
        </w:tc>
      </w:tr>
      <w:tr>
        <w:tblPrEx>
          <w:tblLayout w:type="fixed"/>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设备性能监控</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设备CPU等资源利用等</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专用网管接口</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支持专用网管接口实现带外管理</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管理方式</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支持下列管理方式：CLI，WEB（HTTP/HTTPS），Telnet，SSH，GUI界面管理；</w:t>
            </w:r>
          </w:p>
        </w:tc>
      </w:tr>
      <w:tr>
        <w:tblPrEx>
          <w:tblLayout w:type="fixed"/>
          <w:tblCellMar>
            <w:top w:w="0" w:type="dxa"/>
            <w:left w:w="108" w:type="dxa"/>
            <w:bottom w:w="0" w:type="dxa"/>
            <w:right w:w="108" w:type="dxa"/>
          </w:tblCellMar>
        </w:tblPrEx>
        <w:trPr>
          <w:trHeight w:val="2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API接口</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支持API接口和标准XML接口</w:t>
            </w:r>
          </w:p>
        </w:tc>
      </w:tr>
      <w:tr>
        <w:tblPrEx>
          <w:tblLayout w:type="fixed"/>
          <w:tblCellMar>
            <w:top w:w="0" w:type="dxa"/>
            <w:left w:w="108" w:type="dxa"/>
            <w:bottom w:w="0" w:type="dxa"/>
            <w:right w:w="108" w:type="dxa"/>
          </w:tblCellMar>
        </w:tblPrEx>
        <w:trPr>
          <w:trHeight w:val="52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1984" w:type="dxa"/>
            <w:tcBorders>
              <w:top w:val="nil"/>
              <w:left w:val="nil"/>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集中管理</w:t>
            </w:r>
          </w:p>
        </w:tc>
        <w:tc>
          <w:tcPr>
            <w:tcW w:w="5288" w:type="dxa"/>
            <w:tcBorders>
              <w:top w:val="nil"/>
              <w:left w:val="nil"/>
              <w:bottom w:val="single" w:color="auto" w:sz="8" w:space="0"/>
              <w:right w:val="single" w:color="auto" w:sz="8"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支持图形化集中管理，可在管理平台上集中管理多台设备。</w:t>
            </w:r>
          </w:p>
        </w:tc>
      </w:tr>
    </w:tbl>
    <w:p>
      <w:pPr>
        <w:pStyle w:val="4"/>
        <w:tabs>
          <w:tab w:val="left" w:pos="432"/>
        </w:tabs>
        <w:rPr>
          <w:sz w:val="24"/>
          <w:szCs w:val="24"/>
        </w:rPr>
      </w:pPr>
      <w:r>
        <w:rPr>
          <w:rFonts w:hint="eastAsia"/>
          <w:sz w:val="24"/>
          <w:szCs w:val="24"/>
        </w:rPr>
        <w:t>7.3.26 数据库服务器</w:t>
      </w:r>
    </w:p>
    <w:tbl>
      <w:tblPr>
        <w:tblStyle w:val="35"/>
        <w:tblW w:w="852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81"/>
        <w:gridCol w:w="67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81" w:type="dxa"/>
            <w:vAlign w:val="center"/>
          </w:tcPr>
          <w:p>
            <w:pPr>
              <w:jc w:val="center"/>
              <w:rPr>
                <w:rFonts w:ascii="等线" w:hAnsi="等线" w:eastAsia="等线" w:cs="Tahoma"/>
                <w:b/>
                <w:szCs w:val="21"/>
              </w:rPr>
            </w:pPr>
            <w:r>
              <w:rPr>
                <w:rFonts w:hint="eastAsia" w:ascii="等线" w:hAnsi="等线" w:eastAsia="等线" w:cs="Tahoma"/>
                <w:b/>
                <w:szCs w:val="21"/>
              </w:rPr>
              <w:t>指标项</w:t>
            </w:r>
          </w:p>
        </w:tc>
        <w:tc>
          <w:tcPr>
            <w:tcW w:w="6741" w:type="dxa"/>
            <w:vAlign w:val="center"/>
          </w:tcPr>
          <w:p>
            <w:pPr>
              <w:jc w:val="center"/>
              <w:rPr>
                <w:rFonts w:ascii="等线" w:hAnsi="等线" w:eastAsia="等线" w:cs="Tahoma"/>
                <w:b/>
                <w:szCs w:val="21"/>
              </w:rPr>
            </w:pPr>
            <w:r>
              <w:rPr>
                <w:rFonts w:hint="eastAsia" w:ascii="等线" w:hAnsi="等线" w:eastAsia="等线" w:cs="Microsoft YaHei UI"/>
                <w:b/>
                <w:szCs w:val="21"/>
              </w:rPr>
              <w:t>技术规格要求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81" w:type="dxa"/>
          </w:tcPr>
          <w:p>
            <w:pPr>
              <w:pStyle w:val="42"/>
              <w:ind w:firstLine="0" w:firstLineChars="0"/>
              <w:rPr>
                <w:szCs w:val="21"/>
              </w:rPr>
            </w:pPr>
            <w:r>
              <w:rPr>
                <w:rFonts w:hint="eastAsia"/>
                <w:szCs w:val="21"/>
              </w:rPr>
              <w:t>服务器外型</w:t>
            </w:r>
          </w:p>
        </w:tc>
        <w:tc>
          <w:tcPr>
            <w:tcW w:w="6741" w:type="dxa"/>
          </w:tcPr>
          <w:p>
            <w:pPr>
              <w:pStyle w:val="42"/>
              <w:ind w:firstLine="0" w:firstLineChars="0"/>
              <w:rPr>
                <w:szCs w:val="21"/>
              </w:rPr>
            </w:pPr>
            <w:r>
              <w:rPr>
                <w:rFonts w:hint="eastAsia"/>
                <w:szCs w:val="21"/>
              </w:rPr>
              <w:t>机架式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81" w:type="dxa"/>
          </w:tcPr>
          <w:p>
            <w:pPr>
              <w:pStyle w:val="42"/>
              <w:ind w:firstLine="0" w:firstLineChars="0"/>
              <w:rPr>
                <w:szCs w:val="21"/>
              </w:rPr>
            </w:pPr>
            <w:r>
              <w:rPr>
                <w:rFonts w:hint="eastAsia"/>
                <w:szCs w:val="21"/>
              </w:rPr>
              <w:t>服务器高度</w:t>
            </w:r>
          </w:p>
        </w:tc>
        <w:tc>
          <w:tcPr>
            <w:tcW w:w="6741" w:type="dxa"/>
          </w:tcPr>
          <w:p>
            <w:pPr>
              <w:pStyle w:val="42"/>
              <w:ind w:firstLine="0" w:firstLineChars="0"/>
              <w:rPr>
                <w:szCs w:val="21"/>
              </w:rPr>
            </w:pPr>
            <w:r>
              <w:rPr>
                <w:rFonts w:hint="eastAsia"/>
                <w:szCs w:val="21"/>
              </w:rPr>
              <w:t>≤</w:t>
            </w:r>
            <w:r>
              <w:rPr>
                <w:szCs w:val="21"/>
              </w:rPr>
              <w:t>4U</w:t>
            </w:r>
            <w:r>
              <w:rPr>
                <w:rFonts w:hint="eastAsia"/>
                <w:szCs w:val="21"/>
              </w:rPr>
              <w:t>，标配原厂滑动导轨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781" w:type="dxa"/>
          </w:tcPr>
          <w:p>
            <w:pPr>
              <w:pStyle w:val="42"/>
              <w:ind w:firstLine="0" w:firstLineChars="0"/>
              <w:rPr>
                <w:szCs w:val="21"/>
              </w:rPr>
            </w:pPr>
            <w:r>
              <w:rPr>
                <w:szCs w:val="21"/>
              </w:rPr>
              <w:t>CPU</w:t>
            </w:r>
            <w:r>
              <w:rPr>
                <w:rFonts w:hint="eastAsia"/>
                <w:szCs w:val="21"/>
              </w:rPr>
              <w:t>型号</w:t>
            </w:r>
          </w:p>
        </w:tc>
        <w:tc>
          <w:tcPr>
            <w:tcW w:w="6741" w:type="dxa"/>
          </w:tcPr>
          <w:p>
            <w:pPr>
              <w:pStyle w:val="42"/>
              <w:ind w:firstLine="0" w:firstLineChars="0"/>
              <w:rPr>
                <w:szCs w:val="21"/>
              </w:rPr>
            </w:pPr>
            <w:r>
              <w:rPr>
                <w:szCs w:val="21"/>
              </w:rPr>
              <w:t xml:space="preserve">Intel Xeon E7-4830v4 </w:t>
            </w:r>
            <w:r>
              <w:rPr>
                <w:rFonts w:hint="eastAsia"/>
                <w:szCs w:val="21"/>
              </w:rPr>
              <w:t>处理器</w:t>
            </w:r>
            <w:r>
              <w:rPr>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81" w:type="dxa"/>
          </w:tcPr>
          <w:p>
            <w:pPr>
              <w:pStyle w:val="42"/>
              <w:ind w:firstLine="0" w:firstLineChars="0"/>
              <w:rPr>
                <w:szCs w:val="21"/>
              </w:rPr>
            </w:pPr>
            <w:r>
              <w:rPr>
                <w:szCs w:val="21"/>
              </w:rPr>
              <w:t>CPU</w:t>
            </w:r>
            <w:r>
              <w:rPr>
                <w:rFonts w:hint="eastAsia"/>
                <w:szCs w:val="21"/>
              </w:rPr>
              <w:t>实配数量</w:t>
            </w:r>
          </w:p>
        </w:tc>
        <w:tc>
          <w:tcPr>
            <w:tcW w:w="6741" w:type="dxa"/>
          </w:tcPr>
          <w:p>
            <w:pPr>
              <w:pStyle w:val="42"/>
              <w:ind w:firstLine="0" w:firstLineChars="0"/>
              <w:rPr>
                <w:szCs w:val="21"/>
              </w:rPr>
            </w:pPr>
            <w:r>
              <w:rPr>
                <w:rFonts w:hint="eastAsia"/>
                <w:szCs w:val="21"/>
              </w:rPr>
              <w:t>≥</w:t>
            </w:r>
            <w:r>
              <w:rPr>
                <w:szCs w:val="21"/>
              </w:rPr>
              <w:t>4</w:t>
            </w:r>
            <w:r>
              <w:rPr>
                <w:rFonts w:hint="eastAsia"/>
                <w:szCs w:val="21"/>
              </w:rPr>
              <w:t>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trHeight w:val="70" w:hRule="atLeast"/>
          <w:jc w:val="center"/>
        </w:trPr>
        <w:tc>
          <w:tcPr>
            <w:tcW w:w="1781" w:type="dxa"/>
          </w:tcPr>
          <w:p>
            <w:pPr>
              <w:pStyle w:val="42"/>
              <w:ind w:firstLine="0" w:firstLineChars="0"/>
              <w:rPr>
                <w:szCs w:val="21"/>
              </w:rPr>
            </w:pPr>
            <w:r>
              <w:rPr>
                <w:rFonts w:hint="eastAsia"/>
                <w:szCs w:val="21"/>
              </w:rPr>
              <w:t>内存功能</w:t>
            </w:r>
          </w:p>
        </w:tc>
        <w:tc>
          <w:tcPr>
            <w:tcW w:w="6741" w:type="dxa"/>
          </w:tcPr>
          <w:p>
            <w:pPr>
              <w:pStyle w:val="42"/>
              <w:ind w:firstLine="0" w:firstLineChars="0"/>
              <w:rPr>
                <w:szCs w:val="21"/>
              </w:rPr>
            </w:pPr>
            <w:r>
              <w:rPr>
                <w:rFonts w:hint="eastAsia"/>
                <w:szCs w:val="21"/>
              </w:rPr>
              <w:t>高级</w:t>
            </w:r>
            <w:r>
              <w:rPr>
                <w:szCs w:val="21"/>
              </w:rPr>
              <w:t>ECC</w:t>
            </w:r>
            <w:r>
              <w:rPr>
                <w:rFonts w:hint="eastAsia"/>
                <w:szCs w:val="21"/>
              </w:rPr>
              <w:t>、在线备用内存、内存镜像、故障内存隔离、DDDC/SDDC等</w:t>
            </w:r>
            <w:r>
              <w:rPr>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81" w:type="dxa"/>
          </w:tcPr>
          <w:p>
            <w:pPr>
              <w:pStyle w:val="42"/>
              <w:ind w:firstLine="0" w:firstLineChars="0"/>
              <w:rPr>
                <w:szCs w:val="21"/>
              </w:rPr>
            </w:pPr>
            <w:r>
              <w:rPr>
                <w:rFonts w:hint="eastAsia"/>
                <w:szCs w:val="21"/>
              </w:rPr>
              <w:t>内存实配规格</w:t>
            </w:r>
          </w:p>
        </w:tc>
        <w:tc>
          <w:tcPr>
            <w:tcW w:w="6741" w:type="dxa"/>
          </w:tcPr>
          <w:p>
            <w:pPr>
              <w:pStyle w:val="42"/>
              <w:ind w:firstLine="0" w:firstLineChars="0"/>
              <w:rPr>
                <w:szCs w:val="21"/>
              </w:rPr>
            </w:pPr>
            <w:r>
              <w:rPr>
                <w:rFonts w:hint="eastAsia"/>
                <w:szCs w:val="21"/>
              </w:rPr>
              <w:t>≥32</w:t>
            </w:r>
            <w:r>
              <w:rPr>
                <w:szCs w:val="21"/>
              </w:rPr>
              <w:t>GB*8 DDR4 2400MHz</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81" w:type="dxa"/>
          </w:tcPr>
          <w:p>
            <w:pPr>
              <w:pStyle w:val="42"/>
              <w:ind w:firstLine="0" w:firstLineChars="0"/>
              <w:rPr>
                <w:szCs w:val="21"/>
              </w:rPr>
            </w:pPr>
            <w:r>
              <w:rPr>
                <w:rFonts w:hint="eastAsia"/>
                <w:szCs w:val="21"/>
              </w:rPr>
              <w:t>插槽数量</w:t>
            </w:r>
          </w:p>
        </w:tc>
        <w:tc>
          <w:tcPr>
            <w:tcW w:w="6741" w:type="dxa"/>
          </w:tcPr>
          <w:p>
            <w:pPr>
              <w:pStyle w:val="42"/>
              <w:ind w:firstLine="0" w:firstLineChars="0"/>
              <w:rPr>
                <w:szCs w:val="21"/>
              </w:rPr>
            </w:pPr>
            <w:r>
              <w:rPr>
                <w:rFonts w:hint="eastAsia"/>
                <w:szCs w:val="21"/>
              </w:rPr>
              <w:t>可扩展≥</w:t>
            </w:r>
            <w:r>
              <w:rPr>
                <w:szCs w:val="21"/>
              </w:rPr>
              <w:t>96</w:t>
            </w:r>
            <w:r>
              <w:rPr>
                <w:rFonts w:hint="eastAsia"/>
                <w:szCs w:val="21"/>
              </w:rPr>
              <w:t>个内存插槽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781" w:type="dxa"/>
          </w:tcPr>
          <w:p>
            <w:pPr>
              <w:pStyle w:val="42"/>
              <w:ind w:firstLine="0" w:firstLineChars="0"/>
              <w:rPr>
                <w:szCs w:val="21"/>
              </w:rPr>
            </w:pPr>
            <w:r>
              <w:rPr>
                <w:rFonts w:hint="eastAsia"/>
                <w:szCs w:val="21"/>
              </w:rPr>
              <w:t>内存可扩展数量</w:t>
            </w:r>
          </w:p>
        </w:tc>
        <w:tc>
          <w:tcPr>
            <w:tcW w:w="6741" w:type="dxa"/>
          </w:tcPr>
          <w:p>
            <w:pPr>
              <w:pStyle w:val="42"/>
              <w:ind w:firstLine="0" w:firstLineChars="0"/>
              <w:rPr>
                <w:szCs w:val="21"/>
              </w:rPr>
            </w:pPr>
            <w:r>
              <w:rPr>
                <w:rFonts w:hint="eastAsia"/>
                <w:szCs w:val="21"/>
              </w:rPr>
              <w:t>最大容量支持≥</w:t>
            </w:r>
            <w:r>
              <w:rPr>
                <w:szCs w:val="21"/>
              </w:rPr>
              <w:t>6T</w:t>
            </w:r>
            <w:r>
              <w:rPr>
                <w:rFonts w:hint="eastAsia"/>
                <w:szCs w:val="21"/>
              </w:rPr>
              <w:t>容量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1781" w:type="dxa"/>
          </w:tcPr>
          <w:p>
            <w:pPr>
              <w:pStyle w:val="42"/>
              <w:ind w:firstLine="0" w:firstLineChars="0"/>
              <w:rPr>
                <w:szCs w:val="21"/>
              </w:rPr>
            </w:pPr>
            <w:r>
              <w:rPr>
                <w:rFonts w:hint="eastAsia"/>
                <w:szCs w:val="21"/>
              </w:rPr>
              <w:t>实配硬盘及</w:t>
            </w:r>
            <w:r>
              <w:rPr>
                <w:szCs w:val="21"/>
              </w:rPr>
              <w:t>托架</w:t>
            </w:r>
          </w:p>
        </w:tc>
        <w:tc>
          <w:tcPr>
            <w:tcW w:w="6741" w:type="dxa"/>
          </w:tcPr>
          <w:p>
            <w:pPr>
              <w:pStyle w:val="42"/>
              <w:ind w:firstLine="0" w:firstLineChars="0"/>
              <w:rPr>
                <w:szCs w:val="21"/>
              </w:rPr>
            </w:pPr>
            <w:r>
              <w:rPr>
                <w:rFonts w:hint="eastAsia"/>
                <w:szCs w:val="21"/>
              </w:rPr>
              <w:t>≥2*</w:t>
            </w:r>
            <w:r>
              <w:rPr>
                <w:szCs w:val="21"/>
              </w:rPr>
              <w:t>600G</w:t>
            </w:r>
            <w:r>
              <w:rPr>
                <w:rFonts w:hint="eastAsia"/>
                <w:szCs w:val="21"/>
              </w:rPr>
              <w:t xml:space="preserve">B SAS </w:t>
            </w:r>
            <w:r>
              <w:rPr>
                <w:szCs w:val="21"/>
              </w:rPr>
              <w:t>1</w:t>
            </w:r>
            <w:r>
              <w:rPr>
                <w:rFonts w:hint="eastAsia"/>
                <w:szCs w:val="21"/>
              </w:rPr>
              <w:t>5</w:t>
            </w:r>
            <w:r>
              <w:rPr>
                <w:szCs w:val="21"/>
              </w:rPr>
              <w:t>k 2.5</w:t>
            </w:r>
            <w:r>
              <w:rPr>
                <w:rFonts w:hint="eastAsia"/>
                <w:szCs w:val="21"/>
              </w:rPr>
              <w:t>寸硬盘，</w:t>
            </w:r>
            <w:r>
              <w:rPr>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1781" w:type="dxa"/>
          </w:tcPr>
          <w:p>
            <w:pPr>
              <w:pStyle w:val="42"/>
              <w:ind w:firstLine="0" w:firstLineChars="0"/>
              <w:rPr>
                <w:szCs w:val="21"/>
              </w:rPr>
            </w:pPr>
            <w:r>
              <w:rPr>
                <w:rFonts w:hint="eastAsia"/>
                <w:szCs w:val="21"/>
              </w:rPr>
              <w:t>硬盘</w:t>
            </w:r>
            <w:r>
              <w:rPr>
                <w:szCs w:val="21"/>
              </w:rPr>
              <w:t>扩展能力</w:t>
            </w:r>
          </w:p>
        </w:tc>
        <w:tc>
          <w:tcPr>
            <w:tcW w:w="6741" w:type="dxa"/>
          </w:tcPr>
          <w:p>
            <w:pPr>
              <w:pStyle w:val="42"/>
              <w:ind w:firstLine="0" w:firstLineChars="0"/>
              <w:rPr>
                <w:szCs w:val="21"/>
              </w:rPr>
            </w:pPr>
            <w:r>
              <w:rPr>
                <w:rFonts w:hint="eastAsia"/>
                <w:szCs w:val="21"/>
              </w:rPr>
              <w:t>≥最大支持</w:t>
            </w:r>
            <w:r>
              <w:rPr>
                <w:szCs w:val="21"/>
              </w:rPr>
              <w:t>10</w:t>
            </w:r>
            <w:r>
              <w:rPr>
                <w:rFonts w:hint="eastAsia"/>
                <w:szCs w:val="21"/>
              </w:rPr>
              <w:t>个2.</w:t>
            </w:r>
            <w:r>
              <w:rPr>
                <w:szCs w:val="21"/>
              </w:rPr>
              <w:t>5</w:t>
            </w:r>
            <w:r>
              <w:rPr>
                <w:rFonts w:hint="eastAsia"/>
                <w:szCs w:val="21"/>
              </w:rPr>
              <w:t>寸硬盘</w:t>
            </w:r>
            <w:r>
              <w:rPr>
                <w:szCs w:val="21"/>
              </w:rPr>
              <w:t>槽位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trHeight w:val="604" w:hRule="atLeast"/>
          <w:jc w:val="center"/>
        </w:trPr>
        <w:tc>
          <w:tcPr>
            <w:tcW w:w="1781" w:type="dxa"/>
            <w:vMerge w:val="restart"/>
          </w:tcPr>
          <w:p>
            <w:pPr>
              <w:pStyle w:val="42"/>
              <w:ind w:firstLine="0" w:firstLineChars="0"/>
              <w:rPr>
                <w:szCs w:val="21"/>
              </w:rPr>
            </w:pPr>
            <w:r>
              <w:rPr>
                <w:rFonts w:hint="eastAsia"/>
                <w:szCs w:val="21"/>
              </w:rPr>
              <w:t>阵列控制器</w:t>
            </w:r>
          </w:p>
        </w:tc>
        <w:tc>
          <w:tcPr>
            <w:tcW w:w="6741" w:type="dxa"/>
          </w:tcPr>
          <w:p>
            <w:pPr>
              <w:pStyle w:val="42"/>
              <w:ind w:firstLine="0" w:firstLineChars="0"/>
              <w:rPr>
                <w:szCs w:val="21"/>
              </w:rPr>
            </w:pPr>
            <w:r>
              <w:rPr>
                <w:rFonts w:hint="eastAsia"/>
                <w:szCs w:val="21"/>
              </w:rPr>
              <w:t>≥</w:t>
            </w:r>
            <w:r>
              <w:rPr>
                <w:szCs w:val="21"/>
              </w:rPr>
              <w:t>1</w:t>
            </w:r>
            <w:r>
              <w:rPr>
                <w:rFonts w:hint="eastAsia"/>
                <w:szCs w:val="21"/>
              </w:rPr>
              <w:t>个</w:t>
            </w:r>
            <w:r>
              <w:rPr>
                <w:szCs w:val="21"/>
              </w:rPr>
              <w:t>阵列卡专用插槽</w:t>
            </w:r>
            <w:r>
              <w:rPr>
                <w:rFonts w:hint="eastAsia"/>
                <w:szCs w:val="21"/>
              </w:rPr>
              <w:t>（</w:t>
            </w:r>
            <w:r>
              <w:rPr>
                <w:szCs w:val="21"/>
              </w:rPr>
              <w:t>不占用PCIE扩展槽），</w:t>
            </w:r>
            <w:r>
              <w:rPr>
                <w:rFonts w:hint="eastAsia"/>
                <w:szCs w:val="21"/>
              </w:rPr>
              <w:t>配置12</w:t>
            </w:r>
            <w:r>
              <w:rPr>
                <w:szCs w:val="21"/>
              </w:rPr>
              <w:t>Gbps SAS</w:t>
            </w:r>
            <w:r>
              <w:rPr>
                <w:rFonts w:hint="eastAsia"/>
                <w:szCs w:val="21"/>
              </w:rPr>
              <w:t>磁盘阵列控制器，</w:t>
            </w:r>
            <w:r>
              <w:rPr>
                <w:szCs w:val="21"/>
              </w:rPr>
              <w:t>支持Raid0/1/10/5</w:t>
            </w:r>
            <w:r>
              <w:rPr>
                <w:rFonts w:hint="eastAsia"/>
                <w:szCs w:val="21"/>
              </w:rPr>
              <w:t>/6盘</w:t>
            </w:r>
            <w:r>
              <w:rPr>
                <w:szCs w:val="21"/>
              </w:rPr>
              <w:t>镜像</w:t>
            </w:r>
            <w:r>
              <w:rPr>
                <w:rFonts w:hint="eastAsia"/>
                <w:szCs w:val="21"/>
              </w:rPr>
              <w:t>，调整缓存读写比例等</w:t>
            </w:r>
            <w:r>
              <w:rPr>
                <w:szCs w:val="21"/>
              </w:rPr>
              <w:t>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781" w:type="dxa"/>
            <w:vMerge w:val="continue"/>
          </w:tcPr>
          <w:p>
            <w:pPr>
              <w:pStyle w:val="42"/>
              <w:ind w:firstLine="0" w:firstLineChars="0"/>
              <w:rPr>
                <w:szCs w:val="21"/>
              </w:rPr>
            </w:pPr>
          </w:p>
        </w:tc>
        <w:tc>
          <w:tcPr>
            <w:tcW w:w="6741" w:type="dxa"/>
          </w:tcPr>
          <w:p>
            <w:pPr>
              <w:pStyle w:val="42"/>
              <w:ind w:firstLine="0" w:firstLineChars="0"/>
              <w:rPr>
                <w:szCs w:val="21"/>
              </w:rPr>
            </w:pPr>
            <w:r>
              <w:rPr>
                <w:rFonts w:hint="eastAsia"/>
                <w:szCs w:val="21"/>
              </w:rPr>
              <w:t>实配≥</w:t>
            </w:r>
            <w:r>
              <w:rPr>
                <w:szCs w:val="21"/>
              </w:rPr>
              <w:t>4GB</w:t>
            </w:r>
            <w:r>
              <w:rPr>
                <w:rFonts w:hint="eastAsia"/>
                <w:szCs w:val="21"/>
              </w:rPr>
              <w:t>缓存，支持</w:t>
            </w:r>
            <w:r>
              <w:rPr>
                <w:szCs w:val="21"/>
              </w:rPr>
              <w:t>缓存数据保护，且</w:t>
            </w:r>
            <w:r>
              <w:rPr>
                <w:rFonts w:hint="eastAsia"/>
                <w:szCs w:val="21"/>
              </w:rPr>
              <w:t>后备保护不受时间限制；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781" w:type="dxa"/>
            <w:vMerge w:val="continue"/>
          </w:tcPr>
          <w:p>
            <w:pPr>
              <w:pStyle w:val="42"/>
              <w:ind w:firstLine="0" w:firstLineChars="0"/>
              <w:rPr>
                <w:szCs w:val="21"/>
              </w:rPr>
            </w:pPr>
          </w:p>
        </w:tc>
        <w:tc>
          <w:tcPr>
            <w:tcW w:w="6741" w:type="dxa"/>
          </w:tcPr>
          <w:p>
            <w:pPr>
              <w:pStyle w:val="42"/>
              <w:ind w:firstLine="0" w:firstLineChars="0"/>
              <w:rPr>
                <w:szCs w:val="21"/>
              </w:rPr>
            </w:pPr>
            <w:r>
              <w:rPr>
                <w:rFonts w:hint="eastAsia"/>
              </w:rPr>
              <w:t>支持raid 1/10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1781" w:type="dxa"/>
          </w:tcPr>
          <w:p>
            <w:pPr>
              <w:pStyle w:val="42"/>
              <w:ind w:firstLine="0" w:firstLineChars="0"/>
              <w:rPr>
                <w:szCs w:val="21"/>
              </w:rPr>
            </w:pPr>
            <w:r>
              <w:rPr>
                <w:szCs w:val="21"/>
              </w:rPr>
              <w:t>PCI I/O</w:t>
            </w:r>
            <w:r>
              <w:rPr>
                <w:rFonts w:hint="eastAsia"/>
                <w:szCs w:val="21"/>
              </w:rPr>
              <w:t>插槽</w:t>
            </w:r>
          </w:p>
        </w:tc>
        <w:tc>
          <w:tcPr>
            <w:tcW w:w="6741" w:type="dxa"/>
          </w:tcPr>
          <w:p>
            <w:pPr>
              <w:pStyle w:val="42"/>
              <w:ind w:firstLine="0" w:firstLineChars="0"/>
              <w:rPr>
                <w:szCs w:val="21"/>
              </w:rPr>
            </w:pPr>
            <w:r>
              <w:rPr>
                <w:rFonts w:hint="eastAsia"/>
                <w:szCs w:val="21"/>
              </w:rPr>
              <w:t>≥</w:t>
            </w:r>
            <w:r>
              <w:rPr>
                <w:szCs w:val="21"/>
              </w:rPr>
              <w:t>9</w:t>
            </w:r>
            <w:r>
              <w:rPr>
                <w:rFonts w:hint="eastAsia"/>
                <w:szCs w:val="21"/>
              </w:rPr>
              <w:t>个</w:t>
            </w:r>
            <w:r>
              <w:rPr>
                <w:szCs w:val="21"/>
              </w:rPr>
              <w:t>PCI-e 3.0</w:t>
            </w:r>
            <w:r>
              <w:rPr>
                <w:rFonts w:hint="eastAsia"/>
                <w:szCs w:val="21"/>
              </w:rPr>
              <w:t>全高/全长插槽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781" w:type="dxa"/>
          </w:tcPr>
          <w:p>
            <w:pPr>
              <w:pStyle w:val="42"/>
              <w:ind w:firstLine="0" w:firstLineChars="0"/>
              <w:rPr>
                <w:szCs w:val="21"/>
              </w:rPr>
            </w:pPr>
            <w:r>
              <w:rPr>
                <w:rFonts w:hint="eastAsia"/>
                <w:szCs w:val="21"/>
              </w:rPr>
              <w:t>网卡</w:t>
            </w:r>
          </w:p>
        </w:tc>
        <w:tc>
          <w:tcPr>
            <w:tcW w:w="6741" w:type="dxa"/>
          </w:tcPr>
          <w:p>
            <w:pPr>
              <w:pStyle w:val="42"/>
              <w:ind w:firstLine="0" w:firstLineChars="0"/>
              <w:rPr>
                <w:szCs w:val="21"/>
              </w:rPr>
            </w:pPr>
            <w:r>
              <w:rPr>
                <w:rFonts w:hint="eastAsia"/>
                <w:szCs w:val="21"/>
              </w:rPr>
              <w:t>标配1个</w:t>
            </w:r>
            <w:r>
              <w:rPr>
                <w:szCs w:val="21"/>
              </w:rPr>
              <w:t>网卡专用插槽</w:t>
            </w:r>
            <w:r>
              <w:rPr>
                <w:rFonts w:hint="eastAsia"/>
                <w:szCs w:val="21"/>
              </w:rPr>
              <w:t>（</w:t>
            </w:r>
            <w:r>
              <w:rPr>
                <w:szCs w:val="21"/>
              </w:rPr>
              <w:t>不占用PCIE扩展槽），可选配千兆或万兆网卡。本次配置</w:t>
            </w:r>
            <w:r>
              <w:rPr>
                <w:rFonts w:hint="eastAsia"/>
                <w:szCs w:val="21"/>
              </w:rPr>
              <w:t>≥</w:t>
            </w:r>
            <w:r>
              <w:rPr>
                <w:szCs w:val="21"/>
              </w:rPr>
              <w:t>4</w:t>
            </w:r>
            <w:r>
              <w:rPr>
                <w:rFonts w:hint="eastAsia"/>
                <w:szCs w:val="21"/>
              </w:rPr>
              <w:t>个</w:t>
            </w:r>
            <w:r>
              <w:rPr>
                <w:szCs w:val="21"/>
              </w:rPr>
              <w:t xml:space="preserve">10/100/1000M-BaseT </w:t>
            </w:r>
            <w:r>
              <w:rPr>
                <w:rFonts w:hint="eastAsia"/>
                <w:szCs w:val="21"/>
              </w:rPr>
              <w:t>多功能以太网接口，2个双口万兆光口网卡（含4个SFP+光模块），2块单口16G FC HBA卡(含2个SFP模块)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81" w:type="dxa"/>
          </w:tcPr>
          <w:p>
            <w:pPr>
              <w:pStyle w:val="42"/>
              <w:ind w:firstLine="0" w:firstLineChars="0"/>
              <w:rPr>
                <w:szCs w:val="21"/>
              </w:rPr>
            </w:pPr>
            <w:r>
              <w:rPr>
                <w:rFonts w:hint="eastAsia"/>
                <w:szCs w:val="21"/>
              </w:rPr>
              <w:t>冗余电源</w:t>
            </w:r>
          </w:p>
        </w:tc>
        <w:tc>
          <w:tcPr>
            <w:tcW w:w="6741" w:type="dxa"/>
          </w:tcPr>
          <w:p>
            <w:pPr>
              <w:pStyle w:val="42"/>
              <w:ind w:firstLine="0" w:firstLineChars="0"/>
              <w:rPr>
                <w:szCs w:val="21"/>
              </w:rPr>
            </w:pPr>
            <w:r>
              <w:rPr>
                <w:szCs w:val="21"/>
              </w:rPr>
              <w:t>4</w:t>
            </w:r>
            <w:r>
              <w:rPr>
                <w:rFonts w:hint="eastAsia"/>
                <w:szCs w:val="21"/>
              </w:rPr>
              <w:t>个≥1200W铂金版热插拔冗余电源（2</w:t>
            </w:r>
            <w:r>
              <w:rPr>
                <w:szCs w:val="21"/>
              </w:rPr>
              <w:t>+2</w:t>
            </w:r>
            <w:r>
              <w:rPr>
                <w:rFonts w:hint="eastAsia"/>
                <w:szCs w:val="21"/>
              </w:rPr>
              <w:t>冗余</w:t>
            </w: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trHeight w:val="300" w:hRule="atLeast"/>
          <w:jc w:val="center"/>
        </w:trPr>
        <w:tc>
          <w:tcPr>
            <w:tcW w:w="1781" w:type="dxa"/>
          </w:tcPr>
          <w:p>
            <w:pPr>
              <w:pStyle w:val="42"/>
              <w:ind w:firstLine="0" w:firstLineChars="0"/>
              <w:rPr>
                <w:szCs w:val="21"/>
              </w:rPr>
            </w:pPr>
            <w:r>
              <w:rPr>
                <w:rFonts w:hint="eastAsia"/>
                <w:szCs w:val="21"/>
              </w:rPr>
              <w:t>冗余风扇</w:t>
            </w:r>
          </w:p>
        </w:tc>
        <w:tc>
          <w:tcPr>
            <w:tcW w:w="6741" w:type="dxa"/>
          </w:tcPr>
          <w:p>
            <w:pPr>
              <w:pStyle w:val="42"/>
              <w:ind w:firstLine="0" w:firstLineChars="0"/>
              <w:rPr>
                <w:szCs w:val="21"/>
              </w:rPr>
            </w:pPr>
            <w:r>
              <w:rPr>
                <w:rFonts w:hint="eastAsia"/>
                <w:szCs w:val="21"/>
              </w:rPr>
              <w:t>热插拔冗余风扇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74" w:hRule="atLeast"/>
          <w:jc w:val="center"/>
        </w:trPr>
        <w:tc>
          <w:tcPr>
            <w:tcW w:w="1781" w:type="dxa"/>
          </w:tcPr>
          <w:p>
            <w:pPr>
              <w:pStyle w:val="42"/>
              <w:ind w:firstLine="0" w:firstLineChars="0"/>
              <w:rPr>
                <w:szCs w:val="21"/>
              </w:rPr>
            </w:pPr>
            <w:r>
              <w:rPr>
                <w:rFonts w:hint="eastAsia"/>
                <w:szCs w:val="21"/>
              </w:rPr>
              <w:t>远程管理卡</w:t>
            </w:r>
          </w:p>
        </w:tc>
        <w:tc>
          <w:tcPr>
            <w:tcW w:w="6741" w:type="dxa"/>
          </w:tcPr>
          <w:p>
            <w:pPr>
              <w:pStyle w:val="42"/>
              <w:ind w:firstLine="0" w:firstLineChars="0"/>
              <w:rPr>
                <w:szCs w:val="21"/>
              </w:rPr>
            </w:pPr>
            <w:r>
              <w:rPr>
                <w:rFonts w:hint="eastAsia"/>
                <w:szCs w:val="21"/>
              </w:rPr>
              <w:t>配置≥</w:t>
            </w:r>
            <w:r>
              <w:rPr>
                <w:szCs w:val="21"/>
              </w:rPr>
              <w:t>1Gb</w:t>
            </w:r>
            <w:r>
              <w:rPr>
                <w:rFonts w:hint="eastAsia"/>
                <w:szCs w:val="21"/>
              </w:rPr>
              <w:t>独立的远程管理控制端口，配置虚拟KVM</w:t>
            </w:r>
            <w:r>
              <w:rPr>
                <w:szCs w:val="21"/>
              </w:rPr>
              <w:t xml:space="preserve">功能, </w:t>
            </w:r>
            <w:r>
              <w:rPr>
                <w:rFonts w:hint="eastAsia"/>
                <w:szCs w:val="21"/>
              </w:rPr>
              <w:t>可实现与操作系统无关的远程对服务器的完全控制，包括远程的开机、关机、重启、更新</w:t>
            </w:r>
            <w:r>
              <w:rPr>
                <w:szCs w:val="21"/>
              </w:rPr>
              <w:t>Firmware</w:t>
            </w:r>
            <w:r>
              <w:rPr>
                <w:rFonts w:hint="eastAsia"/>
                <w:szCs w:val="21"/>
              </w:rPr>
              <w:t>、虚拟软驱、虚拟光驱、</w:t>
            </w:r>
            <w:r>
              <w:rPr>
                <w:szCs w:val="21"/>
              </w:rPr>
              <w:t>虚拟文件夹</w:t>
            </w:r>
            <w:r>
              <w:rPr>
                <w:rFonts w:hint="eastAsia"/>
                <w:szCs w:val="21"/>
              </w:rPr>
              <w:t>等操作，提供服务器健康日记、服务器控制台录屏</w:t>
            </w:r>
            <w:r>
              <w:rPr>
                <w:szCs w:val="21"/>
              </w:rPr>
              <w:t>/</w:t>
            </w:r>
            <w:r>
              <w:rPr>
                <w:rFonts w:hint="eastAsia"/>
                <w:szCs w:val="21"/>
              </w:rPr>
              <w:t>回放功能，能够提供电源监控，可支持动态功率封顶，提供国家强制性产品认证证书</w:t>
            </w:r>
            <w:r>
              <w:rPr>
                <w:rFonts w:hint="eastAsia"/>
                <w:color w:val="auto"/>
                <w:szCs w:val="21"/>
                <w:lang w:eastAsia="zh-CN"/>
              </w:rPr>
              <w:t>，</w:t>
            </w:r>
            <w:r>
              <w:rPr>
                <w:rFonts w:hint="eastAsia"/>
                <w:color w:val="auto"/>
                <w:szCs w:val="21"/>
              </w:rPr>
              <w:t>并配置支持上述功能的授权。</w:t>
            </w:r>
          </w:p>
        </w:tc>
      </w:tr>
    </w:tbl>
    <w:p>
      <w:pPr>
        <w:pStyle w:val="4"/>
        <w:tabs>
          <w:tab w:val="left" w:pos="432"/>
        </w:tabs>
        <w:rPr>
          <w:sz w:val="24"/>
          <w:szCs w:val="24"/>
        </w:rPr>
      </w:pPr>
      <w:r>
        <w:rPr>
          <w:rFonts w:hint="eastAsia"/>
          <w:sz w:val="24"/>
          <w:szCs w:val="24"/>
        </w:rPr>
        <w:t>7.3.27 数据库存储</w:t>
      </w:r>
    </w:p>
    <w:tbl>
      <w:tblPr>
        <w:tblStyle w:val="35"/>
        <w:tblW w:w="86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7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75" w:type="dxa"/>
            <w:vAlign w:val="center"/>
          </w:tcPr>
          <w:p>
            <w:pPr>
              <w:widowControl/>
              <w:jc w:val="center"/>
              <w:rPr>
                <w:rFonts w:ascii="宋体" w:hAnsi="宋体" w:cs="Arial"/>
                <w:b/>
                <w:bCs/>
                <w:kern w:val="0"/>
                <w:szCs w:val="21"/>
              </w:rPr>
            </w:pPr>
            <w:r>
              <w:rPr>
                <w:rFonts w:hint="eastAsia" w:ascii="宋体" w:hAnsi="宋体" w:cs="Arial"/>
                <w:b/>
                <w:bCs/>
                <w:kern w:val="0"/>
                <w:szCs w:val="21"/>
              </w:rPr>
              <w:t>指标项</w:t>
            </w:r>
          </w:p>
        </w:tc>
        <w:tc>
          <w:tcPr>
            <w:tcW w:w="7045" w:type="dxa"/>
            <w:vAlign w:val="center"/>
          </w:tcPr>
          <w:p>
            <w:pPr>
              <w:widowControl/>
              <w:jc w:val="center"/>
              <w:rPr>
                <w:rFonts w:ascii="宋体" w:hAnsi="宋体" w:cs="Arial"/>
                <w:b/>
                <w:bCs/>
                <w:kern w:val="0"/>
                <w:szCs w:val="21"/>
              </w:rPr>
            </w:pPr>
            <w:r>
              <w:rPr>
                <w:rFonts w:hint="eastAsia" w:ascii="宋体" w:hAnsi="宋体" w:cs="Arial"/>
                <w:b/>
                <w:bCs/>
                <w:kern w:val="0"/>
                <w:szCs w:val="21"/>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75" w:type="dxa"/>
            <w:vAlign w:val="center"/>
          </w:tcPr>
          <w:p>
            <w:pPr>
              <w:spacing w:after="120"/>
              <w:jc w:val="center"/>
              <w:rPr>
                <w:rFonts w:ascii="宋体" w:hAnsi="宋体" w:cs="Arial"/>
                <w:szCs w:val="21"/>
              </w:rPr>
            </w:pPr>
            <w:r>
              <w:rPr>
                <w:rFonts w:hint="eastAsia" w:ascii="宋体" w:hAnsi="宋体" w:cs="Arial"/>
                <w:szCs w:val="21"/>
              </w:rPr>
              <w:t>体系结构</w:t>
            </w:r>
          </w:p>
        </w:tc>
        <w:tc>
          <w:tcPr>
            <w:tcW w:w="7045" w:type="dxa"/>
            <w:vAlign w:val="center"/>
          </w:tcPr>
          <w:p>
            <w:pPr>
              <w:spacing w:after="120"/>
              <w:rPr>
                <w:rFonts w:ascii="宋体" w:hAnsi="宋体" w:cs="Arial"/>
                <w:szCs w:val="21"/>
              </w:rPr>
            </w:pPr>
            <w:r>
              <w:rPr>
                <w:rFonts w:hint="eastAsia" w:ascii="宋体" w:hAnsi="宋体" w:cs="宋体"/>
                <w:kern w:val="0"/>
                <w:szCs w:val="21"/>
              </w:rPr>
              <w:t>一体化统一存储架构，</w:t>
            </w:r>
            <w:r>
              <w:rPr>
                <w:rFonts w:hint="eastAsia" w:ascii="宋体" w:hAnsi="宋体" w:cs="Arial"/>
                <w:szCs w:val="21"/>
              </w:rPr>
              <w:t>同时支持并提供NAS、IP SAN和FC SAN模式；</w:t>
            </w:r>
            <w:r>
              <w:rPr>
                <w:rFonts w:hint="eastAsia" w:ascii="宋体" w:hAnsi="宋体" w:cs="宋体"/>
                <w:kern w:val="0"/>
                <w:szCs w:val="21"/>
              </w:rPr>
              <w:t>全冗余模块化体系结构；统一存储池架构支持LUN、VVOLs及NAS 服务器，分别提供数据块和文件访问服务；</w:t>
            </w:r>
            <w:r>
              <w:rPr>
                <w:rFonts w:ascii="宋体" w:hAnsi="宋体" w:cs="宋体"/>
                <w:kern w:val="0"/>
                <w:szCs w:val="21"/>
              </w:rPr>
              <w:t>以上均需提供官网链接</w:t>
            </w:r>
            <w:r>
              <w:rPr>
                <w:rFonts w:hint="eastAsia" w:ascii="宋体" w:hAnsi="宋体" w:cs="宋体"/>
                <w:kern w:val="0"/>
                <w:szCs w:val="21"/>
              </w:rPr>
              <w:t>证明</w:t>
            </w:r>
            <w:r>
              <w:rPr>
                <w:rFonts w:ascii="宋体" w:hAnsi="宋体"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75" w:type="dxa"/>
            <w:vAlign w:val="center"/>
          </w:tcPr>
          <w:p>
            <w:pPr>
              <w:spacing w:after="120"/>
              <w:jc w:val="center"/>
              <w:rPr>
                <w:rFonts w:ascii="宋体" w:hAnsi="宋体" w:cs="Arial"/>
                <w:szCs w:val="21"/>
              </w:rPr>
            </w:pPr>
            <w:r>
              <w:rPr>
                <w:rFonts w:hint="eastAsia" w:ascii="宋体" w:hAnsi="宋体" w:cs="Arial"/>
                <w:szCs w:val="21"/>
              </w:rPr>
              <w:t>控制器</w:t>
            </w:r>
          </w:p>
        </w:tc>
        <w:tc>
          <w:tcPr>
            <w:tcW w:w="7045" w:type="dxa"/>
            <w:vAlign w:val="center"/>
          </w:tcPr>
          <w:p>
            <w:pPr>
              <w:pStyle w:val="42"/>
              <w:ind w:firstLine="0" w:firstLineChars="0"/>
              <w:rPr>
                <w:szCs w:val="21"/>
              </w:rPr>
            </w:pPr>
            <w:r>
              <w:rPr>
                <w:rFonts w:hint="eastAsia"/>
                <w:szCs w:val="21"/>
              </w:rPr>
              <w:t>控制器部件全冗余，支持NAS、FC、iSCSI数据访问服务；</w:t>
            </w:r>
          </w:p>
          <w:p>
            <w:pPr>
              <w:pStyle w:val="42"/>
              <w:ind w:firstLine="0" w:firstLineChars="0"/>
              <w:rPr>
                <w:szCs w:val="21"/>
              </w:rPr>
            </w:pPr>
            <w:r>
              <w:rPr>
                <w:rFonts w:hint="eastAsia"/>
                <w:szCs w:val="21"/>
              </w:rPr>
              <w:t>控制器对称双活，双控制器能同时访问同一个份数据单元（LUN）；</w:t>
            </w:r>
          </w:p>
          <w:p>
            <w:pPr>
              <w:pStyle w:val="42"/>
              <w:ind w:firstLine="0" w:firstLineChars="0"/>
              <w:rPr>
                <w:szCs w:val="21"/>
              </w:rPr>
            </w:pPr>
            <w:r>
              <w:rPr>
                <w:rFonts w:hint="eastAsia"/>
                <w:szCs w:val="21"/>
              </w:rPr>
              <w:t>控制器数量≥2；配置控制器总缓存≥96GB；</w:t>
            </w:r>
          </w:p>
          <w:p>
            <w:pPr>
              <w:pStyle w:val="42"/>
              <w:ind w:firstLine="0" w:firstLineChars="0"/>
              <w:rPr>
                <w:rFonts w:ascii="宋体" w:hAnsi="宋体" w:cs="宋体"/>
                <w:bCs/>
                <w:szCs w:val="21"/>
              </w:rPr>
            </w:pPr>
            <w:r>
              <w:rPr>
                <w:rFonts w:hint="eastAsia"/>
                <w:szCs w:val="21"/>
              </w:rPr>
              <w:t>每控制器CPU≥8核，主频≥2.4G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8" w:hRule="atLeast"/>
          <w:jc w:val="center"/>
        </w:trPr>
        <w:tc>
          <w:tcPr>
            <w:tcW w:w="1575" w:type="dxa"/>
            <w:vAlign w:val="center"/>
          </w:tcPr>
          <w:p>
            <w:pPr>
              <w:spacing w:after="120"/>
              <w:jc w:val="center"/>
              <w:rPr>
                <w:rFonts w:ascii="宋体" w:hAnsi="宋体" w:cs="宋体"/>
                <w:bCs/>
                <w:szCs w:val="21"/>
              </w:rPr>
            </w:pPr>
            <w:r>
              <w:rPr>
                <w:rFonts w:hint="eastAsia" w:ascii="宋体" w:hAnsi="宋体" w:cs="宋体"/>
                <w:bCs/>
                <w:szCs w:val="21"/>
              </w:rPr>
              <w:t>磁盘存储容量</w:t>
            </w:r>
          </w:p>
        </w:tc>
        <w:tc>
          <w:tcPr>
            <w:tcW w:w="7045" w:type="dxa"/>
            <w:vAlign w:val="center"/>
          </w:tcPr>
          <w:p>
            <w:pPr>
              <w:spacing w:after="120"/>
              <w:rPr>
                <w:rFonts w:ascii="宋体" w:hAnsi="宋体" w:cs="宋体"/>
                <w:bCs/>
                <w:szCs w:val="21"/>
              </w:rPr>
            </w:pPr>
            <w:r>
              <w:rPr>
                <w:rFonts w:hint="eastAsia" w:ascii="宋体" w:hAnsi="宋体" w:cs="宋体"/>
                <w:bCs/>
                <w:szCs w:val="21"/>
              </w:rPr>
              <w:t>本次磁盘配置：本次配置5块400G SSD硬盘作为数据缓存，配置20块1.8T 10K硬盘；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75" w:type="dxa"/>
            <w:vAlign w:val="center"/>
          </w:tcPr>
          <w:p>
            <w:pPr>
              <w:spacing w:after="120"/>
              <w:jc w:val="center"/>
              <w:rPr>
                <w:rFonts w:ascii="宋体" w:hAnsi="宋体" w:cs="宋体"/>
                <w:kern w:val="0"/>
                <w:szCs w:val="21"/>
              </w:rPr>
            </w:pPr>
            <w:r>
              <w:rPr>
                <w:rFonts w:hint="eastAsia" w:ascii="宋体" w:hAnsi="宋体" w:cs="宋体"/>
                <w:kern w:val="0"/>
                <w:szCs w:val="21"/>
              </w:rPr>
              <w:t>支持磁盘类型</w:t>
            </w:r>
          </w:p>
        </w:tc>
        <w:tc>
          <w:tcPr>
            <w:tcW w:w="7045" w:type="dxa"/>
            <w:vAlign w:val="center"/>
          </w:tcPr>
          <w:p>
            <w:pPr>
              <w:pStyle w:val="9"/>
              <w:rPr>
                <w:rFonts w:ascii="宋体" w:hAnsi="宋体" w:cs="宋体"/>
                <w:bCs/>
                <w:szCs w:val="21"/>
              </w:rPr>
            </w:pPr>
            <w:r>
              <w:rPr>
                <w:rFonts w:hint="eastAsia" w:ascii="宋体" w:hAnsi="宋体" w:cs="宋体"/>
                <w:bCs/>
                <w:szCs w:val="21"/>
              </w:rPr>
              <w:t>所投存储系统可同时支持服务器</w:t>
            </w:r>
            <w:r>
              <w:rPr>
                <w:rFonts w:ascii="宋体" w:hAnsi="宋体" w:cs="宋体"/>
                <w:bCs/>
                <w:szCs w:val="21"/>
              </w:rPr>
              <w:t xml:space="preserve"> SSD</w:t>
            </w:r>
            <w:r>
              <w:rPr>
                <w:rFonts w:hint="eastAsia" w:ascii="宋体" w:hAnsi="宋体" w:cs="宋体"/>
                <w:bCs/>
                <w:szCs w:val="21"/>
              </w:rPr>
              <w:t>；硬盘数量≥250块（非Cluster模式）；SSD单盘最大可支持3.</w:t>
            </w:r>
            <w:r>
              <w:rPr>
                <w:rFonts w:ascii="宋体" w:hAnsi="宋体" w:cs="宋体"/>
                <w:bCs/>
                <w:szCs w:val="21"/>
              </w:rPr>
              <w:t>2TB</w:t>
            </w:r>
            <w:r>
              <w:rPr>
                <w:rFonts w:hint="eastAsia" w:ascii="宋体" w:hAnsi="宋体" w:cs="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20" w:hRule="atLeast"/>
          <w:jc w:val="center"/>
        </w:trPr>
        <w:tc>
          <w:tcPr>
            <w:tcW w:w="1575" w:type="dxa"/>
            <w:vAlign w:val="center"/>
          </w:tcPr>
          <w:p>
            <w:pPr>
              <w:spacing w:after="120"/>
              <w:jc w:val="center"/>
              <w:rPr>
                <w:rFonts w:ascii="宋体" w:hAnsi="宋体" w:cs="Arial"/>
                <w:szCs w:val="21"/>
              </w:rPr>
            </w:pPr>
            <w:r>
              <w:rPr>
                <w:rFonts w:hint="eastAsia" w:ascii="宋体" w:hAnsi="宋体" w:cs="Arial"/>
                <w:szCs w:val="21"/>
              </w:rPr>
              <w:t>前端主机端口</w:t>
            </w:r>
          </w:p>
        </w:tc>
        <w:tc>
          <w:tcPr>
            <w:tcW w:w="7045" w:type="dxa"/>
            <w:vAlign w:val="center"/>
          </w:tcPr>
          <w:p>
            <w:pPr>
              <w:pStyle w:val="42"/>
              <w:ind w:firstLine="0" w:firstLineChars="0"/>
              <w:rPr>
                <w:szCs w:val="21"/>
              </w:rPr>
            </w:pPr>
            <w:r>
              <w:rPr>
                <w:rFonts w:hint="eastAsia"/>
                <w:szCs w:val="21"/>
              </w:rPr>
              <w:t>支持接口类型：</w:t>
            </w:r>
          </w:p>
          <w:p>
            <w:pPr>
              <w:pStyle w:val="42"/>
              <w:ind w:firstLine="0" w:firstLineChars="0"/>
              <w:rPr>
                <w:szCs w:val="21"/>
              </w:rPr>
            </w:pPr>
            <w:r>
              <w:rPr>
                <w:rFonts w:hint="eastAsia"/>
                <w:szCs w:val="21"/>
              </w:rPr>
              <w:t>最大支持的FC端口≥20；</w:t>
            </w:r>
          </w:p>
          <w:p>
            <w:pPr>
              <w:pStyle w:val="42"/>
              <w:ind w:firstLine="0" w:firstLineChars="0"/>
              <w:rPr>
                <w:szCs w:val="21"/>
              </w:rPr>
            </w:pPr>
            <w:r>
              <w:rPr>
                <w:rFonts w:hint="eastAsia"/>
                <w:szCs w:val="21"/>
              </w:rPr>
              <w:t>最大支持的10GbiSCSI端口≥24；</w:t>
            </w:r>
          </w:p>
          <w:p>
            <w:pPr>
              <w:pStyle w:val="42"/>
              <w:ind w:firstLine="0" w:firstLineChars="0"/>
              <w:rPr>
                <w:szCs w:val="21"/>
              </w:rPr>
            </w:pPr>
            <w:r>
              <w:rPr>
                <w:rFonts w:hint="eastAsia"/>
                <w:szCs w:val="21"/>
              </w:rPr>
              <w:t>本次配置4</w:t>
            </w:r>
            <w:r>
              <w:rPr>
                <w:szCs w:val="21"/>
              </w:rPr>
              <w:t>个</w:t>
            </w:r>
            <w:r>
              <w:rPr>
                <w:rFonts w:hint="eastAsia"/>
                <w:szCs w:val="21"/>
              </w:rPr>
              <w:t>16</w:t>
            </w:r>
            <w:r>
              <w:rPr>
                <w:szCs w:val="21"/>
              </w:rPr>
              <w:t>Gb/s的前端FC光纤通道端口</w:t>
            </w:r>
            <w:r>
              <w:rPr>
                <w:rFonts w:hint="eastAsia"/>
                <w:szCs w:val="21"/>
              </w:rPr>
              <w:t>+4个万兆电口IP接口；</w:t>
            </w:r>
          </w:p>
          <w:p>
            <w:pPr>
              <w:pStyle w:val="42"/>
              <w:ind w:firstLine="0" w:firstLineChars="0"/>
              <w:rPr>
                <w:szCs w:val="21"/>
              </w:rPr>
            </w:pPr>
            <w:r>
              <w:rPr>
                <w:szCs w:val="21"/>
              </w:rPr>
              <w:t>以上均需提供官网链接</w:t>
            </w:r>
            <w:r>
              <w:rPr>
                <w:rFonts w:hint="eastAsia"/>
                <w:szCs w:val="21"/>
              </w:rPr>
              <w:t>证明</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75" w:type="dxa"/>
            <w:vAlign w:val="center"/>
          </w:tcPr>
          <w:p>
            <w:pPr>
              <w:spacing w:after="120"/>
              <w:jc w:val="center"/>
              <w:rPr>
                <w:rFonts w:ascii="宋体" w:hAnsi="宋体" w:cs="Arial"/>
                <w:szCs w:val="21"/>
              </w:rPr>
            </w:pPr>
            <w:r>
              <w:rPr>
                <w:rFonts w:hint="eastAsia" w:ascii="宋体" w:hAnsi="宋体" w:cs="Arial"/>
                <w:szCs w:val="21"/>
              </w:rPr>
              <w:t>后端端口带宽</w:t>
            </w:r>
          </w:p>
        </w:tc>
        <w:tc>
          <w:tcPr>
            <w:tcW w:w="7045" w:type="dxa"/>
            <w:vAlign w:val="center"/>
          </w:tcPr>
          <w:p>
            <w:pPr>
              <w:spacing w:after="120"/>
              <w:rPr>
                <w:rFonts w:ascii="宋体" w:hAnsi="宋体" w:cs="Arial"/>
                <w:szCs w:val="21"/>
              </w:rPr>
            </w:pPr>
            <w:r>
              <w:rPr>
                <w:rFonts w:hint="eastAsia" w:ascii="宋体" w:hAnsi="宋体" w:cs="Arial"/>
                <w:szCs w:val="21"/>
              </w:rPr>
              <w:t>配置磁盘阵列连接磁盘的后端端口带宽≥96Gb/s；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75" w:type="dxa"/>
            <w:vAlign w:val="center"/>
          </w:tcPr>
          <w:p>
            <w:pPr>
              <w:spacing w:after="120"/>
              <w:jc w:val="center"/>
              <w:rPr>
                <w:rFonts w:ascii="宋体" w:hAnsi="宋体" w:cs="Arial"/>
                <w:szCs w:val="21"/>
              </w:rPr>
            </w:pPr>
            <w:r>
              <w:rPr>
                <w:rFonts w:hint="eastAsia" w:ascii="宋体" w:hAnsi="宋体" w:cs="Arial"/>
                <w:szCs w:val="21"/>
              </w:rPr>
              <w:t>扩展能力</w:t>
            </w:r>
          </w:p>
        </w:tc>
        <w:tc>
          <w:tcPr>
            <w:tcW w:w="7045" w:type="dxa"/>
            <w:vAlign w:val="center"/>
          </w:tcPr>
          <w:p>
            <w:pPr>
              <w:pStyle w:val="42"/>
              <w:ind w:firstLine="0" w:firstLineChars="0"/>
              <w:rPr>
                <w:szCs w:val="21"/>
              </w:rPr>
            </w:pPr>
            <w:r>
              <w:rPr>
                <w:rFonts w:hint="eastAsia"/>
                <w:szCs w:val="21"/>
              </w:rPr>
              <w:t>单台阵列最大支持的磁盘数≥25</w:t>
            </w:r>
            <w:r>
              <w:rPr>
                <w:szCs w:val="21"/>
              </w:rPr>
              <w:t>0；</w:t>
            </w:r>
          </w:p>
          <w:p>
            <w:pPr>
              <w:pStyle w:val="42"/>
              <w:ind w:firstLine="0" w:firstLineChars="0"/>
              <w:rPr>
                <w:rFonts w:ascii="宋体" w:hAnsi="宋体" w:cs="宋体"/>
                <w:bCs/>
                <w:color w:val="FF0000"/>
                <w:szCs w:val="21"/>
              </w:rPr>
            </w:pPr>
            <w:r>
              <w:rPr>
                <w:rFonts w:hint="eastAsia"/>
                <w:szCs w:val="21"/>
              </w:rPr>
              <w:t>具有完全在线、无需停机的扩充能力，包括系统微码升级、系统处理能力的扩充、存储容量的扩充等；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75" w:type="dxa"/>
            <w:vAlign w:val="center"/>
          </w:tcPr>
          <w:p>
            <w:pPr>
              <w:spacing w:after="120"/>
              <w:jc w:val="center"/>
              <w:rPr>
                <w:rFonts w:ascii="宋体" w:hAnsi="宋体" w:cs="Arial"/>
                <w:szCs w:val="21"/>
              </w:rPr>
            </w:pPr>
            <w:r>
              <w:rPr>
                <w:rFonts w:hint="eastAsia" w:ascii="宋体" w:hAnsi="宋体" w:cs="Arial"/>
                <w:szCs w:val="21"/>
              </w:rPr>
              <w:t>高可靠性</w:t>
            </w:r>
          </w:p>
        </w:tc>
        <w:tc>
          <w:tcPr>
            <w:tcW w:w="7045" w:type="dxa"/>
            <w:vAlign w:val="center"/>
          </w:tcPr>
          <w:p>
            <w:pPr>
              <w:spacing w:after="120"/>
              <w:rPr>
                <w:rFonts w:ascii="宋体" w:hAnsi="宋体" w:cs="Arial"/>
                <w:szCs w:val="21"/>
              </w:rPr>
            </w:pPr>
            <w:r>
              <w:rPr>
                <w:rFonts w:hint="eastAsia" w:ascii="宋体" w:hAnsi="宋体" w:cs="Arial"/>
                <w:szCs w:val="21"/>
              </w:rPr>
              <w:t>完全的硬件冗余：处理器、缓存、电源、风扇、适配卡、总线等都提供冗余，并保证在某硬件出问题时，能够进行自动切换，不出现单点故障，磁盘阵列系统具有高可靠性，达到99.999%可用性；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75" w:type="dxa"/>
            <w:vAlign w:val="center"/>
          </w:tcPr>
          <w:p>
            <w:pPr>
              <w:spacing w:after="120"/>
              <w:jc w:val="center"/>
              <w:rPr>
                <w:rFonts w:ascii="宋体" w:hAnsi="宋体" w:cs="Arial"/>
                <w:szCs w:val="21"/>
              </w:rPr>
            </w:pPr>
            <w:r>
              <w:rPr>
                <w:rFonts w:hint="eastAsia" w:ascii="宋体" w:hAnsi="宋体" w:cs="Arial"/>
                <w:szCs w:val="21"/>
              </w:rPr>
              <w:t>RAID保护方式</w:t>
            </w:r>
          </w:p>
        </w:tc>
        <w:tc>
          <w:tcPr>
            <w:tcW w:w="7045" w:type="dxa"/>
            <w:vAlign w:val="center"/>
          </w:tcPr>
          <w:p>
            <w:pPr>
              <w:spacing w:after="120"/>
              <w:rPr>
                <w:rFonts w:ascii="宋体" w:hAnsi="宋体" w:cs="Arial"/>
                <w:szCs w:val="21"/>
              </w:rPr>
            </w:pPr>
            <w:r>
              <w:rPr>
                <w:rFonts w:hint="eastAsia" w:ascii="宋体" w:hAnsi="宋体" w:cs="Arial"/>
                <w:szCs w:val="21"/>
              </w:rPr>
              <w:t>支持多种RAID保护方式，包括0/1,5,6；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75" w:type="dxa"/>
            <w:vAlign w:val="center"/>
          </w:tcPr>
          <w:p>
            <w:pPr>
              <w:widowControl/>
              <w:snapToGrid w:val="0"/>
              <w:jc w:val="center"/>
              <w:rPr>
                <w:rFonts w:ascii="Franklin Gothic Book" w:hAnsi="Franklin Gothic Book" w:cs="Arial"/>
                <w:bCs/>
                <w:kern w:val="0"/>
                <w:szCs w:val="21"/>
              </w:rPr>
            </w:pPr>
            <w:r>
              <w:rPr>
                <w:rFonts w:hint="eastAsia" w:ascii="宋体" w:hAnsi="宋体" w:cs="宋体"/>
                <w:kern w:val="0"/>
                <w:szCs w:val="21"/>
              </w:rPr>
              <w:t>双控制器</w:t>
            </w:r>
            <w:r>
              <w:rPr>
                <w:rFonts w:ascii="Franklin Gothic Book" w:hAnsi="Franklin Gothic Book" w:cs="Arial"/>
                <w:bCs/>
                <w:kern w:val="0"/>
                <w:szCs w:val="21"/>
              </w:rPr>
              <w:t>最大支持SAN主机数</w:t>
            </w:r>
          </w:p>
        </w:tc>
        <w:tc>
          <w:tcPr>
            <w:tcW w:w="7045" w:type="dxa"/>
            <w:vAlign w:val="center"/>
          </w:tcPr>
          <w:p>
            <w:pPr>
              <w:widowControl/>
              <w:snapToGrid w:val="0"/>
              <w:jc w:val="left"/>
              <w:rPr>
                <w:rFonts w:ascii="Franklin Gothic Book" w:hAnsi="Franklin Gothic Book" w:cs="Arial"/>
                <w:bCs/>
                <w:kern w:val="0"/>
                <w:szCs w:val="21"/>
              </w:rPr>
            </w:pPr>
            <w:r>
              <w:rPr>
                <w:rFonts w:ascii="Franklin Gothic Book" w:hAnsi="Franklin Gothic Book"/>
                <w:szCs w:val="21"/>
              </w:rPr>
              <w:t>≥1024，本次配置双控制器（一个HA对）1024个主机支持，必须提供官方网站链接和截图。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20" w:hRule="atLeast"/>
          <w:jc w:val="center"/>
        </w:trPr>
        <w:tc>
          <w:tcPr>
            <w:tcW w:w="1575" w:type="dxa"/>
            <w:vAlign w:val="center"/>
          </w:tcPr>
          <w:p>
            <w:pPr>
              <w:spacing w:after="120"/>
              <w:jc w:val="center"/>
              <w:rPr>
                <w:rFonts w:ascii="宋体" w:hAnsi="宋体" w:cs="Arial"/>
                <w:szCs w:val="21"/>
              </w:rPr>
            </w:pPr>
            <w:r>
              <w:rPr>
                <w:rFonts w:hint="eastAsia" w:ascii="宋体" w:hAnsi="宋体" w:cs="Arial"/>
                <w:szCs w:val="21"/>
              </w:rPr>
              <w:t>存储管理软件</w:t>
            </w:r>
          </w:p>
        </w:tc>
        <w:tc>
          <w:tcPr>
            <w:tcW w:w="7045" w:type="dxa"/>
            <w:vAlign w:val="center"/>
          </w:tcPr>
          <w:p>
            <w:pPr>
              <w:pStyle w:val="42"/>
              <w:ind w:firstLine="0" w:firstLineChars="0"/>
              <w:rPr>
                <w:szCs w:val="21"/>
              </w:rPr>
            </w:pPr>
            <w:r>
              <w:rPr>
                <w:rFonts w:hint="eastAsia"/>
                <w:szCs w:val="21"/>
              </w:rPr>
              <w:t>需提供图形化存储管理软件，支持带外管理；</w:t>
            </w:r>
          </w:p>
          <w:p>
            <w:pPr>
              <w:pStyle w:val="42"/>
              <w:ind w:firstLine="0" w:firstLineChars="0"/>
              <w:rPr>
                <w:szCs w:val="21"/>
              </w:rPr>
            </w:pPr>
            <w:r>
              <w:rPr>
                <w:rFonts w:hint="eastAsia"/>
                <w:szCs w:val="21"/>
              </w:rPr>
              <w:t>支持基于角色的管理；为不同的管理人员分配对应的管理权限；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75" w:type="dxa"/>
            <w:vAlign w:val="center"/>
          </w:tcPr>
          <w:p>
            <w:pPr>
              <w:spacing w:after="120"/>
              <w:jc w:val="center"/>
              <w:rPr>
                <w:rFonts w:ascii="宋体" w:hAnsi="宋体" w:cs="Arial"/>
                <w:szCs w:val="21"/>
              </w:rPr>
            </w:pPr>
            <w:r>
              <w:rPr>
                <w:rFonts w:hint="eastAsia" w:ascii="宋体" w:hAnsi="宋体" w:cs="Arial"/>
                <w:szCs w:val="21"/>
              </w:rPr>
              <w:t>存储控制器软件</w:t>
            </w:r>
          </w:p>
        </w:tc>
        <w:tc>
          <w:tcPr>
            <w:tcW w:w="7045" w:type="dxa"/>
            <w:vAlign w:val="center"/>
          </w:tcPr>
          <w:p>
            <w:pPr>
              <w:spacing w:after="120"/>
              <w:rPr>
                <w:rFonts w:ascii="宋体" w:hAnsi="宋体" w:cs="Arial"/>
                <w:szCs w:val="21"/>
              </w:rPr>
            </w:pPr>
            <w:r>
              <w:rPr>
                <w:rFonts w:hint="eastAsia" w:ascii="宋体" w:hAnsi="宋体" w:cs="Arial"/>
                <w:szCs w:val="21"/>
              </w:rPr>
              <w:t>配置主存储控制器软件的独立运行版本，支持Windows、Linux、Unix操作系统，配置SAN、NFS、CIFS、iSCSI与VVOLs协议，配置自动存储分层功能，配置存储复制功能，能够与此次所投存储实现复制，配置服务质量管理QoS功能；配置不小于4TB的容量许可；</w:t>
            </w:r>
            <w:r>
              <w:rPr>
                <w:rFonts w:ascii="宋体" w:hAnsi="宋体" w:cs="宋体"/>
                <w:kern w:val="0"/>
                <w:szCs w:val="21"/>
              </w:rPr>
              <w:t>以上均需提供官网链接</w:t>
            </w:r>
            <w:r>
              <w:rPr>
                <w:rFonts w:hint="eastAsia" w:ascii="宋体" w:hAnsi="宋体" w:cs="宋体"/>
                <w:kern w:val="0"/>
                <w:szCs w:val="21"/>
              </w:rPr>
              <w:t>证明</w:t>
            </w:r>
            <w:r>
              <w:rPr>
                <w:rFonts w:ascii="宋体" w:hAnsi="宋体"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75" w:type="dxa"/>
            <w:vAlign w:val="center"/>
          </w:tcPr>
          <w:p>
            <w:pPr>
              <w:spacing w:after="120"/>
              <w:jc w:val="center"/>
              <w:rPr>
                <w:rFonts w:ascii="宋体" w:hAnsi="宋体" w:cs="Arial"/>
                <w:szCs w:val="21"/>
              </w:rPr>
            </w:pPr>
            <w:r>
              <w:rPr>
                <w:rFonts w:hint="eastAsia" w:ascii="宋体" w:hAnsi="宋体" w:cs="Arial"/>
                <w:szCs w:val="21"/>
              </w:rPr>
              <w:t>集中化管理</w:t>
            </w:r>
          </w:p>
        </w:tc>
        <w:tc>
          <w:tcPr>
            <w:tcW w:w="7045" w:type="dxa"/>
            <w:vAlign w:val="center"/>
          </w:tcPr>
          <w:p>
            <w:pPr>
              <w:spacing w:after="120"/>
              <w:rPr>
                <w:rFonts w:ascii="宋体" w:hAnsi="宋体" w:cs="Arial"/>
                <w:szCs w:val="21"/>
              </w:rPr>
            </w:pPr>
            <w:r>
              <w:rPr>
                <w:rFonts w:hint="eastAsia" w:ascii="宋体" w:hAnsi="宋体" w:cs="Arial"/>
                <w:szCs w:val="21"/>
              </w:rPr>
              <w:t>提供管理软件，可管理的阵列数量多台；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75" w:type="dxa"/>
            <w:vAlign w:val="center"/>
          </w:tcPr>
          <w:p>
            <w:pPr>
              <w:spacing w:after="120"/>
              <w:jc w:val="center"/>
              <w:rPr>
                <w:rFonts w:ascii="宋体" w:hAnsi="宋体" w:cs="Arial"/>
                <w:szCs w:val="21"/>
              </w:rPr>
            </w:pPr>
            <w:r>
              <w:rPr>
                <w:rFonts w:hint="eastAsia" w:ascii="宋体" w:hAnsi="宋体" w:cs="Arial"/>
                <w:szCs w:val="21"/>
              </w:rPr>
              <w:t>性能分析软件</w:t>
            </w:r>
          </w:p>
        </w:tc>
        <w:tc>
          <w:tcPr>
            <w:tcW w:w="7045" w:type="dxa"/>
            <w:vAlign w:val="center"/>
          </w:tcPr>
          <w:p>
            <w:pPr>
              <w:spacing w:after="120"/>
              <w:rPr>
                <w:rFonts w:ascii="宋体" w:hAnsi="宋体" w:cs="Arial"/>
                <w:szCs w:val="21"/>
              </w:rPr>
            </w:pPr>
            <w:r>
              <w:rPr>
                <w:rFonts w:hint="eastAsia" w:ascii="宋体" w:hAnsi="宋体" w:cs="Arial"/>
                <w:szCs w:val="21"/>
              </w:rPr>
              <w:t>配置阵列的性能分析软件，能够获取实时的性能数据和历史性能数据；产生性能报表；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9" w:hRule="atLeast"/>
          <w:jc w:val="center"/>
        </w:trPr>
        <w:tc>
          <w:tcPr>
            <w:tcW w:w="1575" w:type="dxa"/>
            <w:vAlign w:val="center"/>
          </w:tcPr>
          <w:p>
            <w:pPr>
              <w:jc w:val="center"/>
              <w:rPr>
                <w:rFonts w:ascii="宋体" w:hAnsi="宋体" w:cs="宋体"/>
                <w:bCs/>
                <w:szCs w:val="21"/>
              </w:rPr>
            </w:pPr>
            <w:r>
              <w:rPr>
                <w:rFonts w:hint="eastAsia" w:ascii="宋体" w:hAnsi="宋体" w:cs="宋体"/>
                <w:bCs/>
                <w:szCs w:val="21"/>
              </w:rPr>
              <w:t>虚拟资源调配</w:t>
            </w:r>
          </w:p>
        </w:tc>
        <w:tc>
          <w:tcPr>
            <w:tcW w:w="7045" w:type="dxa"/>
          </w:tcPr>
          <w:p>
            <w:pPr>
              <w:rPr>
                <w:rFonts w:ascii="宋体" w:hAnsi="宋体" w:cs="宋体"/>
                <w:bCs/>
                <w:szCs w:val="21"/>
              </w:rPr>
            </w:pPr>
            <w:r>
              <w:rPr>
                <w:rFonts w:hint="eastAsia" w:ascii="宋体" w:hAnsi="宋体" w:cs="Arial"/>
                <w:szCs w:val="21"/>
              </w:rPr>
              <w:t>支持并</w:t>
            </w:r>
            <w:r>
              <w:rPr>
                <w:rFonts w:hint="eastAsia" w:ascii="宋体" w:hAnsi="宋体" w:cs="宋体"/>
                <w:bCs/>
                <w:szCs w:val="21"/>
              </w:rPr>
              <w:t>配置虚拟资源调配功能，按照实际使用的存储容量分配存储空间，提高存储利用率；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75" w:type="dxa"/>
            <w:vAlign w:val="center"/>
          </w:tcPr>
          <w:p>
            <w:pPr>
              <w:jc w:val="center"/>
              <w:rPr>
                <w:rFonts w:ascii="宋体" w:hAnsi="宋体" w:cs="宋体"/>
                <w:bCs/>
                <w:szCs w:val="21"/>
              </w:rPr>
            </w:pPr>
            <w:r>
              <w:rPr>
                <w:rFonts w:hint="eastAsia" w:ascii="宋体" w:hAnsi="宋体" w:cs="宋体"/>
                <w:bCs/>
                <w:szCs w:val="21"/>
              </w:rPr>
              <w:t>磁盘降速</w:t>
            </w:r>
          </w:p>
        </w:tc>
        <w:tc>
          <w:tcPr>
            <w:tcW w:w="7045" w:type="dxa"/>
          </w:tcPr>
          <w:p>
            <w:pPr>
              <w:rPr>
                <w:rFonts w:ascii="宋体" w:hAnsi="宋体" w:cs="Arial"/>
                <w:szCs w:val="21"/>
              </w:rPr>
            </w:pPr>
            <w:r>
              <w:rPr>
                <w:rFonts w:hint="eastAsia" w:ascii="宋体" w:hAnsi="宋体" w:cs="Arial"/>
                <w:szCs w:val="21"/>
              </w:rPr>
              <w:t>在磁盘没有IO访问的情况下，能够智能的将磁盘处于停止状态，从而降低系统对能源的消耗；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20" w:hRule="atLeast"/>
          <w:jc w:val="center"/>
        </w:trPr>
        <w:tc>
          <w:tcPr>
            <w:tcW w:w="1575" w:type="dxa"/>
            <w:vAlign w:val="center"/>
          </w:tcPr>
          <w:p>
            <w:pPr>
              <w:jc w:val="center"/>
              <w:rPr>
                <w:rFonts w:ascii="宋体" w:hAnsi="宋体" w:cs="宋体"/>
                <w:bCs/>
                <w:szCs w:val="21"/>
              </w:rPr>
            </w:pPr>
            <w:r>
              <w:rPr>
                <w:rFonts w:hint="eastAsia" w:ascii="宋体" w:hAnsi="宋体" w:cs="宋体"/>
                <w:bCs/>
                <w:szCs w:val="21"/>
              </w:rPr>
              <w:t>服务质量管理</w:t>
            </w:r>
            <w:r>
              <w:rPr>
                <w:rFonts w:ascii="宋体" w:hAnsi="宋体" w:cs="宋体"/>
                <w:bCs/>
                <w:szCs w:val="21"/>
              </w:rPr>
              <w:t>(QoS)</w:t>
            </w:r>
          </w:p>
        </w:tc>
        <w:tc>
          <w:tcPr>
            <w:tcW w:w="7045" w:type="dxa"/>
          </w:tcPr>
          <w:p>
            <w:pPr>
              <w:rPr>
                <w:rFonts w:ascii="宋体" w:hAnsi="宋体" w:cs="宋体"/>
                <w:bCs/>
                <w:szCs w:val="21"/>
              </w:rPr>
            </w:pPr>
            <w:r>
              <w:rPr>
                <w:rFonts w:hint="eastAsia" w:ascii="宋体" w:hAnsi="宋体" w:cs="宋体"/>
                <w:bCs/>
                <w:szCs w:val="21"/>
              </w:rPr>
              <w:t>通过优化磁盘阵列中的应用程序</w:t>
            </w:r>
            <w:r>
              <w:rPr>
                <w:rFonts w:ascii="宋体" w:hAnsi="宋体" w:cs="宋体"/>
                <w:bCs/>
                <w:szCs w:val="21"/>
              </w:rPr>
              <w:t>IO</w:t>
            </w:r>
            <w:r>
              <w:rPr>
                <w:rFonts w:hint="eastAsia" w:ascii="宋体" w:hAnsi="宋体" w:cs="宋体"/>
                <w:bCs/>
                <w:szCs w:val="21"/>
              </w:rPr>
              <w:t>队列，实现对应用程序的IOPS、带宽和响应时间的控制优化；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75" w:type="dxa"/>
            <w:vAlign w:val="center"/>
          </w:tcPr>
          <w:p>
            <w:pPr>
              <w:jc w:val="center"/>
              <w:rPr>
                <w:rFonts w:ascii="宋体" w:hAnsi="宋体" w:cs="宋体"/>
                <w:bCs/>
                <w:szCs w:val="21"/>
              </w:rPr>
            </w:pPr>
            <w:r>
              <w:rPr>
                <w:rFonts w:hint="eastAsia" w:ascii="宋体" w:hAnsi="宋体" w:cs="宋体"/>
                <w:bCs/>
                <w:szCs w:val="21"/>
              </w:rPr>
              <w:t>本地数据复制保护功能</w:t>
            </w:r>
          </w:p>
        </w:tc>
        <w:tc>
          <w:tcPr>
            <w:tcW w:w="7045" w:type="dxa"/>
          </w:tcPr>
          <w:p>
            <w:pPr>
              <w:rPr>
                <w:rFonts w:ascii="宋体" w:hAnsi="宋体" w:cs="Arial"/>
                <w:szCs w:val="21"/>
              </w:rPr>
            </w:pPr>
            <w:r>
              <w:rPr>
                <w:rFonts w:hint="eastAsia" w:ascii="宋体" w:hAnsi="宋体" w:cs="宋体"/>
                <w:bCs/>
                <w:szCs w:val="21"/>
              </w:rPr>
              <w:t>配置防病毒，加密，存储系统配置本地快照及本地克隆技术；每系统的快照数量</w:t>
            </w:r>
            <w:r>
              <w:rPr>
                <w:rFonts w:hint="eastAsia" w:ascii="宋体" w:hAnsi="宋体" w:cs="Arial"/>
                <w:szCs w:val="21"/>
              </w:rPr>
              <w:t>≥</w:t>
            </w:r>
            <w:r>
              <w:rPr>
                <w:rFonts w:hint="eastAsia" w:ascii="宋体" w:hAnsi="宋体" w:cs="Arial"/>
                <w:szCs w:val="21"/>
                <w:lang w:val="en-US" w:eastAsia="zh-CN"/>
              </w:rPr>
              <w:t>4000</w:t>
            </w:r>
            <w:r>
              <w:rPr>
                <w:rFonts w:hint="eastAsia" w:ascii="宋体" w:hAnsi="宋体" w:cs="Arial"/>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75" w:type="dxa"/>
            <w:vAlign w:val="center"/>
          </w:tcPr>
          <w:p>
            <w:pPr>
              <w:jc w:val="center"/>
              <w:rPr>
                <w:rFonts w:ascii="宋体" w:hAnsi="宋体" w:cs="Arial"/>
                <w:szCs w:val="21"/>
              </w:rPr>
            </w:pPr>
            <w:r>
              <w:rPr>
                <w:rFonts w:ascii="宋体" w:hAnsi="宋体" w:cs="Arial"/>
                <w:szCs w:val="21"/>
              </w:rPr>
              <w:t>V</w:t>
            </w:r>
            <w:r>
              <w:rPr>
                <w:rFonts w:hint="eastAsia" w:ascii="宋体" w:hAnsi="宋体" w:cs="Arial"/>
                <w:szCs w:val="21"/>
              </w:rPr>
              <w:t>vol配置</w:t>
            </w:r>
          </w:p>
        </w:tc>
        <w:tc>
          <w:tcPr>
            <w:tcW w:w="7045" w:type="dxa"/>
          </w:tcPr>
          <w:p>
            <w:pPr>
              <w:rPr>
                <w:rFonts w:ascii="宋体" w:hAnsi="宋体" w:cs="宋体"/>
                <w:bCs/>
                <w:szCs w:val="21"/>
              </w:rPr>
            </w:pPr>
            <w:r>
              <w:rPr>
                <w:rFonts w:hint="eastAsia" w:ascii="宋体" w:hAnsi="宋体" w:cs="宋体"/>
                <w:bCs/>
                <w:szCs w:val="21"/>
              </w:rPr>
              <w:t>配置vvol支持，支持数量</w:t>
            </w:r>
            <w:r>
              <w:rPr>
                <w:rFonts w:hint="eastAsia" w:ascii="宋体" w:hAnsi="宋体" w:cs="Arial"/>
                <w:szCs w:val="21"/>
              </w:rPr>
              <w:t>≥</w:t>
            </w:r>
            <w:r>
              <w:rPr>
                <w:rFonts w:hint="eastAsia" w:ascii="宋体" w:hAnsi="宋体" w:cs="Arial"/>
                <w:szCs w:val="21"/>
                <w:lang w:val="en-US" w:eastAsia="zh-CN"/>
              </w:rPr>
              <w:t>8000</w:t>
            </w:r>
            <w:r>
              <w:rPr>
                <w:rFonts w:hint="eastAsia" w:ascii="宋体" w:hAnsi="宋体"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75" w:type="dxa"/>
            <w:vAlign w:val="center"/>
          </w:tcPr>
          <w:p>
            <w:pPr>
              <w:jc w:val="center"/>
              <w:rPr>
                <w:rFonts w:ascii="宋体" w:hAnsi="宋体" w:cs="Arial"/>
                <w:szCs w:val="21"/>
              </w:rPr>
            </w:pPr>
            <w:r>
              <w:rPr>
                <w:rFonts w:hint="eastAsia" w:ascii="宋体" w:hAnsi="宋体" w:cs="Arial"/>
                <w:szCs w:val="21"/>
              </w:rPr>
              <w:t>生态系统集成</w:t>
            </w:r>
          </w:p>
        </w:tc>
        <w:tc>
          <w:tcPr>
            <w:tcW w:w="7045" w:type="dxa"/>
          </w:tcPr>
          <w:p>
            <w:pPr>
              <w:rPr>
                <w:rFonts w:ascii="宋体" w:hAnsi="宋体" w:cs="宋体"/>
                <w:bCs/>
                <w:szCs w:val="21"/>
              </w:rPr>
            </w:pPr>
            <w:r>
              <w:rPr>
                <w:rFonts w:hint="eastAsia" w:ascii="宋体" w:hAnsi="宋体" w:cs="宋体"/>
                <w:bCs/>
                <w:szCs w:val="21"/>
              </w:rPr>
              <w:t>配置</w:t>
            </w:r>
            <w:r>
              <w:rPr>
                <w:rFonts w:ascii="宋体" w:hAnsi="宋体" w:cs="宋体"/>
                <w:bCs/>
                <w:szCs w:val="21"/>
              </w:rPr>
              <w:t>VMware</w:t>
            </w:r>
            <w:r>
              <w:rPr>
                <w:rFonts w:hint="eastAsia" w:ascii="宋体" w:hAnsi="宋体" w:cs="宋体"/>
                <w:bCs/>
                <w:szCs w:val="21"/>
              </w:rPr>
              <w:t>、</w:t>
            </w:r>
            <w:r>
              <w:rPr>
                <w:rFonts w:ascii="宋体" w:hAnsi="宋体" w:cs="宋体"/>
                <w:bCs/>
                <w:szCs w:val="21"/>
              </w:rPr>
              <w:t>Microsoft</w:t>
            </w:r>
            <w:r>
              <w:rPr>
                <w:rFonts w:hint="eastAsia" w:ascii="宋体" w:hAnsi="宋体" w:cs="宋体"/>
                <w:bCs/>
                <w:szCs w:val="21"/>
              </w:rPr>
              <w:t>、</w:t>
            </w:r>
            <w:r>
              <w:rPr>
                <w:rFonts w:ascii="宋体" w:hAnsi="宋体" w:cs="宋体"/>
                <w:bCs/>
                <w:szCs w:val="21"/>
              </w:rPr>
              <w:t>OpenStack</w:t>
            </w:r>
            <w:r>
              <w:rPr>
                <w:rFonts w:hint="eastAsia" w:ascii="宋体" w:hAnsi="宋体" w:cs="宋体"/>
                <w:bCs/>
                <w:szCs w:val="21"/>
              </w:rPr>
              <w:t xml:space="preserve">集成功能，包括 </w:t>
            </w:r>
            <w:r>
              <w:rPr>
                <w:rFonts w:ascii="宋体" w:hAnsi="宋体" w:cs="宋体"/>
                <w:bCs/>
                <w:szCs w:val="21"/>
              </w:rPr>
              <w:t>VSI</w:t>
            </w:r>
            <w:r>
              <w:rPr>
                <w:rFonts w:hint="eastAsia" w:ascii="宋体" w:hAnsi="宋体" w:cs="宋体"/>
                <w:bCs/>
                <w:szCs w:val="21"/>
              </w:rPr>
              <w:t>、</w:t>
            </w:r>
            <w:r>
              <w:rPr>
                <w:rFonts w:ascii="宋体" w:hAnsi="宋体" w:cs="宋体"/>
                <w:bCs/>
                <w:szCs w:val="21"/>
              </w:rPr>
              <w:t>VASA</w:t>
            </w:r>
            <w:r>
              <w:rPr>
                <w:rFonts w:hint="eastAsia" w:ascii="宋体" w:hAnsi="宋体" w:cs="宋体"/>
                <w:bCs/>
                <w:szCs w:val="21"/>
              </w:rPr>
              <w:t>、</w:t>
            </w:r>
            <w:r>
              <w:rPr>
                <w:rFonts w:ascii="宋体" w:hAnsi="宋体" w:cs="宋体"/>
                <w:bCs/>
                <w:szCs w:val="21"/>
              </w:rPr>
              <w:t>ESI</w:t>
            </w:r>
            <w:r>
              <w:rPr>
                <w:rFonts w:hint="eastAsia" w:ascii="宋体" w:hAnsi="宋体" w:cs="宋体"/>
                <w:bCs/>
                <w:szCs w:val="21"/>
              </w:rPr>
              <w:t>、SRM、ODX等的集成功能，需提供</w:t>
            </w:r>
            <w:r>
              <w:rPr>
                <w:rFonts w:hint="eastAsia" w:ascii="宋体" w:hAnsi="宋体" w:cs="宋体"/>
                <w:kern w:val="0"/>
                <w:szCs w:val="21"/>
              </w:rPr>
              <w:t>供官网链接及截图证明。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75" w:type="dxa"/>
            <w:vAlign w:val="center"/>
          </w:tcPr>
          <w:p>
            <w:pPr>
              <w:jc w:val="center"/>
              <w:rPr>
                <w:rFonts w:ascii="宋体" w:hAnsi="宋体" w:cs="宋体"/>
                <w:bCs/>
                <w:szCs w:val="21"/>
              </w:rPr>
            </w:pPr>
            <w:r>
              <w:rPr>
                <w:rFonts w:hint="eastAsia" w:ascii="宋体" w:hAnsi="宋体" w:cs="宋体"/>
                <w:bCs/>
                <w:szCs w:val="21"/>
              </w:rPr>
              <w:t>数据本地迁移</w:t>
            </w:r>
          </w:p>
        </w:tc>
        <w:tc>
          <w:tcPr>
            <w:tcW w:w="7045" w:type="dxa"/>
          </w:tcPr>
          <w:p>
            <w:pPr>
              <w:rPr>
                <w:rFonts w:ascii="宋体" w:hAnsi="宋体" w:cs="宋体"/>
                <w:bCs/>
                <w:szCs w:val="21"/>
              </w:rPr>
            </w:pPr>
            <w:r>
              <w:rPr>
                <w:rFonts w:hint="eastAsia" w:ascii="宋体" w:hAnsi="宋体" w:cs="宋体"/>
                <w:bCs/>
                <w:szCs w:val="21"/>
              </w:rPr>
              <w:t>要求存储系统配置具有内部数据迁移功能的软件；基于存储系统本身的控制器实现数据在不同逻辑卷之间、不同</w:t>
            </w:r>
            <w:r>
              <w:rPr>
                <w:rFonts w:ascii="宋体" w:hAnsi="宋体" w:cs="宋体"/>
                <w:bCs/>
                <w:szCs w:val="21"/>
              </w:rPr>
              <w:t>RAID</w:t>
            </w:r>
            <w:r>
              <w:rPr>
                <w:rFonts w:hint="eastAsia" w:ascii="宋体" w:hAnsi="宋体" w:cs="宋体"/>
                <w:bCs/>
                <w:szCs w:val="21"/>
              </w:rPr>
              <w:t>类型的卷之间数据迁移，且无需中断应用访问；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75" w:type="dxa"/>
            <w:vAlign w:val="center"/>
          </w:tcPr>
          <w:p>
            <w:pPr>
              <w:jc w:val="center"/>
              <w:rPr>
                <w:rFonts w:ascii="宋体" w:hAnsi="宋体" w:cs="宋体"/>
                <w:bCs/>
                <w:szCs w:val="21"/>
              </w:rPr>
            </w:pPr>
            <w:r>
              <w:rPr>
                <w:rFonts w:hint="eastAsia" w:ascii="宋体" w:hAnsi="宋体" w:cs="宋体"/>
                <w:bCs/>
                <w:szCs w:val="21"/>
              </w:rPr>
              <w:t>基于异构阵列的数据迁移</w:t>
            </w:r>
          </w:p>
        </w:tc>
        <w:tc>
          <w:tcPr>
            <w:tcW w:w="7045" w:type="dxa"/>
          </w:tcPr>
          <w:p>
            <w:pPr>
              <w:rPr>
                <w:rFonts w:ascii="宋体" w:hAnsi="宋体" w:cs="宋体"/>
                <w:bCs/>
                <w:szCs w:val="21"/>
              </w:rPr>
            </w:pPr>
            <w:r>
              <w:rPr>
                <w:rFonts w:hint="eastAsia" w:ascii="宋体" w:hAnsi="宋体" w:cs="宋体"/>
                <w:bCs/>
                <w:szCs w:val="21"/>
              </w:rPr>
              <w:t>提供迁移工具，将存储系统中的数据在不同厂商的磁盘阵列中进行数据迁移；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801" w:hRule="atLeast"/>
          <w:jc w:val="center"/>
        </w:trPr>
        <w:tc>
          <w:tcPr>
            <w:tcW w:w="1575" w:type="dxa"/>
            <w:vAlign w:val="center"/>
          </w:tcPr>
          <w:p>
            <w:pPr>
              <w:spacing w:after="120"/>
              <w:jc w:val="center"/>
              <w:rPr>
                <w:rFonts w:ascii="宋体" w:hAnsi="宋体" w:cs="Arial"/>
                <w:szCs w:val="21"/>
              </w:rPr>
            </w:pPr>
            <w:r>
              <w:rPr>
                <w:rFonts w:hint="eastAsia" w:ascii="宋体" w:hAnsi="宋体" w:cs="Arial"/>
                <w:szCs w:val="21"/>
              </w:rPr>
              <w:t>数据通道安全(负载均衡/链路切换)</w:t>
            </w:r>
          </w:p>
        </w:tc>
        <w:tc>
          <w:tcPr>
            <w:tcW w:w="7045" w:type="dxa"/>
            <w:vAlign w:val="center"/>
          </w:tcPr>
          <w:p>
            <w:pPr>
              <w:spacing w:after="120"/>
              <w:rPr>
                <w:rFonts w:ascii="宋体" w:hAnsi="宋体" w:cs="Arial"/>
                <w:szCs w:val="21"/>
              </w:rPr>
            </w:pPr>
            <w:r>
              <w:rPr>
                <w:rFonts w:hint="eastAsia" w:ascii="宋体" w:hAnsi="宋体" w:cs="Arial"/>
                <w:szCs w:val="21"/>
              </w:rPr>
              <w:t>配置通道管理软件，实现对主机的多通道路径访问以及对应用透明的自动故障通道切换及负载均衡，具备在SAN环境中的负载均衡功能；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75" w:type="dxa"/>
            <w:vAlign w:val="center"/>
          </w:tcPr>
          <w:p>
            <w:pPr>
              <w:spacing w:after="120"/>
              <w:jc w:val="center"/>
              <w:rPr>
                <w:rFonts w:ascii="宋体" w:hAnsi="宋体" w:cs="Arial"/>
                <w:szCs w:val="21"/>
              </w:rPr>
            </w:pPr>
            <w:r>
              <w:rPr>
                <w:rFonts w:hint="eastAsia" w:ascii="宋体" w:hAnsi="宋体" w:cs="Arial"/>
                <w:szCs w:val="21"/>
              </w:rPr>
              <w:t>灾难恢复</w:t>
            </w:r>
          </w:p>
        </w:tc>
        <w:tc>
          <w:tcPr>
            <w:tcW w:w="7045" w:type="dxa"/>
            <w:vAlign w:val="center"/>
          </w:tcPr>
          <w:p>
            <w:pPr>
              <w:spacing w:after="120"/>
              <w:rPr>
                <w:rFonts w:ascii="宋体" w:hAnsi="宋体" w:cs="Arial"/>
                <w:szCs w:val="21"/>
              </w:rPr>
            </w:pPr>
            <w:r>
              <w:rPr>
                <w:rFonts w:hint="eastAsia" w:ascii="宋体" w:hAnsi="宋体" w:cs="Arial"/>
                <w:szCs w:val="21"/>
              </w:rPr>
              <w:t>需支持基于数据块级远程复制功能，以实现基于存储设备的灾备数据复制及恢复；配置同步/异步复制软件许可；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75" w:type="dxa"/>
            <w:vAlign w:val="center"/>
          </w:tcPr>
          <w:p>
            <w:pPr>
              <w:spacing w:after="120"/>
              <w:jc w:val="center"/>
              <w:rPr>
                <w:rFonts w:ascii="宋体" w:hAnsi="宋体" w:cs="Arial"/>
                <w:szCs w:val="21"/>
              </w:rPr>
            </w:pPr>
            <w:r>
              <w:rPr>
                <w:rFonts w:hint="eastAsia" w:ascii="宋体" w:hAnsi="宋体" w:cs="Arial"/>
                <w:szCs w:val="21"/>
              </w:rPr>
              <w:t>支持操作系统</w:t>
            </w:r>
          </w:p>
        </w:tc>
        <w:tc>
          <w:tcPr>
            <w:tcW w:w="7045" w:type="dxa"/>
            <w:vAlign w:val="center"/>
          </w:tcPr>
          <w:p>
            <w:pPr>
              <w:spacing w:after="120"/>
              <w:rPr>
                <w:rFonts w:ascii="宋体" w:hAnsi="宋体" w:cs="Arial"/>
                <w:szCs w:val="21"/>
              </w:rPr>
            </w:pPr>
            <w:r>
              <w:rPr>
                <w:rFonts w:hint="eastAsia" w:ascii="宋体" w:hAnsi="宋体" w:cs="Arial"/>
                <w:szCs w:val="21"/>
              </w:rPr>
              <w:t>磁盘阵列能提供对主流操作系统的支持：能够同时支持SUN Solaris、HP-UX， IBM AIX， Linux， windows操作系统，支持服务器集群功能；</w:t>
            </w:r>
          </w:p>
        </w:tc>
      </w:tr>
    </w:tbl>
    <w:p>
      <w:pPr>
        <w:widowControl/>
        <w:jc w:val="left"/>
      </w:pPr>
    </w:p>
    <w:p>
      <w:pPr>
        <w:pStyle w:val="4"/>
        <w:tabs>
          <w:tab w:val="left" w:pos="432"/>
        </w:tabs>
        <w:rPr>
          <w:sz w:val="24"/>
          <w:szCs w:val="24"/>
        </w:rPr>
      </w:pPr>
      <w:r>
        <w:rPr>
          <w:rFonts w:hint="eastAsia"/>
          <w:sz w:val="24"/>
          <w:szCs w:val="24"/>
        </w:rPr>
        <w:t>7.3.28双活存储虚拟化系统</w:t>
      </w:r>
    </w:p>
    <w:tbl>
      <w:tblPr>
        <w:tblStyle w:val="35"/>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3"/>
        <w:gridCol w:w="6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73" w:type="dxa"/>
            <w:vAlign w:val="center"/>
          </w:tcPr>
          <w:p>
            <w:pPr>
              <w:widowControl/>
              <w:jc w:val="center"/>
              <w:rPr>
                <w:rFonts w:ascii="宋体" w:hAnsi="宋体" w:cs="Arial"/>
                <w:b/>
                <w:bCs/>
                <w:kern w:val="0"/>
                <w:szCs w:val="21"/>
              </w:rPr>
            </w:pPr>
            <w:r>
              <w:rPr>
                <w:rFonts w:hint="eastAsia" w:ascii="宋体" w:hAnsi="宋体" w:cs="Arial"/>
                <w:b/>
                <w:bCs/>
                <w:kern w:val="0"/>
                <w:szCs w:val="21"/>
              </w:rPr>
              <w:t>指标项</w:t>
            </w:r>
          </w:p>
        </w:tc>
        <w:tc>
          <w:tcPr>
            <w:tcW w:w="6240" w:type="dxa"/>
            <w:vAlign w:val="center"/>
          </w:tcPr>
          <w:p>
            <w:pPr>
              <w:widowControl/>
              <w:jc w:val="center"/>
              <w:rPr>
                <w:rFonts w:ascii="宋体" w:hAnsi="宋体" w:cs="Arial"/>
                <w:b/>
                <w:bCs/>
                <w:kern w:val="0"/>
                <w:szCs w:val="21"/>
              </w:rPr>
            </w:pPr>
            <w:r>
              <w:rPr>
                <w:rFonts w:hint="eastAsia" w:ascii="宋体" w:hAnsi="宋体" w:cs="Arial"/>
                <w:b/>
                <w:bCs/>
                <w:kern w:val="0"/>
                <w:szCs w:val="21"/>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73" w:type="dxa"/>
            <w:vAlign w:val="center"/>
          </w:tcPr>
          <w:p>
            <w:pPr>
              <w:widowControl/>
              <w:jc w:val="center"/>
              <w:rPr>
                <w:rFonts w:ascii="宋体" w:hAnsi="宋体" w:cs="宋体"/>
                <w:kern w:val="0"/>
                <w:szCs w:val="21"/>
              </w:rPr>
            </w:pPr>
            <w:r>
              <w:rPr>
                <w:rFonts w:ascii="宋体" w:hAnsi="宋体" w:cs="宋体"/>
                <w:kern w:val="0"/>
                <w:szCs w:val="21"/>
              </w:rPr>
              <w:t>虚拟化设备类型</w:t>
            </w:r>
          </w:p>
        </w:tc>
        <w:tc>
          <w:tcPr>
            <w:tcW w:w="6240" w:type="dxa"/>
            <w:vAlign w:val="center"/>
          </w:tcPr>
          <w:p>
            <w:pPr>
              <w:widowControl/>
              <w:jc w:val="left"/>
              <w:rPr>
                <w:rFonts w:ascii="宋体" w:hAnsi="宋体" w:cs="宋体"/>
                <w:kern w:val="0"/>
                <w:szCs w:val="21"/>
              </w:rPr>
            </w:pPr>
            <w:r>
              <w:rPr>
                <w:rFonts w:ascii="宋体" w:hAnsi="宋体" w:cs="宋体"/>
                <w:kern w:val="0"/>
                <w:szCs w:val="21"/>
              </w:rPr>
              <w:t>主流最新的独立硬件产品，虚拟化时必须使用非阵列计算资源，必须为原厂生产非OEM产品。体系结构为灵活可扩展。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73" w:type="dxa"/>
            <w:vMerge w:val="restart"/>
            <w:vAlign w:val="center"/>
          </w:tcPr>
          <w:p>
            <w:pPr>
              <w:widowControl/>
              <w:jc w:val="center"/>
              <w:rPr>
                <w:rFonts w:ascii="宋体" w:hAnsi="宋体" w:cs="宋体"/>
                <w:kern w:val="0"/>
                <w:szCs w:val="21"/>
              </w:rPr>
            </w:pPr>
            <w:r>
              <w:rPr>
                <w:rFonts w:ascii="宋体" w:hAnsi="宋体" w:cs="宋体"/>
                <w:kern w:val="0"/>
                <w:szCs w:val="21"/>
              </w:rPr>
              <w:t>虚拟化设备控制器</w:t>
            </w:r>
          </w:p>
        </w:tc>
        <w:tc>
          <w:tcPr>
            <w:tcW w:w="6240" w:type="dxa"/>
            <w:vAlign w:val="center"/>
          </w:tcPr>
          <w:p>
            <w:pPr>
              <w:widowControl/>
              <w:jc w:val="left"/>
              <w:rPr>
                <w:rFonts w:ascii="宋体" w:hAnsi="宋体" w:cs="宋体"/>
                <w:kern w:val="0"/>
                <w:szCs w:val="21"/>
              </w:rPr>
            </w:pPr>
            <w:r>
              <w:rPr>
                <w:rFonts w:hint="eastAsia" w:ascii="宋体" w:hAnsi="宋体" w:cs="宋体"/>
                <w:kern w:val="0"/>
                <w:szCs w:val="21"/>
              </w:rPr>
              <w:t>本次配置2</w:t>
            </w:r>
            <w:r>
              <w:rPr>
                <w:rFonts w:ascii="宋体" w:hAnsi="宋体" w:cs="宋体"/>
                <w:kern w:val="0"/>
                <w:szCs w:val="21"/>
              </w:rPr>
              <w:t>个控制器，</w:t>
            </w:r>
            <w:r>
              <w:rPr>
                <w:rFonts w:hint="eastAsia" w:ascii="宋体" w:hAnsi="宋体" w:cs="宋体"/>
                <w:kern w:val="0"/>
                <w:szCs w:val="21"/>
              </w:rPr>
              <w:t>总共含有4个6核处理器，</w:t>
            </w:r>
            <w:r>
              <w:rPr>
                <w:rFonts w:ascii="宋体" w:hAnsi="宋体" w:cs="宋体"/>
                <w:kern w:val="0"/>
                <w:szCs w:val="21"/>
              </w:rPr>
              <w:t>最大可以扩展到8个控制器</w:t>
            </w:r>
            <w:r>
              <w:rPr>
                <w:rFonts w:hint="eastAsia" w:ascii="宋体" w:hAnsi="宋体"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73" w:type="dxa"/>
            <w:vMerge w:val="continue"/>
            <w:vAlign w:val="center"/>
          </w:tcPr>
          <w:p>
            <w:pPr>
              <w:jc w:val="center"/>
              <w:rPr>
                <w:rFonts w:ascii="宋体" w:hAnsi="宋体" w:cs="宋体"/>
                <w:kern w:val="0"/>
                <w:szCs w:val="21"/>
              </w:rPr>
            </w:pPr>
          </w:p>
        </w:tc>
        <w:tc>
          <w:tcPr>
            <w:tcW w:w="6240" w:type="dxa"/>
            <w:vAlign w:val="center"/>
          </w:tcPr>
          <w:p>
            <w:pPr>
              <w:widowControl/>
              <w:jc w:val="left"/>
              <w:rPr>
                <w:rFonts w:ascii="宋体" w:hAnsi="宋体" w:cs="宋体"/>
                <w:kern w:val="0"/>
                <w:szCs w:val="21"/>
              </w:rPr>
            </w:pPr>
            <w:r>
              <w:rPr>
                <w:rFonts w:ascii="宋体" w:hAnsi="宋体" w:cs="宋体"/>
                <w:kern w:val="0"/>
                <w:szCs w:val="21"/>
              </w:rPr>
              <w:t>端口数≥</w:t>
            </w:r>
            <w:r>
              <w:rPr>
                <w:rFonts w:hint="eastAsia" w:ascii="宋体" w:hAnsi="宋体" w:cs="宋体"/>
                <w:kern w:val="0"/>
                <w:szCs w:val="21"/>
              </w:rPr>
              <w:t>8</w:t>
            </w:r>
            <w:r>
              <w:rPr>
                <w:rFonts w:ascii="宋体" w:hAnsi="宋体" w:cs="宋体"/>
                <w:kern w:val="0"/>
                <w:szCs w:val="21"/>
              </w:rPr>
              <w:t>个</w:t>
            </w:r>
            <w:r>
              <w:rPr>
                <w:rFonts w:hint="eastAsia" w:ascii="宋体" w:hAnsi="宋体" w:cs="宋体"/>
                <w:kern w:val="0"/>
                <w:szCs w:val="21"/>
              </w:rPr>
              <w:t>16</w:t>
            </w:r>
            <w:r>
              <w:rPr>
                <w:rFonts w:ascii="宋体" w:hAnsi="宋体" w:cs="宋体"/>
                <w:kern w:val="0"/>
                <w:szCs w:val="21"/>
              </w:rPr>
              <w:t>Gb/s FC 主机接口，≥</w:t>
            </w:r>
            <w:r>
              <w:rPr>
                <w:rFonts w:hint="eastAsia" w:ascii="宋体" w:hAnsi="宋体" w:cs="宋体"/>
                <w:kern w:val="0"/>
                <w:szCs w:val="21"/>
              </w:rPr>
              <w:t>8</w:t>
            </w:r>
            <w:r>
              <w:rPr>
                <w:rFonts w:ascii="宋体" w:hAnsi="宋体" w:cs="宋体"/>
                <w:kern w:val="0"/>
                <w:szCs w:val="21"/>
              </w:rPr>
              <w:t>个</w:t>
            </w:r>
            <w:r>
              <w:rPr>
                <w:rFonts w:hint="eastAsia" w:ascii="宋体" w:hAnsi="宋体" w:cs="宋体"/>
                <w:kern w:val="0"/>
                <w:szCs w:val="21"/>
              </w:rPr>
              <w:t>16</w:t>
            </w:r>
            <w:r>
              <w:rPr>
                <w:rFonts w:ascii="宋体" w:hAnsi="宋体" w:cs="宋体"/>
                <w:kern w:val="0"/>
                <w:szCs w:val="21"/>
              </w:rPr>
              <w:t>Gb/s FC后端阵列接口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73" w:type="dxa"/>
            <w:vMerge w:val="continue"/>
            <w:shd w:val="clear" w:color="auto" w:fill="FFFFFF"/>
            <w:vAlign w:val="center"/>
          </w:tcPr>
          <w:p>
            <w:pPr>
              <w:jc w:val="center"/>
              <w:rPr>
                <w:rFonts w:ascii="宋体" w:hAnsi="宋体" w:cs="宋体"/>
                <w:kern w:val="0"/>
                <w:szCs w:val="21"/>
              </w:rPr>
            </w:pPr>
          </w:p>
        </w:tc>
        <w:tc>
          <w:tcPr>
            <w:tcW w:w="6240" w:type="dxa"/>
            <w:shd w:val="clear" w:color="auto" w:fill="FFFFFF"/>
            <w:vAlign w:val="center"/>
          </w:tcPr>
          <w:p>
            <w:pPr>
              <w:widowControl/>
              <w:jc w:val="left"/>
              <w:rPr>
                <w:rFonts w:ascii="宋体" w:hAnsi="宋体" w:cs="宋体"/>
                <w:kern w:val="0"/>
                <w:szCs w:val="21"/>
              </w:rPr>
            </w:pPr>
            <w:r>
              <w:rPr>
                <w:rFonts w:hint="eastAsia" w:ascii="宋体" w:hAnsi="宋体" w:cs="宋体"/>
                <w:kern w:val="0"/>
                <w:szCs w:val="21"/>
              </w:rPr>
              <w:t>引擎支持IB互联，提高交换机速度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2373" w:type="dxa"/>
            <w:vMerge w:val="continue"/>
            <w:vAlign w:val="center"/>
          </w:tcPr>
          <w:p>
            <w:pPr>
              <w:widowControl/>
              <w:jc w:val="center"/>
              <w:rPr>
                <w:rFonts w:ascii="宋体" w:hAnsi="宋体" w:cs="宋体"/>
                <w:kern w:val="0"/>
                <w:szCs w:val="21"/>
              </w:rPr>
            </w:pPr>
          </w:p>
        </w:tc>
        <w:tc>
          <w:tcPr>
            <w:tcW w:w="6240" w:type="dxa"/>
            <w:vAlign w:val="center"/>
          </w:tcPr>
          <w:p>
            <w:pPr>
              <w:widowControl/>
              <w:jc w:val="left"/>
              <w:rPr>
                <w:rFonts w:ascii="宋体" w:hAnsi="宋体" w:cs="宋体"/>
                <w:kern w:val="0"/>
                <w:szCs w:val="21"/>
              </w:rPr>
            </w:pPr>
            <w:r>
              <w:rPr>
                <w:rFonts w:hint="eastAsia" w:ascii="宋体" w:hAnsi="宋体" w:cs="宋体"/>
                <w:kern w:val="0"/>
                <w:szCs w:val="21"/>
              </w:rPr>
              <w:t>当前配置</w:t>
            </w:r>
            <w:r>
              <w:rPr>
                <w:rFonts w:ascii="宋体" w:hAnsi="宋体" w:cs="宋体"/>
                <w:kern w:val="0"/>
                <w:szCs w:val="21"/>
              </w:rPr>
              <w:t>≥</w:t>
            </w:r>
            <w:r>
              <w:rPr>
                <w:rFonts w:hint="eastAsia" w:ascii="宋体" w:hAnsi="宋体" w:cs="宋体"/>
                <w:kern w:val="0"/>
                <w:szCs w:val="21"/>
              </w:rPr>
              <w:t>256</w:t>
            </w:r>
            <w:r>
              <w:rPr>
                <w:rFonts w:ascii="宋体" w:hAnsi="宋体" w:cs="宋体"/>
                <w:kern w:val="0"/>
                <w:szCs w:val="21"/>
              </w:rPr>
              <w:t>GB 高速缓存，最大可以扩展到</w:t>
            </w:r>
            <w:r>
              <w:rPr>
                <w:rFonts w:hint="eastAsia" w:ascii="宋体" w:hAnsi="宋体" w:cs="宋体"/>
                <w:kern w:val="0"/>
                <w:szCs w:val="21"/>
              </w:rPr>
              <w:t>1024</w:t>
            </w:r>
            <w:r>
              <w:rPr>
                <w:rFonts w:ascii="宋体" w:hAnsi="宋体" w:cs="宋体"/>
                <w:kern w:val="0"/>
                <w:szCs w:val="21"/>
              </w:rPr>
              <w:t>GB cache</w:t>
            </w:r>
            <w:r>
              <w:rPr>
                <w:rFonts w:hint="eastAsia" w:ascii="宋体" w:hAnsi="宋体"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73" w:type="dxa"/>
            <w:vAlign w:val="center"/>
          </w:tcPr>
          <w:p>
            <w:pPr>
              <w:widowControl/>
              <w:jc w:val="center"/>
              <w:rPr>
                <w:rFonts w:ascii="宋体" w:hAnsi="宋体" w:cs="宋体"/>
                <w:kern w:val="0"/>
                <w:szCs w:val="21"/>
              </w:rPr>
            </w:pPr>
            <w:r>
              <w:rPr>
                <w:rFonts w:ascii="宋体" w:hAnsi="宋体" w:cs="宋体"/>
                <w:kern w:val="0"/>
                <w:szCs w:val="21"/>
              </w:rPr>
              <w:t>虚拟化支持</w:t>
            </w:r>
          </w:p>
        </w:tc>
        <w:tc>
          <w:tcPr>
            <w:tcW w:w="6240" w:type="dxa"/>
            <w:vAlign w:val="center"/>
          </w:tcPr>
          <w:p>
            <w:pPr>
              <w:widowControl/>
              <w:jc w:val="left"/>
              <w:rPr>
                <w:rFonts w:ascii="宋体" w:hAnsi="宋体" w:cs="宋体"/>
                <w:kern w:val="0"/>
                <w:szCs w:val="21"/>
              </w:rPr>
            </w:pPr>
            <w:r>
              <w:rPr>
                <w:rFonts w:ascii="宋体" w:hAnsi="宋体" w:cs="宋体"/>
                <w:kern w:val="0"/>
                <w:szCs w:val="21"/>
              </w:rPr>
              <w:t>通过硬件的方式将已有的阵列虚拟化管理，实现在本台存储设备上实现和EMC，Netapp,IBM,HP，HDS阵列的卷镜像保护。这样，当任何原有阵列中数据卷损坏时，都可以在当前阵列有完全同步的镜像保护数据。虚拟化必须以数据块为单位，而不是文件。最大虚拟化容量无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73" w:type="dxa"/>
            <w:shd w:val="clear" w:color="auto" w:fill="FFFFFF"/>
            <w:vAlign w:val="center"/>
          </w:tcPr>
          <w:p>
            <w:pPr>
              <w:widowControl/>
              <w:jc w:val="center"/>
              <w:rPr>
                <w:rFonts w:ascii="宋体" w:hAnsi="宋体" w:cs="宋体"/>
                <w:kern w:val="0"/>
                <w:szCs w:val="21"/>
              </w:rPr>
            </w:pPr>
            <w:r>
              <w:rPr>
                <w:rFonts w:ascii="宋体" w:hAnsi="宋体" w:cs="宋体"/>
                <w:kern w:val="0"/>
                <w:szCs w:val="21"/>
              </w:rPr>
              <w:t>Vmware系列认证</w:t>
            </w:r>
          </w:p>
        </w:tc>
        <w:tc>
          <w:tcPr>
            <w:tcW w:w="6240" w:type="dxa"/>
            <w:shd w:val="clear" w:color="auto" w:fill="FFFFFF"/>
            <w:vAlign w:val="center"/>
          </w:tcPr>
          <w:p>
            <w:pPr>
              <w:widowControl/>
              <w:jc w:val="left"/>
              <w:rPr>
                <w:rFonts w:ascii="宋体" w:hAnsi="宋体" w:cs="宋体"/>
                <w:kern w:val="0"/>
                <w:szCs w:val="21"/>
              </w:rPr>
            </w:pPr>
            <w:r>
              <w:rPr>
                <w:rFonts w:ascii="宋体" w:hAnsi="宋体" w:cs="宋体"/>
                <w:kern w:val="0"/>
                <w:szCs w:val="21"/>
              </w:rPr>
              <w:t>要求提供对Vmware HA/Vmotion/Vmsc的支持。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73" w:type="dxa"/>
            <w:shd w:val="clear" w:color="auto" w:fill="FFFFFF"/>
            <w:vAlign w:val="center"/>
          </w:tcPr>
          <w:p>
            <w:pPr>
              <w:widowControl/>
              <w:jc w:val="center"/>
              <w:rPr>
                <w:rFonts w:ascii="宋体" w:hAnsi="宋体" w:cs="宋体"/>
                <w:kern w:val="0"/>
                <w:szCs w:val="21"/>
              </w:rPr>
            </w:pPr>
            <w:r>
              <w:rPr>
                <w:rFonts w:ascii="宋体" w:hAnsi="宋体" w:cs="宋体"/>
                <w:kern w:val="0"/>
                <w:szCs w:val="21"/>
              </w:rPr>
              <w:t>功能实现</w:t>
            </w:r>
          </w:p>
        </w:tc>
        <w:tc>
          <w:tcPr>
            <w:tcW w:w="6240" w:type="dxa"/>
            <w:shd w:val="clear" w:color="auto" w:fill="FFFFFF"/>
            <w:vAlign w:val="center"/>
          </w:tcPr>
          <w:p>
            <w:pPr>
              <w:widowControl/>
              <w:jc w:val="left"/>
              <w:rPr>
                <w:rFonts w:ascii="宋体" w:hAnsi="宋体" w:cs="宋体"/>
                <w:kern w:val="0"/>
                <w:szCs w:val="21"/>
              </w:rPr>
            </w:pPr>
            <w:r>
              <w:rPr>
                <w:rFonts w:ascii="宋体" w:hAnsi="宋体" w:cs="宋体"/>
                <w:kern w:val="0"/>
                <w:szCs w:val="21"/>
              </w:rPr>
              <w:t>在单个群集内引擎之间实现存储域的自动共享、平衡和故障切换；能够在异构阵列之间移动生产卷并无主机中断或宕机；能够创建分条卷、联合卷和切片卷，并能够实现异构阵列镜像数据，可以在网络中创建一个异构存储池。可升级为跨多数据中心的实现高可用性和工作负载，支持同步或异步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73" w:type="dxa"/>
            <w:vAlign w:val="center"/>
          </w:tcPr>
          <w:p>
            <w:pPr>
              <w:widowControl/>
              <w:jc w:val="center"/>
              <w:rPr>
                <w:rFonts w:ascii="宋体" w:hAnsi="宋体" w:cs="宋体"/>
                <w:kern w:val="0"/>
                <w:szCs w:val="21"/>
              </w:rPr>
            </w:pPr>
            <w:r>
              <w:rPr>
                <w:rFonts w:ascii="宋体" w:hAnsi="宋体" w:cs="宋体"/>
                <w:kern w:val="0"/>
                <w:szCs w:val="21"/>
              </w:rPr>
              <w:t>集群间通信</w:t>
            </w:r>
          </w:p>
        </w:tc>
        <w:tc>
          <w:tcPr>
            <w:tcW w:w="6240" w:type="dxa"/>
            <w:vAlign w:val="center"/>
          </w:tcPr>
          <w:p>
            <w:pPr>
              <w:widowControl/>
              <w:jc w:val="left"/>
              <w:rPr>
                <w:rFonts w:ascii="宋体" w:hAnsi="宋体" w:cs="宋体"/>
                <w:kern w:val="0"/>
                <w:szCs w:val="21"/>
              </w:rPr>
            </w:pPr>
            <w:r>
              <w:rPr>
                <w:rFonts w:ascii="宋体" w:hAnsi="宋体"/>
                <w:szCs w:val="21"/>
              </w:rPr>
              <w:t>多控制器构成集群时，控制器间通讯通过额外的FC端口进行，不占用用于连接主机和存储阵列的FC端口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73" w:type="dxa"/>
            <w:vAlign w:val="center"/>
          </w:tcPr>
          <w:p>
            <w:pPr>
              <w:widowControl/>
              <w:jc w:val="center"/>
              <w:rPr>
                <w:rFonts w:ascii="宋体" w:hAnsi="宋体" w:cs="宋体"/>
                <w:kern w:val="0"/>
                <w:szCs w:val="21"/>
              </w:rPr>
            </w:pPr>
            <w:r>
              <w:rPr>
                <w:rFonts w:ascii="宋体" w:hAnsi="宋体" w:cs="宋体"/>
                <w:kern w:val="0"/>
                <w:szCs w:val="21"/>
              </w:rPr>
              <w:t>内置远程支持能力</w:t>
            </w:r>
          </w:p>
        </w:tc>
        <w:tc>
          <w:tcPr>
            <w:tcW w:w="6240" w:type="dxa"/>
            <w:vAlign w:val="center"/>
          </w:tcPr>
          <w:p>
            <w:pPr>
              <w:widowControl/>
              <w:jc w:val="left"/>
              <w:rPr>
                <w:rFonts w:ascii="宋体" w:hAnsi="宋体" w:cs="宋体"/>
                <w:kern w:val="0"/>
                <w:szCs w:val="21"/>
              </w:rPr>
            </w:pPr>
            <w:r>
              <w:rPr>
                <w:rFonts w:ascii="宋体" w:hAnsi="宋体" w:cs="宋体"/>
                <w:kern w:val="0"/>
                <w:szCs w:val="21"/>
              </w:rPr>
              <w:t>所提供产品必须具备高级预警机制，免费配置功能软件。在系统发生故障前能将系统存在的潜在问题自动反馈到设备厂商技术响应中心。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2373" w:type="dxa"/>
            <w:vMerge w:val="restart"/>
            <w:vAlign w:val="center"/>
          </w:tcPr>
          <w:p>
            <w:pPr>
              <w:widowControl/>
              <w:jc w:val="center"/>
              <w:rPr>
                <w:rFonts w:ascii="宋体" w:hAnsi="宋体" w:cs="宋体"/>
                <w:kern w:val="0"/>
                <w:szCs w:val="21"/>
              </w:rPr>
            </w:pPr>
            <w:r>
              <w:rPr>
                <w:rFonts w:ascii="宋体" w:hAnsi="宋体" w:cs="宋体"/>
                <w:kern w:val="0"/>
                <w:szCs w:val="21"/>
              </w:rPr>
              <w:t>连接数</w:t>
            </w:r>
          </w:p>
        </w:tc>
        <w:tc>
          <w:tcPr>
            <w:tcW w:w="6240" w:type="dxa"/>
            <w:vAlign w:val="center"/>
          </w:tcPr>
          <w:p>
            <w:pPr>
              <w:widowControl/>
              <w:jc w:val="left"/>
              <w:rPr>
                <w:rFonts w:ascii="宋体" w:hAnsi="宋体" w:cs="宋体"/>
                <w:kern w:val="0"/>
                <w:szCs w:val="21"/>
              </w:rPr>
            </w:pPr>
            <w:r>
              <w:rPr>
                <w:rFonts w:ascii="宋体" w:hAnsi="宋体"/>
                <w:szCs w:val="21"/>
              </w:rPr>
              <w:t>通过FC端口连接主机，最大支持主机数量≥1600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73" w:type="dxa"/>
            <w:vMerge w:val="continue"/>
            <w:vAlign w:val="center"/>
          </w:tcPr>
          <w:p>
            <w:pPr>
              <w:widowControl/>
              <w:jc w:val="center"/>
              <w:rPr>
                <w:rFonts w:ascii="宋体" w:hAnsi="宋体" w:cs="宋体"/>
                <w:kern w:val="0"/>
                <w:szCs w:val="21"/>
              </w:rPr>
            </w:pPr>
          </w:p>
        </w:tc>
        <w:tc>
          <w:tcPr>
            <w:tcW w:w="6240" w:type="dxa"/>
            <w:vAlign w:val="center"/>
          </w:tcPr>
          <w:p>
            <w:pPr>
              <w:widowControl/>
              <w:jc w:val="left"/>
              <w:rPr>
                <w:rFonts w:ascii="宋体" w:hAnsi="宋体" w:cs="宋体"/>
                <w:kern w:val="0"/>
                <w:szCs w:val="21"/>
              </w:rPr>
            </w:pPr>
            <w:r>
              <w:rPr>
                <w:rFonts w:ascii="宋体" w:hAnsi="宋体" w:cs="宋体"/>
                <w:kern w:val="0"/>
                <w:szCs w:val="21"/>
              </w:rPr>
              <w:t>最大</w:t>
            </w:r>
            <w:r>
              <w:rPr>
                <w:rFonts w:hint="eastAsia" w:ascii="宋体" w:hAnsi="宋体" w:cs="宋体"/>
                <w:kern w:val="0"/>
                <w:szCs w:val="21"/>
              </w:rPr>
              <w:t>卷</w:t>
            </w:r>
            <w:r>
              <w:rPr>
                <w:rFonts w:ascii="宋体" w:hAnsi="宋体" w:cs="宋体"/>
                <w:kern w:val="0"/>
                <w:szCs w:val="21"/>
              </w:rPr>
              <w:t>支持数量≥</w:t>
            </w:r>
            <w:r>
              <w:rPr>
                <w:rFonts w:hint="eastAsia" w:ascii="宋体" w:hAnsi="宋体" w:cs="宋体"/>
                <w:kern w:val="0"/>
                <w:szCs w:val="21"/>
              </w:rPr>
              <w:t>120</w:t>
            </w:r>
            <w:r>
              <w:rPr>
                <w:rFonts w:ascii="宋体" w:hAnsi="宋体" w:cs="宋体"/>
                <w:kern w:val="0"/>
                <w:szCs w:val="21"/>
              </w:rPr>
              <w:t>00个</w:t>
            </w:r>
          </w:p>
        </w:tc>
      </w:tr>
    </w:tbl>
    <w:p/>
    <w:p>
      <w:pPr>
        <w:pStyle w:val="4"/>
        <w:tabs>
          <w:tab w:val="left" w:pos="432"/>
        </w:tabs>
        <w:rPr>
          <w:sz w:val="24"/>
          <w:szCs w:val="24"/>
        </w:rPr>
      </w:pPr>
      <w:r>
        <w:rPr>
          <w:rFonts w:hint="eastAsia"/>
          <w:sz w:val="24"/>
          <w:szCs w:val="24"/>
        </w:rPr>
        <w:t>7.3.29 存储光纤交换机</w:t>
      </w:r>
    </w:p>
    <w:tbl>
      <w:tblPr>
        <w:tblStyle w:val="35"/>
        <w:tblW w:w="86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trPr>
        <w:tc>
          <w:tcPr>
            <w:tcW w:w="1809" w:type="dxa"/>
            <w:vAlign w:val="center"/>
          </w:tcPr>
          <w:p>
            <w:pPr>
              <w:widowControl/>
              <w:jc w:val="center"/>
              <w:rPr>
                <w:rFonts w:ascii="宋体" w:hAnsi="宋体" w:cs="Arial"/>
                <w:b/>
                <w:bCs/>
                <w:kern w:val="0"/>
                <w:szCs w:val="21"/>
              </w:rPr>
            </w:pPr>
            <w:r>
              <w:rPr>
                <w:rFonts w:hint="eastAsia" w:ascii="宋体" w:hAnsi="宋体" w:cs="Arial"/>
                <w:b/>
                <w:bCs/>
                <w:kern w:val="0"/>
                <w:szCs w:val="21"/>
              </w:rPr>
              <w:t>指标项</w:t>
            </w:r>
          </w:p>
        </w:tc>
        <w:tc>
          <w:tcPr>
            <w:tcW w:w="6810" w:type="dxa"/>
            <w:vAlign w:val="center"/>
          </w:tcPr>
          <w:p>
            <w:pPr>
              <w:widowControl/>
              <w:jc w:val="center"/>
              <w:rPr>
                <w:rFonts w:ascii="宋体" w:hAnsi="宋体" w:cs="Arial"/>
                <w:b/>
                <w:bCs/>
                <w:kern w:val="0"/>
                <w:szCs w:val="21"/>
              </w:rPr>
            </w:pPr>
            <w:r>
              <w:rPr>
                <w:rFonts w:hint="eastAsia" w:ascii="宋体" w:hAnsi="宋体" w:cs="Arial"/>
                <w:b/>
                <w:bCs/>
                <w:kern w:val="0"/>
                <w:szCs w:val="21"/>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center"/>
          </w:tcPr>
          <w:p>
            <w:pPr>
              <w:jc w:val="center"/>
              <w:rPr>
                <w:rFonts w:ascii="宋体" w:hAnsi="宋体" w:cs="Tahoma"/>
                <w:color w:val="000000"/>
                <w:szCs w:val="21"/>
              </w:rPr>
            </w:pPr>
            <w:r>
              <w:rPr>
                <w:rFonts w:hint="eastAsia" w:ascii="宋体" w:hAnsi="宋体" w:cs="Tahoma"/>
                <w:color w:val="000000"/>
                <w:szCs w:val="21"/>
              </w:rPr>
              <w:t>交换端口</w:t>
            </w:r>
          </w:p>
        </w:tc>
        <w:tc>
          <w:tcPr>
            <w:tcW w:w="6810" w:type="dxa"/>
            <w:vAlign w:val="center"/>
          </w:tcPr>
          <w:p>
            <w:pPr>
              <w:rPr>
                <w:rFonts w:ascii="宋体" w:hAnsi="宋体" w:cs="Tahoma"/>
                <w:color w:val="000000"/>
                <w:szCs w:val="21"/>
              </w:rPr>
            </w:pPr>
            <w:r>
              <w:rPr>
                <w:rFonts w:hint="eastAsia" w:ascii="宋体" w:hAnsi="宋体" w:cs="Tahoma"/>
                <w:color w:val="000000"/>
                <w:szCs w:val="21"/>
              </w:rPr>
              <w:t>本次配置48个线速端口,激活48个许可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 w:hRule="atLeast"/>
        </w:trPr>
        <w:tc>
          <w:tcPr>
            <w:tcW w:w="1809" w:type="dxa"/>
            <w:vAlign w:val="center"/>
          </w:tcPr>
          <w:p>
            <w:pPr>
              <w:jc w:val="center"/>
              <w:rPr>
                <w:rFonts w:ascii="宋体" w:hAnsi="宋体" w:cs="Tahoma"/>
                <w:color w:val="000000"/>
                <w:szCs w:val="21"/>
              </w:rPr>
            </w:pPr>
            <w:r>
              <w:rPr>
                <w:rFonts w:hint="eastAsia" w:ascii="宋体" w:hAnsi="宋体" w:cs="Tahoma"/>
                <w:color w:val="000000"/>
                <w:szCs w:val="21"/>
              </w:rPr>
              <w:t>供电和散热模块</w:t>
            </w:r>
          </w:p>
        </w:tc>
        <w:tc>
          <w:tcPr>
            <w:tcW w:w="6810" w:type="dxa"/>
            <w:vAlign w:val="center"/>
          </w:tcPr>
          <w:p>
            <w:pPr>
              <w:rPr>
                <w:rFonts w:ascii="宋体" w:hAnsi="宋体" w:cs="Tahoma"/>
                <w:color w:val="000000"/>
                <w:szCs w:val="21"/>
              </w:rPr>
            </w:pPr>
            <w:r>
              <w:rPr>
                <w:rFonts w:hint="eastAsia" w:ascii="宋体" w:hAnsi="宋体" w:cs="Tahoma"/>
                <w:color w:val="000000"/>
                <w:szCs w:val="21"/>
              </w:rPr>
              <w:t>冗余电源和冗余风扇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809" w:type="dxa"/>
            <w:vAlign w:val="center"/>
          </w:tcPr>
          <w:p>
            <w:pPr>
              <w:jc w:val="center"/>
              <w:rPr>
                <w:rFonts w:ascii="宋体" w:hAnsi="宋体" w:cs="Tahoma"/>
                <w:color w:val="000000"/>
                <w:szCs w:val="21"/>
              </w:rPr>
            </w:pPr>
            <w:r>
              <w:rPr>
                <w:rFonts w:hint="eastAsia" w:ascii="宋体" w:hAnsi="宋体" w:cs="Tahoma"/>
                <w:color w:val="000000"/>
                <w:szCs w:val="21"/>
              </w:rPr>
              <w:t>本次配置功能</w:t>
            </w:r>
          </w:p>
        </w:tc>
        <w:tc>
          <w:tcPr>
            <w:tcW w:w="6810" w:type="dxa"/>
            <w:vAlign w:val="center"/>
          </w:tcPr>
          <w:p>
            <w:pPr>
              <w:rPr>
                <w:rFonts w:ascii="宋体" w:hAnsi="宋体"/>
                <w:szCs w:val="21"/>
              </w:rPr>
            </w:pPr>
            <w:r>
              <w:rPr>
                <w:rFonts w:hint="eastAsia" w:ascii="宋体" w:hAnsi="宋体"/>
                <w:szCs w:val="21"/>
              </w:rPr>
              <w:t>配置Zoning功能模块，</w:t>
            </w:r>
          </w:p>
          <w:p>
            <w:pPr>
              <w:rPr>
                <w:rFonts w:ascii="宋体" w:hAnsi="宋体"/>
                <w:szCs w:val="21"/>
              </w:rPr>
            </w:pPr>
            <w:r>
              <w:rPr>
                <w:rFonts w:hint="eastAsia" w:ascii="宋体" w:hAnsi="宋体"/>
                <w:szCs w:val="21"/>
              </w:rPr>
              <w:t>配置远程长距离连接功能模块</w:t>
            </w:r>
          </w:p>
          <w:p>
            <w:pPr>
              <w:rPr>
                <w:rFonts w:ascii="宋体" w:hAnsi="宋体"/>
                <w:szCs w:val="21"/>
              </w:rPr>
            </w:pPr>
            <w:r>
              <w:rPr>
                <w:rFonts w:hint="eastAsia" w:ascii="宋体" w:hAnsi="宋体"/>
                <w:szCs w:val="21"/>
              </w:rPr>
              <w:t>配置Enterprise package license</w:t>
            </w:r>
          </w:p>
          <w:p>
            <w:pPr>
              <w:pStyle w:val="9"/>
              <w:rPr>
                <w:rFonts w:hint="eastAsia" w:eastAsia="宋体"/>
                <w:lang w:eastAsia="zh-CN"/>
              </w:rPr>
            </w:pPr>
            <w:r>
              <w:rPr>
                <w:rFonts w:hint="eastAsia" w:ascii="宋体" w:hAnsi="宋体"/>
                <w:szCs w:val="21"/>
              </w:rPr>
              <w:t>配置VSAN技术和VoQ技术功能</w:t>
            </w:r>
            <w:r>
              <w:rPr>
                <w:rFonts w:hint="eastAsia" w:ascii="宋体" w:hAnsi="宋体"/>
                <w:szCs w:val="21"/>
                <w:lang w:eastAsia="zh-CN"/>
              </w:rPr>
              <w:t>（</w:t>
            </w:r>
            <w:r>
              <w:rPr>
                <w:rFonts w:hint="eastAsia"/>
              </w:rPr>
              <w:t>相类似</w:t>
            </w:r>
            <w:r>
              <w:rPr>
                <w:rFonts w:hint="eastAsia"/>
                <w:lang w:eastAsia="zh-CN"/>
              </w:rPr>
              <w:t>）</w:t>
            </w:r>
          </w:p>
          <w:p>
            <w:pPr>
              <w:rPr>
                <w:rFonts w:ascii="宋体" w:hAnsi="宋体"/>
                <w:szCs w:val="21"/>
              </w:rPr>
            </w:pPr>
            <w:r>
              <w:rPr>
                <w:rFonts w:hint="eastAsia" w:ascii="宋体" w:hAnsi="宋体"/>
                <w:szCs w:val="21"/>
              </w:rPr>
              <w:t>配置DCNM for SAN Licens</w:t>
            </w:r>
            <w:r>
              <w:rPr>
                <w:rFonts w:hint="eastAsia" w:ascii="宋体" w:hAnsi="宋体"/>
                <w:szCs w:val="21"/>
                <w:lang w:eastAsia="zh-CN"/>
              </w:rPr>
              <w:t>（</w:t>
            </w:r>
            <w:r>
              <w:rPr>
                <w:rFonts w:hint="eastAsia"/>
              </w:rPr>
              <w:t>相类似</w:t>
            </w:r>
            <w:r>
              <w:rPr>
                <w:rFonts w:hint="eastAsia"/>
                <w:lang w:eastAsia="zh-CN"/>
              </w:rPr>
              <w:t>）</w:t>
            </w:r>
          </w:p>
          <w:p>
            <w:pPr>
              <w:rPr>
                <w:rFonts w:ascii="宋体" w:hAnsi="宋体"/>
                <w:szCs w:val="21"/>
              </w:rPr>
            </w:pPr>
            <w:r>
              <w:rPr>
                <w:rFonts w:hint="eastAsia" w:ascii="宋体" w:hAnsi="宋体"/>
                <w:szCs w:val="21"/>
              </w:rPr>
              <w:t>配置Trunking链路捆绑功能模块</w:t>
            </w:r>
          </w:p>
          <w:p>
            <w:pPr>
              <w:rPr>
                <w:rFonts w:ascii="宋体" w:hAnsi="宋体" w:cs="Tahoma"/>
                <w:color w:val="000000"/>
                <w:szCs w:val="21"/>
              </w:rPr>
            </w:pPr>
            <w:r>
              <w:rPr>
                <w:rFonts w:hint="eastAsia" w:ascii="宋体" w:hAnsi="宋体"/>
                <w:szCs w:val="21"/>
              </w:rPr>
              <w:t>支持SNMPv3</w:t>
            </w:r>
            <w:r>
              <w:rPr>
                <w:rFonts w:hint="eastAsia" w:ascii="宋体" w:hAnsi="宋体"/>
                <w:szCs w:val="21"/>
                <w:lang w:eastAsia="zh-CN"/>
              </w:rPr>
              <w:t>，</w:t>
            </w:r>
            <w:r>
              <w:rPr>
                <w:rFonts w:hint="eastAsia" w:ascii="宋体" w:hAnsi="宋体"/>
                <w:szCs w:val="21"/>
              </w:rPr>
              <w:t>SMI-S，TACACS+</w:t>
            </w:r>
            <w:r>
              <w:rPr>
                <w:rFonts w:hint="eastAsia" w:ascii="宋体" w:hAnsi="宋体"/>
                <w:szCs w:val="21"/>
                <w:lang w:eastAsia="zh-CN"/>
              </w:rPr>
              <w:t>，</w:t>
            </w:r>
            <w:r>
              <w:rPr>
                <w:rFonts w:hint="eastAsia" w:ascii="宋体" w:hAnsi="宋体"/>
                <w:szCs w:val="21"/>
              </w:rPr>
              <w:t>AAA</w:t>
            </w:r>
            <w:r>
              <w:rPr>
                <w:rFonts w:hint="eastAsia" w:ascii="宋体" w:hAnsi="宋体"/>
                <w:szCs w:val="21"/>
                <w:lang w:eastAsia="zh-CN"/>
              </w:rPr>
              <w:t>，</w:t>
            </w:r>
            <w:r>
              <w:rPr>
                <w:rFonts w:hint="eastAsia" w:ascii="宋体" w:hAnsi="宋体"/>
                <w:szCs w:val="21"/>
              </w:rPr>
              <w:t>SFTP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center"/>
          </w:tcPr>
          <w:p>
            <w:pPr>
              <w:jc w:val="center"/>
              <w:rPr>
                <w:rFonts w:ascii="宋体" w:hAnsi="宋体" w:cs="Tahoma"/>
                <w:color w:val="000000"/>
                <w:szCs w:val="21"/>
              </w:rPr>
            </w:pPr>
            <w:r>
              <w:rPr>
                <w:rFonts w:hint="eastAsia" w:ascii="宋体" w:hAnsi="宋体" w:cs="Tahoma"/>
                <w:color w:val="000000"/>
                <w:szCs w:val="21"/>
              </w:rPr>
              <w:t>模块和线缆</w:t>
            </w:r>
          </w:p>
        </w:tc>
        <w:tc>
          <w:tcPr>
            <w:tcW w:w="6810" w:type="dxa"/>
            <w:vAlign w:val="center"/>
          </w:tcPr>
          <w:p>
            <w:pPr>
              <w:rPr>
                <w:rFonts w:ascii="宋体" w:hAnsi="宋体" w:cs="Tahoma"/>
                <w:color w:val="000000"/>
                <w:szCs w:val="21"/>
              </w:rPr>
            </w:pPr>
            <w:r>
              <w:rPr>
                <w:rFonts w:hint="eastAsia" w:ascii="宋体" w:hAnsi="宋体"/>
                <w:szCs w:val="21"/>
              </w:rPr>
              <w:t>本次配置46个16G FC多模光模块和2个10KM以上单模16G光模块，满配相关线缆</w:t>
            </w:r>
          </w:p>
        </w:tc>
      </w:tr>
    </w:tbl>
    <w:p/>
    <w:p>
      <w:pPr>
        <w:pStyle w:val="4"/>
        <w:tabs>
          <w:tab w:val="left" w:pos="432"/>
        </w:tabs>
        <w:rPr>
          <w:sz w:val="24"/>
          <w:szCs w:val="24"/>
        </w:rPr>
      </w:pPr>
      <w:r>
        <w:rPr>
          <w:rFonts w:hint="eastAsia"/>
          <w:sz w:val="24"/>
          <w:szCs w:val="24"/>
        </w:rPr>
        <w:t>7.3.30 存储光纤交换机</w:t>
      </w:r>
    </w:p>
    <w:tbl>
      <w:tblPr>
        <w:tblStyle w:val="35"/>
        <w:tblW w:w="86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trPr>
        <w:tc>
          <w:tcPr>
            <w:tcW w:w="1809" w:type="dxa"/>
            <w:vAlign w:val="center"/>
          </w:tcPr>
          <w:p>
            <w:pPr>
              <w:widowControl/>
              <w:jc w:val="center"/>
              <w:rPr>
                <w:rFonts w:ascii="宋体" w:hAnsi="宋体" w:cs="Arial"/>
                <w:b/>
                <w:bCs/>
                <w:kern w:val="0"/>
                <w:szCs w:val="21"/>
              </w:rPr>
            </w:pPr>
            <w:r>
              <w:rPr>
                <w:rFonts w:hint="eastAsia" w:ascii="宋体" w:hAnsi="宋体" w:cs="Arial"/>
                <w:b/>
                <w:bCs/>
                <w:kern w:val="0"/>
                <w:szCs w:val="21"/>
              </w:rPr>
              <w:t>指标项</w:t>
            </w:r>
          </w:p>
        </w:tc>
        <w:tc>
          <w:tcPr>
            <w:tcW w:w="6810" w:type="dxa"/>
            <w:vAlign w:val="center"/>
          </w:tcPr>
          <w:p>
            <w:pPr>
              <w:widowControl/>
              <w:jc w:val="center"/>
              <w:rPr>
                <w:rFonts w:ascii="宋体" w:hAnsi="宋体" w:cs="Arial"/>
                <w:b/>
                <w:bCs/>
                <w:kern w:val="0"/>
                <w:szCs w:val="21"/>
              </w:rPr>
            </w:pPr>
            <w:r>
              <w:rPr>
                <w:rFonts w:hint="eastAsia" w:ascii="宋体" w:hAnsi="宋体" w:cs="Arial"/>
                <w:b/>
                <w:bCs/>
                <w:kern w:val="0"/>
                <w:szCs w:val="21"/>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center"/>
          </w:tcPr>
          <w:p>
            <w:pPr>
              <w:jc w:val="center"/>
              <w:rPr>
                <w:rFonts w:ascii="宋体" w:hAnsi="宋体" w:cs="Tahoma"/>
                <w:color w:val="000000"/>
                <w:szCs w:val="21"/>
              </w:rPr>
            </w:pPr>
            <w:r>
              <w:rPr>
                <w:rFonts w:hint="eastAsia" w:ascii="宋体" w:hAnsi="宋体" w:cs="Tahoma"/>
                <w:color w:val="000000"/>
                <w:szCs w:val="21"/>
              </w:rPr>
              <w:t>交换端口</w:t>
            </w:r>
          </w:p>
        </w:tc>
        <w:tc>
          <w:tcPr>
            <w:tcW w:w="6810" w:type="dxa"/>
            <w:vAlign w:val="center"/>
          </w:tcPr>
          <w:p>
            <w:pPr>
              <w:rPr>
                <w:rFonts w:ascii="宋体" w:hAnsi="宋体" w:cs="Tahoma"/>
                <w:color w:val="000000"/>
                <w:szCs w:val="21"/>
              </w:rPr>
            </w:pPr>
            <w:r>
              <w:rPr>
                <w:rFonts w:hint="eastAsia" w:ascii="宋体" w:hAnsi="宋体" w:cs="Tahoma"/>
                <w:color w:val="000000"/>
                <w:szCs w:val="21"/>
              </w:rPr>
              <w:t>本次配置48个线速端口,激活24个许可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 w:hRule="atLeast"/>
        </w:trPr>
        <w:tc>
          <w:tcPr>
            <w:tcW w:w="1809" w:type="dxa"/>
            <w:vAlign w:val="center"/>
          </w:tcPr>
          <w:p>
            <w:pPr>
              <w:jc w:val="center"/>
              <w:rPr>
                <w:rFonts w:ascii="宋体" w:hAnsi="宋体" w:cs="Tahoma"/>
                <w:color w:val="000000"/>
                <w:szCs w:val="21"/>
              </w:rPr>
            </w:pPr>
            <w:r>
              <w:rPr>
                <w:rFonts w:hint="eastAsia" w:ascii="宋体" w:hAnsi="宋体" w:cs="Tahoma"/>
                <w:color w:val="000000"/>
                <w:szCs w:val="21"/>
              </w:rPr>
              <w:t>供电和散热模块</w:t>
            </w:r>
          </w:p>
        </w:tc>
        <w:tc>
          <w:tcPr>
            <w:tcW w:w="6810" w:type="dxa"/>
            <w:vAlign w:val="center"/>
          </w:tcPr>
          <w:p>
            <w:pPr>
              <w:rPr>
                <w:rFonts w:ascii="宋体" w:hAnsi="宋体" w:cs="Tahoma"/>
                <w:color w:val="000000"/>
                <w:szCs w:val="21"/>
              </w:rPr>
            </w:pPr>
            <w:r>
              <w:rPr>
                <w:rFonts w:hint="eastAsia" w:ascii="宋体" w:hAnsi="宋体" w:cs="Tahoma"/>
                <w:color w:val="000000"/>
                <w:szCs w:val="21"/>
              </w:rPr>
              <w:t>冗余电源和冗余风扇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809" w:type="dxa"/>
            <w:vAlign w:val="center"/>
          </w:tcPr>
          <w:p>
            <w:pPr>
              <w:jc w:val="center"/>
              <w:rPr>
                <w:rFonts w:ascii="宋体" w:hAnsi="宋体" w:cs="Tahoma"/>
                <w:color w:val="000000"/>
                <w:szCs w:val="21"/>
              </w:rPr>
            </w:pPr>
            <w:r>
              <w:rPr>
                <w:rFonts w:hint="eastAsia" w:ascii="宋体" w:hAnsi="宋体" w:cs="Tahoma"/>
                <w:color w:val="000000"/>
                <w:szCs w:val="21"/>
              </w:rPr>
              <w:t>本次配置功能</w:t>
            </w:r>
          </w:p>
        </w:tc>
        <w:tc>
          <w:tcPr>
            <w:tcW w:w="6810" w:type="dxa"/>
            <w:vAlign w:val="center"/>
          </w:tcPr>
          <w:p>
            <w:pPr>
              <w:rPr>
                <w:rFonts w:ascii="宋体" w:hAnsi="宋体"/>
                <w:szCs w:val="21"/>
              </w:rPr>
            </w:pPr>
            <w:r>
              <w:rPr>
                <w:rFonts w:hint="eastAsia" w:ascii="宋体" w:hAnsi="宋体"/>
                <w:szCs w:val="21"/>
              </w:rPr>
              <w:t>配置Zoning功能模块，</w:t>
            </w:r>
          </w:p>
          <w:p>
            <w:pPr>
              <w:rPr>
                <w:rFonts w:ascii="宋体" w:hAnsi="宋体"/>
                <w:szCs w:val="21"/>
              </w:rPr>
            </w:pPr>
            <w:r>
              <w:rPr>
                <w:rFonts w:hint="eastAsia" w:ascii="宋体" w:hAnsi="宋体"/>
                <w:szCs w:val="21"/>
              </w:rPr>
              <w:t>配置远程长距离连接功能模块</w:t>
            </w:r>
          </w:p>
          <w:p>
            <w:pPr>
              <w:rPr>
                <w:rFonts w:ascii="宋体" w:hAnsi="宋体"/>
                <w:szCs w:val="21"/>
              </w:rPr>
            </w:pPr>
            <w:r>
              <w:rPr>
                <w:rFonts w:hint="eastAsia" w:ascii="宋体" w:hAnsi="宋体"/>
                <w:szCs w:val="21"/>
              </w:rPr>
              <w:t>配置Enterprise package license</w:t>
            </w:r>
          </w:p>
          <w:p>
            <w:pPr>
              <w:pStyle w:val="9"/>
              <w:rPr>
                <w:rFonts w:hint="eastAsia" w:eastAsia="宋体"/>
                <w:lang w:eastAsia="zh-CN"/>
              </w:rPr>
            </w:pPr>
            <w:r>
              <w:rPr>
                <w:rFonts w:hint="eastAsia" w:ascii="宋体" w:hAnsi="宋体"/>
                <w:szCs w:val="21"/>
              </w:rPr>
              <w:t>配置VSAN技术和VoQ技术功能</w:t>
            </w:r>
            <w:r>
              <w:rPr>
                <w:rFonts w:hint="eastAsia" w:ascii="宋体" w:hAnsi="宋体"/>
                <w:szCs w:val="21"/>
                <w:lang w:eastAsia="zh-CN"/>
              </w:rPr>
              <w:t>（</w:t>
            </w:r>
            <w:r>
              <w:rPr>
                <w:rFonts w:hint="eastAsia"/>
              </w:rPr>
              <w:t>相类似</w:t>
            </w:r>
            <w:r>
              <w:rPr>
                <w:rFonts w:hint="eastAsia"/>
                <w:lang w:eastAsia="zh-CN"/>
              </w:rPr>
              <w:t>）</w:t>
            </w:r>
          </w:p>
          <w:p>
            <w:pPr>
              <w:rPr>
                <w:rFonts w:ascii="宋体" w:hAnsi="宋体"/>
                <w:szCs w:val="21"/>
              </w:rPr>
            </w:pPr>
            <w:r>
              <w:rPr>
                <w:rFonts w:hint="eastAsia" w:ascii="宋体" w:hAnsi="宋体"/>
                <w:szCs w:val="21"/>
              </w:rPr>
              <w:t>配置DCNM for SAN Licens</w:t>
            </w:r>
            <w:r>
              <w:rPr>
                <w:rFonts w:hint="eastAsia" w:ascii="宋体" w:hAnsi="宋体"/>
                <w:szCs w:val="21"/>
                <w:lang w:eastAsia="zh-CN"/>
              </w:rPr>
              <w:t>（</w:t>
            </w:r>
            <w:r>
              <w:rPr>
                <w:rFonts w:hint="eastAsia"/>
              </w:rPr>
              <w:t>相类似</w:t>
            </w:r>
            <w:r>
              <w:rPr>
                <w:rFonts w:hint="eastAsia"/>
                <w:lang w:eastAsia="zh-CN"/>
              </w:rPr>
              <w:t>）</w:t>
            </w:r>
          </w:p>
          <w:p>
            <w:pPr>
              <w:rPr>
                <w:rFonts w:ascii="宋体" w:hAnsi="宋体"/>
                <w:szCs w:val="21"/>
              </w:rPr>
            </w:pPr>
            <w:r>
              <w:rPr>
                <w:rFonts w:hint="eastAsia" w:ascii="宋体" w:hAnsi="宋体"/>
                <w:szCs w:val="21"/>
              </w:rPr>
              <w:t>配置Trunking链路捆绑功能模块</w:t>
            </w:r>
          </w:p>
          <w:p>
            <w:pPr>
              <w:rPr>
                <w:rFonts w:ascii="宋体" w:hAnsi="宋体" w:cs="Tahoma"/>
                <w:color w:val="000000"/>
                <w:szCs w:val="21"/>
              </w:rPr>
            </w:pPr>
            <w:r>
              <w:rPr>
                <w:rFonts w:hint="eastAsia" w:ascii="宋体" w:hAnsi="宋体"/>
                <w:szCs w:val="21"/>
              </w:rPr>
              <w:t>支持SNMPv3, SMI-S，TACACS+,AAA, SFTP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center"/>
          </w:tcPr>
          <w:p>
            <w:pPr>
              <w:jc w:val="center"/>
              <w:rPr>
                <w:rFonts w:ascii="宋体" w:hAnsi="宋体" w:cs="Tahoma"/>
                <w:color w:val="000000"/>
                <w:szCs w:val="21"/>
              </w:rPr>
            </w:pPr>
            <w:r>
              <w:rPr>
                <w:rFonts w:hint="eastAsia" w:ascii="宋体" w:hAnsi="宋体" w:cs="Tahoma"/>
                <w:color w:val="000000"/>
                <w:szCs w:val="21"/>
              </w:rPr>
              <w:t>模块和线缆</w:t>
            </w:r>
          </w:p>
        </w:tc>
        <w:tc>
          <w:tcPr>
            <w:tcW w:w="6810" w:type="dxa"/>
            <w:vAlign w:val="center"/>
          </w:tcPr>
          <w:p>
            <w:pPr>
              <w:rPr>
                <w:rFonts w:ascii="宋体" w:hAnsi="宋体" w:cs="Tahoma"/>
                <w:color w:val="000000"/>
                <w:szCs w:val="21"/>
              </w:rPr>
            </w:pPr>
            <w:r>
              <w:rPr>
                <w:rFonts w:hint="eastAsia" w:ascii="宋体" w:hAnsi="宋体"/>
                <w:szCs w:val="21"/>
              </w:rPr>
              <w:t>本次配置22个16G FC多模光模块和2个10KM以上单模16G光模块，满配相关线缆</w:t>
            </w:r>
          </w:p>
        </w:tc>
      </w:tr>
    </w:tbl>
    <w:p/>
    <w:p>
      <w:pPr>
        <w:pStyle w:val="4"/>
        <w:tabs>
          <w:tab w:val="left" w:pos="432"/>
        </w:tabs>
        <w:rPr>
          <w:sz w:val="24"/>
          <w:szCs w:val="24"/>
        </w:rPr>
      </w:pPr>
      <w:r>
        <w:rPr>
          <w:rFonts w:hint="eastAsia"/>
          <w:sz w:val="24"/>
          <w:szCs w:val="24"/>
        </w:rPr>
        <w:t>7.3.31 虚拟化服务器</w:t>
      </w:r>
    </w:p>
    <w:tbl>
      <w:tblPr>
        <w:tblStyle w:val="35"/>
        <w:tblW w:w="8522"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84"/>
        <w:gridCol w:w="713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384" w:type="dxa"/>
            <w:vAlign w:val="center"/>
          </w:tcPr>
          <w:p>
            <w:pPr>
              <w:rPr>
                <w:b/>
                <w:szCs w:val="21"/>
              </w:rPr>
            </w:pPr>
            <w:r>
              <w:rPr>
                <w:rFonts w:hint="eastAsia"/>
                <w:b/>
                <w:szCs w:val="21"/>
              </w:rPr>
              <w:t>指标项</w:t>
            </w:r>
          </w:p>
        </w:tc>
        <w:tc>
          <w:tcPr>
            <w:tcW w:w="7138" w:type="dxa"/>
            <w:vAlign w:val="center"/>
          </w:tcPr>
          <w:p>
            <w:pPr>
              <w:rPr>
                <w:b/>
                <w:szCs w:val="21"/>
              </w:rPr>
            </w:pPr>
            <w:r>
              <w:rPr>
                <w:rFonts w:hint="eastAsia"/>
                <w:b/>
                <w:szCs w:val="21"/>
              </w:rPr>
              <w:t>技术规格要求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384" w:type="dxa"/>
            <w:vAlign w:val="center"/>
          </w:tcPr>
          <w:p>
            <w:pPr>
              <w:pStyle w:val="42"/>
              <w:ind w:firstLine="0" w:firstLineChars="0"/>
              <w:rPr>
                <w:szCs w:val="21"/>
              </w:rPr>
            </w:pPr>
            <w:r>
              <w:rPr>
                <w:rFonts w:hint="eastAsia"/>
                <w:szCs w:val="21"/>
              </w:rPr>
              <w:t>服务器外型</w:t>
            </w:r>
          </w:p>
        </w:tc>
        <w:tc>
          <w:tcPr>
            <w:tcW w:w="7138" w:type="dxa"/>
            <w:vAlign w:val="center"/>
          </w:tcPr>
          <w:p>
            <w:pPr>
              <w:pStyle w:val="42"/>
              <w:ind w:firstLine="0" w:firstLineChars="0"/>
              <w:rPr>
                <w:szCs w:val="21"/>
              </w:rPr>
            </w:pPr>
            <w:r>
              <w:rPr>
                <w:rFonts w:hint="eastAsia"/>
                <w:szCs w:val="21"/>
              </w:rPr>
              <w:t>机架式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384" w:type="dxa"/>
            <w:vAlign w:val="center"/>
          </w:tcPr>
          <w:p>
            <w:pPr>
              <w:pStyle w:val="42"/>
              <w:ind w:firstLine="0" w:firstLineChars="0"/>
              <w:rPr>
                <w:szCs w:val="21"/>
              </w:rPr>
            </w:pPr>
            <w:r>
              <w:rPr>
                <w:rFonts w:hint="eastAsia"/>
                <w:szCs w:val="21"/>
              </w:rPr>
              <w:t>服务器高度</w:t>
            </w:r>
          </w:p>
        </w:tc>
        <w:tc>
          <w:tcPr>
            <w:tcW w:w="7138" w:type="dxa"/>
            <w:vAlign w:val="center"/>
          </w:tcPr>
          <w:p>
            <w:pPr>
              <w:pStyle w:val="42"/>
              <w:ind w:firstLine="0" w:firstLineChars="0"/>
              <w:rPr>
                <w:szCs w:val="21"/>
              </w:rPr>
            </w:pPr>
            <w:r>
              <w:rPr>
                <w:szCs w:val="21"/>
              </w:rPr>
              <w:t>≥2U</w:t>
            </w:r>
            <w:r>
              <w:rPr>
                <w:rFonts w:hint="eastAsia"/>
                <w:szCs w:val="21"/>
              </w:rPr>
              <w:t>，标配原厂导轨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70" w:hRule="atLeast"/>
          <w:jc w:val="center"/>
        </w:trPr>
        <w:tc>
          <w:tcPr>
            <w:tcW w:w="1384" w:type="dxa"/>
            <w:vAlign w:val="center"/>
          </w:tcPr>
          <w:p>
            <w:pPr>
              <w:pStyle w:val="42"/>
              <w:ind w:firstLine="0" w:firstLineChars="0"/>
              <w:rPr>
                <w:szCs w:val="21"/>
              </w:rPr>
            </w:pPr>
            <w:r>
              <w:rPr>
                <w:szCs w:val="21"/>
              </w:rPr>
              <w:t>CPU</w:t>
            </w:r>
            <w:r>
              <w:rPr>
                <w:rFonts w:hint="eastAsia"/>
                <w:szCs w:val="21"/>
              </w:rPr>
              <w:t>型号</w:t>
            </w:r>
          </w:p>
        </w:tc>
        <w:tc>
          <w:tcPr>
            <w:tcW w:w="7138" w:type="dxa"/>
            <w:vAlign w:val="center"/>
          </w:tcPr>
          <w:p>
            <w:pPr>
              <w:pStyle w:val="42"/>
              <w:ind w:firstLine="0" w:firstLineChars="0"/>
              <w:rPr>
                <w:szCs w:val="21"/>
              </w:rPr>
            </w:pPr>
            <w:r>
              <w:rPr>
                <w:szCs w:val="21"/>
              </w:rPr>
              <w:t>Intel Xeon E5-26</w:t>
            </w:r>
            <w:r>
              <w:rPr>
                <w:rFonts w:hint="eastAsia"/>
                <w:szCs w:val="21"/>
              </w:rPr>
              <w:t>3</w:t>
            </w:r>
            <w:r>
              <w:rPr>
                <w:szCs w:val="21"/>
              </w:rPr>
              <w:t xml:space="preserve">0 </w:t>
            </w:r>
            <w:r>
              <w:rPr>
                <w:rFonts w:hint="eastAsia"/>
                <w:szCs w:val="21"/>
              </w:rPr>
              <w:t>V4，</w:t>
            </w:r>
            <w:r>
              <w:rPr>
                <w:szCs w:val="21"/>
              </w:rPr>
              <w:t>可支持</w:t>
            </w:r>
            <w:r>
              <w:rPr>
                <w:rFonts w:hint="eastAsia"/>
                <w:szCs w:val="21"/>
              </w:rPr>
              <w:t>≥</w:t>
            </w:r>
            <w:r>
              <w:rPr>
                <w:szCs w:val="21"/>
              </w:rPr>
              <w:t>135w处理器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384" w:type="dxa"/>
            <w:vAlign w:val="center"/>
          </w:tcPr>
          <w:p>
            <w:pPr>
              <w:pStyle w:val="42"/>
              <w:ind w:firstLine="0" w:firstLineChars="0"/>
              <w:rPr>
                <w:szCs w:val="21"/>
              </w:rPr>
            </w:pPr>
            <w:r>
              <w:rPr>
                <w:szCs w:val="21"/>
              </w:rPr>
              <w:t>CPU</w:t>
            </w:r>
            <w:r>
              <w:rPr>
                <w:rFonts w:hint="eastAsia"/>
                <w:szCs w:val="21"/>
              </w:rPr>
              <w:t>实配数量</w:t>
            </w:r>
          </w:p>
        </w:tc>
        <w:tc>
          <w:tcPr>
            <w:tcW w:w="7138" w:type="dxa"/>
            <w:vAlign w:val="center"/>
          </w:tcPr>
          <w:p>
            <w:pPr>
              <w:pStyle w:val="42"/>
              <w:ind w:firstLine="0" w:firstLineChars="0"/>
              <w:rPr>
                <w:szCs w:val="21"/>
              </w:rPr>
            </w:pPr>
            <w:r>
              <w:rPr>
                <w:rFonts w:hint="eastAsia"/>
                <w:szCs w:val="21"/>
              </w:rPr>
              <w:t>≥</w:t>
            </w:r>
            <w:r>
              <w:rPr>
                <w:szCs w:val="21"/>
              </w:rPr>
              <w:t>2</w:t>
            </w:r>
            <w:r>
              <w:rPr>
                <w:rFonts w:hint="eastAsia"/>
                <w:szCs w:val="21"/>
              </w:rPr>
              <w:t>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trHeight w:val="70" w:hRule="atLeast"/>
          <w:jc w:val="center"/>
        </w:trPr>
        <w:tc>
          <w:tcPr>
            <w:tcW w:w="1384" w:type="dxa"/>
            <w:vAlign w:val="center"/>
          </w:tcPr>
          <w:p>
            <w:pPr>
              <w:pStyle w:val="42"/>
              <w:ind w:firstLine="0" w:firstLineChars="0"/>
              <w:rPr>
                <w:szCs w:val="21"/>
              </w:rPr>
            </w:pPr>
            <w:r>
              <w:rPr>
                <w:rFonts w:hint="eastAsia"/>
                <w:szCs w:val="21"/>
              </w:rPr>
              <w:t>内存功能</w:t>
            </w:r>
          </w:p>
        </w:tc>
        <w:tc>
          <w:tcPr>
            <w:tcW w:w="7138" w:type="dxa"/>
            <w:vAlign w:val="center"/>
          </w:tcPr>
          <w:p>
            <w:pPr>
              <w:pStyle w:val="42"/>
              <w:ind w:firstLine="0" w:firstLineChars="0"/>
              <w:rPr>
                <w:szCs w:val="21"/>
              </w:rPr>
            </w:pPr>
            <w:r>
              <w:rPr>
                <w:szCs w:val="21"/>
              </w:rPr>
              <w:t>Advanced ECC</w:t>
            </w:r>
            <w:r>
              <w:rPr>
                <w:rFonts w:hint="eastAsia"/>
                <w:szCs w:val="21"/>
              </w:rPr>
              <w:t>、内存在线</w:t>
            </w:r>
            <w:r>
              <w:rPr>
                <w:szCs w:val="21"/>
              </w:rPr>
              <w:t xml:space="preserve">热备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384" w:type="dxa"/>
            <w:vAlign w:val="center"/>
          </w:tcPr>
          <w:p>
            <w:pPr>
              <w:pStyle w:val="42"/>
              <w:ind w:firstLine="0" w:firstLineChars="0"/>
              <w:rPr>
                <w:szCs w:val="21"/>
              </w:rPr>
            </w:pPr>
            <w:r>
              <w:rPr>
                <w:rFonts w:hint="eastAsia"/>
                <w:szCs w:val="21"/>
              </w:rPr>
              <w:t>内存实配规格</w:t>
            </w:r>
          </w:p>
        </w:tc>
        <w:tc>
          <w:tcPr>
            <w:tcW w:w="7138" w:type="dxa"/>
            <w:vAlign w:val="center"/>
          </w:tcPr>
          <w:p>
            <w:pPr>
              <w:pStyle w:val="42"/>
              <w:ind w:firstLine="0" w:firstLineChars="0"/>
              <w:rPr>
                <w:szCs w:val="21"/>
              </w:rPr>
            </w:pPr>
            <w:r>
              <w:rPr>
                <w:rFonts w:hint="eastAsia"/>
                <w:szCs w:val="21"/>
              </w:rPr>
              <w:t>≥32</w:t>
            </w:r>
            <w:r>
              <w:rPr>
                <w:szCs w:val="21"/>
              </w:rPr>
              <w:t>GB</w:t>
            </w:r>
            <w:r>
              <w:rPr>
                <w:rFonts w:hint="eastAsia"/>
                <w:szCs w:val="21"/>
              </w:rPr>
              <w:t xml:space="preserve">*8 </w:t>
            </w:r>
            <w:r>
              <w:rPr>
                <w:szCs w:val="21"/>
              </w:rPr>
              <w:t xml:space="preserve">2400 DDR4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70" w:hRule="atLeast"/>
          <w:jc w:val="center"/>
        </w:trPr>
        <w:tc>
          <w:tcPr>
            <w:tcW w:w="1384" w:type="dxa"/>
            <w:vAlign w:val="center"/>
          </w:tcPr>
          <w:p>
            <w:pPr>
              <w:pStyle w:val="42"/>
              <w:ind w:firstLine="0" w:firstLineChars="0"/>
              <w:rPr>
                <w:szCs w:val="21"/>
              </w:rPr>
            </w:pPr>
            <w:r>
              <w:rPr>
                <w:rFonts w:hint="eastAsia"/>
                <w:szCs w:val="21"/>
              </w:rPr>
              <w:t>内存可扩展数量</w:t>
            </w:r>
          </w:p>
        </w:tc>
        <w:tc>
          <w:tcPr>
            <w:tcW w:w="7138" w:type="dxa"/>
            <w:vAlign w:val="center"/>
          </w:tcPr>
          <w:p>
            <w:pPr>
              <w:pStyle w:val="42"/>
              <w:ind w:firstLine="0" w:firstLineChars="0"/>
              <w:rPr>
                <w:szCs w:val="21"/>
              </w:rPr>
            </w:pPr>
            <w:r>
              <w:rPr>
                <w:rFonts w:hint="eastAsia"/>
                <w:szCs w:val="21"/>
              </w:rPr>
              <w:t>可扩展≥</w:t>
            </w:r>
            <w:r>
              <w:rPr>
                <w:szCs w:val="21"/>
              </w:rPr>
              <w:t>24</w:t>
            </w:r>
            <w:r>
              <w:rPr>
                <w:rFonts w:hint="eastAsia"/>
                <w:szCs w:val="21"/>
              </w:rPr>
              <w:t>个内存插槽，官方支持最大容量</w:t>
            </w:r>
            <w:r>
              <w:rPr>
                <w:szCs w:val="21"/>
              </w:rPr>
              <w:t>3T</w:t>
            </w: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43" w:hRule="atLeast"/>
          <w:jc w:val="center"/>
        </w:trPr>
        <w:tc>
          <w:tcPr>
            <w:tcW w:w="1384" w:type="dxa"/>
            <w:vAlign w:val="center"/>
          </w:tcPr>
          <w:p>
            <w:pPr>
              <w:pStyle w:val="42"/>
              <w:ind w:firstLine="0" w:firstLineChars="0"/>
              <w:rPr>
                <w:szCs w:val="21"/>
              </w:rPr>
            </w:pPr>
            <w:r>
              <w:rPr>
                <w:rFonts w:hint="eastAsia"/>
                <w:szCs w:val="21"/>
              </w:rPr>
              <w:t>实配硬盘及</w:t>
            </w:r>
            <w:r>
              <w:rPr>
                <w:szCs w:val="21"/>
              </w:rPr>
              <w:t>托架</w:t>
            </w:r>
          </w:p>
        </w:tc>
        <w:tc>
          <w:tcPr>
            <w:tcW w:w="7138" w:type="dxa"/>
            <w:vAlign w:val="center"/>
          </w:tcPr>
          <w:p>
            <w:pPr>
              <w:pStyle w:val="42"/>
              <w:ind w:firstLine="0" w:firstLineChars="0"/>
              <w:rPr>
                <w:szCs w:val="21"/>
              </w:rPr>
            </w:pPr>
            <w:r>
              <w:rPr>
                <w:rFonts w:hint="eastAsia"/>
                <w:szCs w:val="21"/>
              </w:rPr>
              <w:t>≥2*</w:t>
            </w:r>
            <w:r>
              <w:rPr>
                <w:szCs w:val="21"/>
              </w:rPr>
              <w:t>600G</w:t>
            </w:r>
            <w:r>
              <w:rPr>
                <w:rFonts w:hint="eastAsia"/>
                <w:szCs w:val="21"/>
              </w:rPr>
              <w:t xml:space="preserve">B SAS </w:t>
            </w:r>
            <w:r>
              <w:rPr>
                <w:szCs w:val="21"/>
              </w:rPr>
              <w:t>1</w:t>
            </w:r>
            <w:r>
              <w:rPr>
                <w:rFonts w:hint="eastAsia"/>
                <w:szCs w:val="21"/>
              </w:rPr>
              <w:t>0</w:t>
            </w:r>
            <w:r>
              <w:rPr>
                <w:szCs w:val="21"/>
              </w:rPr>
              <w:t xml:space="preserve">k </w:t>
            </w:r>
            <w:r>
              <w:rPr>
                <w:rFonts w:hint="eastAsia"/>
                <w:szCs w:val="21"/>
              </w:rPr>
              <w:t>硬盘，</w:t>
            </w:r>
            <w:r>
              <w:rPr>
                <w:szCs w:val="21"/>
              </w:rPr>
              <w:t>硬盘</w:t>
            </w:r>
            <w:r>
              <w:rPr>
                <w:rFonts w:hint="eastAsia"/>
                <w:szCs w:val="21"/>
              </w:rPr>
              <w:t>托架</w:t>
            </w:r>
            <w:r>
              <w:rPr>
                <w:szCs w:val="21"/>
              </w:rPr>
              <w:t>具备Raid重</w:t>
            </w:r>
            <w:r>
              <w:rPr>
                <w:rFonts w:hint="eastAsia"/>
                <w:szCs w:val="21"/>
              </w:rPr>
              <w:t>建</w:t>
            </w:r>
            <w:r>
              <w:rPr>
                <w:szCs w:val="21"/>
              </w:rPr>
              <w:t>时</w:t>
            </w:r>
            <w:r>
              <w:rPr>
                <w:rFonts w:hint="eastAsia"/>
                <w:szCs w:val="21"/>
              </w:rPr>
              <w:t>不可拔</w:t>
            </w:r>
            <w:r>
              <w:rPr>
                <w:szCs w:val="21"/>
              </w:rPr>
              <w:t>出硬盘</w:t>
            </w:r>
            <w:r>
              <w:rPr>
                <w:rFonts w:hint="eastAsia"/>
                <w:szCs w:val="21"/>
              </w:rPr>
              <w:t>提示指示灯</w:t>
            </w:r>
            <w:r>
              <w:rPr>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43" w:hRule="atLeast"/>
          <w:jc w:val="center"/>
        </w:trPr>
        <w:tc>
          <w:tcPr>
            <w:tcW w:w="1384" w:type="dxa"/>
            <w:vAlign w:val="center"/>
          </w:tcPr>
          <w:p>
            <w:pPr>
              <w:pStyle w:val="42"/>
              <w:ind w:firstLine="0" w:firstLineChars="0"/>
              <w:rPr>
                <w:szCs w:val="21"/>
              </w:rPr>
            </w:pPr>
            <w:r>
              <w:rPr>
                <w:rFonts w:hint="eastAsia"/>
                <w:szCs w:val="21"/>
              </w:rPr>
              <w:t>硬盘槽位</w:t>
            </w:r>
          </w:p>
        </w:tc>
        <w:tc>
          <w:tcPr>
            <w:tcW w:w="7138" w:type="dxa"/>
            <w:vAlign w:val="center"/>
          </w:tcPr>
          <w:p>
            <w:pPr>
              <w:pStyle w:val="42"/>
              <w:ind w:firstLine="0" w:firstLineChars="0"/>
              <w:rPr>
                <w:szCs w:val="21"/>
              </w:rPr>
            </w:pPr>
            <w:r>
              <w:rPr>
                <w:szCs w:val="21"/>
              </w:rPr>
              <w:t>配置</w:t>
            </w:r>
            <w:r>
              <w:rPr>
                <w:rFonts w:hint="eastAsia"/>
                <w:szCs w:val="21"/>
              </w:rPr>
              <w:t>≥</w:t>
            </w:r>
            <w:r>
              <w:rPr>
                <w:szCs w:val="21"/>
              </w:rPr>
              <w:t>8</w:t>
            </w:r>
            <w:r>
              <w:rPr>
                <w:rFonts w:hint="eastAsia"/>
                <w:szCs w:val="21"/>
              </w:rPr>
              <w:t>个</w:t>
            </w:r>
            <w:r>
              <w:rPr>
                <w:szCs w:val="21"/>
              </w:rPr>
              <w:t>2.5</w:t>
            </w:r>
            <w:r>
              <w:rPr>
                <w:rFonts w:hint="eastAsia"/>
                <w:szCs w:val="21"/>
              </w:rPr>
              <w:t>寸热插拔</w:t>
            </w:r>
            <w:r>
              <w:rPr>
                <w:szCs w:val="21"/>
              </w:rPr>
              <w:t>硬盘</w:t>
            </w:r>
            <w:r>
              <w:rPr>
                <w:rFonts w:hint="eastAsia"/>
                <w:szCs w:val="21"/>
              </w:rPr>
              <w:t>槽位，</w:t>
            </w:r>
            <w:r>
              <w:rPr>
                <w:szCs w:val="21"/>
              </w:rPr>
              <w:t>可</w:t>
            </w:r>
            <w:r>
              <w:rPr>
                <w:rFonts w:hint="eastAsia"/>
                <w:szCs w:val="21"/>
              </w:rPr>
              <w:t>扩展至≥</w:t>
            </w:r>
            <w:r>
              <w:rPr>
                <w:szCs w:val="21"/>
              </w:rPr>
              <w:t>26</w:t>
            </w:r>
            <w:r>
              <w:rPr>
                <w:rFonts w:hint="eastAsia"/>
                <w:szCs w:val="21"/>
              </w:rPr>
              <w:t>个</w:t>
            </w:r>
            <w:r>
              <w:rPr>
                <w:szCs w:val="21"/>
              </w:rPr>
              <w:t>2</w:t>
            </w:r>
            <w:r>
              <w:rPr>
                <w:rFonts w:hint="eastAsia"/>
                <w:szCs w:val="21"/>
              </w:rPr>
              <w:t>.5寸</w:t>
            </w:r>
            <w:r>
              <w:rPr>
                <w:szCs w:val="21"/>
              </w:rPr>
              <w:t>热插拔硬盘槽位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4" w:hRule="atLeast"/>
          <w:jc w:val="center"/>
        </w:trPr>
        <w:tc>
          <w:tcPr>
            <w:tcW w:w="1384" w:type="dxa"/>
            <w:vMerge w:val="restart"/>
            <w:vAlign w:val="center"/>
          </w:tcPr>
          <w:p>
            <w:pPr>
              <w:pStyle w:val="42"/>
              <w:ind w:firstLine="0" w:firstLineChars="0"/>
              <w:rPr>
                <w:szCs w:val="21"/>
              </w:rPr>
            </w:pPr>
            <w:r>
              <w:rPr>
                <w:rFonts w:hint="eastAsia"/>
                <w:szCs w:val="21"/>
              </w:rPr>
              <w:t>阵列控制器</w:t>
            </w:r>
          </w:p>
        </w:tc>
        <w:tc>
          <w:tcPr>
            <w:tcW w:w="7138" w:type="dxa"/>
            <w:vAlign w:val="center"/>
          </w:tcPr>
          <w:p>
            <w:pPr>
              <w:pStyle w:val="42"/>
              <w:ind w:firstLine="0" w:firstLineChars="0"/>
              <w:rPr>
                <w:szCs w:val="21"/>
              </w:rPr>
            </w:pPr>
            <w:r>
              <w:rPr>
                <w:rFonts w:hint="eastAsia"/>
                <w:szCs w:val="21"/>
              </w:rPr>
              <w:t>≥</w:t>
            </w:r>
            <w:r>
              <w:rPr>
                <w:szCs w:val="21"/>
              </w:rPr>
              <w:t>1</w:t>
            </w:r>
            <w:r>
              <w:rPr>
                <w:rFonts w:hint="eastAsia"/>
                <w:szCs w:val="21"/>
              </w:rPr>
              <w:t>个标配SAS</w:t>
            </w:r>
            <w:r>
              <w:rPr>
                <w:szCs w:val="21"/>
              </w:rPr>
              <w:t xml:space="preserve"> Raid阵列卡</w:t>
            </w:r>
            <w:r>
              <w:rPr>
                <w:rFonts w:hint="eastAsia"/>
                <w:szCs w:val="21"/>
              </w:rPr>
              <w:t>（</w:t>
            </w:r>
            <w:r>
              <w:rPr>
                <w:szCs w:val="21"/>
              </w:rPr>
              <w:t>不占用PCIE扩展槽）</w:t>
            </w:r>
            <w:r>
              <w:rPr>
                <w:rFonts w:hint="eastAsia"/>
                <w:szCs w:val="21"/>
              </w:rPr>
              <w:t>，</w:t>
            </w:r>
            <w:r>
              <w:rPr>
                <w:szCs w:val="21"/>
              </w:rPr>
              <w:t>支持Raid0/1/10/5</w:t>
            </w:r>
            <w:r>
              <w:rPr>
                <w:rFonts w:hint="eastAsia"/>
                <w:szCs w:val="21"/>
              </w:rPr>
              <w:t>/6</w:t>
            </w:r>
            <w:r>
              <w:rPr>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trHeight w:val="324" w:hRule="atLeast"/>
          <w:jc w:val="center"/>
        </w:trPr>
        <w:tc>
          <w:tcPr>
            <w:tcW w:w="1384" w:type="dxa"/>
            <w:vMerge w:val="continue"/>
            <w:vAlign w:val="center"/>
          </w:tcPr>
          <w:p>
            <w:pPr>
              <w:pStyle w:val="42"/>
              <w:ind w:firstLine="0" w:firstLineChars="0"/>
              <w:rPr>
                <w:szCs w:val="21"/>
              </w:rPr>
            </w:pPr>
          </w:p>
        </w:tc>
        <w:tc>
          <w:tcPr>
            <w:tcW w:w="7138" w:type="dxa"/>
            <w:vAlign w:val="center"/>
          </w:tcPr>
          <w:p>
            <w:pPr>
              <w:pStyle w:val="42"/>
              <w:ind w:firstLine="0" w:firstLineChars="0"/>
              <w:rPr>
                <w:szCs w:val="21"/>
              </w:rPr>
            </w:pPr>
            <w:r>
              <w:rPr>
                <w:rFonts w:hint="eastAsia"/>
                <w:szCs w:val="21"/>
              </w:rPr>
              <w:t>实配≥</w:t>
            </w:r>
            <w:r>
              <w:rPr>
                <w:rFonts w:hint="eastAsia"/>
                <w:szCs w:val="21"/>
                <w:lang w:val="en-US" w:eastAsia="zh-CN"/>
              </w:rPr>
              <w:t>2</w:t>
            </w:r>
            <w:r>
              <w:rPr>
                <w:szCs w:val="21"/>
              </w:rPr>
              <w:t>GB</w:t>
            </w:r>
            <w:r>
              <w:rPr>
                <w:rFonts w:hint="eastAsia"/>
                <w:szCs w:val="21"/>
              </w:rPr>
              <w:t>缓存，支持</w:t>
            </w:r>
            <w:r>
              <w:rPr>
                <w:szCs w:val="21"/>
              </w:rPr>
              <w:t>缓存数据保护，且</w:t>
            </w:r>
            <w:r>
              <w:rPr>
                <w:rFonts w:hint="eastAsia"/>
                <w:szCs w:val="21"/>
              </w:rPr>
              <w:t>后备保护时间不受限制；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43" w:hRule="atLeast"/>
          <w:jc w:val="center"/>
        </w:trPr>
        <w:tc>
          <w:tcPr>
            <w:tcW w:w="1384" w:type="dxa"/>
            <w:vAlign w:val="center"/>
          </w:tcPr>
          <w:p>
            <w:pPr>
              <w:pStyle w:val="42"/>
              <w:ind w:firstLine="0" w:firstLineChars="0"/>
              <w:rPr>
                <w:szCs w:val="21"/>
              </w:rPr>
            </w:pPr>
            <w:r>
              <w:rPr>
                <w:szCs w:val="21"/>
              </w:rPr>
              <w:t>PCI I/O</w:t>
            </w:r>
            <w:r>
              <w:rPr>
                <w:rFonts w:hint="eastAsia"/>
                <w:szCs w:val="21"/>
              </w:rPr>
              <w:t>插槽</w:t>
            </w:r>
          </w:p>
        </w:tc>
        <w:tc>
          <w:tcPr>
            <w:tcW w:w="7138" w:type="dxa"/>
            <w:vAlign w:val="center"/>
          </w:tcPr>
          <w:p>
            <w:pPr>
              <w:pStyle w:val="42"/>
              <w:ind w:firstLine="0" w:firstLineChars="0"/>
              <w:rPr>
                <w:szCs w:val="21"/>
              </w:rPr>
            </w:pPr>
            <w:r>
              <w:rPr>
                <w:rFonts w:hint="eastAsia"/>
                <w:szCs w:val="21"/>
              </w:rPr>
              <w:t>最多提供</w:t>
            </w:r>
            <w:r>
              <w:rPr>
                <w:szCs w:val="21"/>
              </w:rPr>
              <w:t>≥6</w:t>
            </w:r>
            <w:r>
              <w:rPr>
                <w:rFonts w:hint="eastAsia"/>
                <w:szCs w:val="21"/>
              </w:rPr>
              <w:t>个</w:t>
            </w:r>
            <w:r>
              <w:rPr>
                <w:szCs w:val="21"/>
              </w:rPr>
              <w:t>全高PCIE3.0</w:t>
            </w:r>
            <w:r>
              <w:rPr>
                <w:rFonts w:hint="eastAsia"/>
                <w:szCs w:val="21"/>
              </w:rPr>
              <w:t>插槽</w:t>
            </w:r>
          </w:p>
          <w:p>
            <w:pPr>
              <w:pStyle w:val="42"/>
              <w:ind w:firstLine="0" w:firstLineChars="0"/>
              <w:rPr>
                <w:szCs w:val="21"/>
              </w:rPr>
            </w:pPr>
            <w:r>
              <w:rPr>
                <w:rFonts w:hint="eastAsia"/>
                <w:szCs w:val="21"/>
              </w:rPr>
              <w:t>当配</w:t>
            </w:r>
            <w:r>
              <w:rPr>
                <w:szCs w:val="21"/>
              </w:rPr>
              <w:t>15个3.5寸热插拔硬盘时须提供≥3个标准全高PCIE 3.0插槽</w:t>
            </w: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1" w:hRule="atLeast"/>
          <w:jc w:val="center"/>
        </w:trPr>
        <w:tc>
          <w:tcPr>
            <w:tcW w:w="1384" w:type="dxa"/>
            <w:vAlign w:val="center"/>
          </w:tcPr>
          <w:p>
            <w:pPr>
              <w:pStyle w:val="42"/>
              <w:ind w:firstLine="0" w:firstLineChars="0"/>
              <w:rPr>
                <w:szCs w:val="21"/>
              </w:rPr>
            </w:pPr>
            <w:r>
              <w:rPr>
                <w:rFonts w:hint="eastAsia"/>
                <w:szCs w:val="21"/>
              </w:rPr>
              <w:t>网卡</w:t>
            </w:r>
          </w:p>
        </w:tc>
        <w:tc>
          <w:tcPr>
            <w:tcW w:w="7138" w:type="dxa"/>
            <w:vAlign w:val="center"/>
          </w:tcPr>
          <w:p>
            <w:pPr>
              <w:pStyle w:val="42"/>
              <w:ind w:firstLine="0" w:firstLineChars="0"/>
              <w:rPr>
                <w:szCs w:val="21"/>
              </w:rPr>
            </w:pPr>
            <w:r>
              <w:rPr>
                <w:szCs w:val="21"/>
              </w:rPr>
              <w:t>本次配置</w:t>
            </w:r>
            <w:r>
              <w:rPr>
                <w:rFonts w:hint="eastAsia"/>
                <w:szCs w:val="21"/>
              </w:rPr>
              <w:t>≥4个</w:t>
            </w:r>
            <w:r>
              <w:rPr>
                <w:szCs w:val="21"/>
              </w:rPr>
              <w:t xml:space="preserve">10/100/1000M-BaseT </w:t>
            </w:r>
            <w:r>
              <w:rPr>
                <w:rFonts w:hint="eastAsia"/>
                <w:szCs w:val="21"/>
              </w:rPr>
              <w:t>多功能以太网接口</w:t>
            </w:r>
          </w:p>
          <w:p>
            <w:pPr>
              <w:pStyle w:val="42"/>
              <w:ind w:firstLine="0" w:firstLineChars="0"/>
              <w:rPr>
                <w:szCs w:val="21"/>
              </w:rPr>
            </w:pPr>
            <w:r>
              <w:rPr>
                <w:rFonts w:hint="eastAsia"/>
                <w:szCs w:val="21"/>
              </w:rPr>
              <w:t>要求额外</w:t>
            </w:r>
            <w:r>
              <w:rPr>
                <w:szCs w:val="21"/>
              </w:rPr>
              <w:t>提供</w:t>
            </w:r>
            <w:r>
              <w:rPr>
                <w:rFonts w:hint="eastAsia"/>
                <w:szCs w:val="21"/>
              </w:rPr>
              <w:t>≥1个</w:t>
            </w:r>
            <w:r>
              <w:rPr>
                <w:szCs w:val="21"/>
              </w:rPr>
              <w:t>网卡专用插槽</w:t>
            </w:r>
            <w:r>
              <w:rPr>
                <w:rFonts w:hint="eastAsia"/>
                <w:szCs w:val="21"/>
              </w:rPr>
              <w:t>（</w:t>
            </w:r>
            <w:r>
              <w:rPr>
                <w:szCs w:val="21"/>
              </w:rPr>
              <w:t>不占用PCIE扩展槽）</w:t>
            </w:r>
          </w:p>
          <w:p>
            <w:pPr>
              <w:pStyle w:val="42"/>
              <w:ind w:firstLine="0" w:firstLineChars="0"/>
              <w:rPr>
                <w:szCs w:val="21"/>
              </w:rPr>
            </w:pPr>
            <w:r>
              <w:rPr>
                <w:rFonts w:hint="eastAsia"/>
                <w:szCs w:val="21"/>
              </w:rPr>
              <w:t>提供2个SFP+网口（含光模块），2块16G单口FC HBA卡（含模块）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1" w:hRule="atLeast"/>
          <w:jc w:val="center"/>
        </w:trPr>
        <w:tc>
          <w:tcPr>
            <w:tcW w:w="1384" w:type="dxa"/>
            <w:vAlign w:val="center"/>
          </w:tcPr>
          <w:p>
            <w:pPr>
              <w:pStyle w:val="42"/>
              <w:ind w:firstLine="0" w:firstLineChars="0"/>
              <w:rPr>
                <w:szCs w:val="21"/>
              </w:rPr>
            </w:pPr>
            <w:r>
              <w:rPr>
                <w:szCs w:val="21"/>
              </w:rPr>
              <w:t>GPU</w:t>
            </w:r>
          </w:p>
        </w:tc>
        <w:tc>
          <w:tcPr>
            <w:tcW w:w="7138" w:type="dxa"/>
            <w:vAlign w:val="center"/>
          </w:tcPr>
          <w:p>
            <w:pPr>
              <w:pStyle w:val="42"/>
              <w:ind w:firstLine="0" w:firstLineChars="0"/>
              <w:rPr>
                <w:szCs w:val="21"/>
              </w:rPr>
            </w:pPr>
            <w:r>
              <w:rPr>
                <w:rFonts w:hint="eastAsia"/>
                <w:szCs w:val="21"/>
              </w:rPr>
              <w:t>≥</w:t>
            </w:r>
            <w:r>
              <w:rPr>
                <w:szCs w:val="21"/>
              </w:rPr>
              <w:t>12个3.5寸热插拔硬盘时</w:t>
            </w:r>
            <w:r>
              <w:rPr>
                <w:rFonts w:hint="eastAsia"/>
                <w:szCs w:val="21"/>
              </w:rPr>
              <w:t>，</w:t>
            </w:r>
            <w:r>
              <w:rPr>
                <w:szCs w:val="21"/>
              </w:rPr>
              <w:t>可配置</w:t>
            </w:r>
            <w:r>
              <w:rPr>
                <w:rFonts w:hint="eastAsia"/>
                <w:szCs w:val="21"/>
              </w:rPr>
              <w:t>≥</w:t>
            </w:r>
            <w:r>
              <w:rPr>
                <w:szCs w:val="21"/>
              </w:rPr>
              <w:t>1</w:t>
            </w:r>
            <w:r>
              <w:rPr>
                <w:rFonts w:hint="eastAsia"/>
                <w:szCs w:val="21"/>
              </w:rPr>
              <w:t>块</w:t>
            </w:r>
            <w:r>
              <w:rPr>
                <w:szCs w:val="21"/>
              </w:rPr>
              <w:t>K2</w:t>
            </w:r>
            <w:r>
              <w:rPr>
                <w:rFonts w:hint="eastAsia"/>
                <w:szCs w:val="21"/>
              </w:rPr>
              <w:t>级别显卡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384" w:type="dxa"/>
            <w:vAlign w:val="center"/>
          </w:tcPr>
          <w:p>
            <w:pPr>
              <w:pStyle w:val="42"/>
              <w:ind w:firstLine="0" w:firstLineChars="0"/>
              <w:rPr>
                <w:szCs w:val="21"/>
              </w:rPr>
            </w:pPr>
            <w:r>
              <w:rPr>
                <w:rFonts w:hint="eastAsia"/>
                <w:szCs w:val="21"/>
              </w:rPr>
              <w:t>接口</w:t>
            </w:r>
          </w:p>
        </w:tc>
        <w:tc>
          <w:tcPr>
            <w:tcW w:w="7138" w:type="dxa"/>
            <w:vAlign w:val="center"/>
          </w:tcPr>
          <w:p>
            <w:pPr>
              <w:pStyle w:val="42"/>
              <w:ind w:firstLine="0" w:firstLineChars="0"/>
              <w:rPr>
                <w:szCs w:val="21"/>
              </w:rPr>
            </w:pPr>
            <w:r>
              <w:rPr>
                <w:rFonts w:hint="eastAsia"/>
                <w:szCs w:val="21"/>
              </w:rPr>
              <w:t>≥</w:t>
            </w:r>
            <w:r>
              <w:rPr>
                <w:szCs w:val="21"/>
              </w:rPr>
              <w:t>5</w:t>
            </w:r>
            <w:r>
              <w:rPr>
                <w:rFonts w:hint="eastAsia"/>
                <w:szCs w:val="21"/>
              </w:rPr>
              <w:t>个</w:t>
            </w:r>
            <w:r>
              <w:rPr>
                <w:szCs w:val="21"/>
              </w:rPr>
              <w:t>USB3.0</w:t>
            </w:r>
            <w:r>
              <w:rPr>
                <w:rFonts w:hint="eastAsia"/>
                <w:szCs w:val="21"/>
              </w:rPr>
              <w:t>接口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384" w:type="dxa"/>
            <w:vAlign w:val="center"/>
          </w:tcPr>
          <w:p>
            <w:pPr>
              <w:pStyle w:val="42"/>
              <w:ind w:firstLine="0" w:firstLineChars="0"/>
              <w:rPr>
                <w:szCs w:val="21"/>
              </w:rPr>
            </w:pPr>
            <w:r>
              <w:rPr>
                <w:rFonts w:hint="eastAsia"/>
                <w:szCs w:val="21"/>
              </w:rPr>
              <w:t>冗余电源</w:t>
            </w:r>
          </w:p>
        </w:tc>
        <w:tc>
          <w:tcPr>
            <w:tcW w:w="7138" w:type="dxa"/>
            <w:vAlign w:val="center"/>
          </w:tcPr>
          <w:p>
            <w:pPr>
              <w:pStyle w:val="42"/>
              <w:ind w:firstLine="0" w:firstLineChars="0"/>
              <w:rPr>
                <w:szCs w:val="21"/>
              </w:rPr>
            </w:pPr>
            <w:r>
              <w:rPr>
                <w:szCs w:val="21"/>
              </w:rPr>
              <w:t>2</w:t>
            </w:r>
            <w:r>
              <w:rPr>
                <w:rFonts w:hint="eastAsia"/>
                <w:szCs w:val="21"/>
              </w:rPr>
              <w:t>个≥500</w:t>
            </w:r>
            <w:r>
              <w:rPr>
                <w:szCs w:val="21"/>
              </w:rPr>
              <w:t>w</w:t>
            </w:r>
            <w:r>
              <w:rPr>
                <w:rFonts w:hint="eastAsia"/>
                <w:szCs w:val="21"/>
              </w:rPr>
              <w:t>铂金版热插拔冗余电源，可选服务器内部后备</w:t>
            </w:r>
            <w:r>
              <w:rPr>
                <w:szCs w:val="21"/>
              </w:rPr>
              <w:t>电池，</w:t>
            </w:r>
            <w:r>
              <w:rPr>
                <w:rFonts w:hint="eastAsia"/>
                <w:szCs w:val="21"/>
              </w:rPr>
              <w:t>断电</w:t>
            </w:r>
            <w:r>
              <w:rPr>
                <w:szCs w:val="21"/>
              </w:rPr>
              <w:t>情况下，支撑服务器运行</w:t>
            </w:r>
            <w:r>
              <w:rPr>
                <w:rFonts w:hint="eastAsia"/>
                <w:szCs w:val="21"/>
              </w:rPr>
              <w:t>≥</w:t>
            </w:r>
            <w:r>
              <w:rPr>
                <w:szCs w:val="21"/>
              </w:rPr>
              <w:t>60</w:t>
            </w:r>
            <w:r>
              <w:rPr>
                <w:rFonts w:hint="eastAsia"/>
                <w:szCs w:val="21"/>
              </w:rPr>
              <w:t>秒</w:t>
            </w:r>
            <w:r>
              <w:rPr>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trHeight w:val="300" w:hRule="atLeast"/>
          <w:jc w:val="center"/>
        </w:trPr>
        <w:tc>
          <w:tcPr>
            <w:tcW w:w="1384" w:type="dxa"/>
            <w:vAlign w:val="center"/>
          </w:tcPr>
          <w:p>
            <w:pPr>
              <w:pStyle w:val="42"/>
              <w:ind w:firstLine="0" w:firstLineChars="0"/>
              <w:rPr>
                <w:szCs w:val="21"/>
              </w:rPr>
            </w:pPr>
            <w:r>
              <w:rPr>
                <w:rFonts w:hint="eastAsia"/>
                <w:szCs w:val="21"/>
              </w:rPr>
              <w:t>冗余风扇</w:t>
            </w:r>
          </w:p>
        </w:tc>
        <w:tc>
          <w:tcPr>
            <w:tcW w:w="7138" w:type="dxa"/>
            <w:vAlign w:val="center"/>
          </w:tcPr>
          <w:p>
            <w:pPr>
              <w:pStyle w:val="42"/>
              <w:ind w:firstLine="0" w:firstLineChars="0"/>
              <w:rPr>
                <w:szCs w:val="21"/>
              </w:rPr>
            </w:pPr>
            <w:r>
              <w:rPr>
                <w:rFonts w:hint="eastAsia"/>
                <w:szCs w:val="21"/>
              </w:rPr>
              <w:t>热插拔冗余风扇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890" w:hRule="atLeast"/>
          <w:jc w:val="center"/>
        </w:trPr>
        <w:tc>
          <w:tcPr>
            <w:tcW w:w="1384" w:type="dxa"/>
            <w:vAlign w:val="center"/>
          </w:tcPr>
          <w:p>
            <w:pPr>
              <w:pStyle w:val="42"/>
              <w:ind w:firstLine="0" w:firstLineChars="0"/>
              <w:rPr>
                <w:szCs w:val="21"/>
              </w:rPr>
            </w:pPr>
            <w:r>
              <w:rPr>
                <w:rFonts w:hint="eastAsia"/>
                <w:szCs w:val="21"/>
              </w:rPr>
              <w:t>远程管理卡</w:t>
            </w:r>
          </w:p>
        </w:tc>
        <w:tc>
          <w:tcPr>
            <w:tcW w:w="7138" w:type="dxa"/>
            <w:vAlign w:val="center"/>
          </w:tcPr>
          <w:p>
            <w:pPr>
              <w:pStyle w:val="42"/>
              <w:ind w:firstLine="0" w:firstLineChars="0"/>
              <w:rPr>
                <w:szCs w:val="21"/>
              </w:rPr>
            </w:pPr>
            <w:r>
              <w:rPr>
                <w:rFonts w:hint="eastAsia"/>
                <w:szCs w:val="21"/>
              </w:rPr>
              <w:t>配置≥</w:t>
            </w:r>
            <w:r>
              <w:rPr>
                <w:szCs w:val="21"/>
              </w:rPr>
              <w:t>1Gb</w:t>
            </w:r>
            <w:r>
              <w:rPr>
                <w:rFonts w:hint="eastAsia"/>
                <w:szCs w:val="21"/>
              </w:rPr>
              <w:t>独立的远程管理控制端口，配置虚拟KVM</w:t>
            </w:r>
            <w:r>
              <w:rPr>
                <w:szCs w:val="21"/>
              </w:rPr>
              <w:t xml:space="preserve">功能, </w:t>
            </w:r>
            <w:r>
              <w:rPr>
                <w:rFonts w:hint="eastAsia"/>
                <w:szCs w:val="21"/>
              </w:rPr>
              <w:t>可实现与操作系统无关的远程对服务器的完全控制，包括远程的开机、关机、重启、更新</w:t>
            </w:r>
            <w:r>
              <w:rPr>
                <w:szCs w:val="21"/>
              </w:rPr>
              <w:t>Firmware</w:t>
            </w:r>
            <w:r>
              <w:rPr>
                <w:rFonts w:hint="eastAsia"/>
                <w:szCs w:val="21"/>
              </w:rPr>
              <w:t>、虚拟软驱、虚拟光驱、</w:t>
            </w:r>
            <w:r>
              <w:rPr>
                <w:szCs w:val="21"/>
              </w:rPr>
              <w:t>虚拟文件夹</w:t>
            </w:r>
            <w:r>
              <w:rPr>
                <w:rFonts w:hint="eastAsia"/>
                <w:szCs w:val="21"/>
              </w:rPr>
              <w:t>等操作，提供服务器健康日记、服务器控制台录屏</w:t>
            </w:r>
            <w:r>
              <w:rPr>
                <w:szCs w:val="21"/>
              </w:rPr>
              <w:t>/</w:t>
            </w:r>
            <w:r>
              <w:rPr>
                <w:rFonts w:hint="eastAsia"/>
                <w:szCs w:val="21"/>
              </w:rPr>
              <w:t>回放功能，能够提供电源监控，支持</w:t>
            </w:r>
            <w:r>
              <w:rPr>
                <w:szCs w:val="21"/>
              </w:rPr>
              <w:t>3D图形化的机箱内部温度拓扑</w:t>
            </w:r>
            <w:r>
              <w:rPr>
                <w:rFonts w:hint="eastAsia"/>
                <w:szCs w:val="21"/>
              </w:rPr>
              <w:t>图</w:t>
            </w:r>
            <w:r>
              <w:rPr>
                <w:szCs w:val="21"/>
              </w:rPr>
              <w:t>显示</w:t>
            </w:r>
            <w:r>
              <w:rPr>
                <w:rFonts w:hint="eastAsia"/>
                <w:szCs w:val="21"/>
              </w:rPr>
              <w:t>，可支持动态功率封顶。</w:t>
            </w:r>
          </w:p>
          <w:p>
            <w:pPr>
              <w:pStyle w:val="42"/>
              <w:ind w:firstLine="0" w:firstLineChars="0"/>
              <w:rPr>
                <w:szCs w:val="21"/>
              </w:rPr>
            </w:pPr>
            <w:r>
              <w:rPr>
                <w:rFonts w:hint="eastAsia"/>
                <w:szCs w:val="21"/>
              </w:rPr>
              <w:t>嵌入式</w:t>
            </w:r>
            <w:r>
              <w:rPr>
                <w:szCs w:val="21"/>
              </w:rPr>
              <w:t>管理工具</w:t>
            </w:r>
            <w:r>
              <w:rPr>
                <w:rFonts w:hint="eastAsia"/>
                <w:szCs w:val="21"/>
              </w:rPr>
              <w:t>支持联合</w:t>
            </w:r>
            <w:r>
              <w:rPr>
                <w:szCs w:val="21"/>
              </w:rPr>
              <w:t>管理功能，无需软件即可</w:t>
            </w:r>
            <w:r>
              <w:rPr>
                <w:rFonts w:hint="eastAsia"/>
                <w:szCs w:val="21"/>
              </w:rPr>
              <w:t>实现多台</w:t>
            </w:r>
            <w:r>
              <w:rPr>
                <w:szCs w:val="21"/>
              </w:rPr>
              <w:t>服务器统一管理功能，如</w:t>
            </w:r>
            <w:r>
              <w:rPr>
                <w:rFonts w:hint="eastAsia"/>
                <w:szCs w:val="21"/>
              </w:rPr>
              <w:t>监控</w:t>
            </w:r>
            <w:r>
              <w:rPr>
                <w:szCs w:val="21"/>
              </w:rPr>
              <w:t>硬件健康状况，固件</w:t>
            </w:r>
            <w:r>
              <w:rPr>
                <w:rFonts w:hint="eastAsia"/>
                <w:szCs w:val="21"/>
              </w:rPr>
              <w:t>升级</w:t>
            </w:r>
            <w:r>
              <w:rPr>
                <w:szCs w:val="21"/>
              </w:rPr>
              <w:t>等。</w:t>
            </w:r>
          </w:p>
          <w:p>
            <w:pPr>
              <w:pStyle w:val="42"/>
              <w:ind w:firstLine="0" w:firstLineChars="0"/>
              <w:rPr>
                <w:szCs w:val="21"/>
              </w:rPr>
            </w:pPr>
            <w:r>
              <w:rPr>
                <w:rFonts w:hint="eastAsia"/>
                <w:szCs w:val="21"/>
              </w:rPr>
              <w:t>免费提供</w:t>
            </w:r>
            <w:r>
              <w:rPr>
                <w:szCs w:val="21"/>
              </w:rPr>
              <w:t>升级</w:t>
            </w:r>
            <w:r>
              <w:rPr>
                <w:rFonts w:hint="eastAsia"/>
                <w:szCs w:val="21"/>
              </w:rPr>
              <w:t>工具</w:t>
            </w:r>
            <w:r>
              <w:rPr>
                <w:szCs w:val="21"/>
              </w:rPr>
              <w:t>，</w:t>
            </w:r>
            <w:r>
              <w:rPr>
                <w:rFonts w:hint="eastAsia"/>
                <w:szCs w:val="21"/>
              </w:rPr>
              <w:t>无需</w:t>
            </w:r>
            <w:r>
              <w:rPr>
                <w:szCs w:val="21"/>
              </w:rPr>
              <w:t>安装代理即可可</w:t>
            </w:r>
            <w:r>
              <w:rPr>
                <w:rFonts w:hint="eastAsia"/>
                <w:szCs w:val="21"/>
              </w:rPr>
              <w:t>统一</w:t>
            </w:r>
            <w:r>
              <w:rPr>
                <w:szCs w:val="21"/>
              </w:rPr>
              <w:t>升级同一网络中服务器</w:t>
            </w:r>
            <w:r>
              <w:rPr>
                <w:rFonts w:hint="eastAsia"/>
                <w:szCs w:val="21"/>
              </w:rPr>
              <w:t>的</w:t>
            </w:r>
            <w:r>
              <w:rPr>
                <w:szCs w:val="21"/>
              </w:rPr>
              <w:t>固件及驱动程序。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1384" w:type="dxa"/>
            <w:vAlign w:val="center"/>
          </w:tcPr>
          <w:p>
            <w:pPr>
              <w:pStyle w:val="42"/>
              <w:ind w:firstLine="0" w:firstLineChars="0"/>
              <w:rPr>
                <w:szCs w:val="21"/>
              </w:rPr>
            </w:pPr>
            <w:r>
              <w:rPr>
                <w:rFonts w:hint="eastAsia"/>
                <w:szCs w:val="21"/>
              </w:rPr>
              <w:t>多平台支持</w:t>
            </w:r>
          </w:p>
        </w:tc>
        <w:tc>
          <w:tcPr>
            <w:tcW w:w="7138" w:type="dxa"/>
            <w:vAlign w:val="center"/>
          </w:tcPr>
          <w:p>
            <w:pPr>
              <w:pStyle w:val="42"/>
              <w:ind w:firstLine="0" w:firstLineChars="0"/>
              <w:rPr>
                <w:szCs w:val="21"/>
              </w:rPr>
            </w:pPr>
            <w:r>
              <w:rPr>
                <w:rFonts w:hint="eastAsia"/>
                <w:szCs w:val="21"/>
              </w:rPr>
              <w:t>支持Windows、Linux平台及MS SQL、Oracle数据库，支持B/S架构</w:t>
            </w:r>
          </w:p>
        </w:tc>
      </w:tr>
    </w:tbl>
    <w:p>
      <w:pPr>
        <w:widowControl/>
        <w:jc w:val="left"/>
      </w:pPr>
    </w:p>
    <w:p>
      <w:pPr>
        <w:pStyle w:val="4"/>
        <w:tabs>
          <w:tab w:val="left" w:pos="432"/>
        </w:tabs>
        <w:rPr>
          <w:sz w:val="24"/>
          <w:szCs w:val="24"/>
        </w:rPr>
      </w:pPr>
      <w:r>
        <w:rPr>
          <w:rFonts w:hint="eastAsia"/>
          <w:sz w:val="24"/>
          <w:szCs w:val="24"/>
        </w:rPr>
        <w:t>7.3.32 备份服务器</w:t>
      </w:r>
    </w:p>
    <w:tbl>
      <w:tblPr>
        <w:tblStyle w:val="35"/>
        <w:tblW w:w="8589"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975"/>
        <w:gridCol w:w="661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1975" w:type="dxa"/>
            <w:vAlign w:val="center"/>
          </w:tcPr>
          <w:p>
            <w:pPr>
              <w:widowControl/>
              <w:jc w:val="center"/>
              <w:rPr>
                <w:rFonts w:ascii="宋体" w:hAnsi="宋体" w:cs="Arial"/>
                <w:b/>
                <w:bCs/>
                <w:kern w:val="0"/>
                <w:szCs w:val="21"/>
              </w:rPr>
            </w:pPr>
            <w:r>
              <w:rPr>
                <w:rFonts w:hint="eastAsia" w:ascii="宋体" w:hAnsi="宋体" w:cs="Arial"/>
                <w:b/>
                <w:bCs/>
                <w:kern w:val="0"/>
                <w:szCs w:val="21"/>
              </w:rPr>
              <w:t>指标项</w:t>
            </w:r>
          </w:p>
        </w:tc>
        <w:tc>
          <w:tcPr>
            <w:tcW w:w="6614" w:type="dxa"/>
            <w:vAlign w:val="center"/>
          </w:tcPr>
          <w:p>
            <w:pPr>
              <w:widowControl/>
              <w:jc w:val="center"/>
              <w:rPr>
                <w:rFonts w:ascii="宋体" w:hAnsi="宋体" w:cs="Arial"/>
                <w:b/>
                <w:bCs/>
                <w:kern w:val="0"/>
                <w:szCs w:val="21"/>
              </w:rPr>
            </w:pPr>
            <w:r>
              <w:rPr>
                <w:rFonts w:hint="eastAsia" w:ascii="宋体" w:hAnsi="宋体" w:cs="Arial"/>
                <w:b/>
                <w:bCs/>
                <w:kern w:val="0"/>
                <w:szCs w:val="21"/>
              </w:rPr>
              <w:t>指标要求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1975" w:type="dxa"/>
            <w:vAlign w:val="center"/>
          </w:tcPr>
          <w:p>
            <w:pPr>
              <w:pStyle w:val="42"/>
              <w:ind w:firstLine="0" w:firstLineChars="0"/>
              <w:jc w:val="center"/>
              <w:rPr>
                <w:rFonts w:ascii="宋体" w:hAnsi="宋体"/>
                <w:szCs w:val="21"/>
              </w:rPr>
            </w:pPr>
            <w:r>
              <w:rPr>
                <w:rFonts w:hint="eastAsia" w:ascii="宋体" w:hAnsi="宋体"/>
                <w:szCs w:val="21"/>
              </w:rPr>
              <w:t>服务器外型</w:t>
            </w:r>
          </w:p>
        </w:tc>
        <w:tc>
          <w:tcPr>
            <w:tcW w:w="6614" w:type="dxa"/>
            <w:vAlign w:val="center"/>
          </w:tcPr>
          <w:p>
            <w:pPr>
              <w:pStyle w:val="42"/>
              <w:ind w:firstLine="0" w:firstLineChars="0"/>
              <w:rPr>
                <w:rFonts w:ascii="宋体" w:hAnsi="宋体"/>
                <w:szCs w:val="21"/>
              </w:rPr>
            </w:pPr>
            <w:r>
              <w:rPr>
                <w:rFonts w:hint="eastAsia" w:ascii="宋体" w:hAnsi="宋体"/>
                <w:szCs w:val="21"/>
              </w:rPr>
              <w:t>机架式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1975" w:type="dxa"/>
            <w:vAlign w:val="center"/>
          </w:tcPr>
          <w:p>
            <w:pPr>
              <w:pStyle w:val="42"/>
              <w:ind w:firstLine="0" w:firstLineChars="0"/>
              <w:jc w:val="center"/>
              <w:rPr>
                <w:rFonts w:ascii="宋体" w:hAnsi="宋体"/>
                <w:szCs w:val="21"/>
              </w:rPr>
            </w:pPr>
            <w:r>
              <w:rPr>
                <w:rFonts w:hint="eastAsia" w:ascii="宋体" w:hAnsi="宋体"/>
                <w:szCs w:val="21"/>
              </w:rPr>
              <w:t>服务器高度</w:t>
            </w:r>
          </w:p>
        </w:tc>
        <w:tc>
          <w:tcPr>
            <w:tcW w:w="6614" w:type="dxa"/>
            <w:vAlign w:val="center"/>
          </w:tcPr>
          <w:p>
            <w:pPr>
              <w:pStyle w:val="42"/>
              <w:ind w:firstLine="0" w:firstLineChars="0"/>
              <w:rPr>
                <w:rFonts w:ascii="宋体" w:hAnsi="宋体"/>
                <w:szCs w:val="21"/>
              </w:rPr>
            </w:pPr>
            <w:r>
              <w:rPr>
                <w:rFonts w:ascii="宋体" w:hAnsi="宋体"/>
                <w:szCs w:val="21"/>
              </w:rPr>
              <w:t>≥2U</w:t>
            </w:r>
            <w:r>
              <w:rPr>
                <w:rFonts w:hint="eastAsia" w:ascii="宋体" w:hAnsi="宋体"/>
                <w:szCs w:val="21"/>
              </w:rPr>
              <w:t>，标配原厂导轨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1975" w:type="dxa"/>
            <w:vAlign w:val="center"/>
          </w:tcPr>
          <w:p>
            <w:pPr>
              <w:pStyle w:val="42"/>
              <w:ind w:firstLine="0" w:firstLineChars="0"/>
              <w:jc w:val="center"/>
              <w:rPr>
                <w:rFonts w:ascii="宋体" w:hAnsi="宋体"/>
                <w:szCs w:val="21"/>
              </w:rPr>
            </w:pPr>
            <w:r>
              <w:rPr>
                <w:rFonts w:hint="eastAsia" w:ascii="宋体" w:hAnsi="宋体"/>
                <w:color w:val="000000"/>
                <w:szCs w:val="21"/>
              </w:rPr>
              <w:t>▲</w:t>
            </w:r>
            <w:r>
              <w:rPr>
                <w:rFonts w:ascii="宋体" w:hAnsi="宋体"/>
                <w:szCs w:val="21"/>
              </w:rPr>
              <w:t>CPU</w:t>
            </w:r>
            <w:r>
              <w:rPr>
                <w:rFonts w:hint="eastAsia" w:ascii="宋体" w:hAnsi="宋体"/>
                <w:szCs w:val="21"/>
              </w:rPr>
              <w:t>型号</w:t>
            </w:r>
          </w:p>
        </w:tc>
        <w:tc>
          <w:tcPr>
            <w:tcW w:w="6614" w:type="dxa"/>
            <w:vAlign w:val="center"/>
          </w:tcPr>
          <w:p>
            <w:pPr>
              <w:pStyle w:val="42"/>
              <w:ind w:firstLine="0" w:firstLineChars="0"/>
              <w:rPr>
                <w:rFonts w:ascii="宋体" w:hAnsi="宋体"/>
                <w:szCs w:val="21"/>
              </w:rPr>
            </w:pPr>
            <w:r>
              <w:rPr>
                <w:rFonts w:ascii="宋体" w:hAnsi="宋体"/>
                <w:szCs w:val="21"/>
              </w:rPr>
              <w:t>Intel Xeon E5-26</w:t>
            </w:r>
            <w:r>
              <w:rPr>
                <w:rFonts w:hint="eastAsia" w:ascii="宋体" w:hAnsi="宋体"/>
                <w:szCs w:val="21"/>
              </w:rPr>
              <w:t>3</w:t>
            </w:r>
            <w:r>
              <w:rPr>
                <w:rFonts w:ascii="宋体" w:hAnsi="宋体"/>
                <w:szCs w:val="21"/>
              </w:rPr>
              <w:t xml:space="preserve">0 </w:t>
            </w:r>
            <w:r>
              <w:rPr>
                <w:rFonts w:hint="eastAsia" w:ascii="宋体" w:hAnsi="宋体"/>
                <w:szCs w:val="21"/>
              </w:rPr>
              <w:t>V4及以上，</w:t>
            </w:r>
            <w:r>
              <w:rPr>
                <w:rFonts w:ascii="宋体" w:hAnsi="宋体"/>
                <w:szCs w:val="21"/>
              </w:rPr>
              <w:t>可支持</w:t>
            </w:r>
            <w:r>
              <w:rPr>
                <w:rFonts w:hint="eastAsia" w:ascii="宋体" w:hAnsi="宋体"/>
                <w:szCs w:val="21"/>
              </w:rPr>
              <w:t>≥</w:t>
            </w:r>
            <w:r>
              <w:rPr>
                <w:rFonts w:ascii="宋体" w:hAnsi="宋体"/>
                <w:szCs w:val="21"/>
              </w:rPr>
              <w:t>135w处理器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1975" w:type="dxa"/>
            <w:vAlign w:val="center"/>
          </w:tcPr>
          <w:p>
            <w:pPr>
              <w:pStyle w:val="42"/>
              <w:ind w:firstLine="0" w:firstLineChars="0"/>
              <w:jc w:val="center"/>
              <w:rPr>
                <w:rFonts w:ascii="宋体" w:hAnsi="宋体"/>
                <w:szCs w:val="21"/>
              </w:rPr>
            </w:pPr>
            <w:r>
              <w:rPr>
                <w:rFonts w:ascii="宋体" w:hAnsi="宋体"/>
                <w:szCs w:val="21"/>
              </w:rPr>
              <w:t>CPU</w:t>
            </w:r>
            <w:r>
              <w:rPr>
                <w:rFonts w:hint="eastAsia" w:ascii="宋体" w:hAnsi="宋体"/>
                <w:szCs w:val="21"/>
              </w:rPr>
              <w:t>实配数量</w:t>
            </w:r>
          </w:p>
        </w:tc>
        <w:tc>
          <w:tcPr>
            <w:tcW w:w="6614" w:type="dxa"/>
            <w:vAlign w:val="center"/>
          </w:tcPr>
          <w:p>
            <w:pPr>
              <w:pStyle w:val="42"/>
              <w:ind w:firstLine="0" w:firstLineChars="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trHeight w:val="20" w:hRule="atLeast"/>
          <w:jc w:val="center"/>
        </w:trPr>
        <w:tc>
          <w:tcPr>
            <w:tcW w:w="1975" w:type="dxa"/>
            <w:vAlign w:val="center"/>
          </w:tcPr>
          <w:p>
            <w:pPr>
              <w:pStyle w:val="42"/>
              <w:ind w:firstLine="0" w:firstLineChars="0"/>
              <w:jc w:val="center"/>
              <w:rPr>
                <w:rFonts w:ascii="宋体" w:hAnsi="宋体"/>
                <w:szCs w:val="21"/>
              </w:rPr>
            </w:pPr>
            <w:r>
              <w:rPr>
                <w:rFonts w:hint="eastAsia" w:ascii="宋体" w:hAnsi="宋体"/>
                <w:szCs w:val="21"/>
              </w:rPr>
              <w:t>内存功能</w:t>
            </w:r>
          </w:p>
        </w:tc>
        <w:tc>
          <w:tcPr>
            <w:tcW w:w="6614" w:type="dxa"/>
            <w:vAlign w:val="center"/>
          </w:tcPr>
          <w:p>
            <w:pPr>
              <w:pStyle w:val="42"/>
              <w:ind w:firstLine="0" w:firstLineChars="0"/>
              <w:rPr>
                <w:rFonts w:ascii="宋体" w:hAnsi="宋体"/>
                <w:szCs w:val="21"/>
              </w:rPr>
            </w:pPr>
            <w:r>
              <w:rPr>
                <w:rFonts w:ascii="宋体" w:hAnsi="宋体"/>
                <w:szCs w:val="21"/>
              </w:rPr>
              <w:t>Advanced ECC</w:t>
            </w:r>
            <w:r>
              <w:rPr>
                <w:rFonts w:hint="eastAsia" w:ascii="宋体" w:hAnsi="宋体"/>
                <w:szCs w:val="21"/>
              </w:rPr>
              <w:t>、内存在线</w:t>
            </w:r>
            <w:r>
              <w:rPr>
                <w:rFonts w:ascii="宋体" w:hAnsi="宋体"/>
                <w:szCs w:val="21"/>
              </w:rPr>
              <w:t>热备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1975" w:type="dxa"/>
            <w:vAlign w:val="center"/>
          </w:tcPr>
          <w:p>
            <w:pPr>
              <w:pStyle w:val="42"/>
              <w:ind w:firstLine="0" w:firstLineChars="0"/>
              <w:jc w:val="center"/>
              <w:rPr>
                <w:rFonts w:ascii="宋体" w:hAnsi="宋体"/>
                <w:szCs w:val="21"/>
              </w:rPr>
            </w:pPr>
            <w:r>
              <w:rPr>
                <w:rFonts w:hint="eastAsia" w:ascii="宋体" w:hAnsi="宋体"/>
                <w:szCs w:val="21"/>
              </w:rPr>
              <w:t>内存实配规格</w:t>
            </w:r>
          </w:p>
        </w:tc>
        <w:tc>
          <w:tcPr>
            <w:tcW w:w="6614" w:type="dxa"/>
            <w:vAlign w:val="center"/>
          </w:tcPr>
          <w:p>
            <w:pPr>
              <w:pStyle w:val="42"/>
              <w:ind w:firstLine="0" w:firstLineChars="0"/>
              <w:rPr>
                <w:rFonts w:ascii="宋体" w:hAnsi="宋体"/>
                <w:szCs w:val="21"/>
              </w:rPr>
            </w:pPr>
            <w:r>
              <w:rPr>
                <w:rFonts w:hint="eastAsia" w:ascii="宋体" w:hAnsi="宋体"/>
                <w:szCs w:val="21"/>
              </w:rPr>
              <w:t>≥64</w:t>
            </w:r>
            <w:r>
              <w:rPr>
                <w:rFonts w:ascii="宋体" w:hAnsi="宋体"/>
                <w:szCs w:val="21"/>
              </w:rPr>
              <w:t xml:space="preserve">GB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1975" w:type="dxa"/>
            <w:vAlign w:val="center"/>
          </w:tcPr>
          <w:p>
            <w:pPr>
              <w:pStyle w:val="42"/>
              <w:ind w:firstLine="0" w:firstLineChars="0"/>
              <w:jc w:val="center"/>
              <w:rPr>
                <w:rFonts w:ascii="宋体" w:hAnsi="宋体"/>
                <w:szCs w:val="21"/>
              </w:rPr>
            </w:pPr>
            <w:r>
              <w:rPr>
                <w:rFonts w:hint="eastAsia" w:ascii="宋体" w:hAnsi="宋体"/>
                <w:szCs w:val="21"/>
              </w:rPr>
              <w:t>内存可扩展数量</w:t>
            </w:r>
          </w:p>
        </w:tc>
        <w:tc>
          <w:tcPr>
            <w:tcW w:w="6614" w:type="dxa"/>
            <w:vAlign w:val="center"/>
          </w:tcPr>
          <w:p>
            <w:pPr>
              <w:pStyle w:val="42"/>
              <w:ind w:firstLine="0" w:firstLineChars="0"/>
              <w:rPr>
                <w:rFonts w:ascii="宋体" w:hAnsi="宋体"/>
                <w:szCs w:val="21"/>
              </w:rPr>
            </w:pPr>
            <w:r>
              <w:rPr>
                <w:rFonts w:hint="eastAsia" w:ascii="宋体" w:hAnsi="宋体"/>
                <w:szCs w:val="21"/>
              </w:rPr>
              <w:t>可扩展≥</w:t>
            </w:r>
            <w:r>
              <w:rPr>
                <w:rFonts w:ascii="宋体" w:hAnsi="宋体"/>
                <w:szCs w:val="21"/>
              </w:rPr>
              <w:t>24</w:t>
            </w:r>
            <w:r>
              <w:rPr>
                <w:rFonts w:hint="eastAsia" w:ascii="宋体" w:hAnsi="宋体"/>
                <w:szCs w:val="21"/>
              </w:rPr>
              <w:t>个内存插槽，官方支持最大容量</w:t>
            </w:r>
            <w:r>
              <w:rPr>
                <w:rFonts w:ascii="宋体" w:hAnsi="宋体"/>
                <w:szCs w:val="21"/>
              </w:rPr>
              <w:t>3T</w:t>
            </w:r>
            <w:r>
              <w:rPr>
                <w:rFonts w:hint="eastAsia" w:ascii="宋体" w:hAnsi="宋体"/>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1975" w:type="dxa"/>
            <w:vAlign w:val="center"/>
          </w:tcPr>
          <w:p>
            <w:pPr>
              <w:pStyle w:val="42"/>
              <w:ind w:firstLine="0" w:firstLineChars="0"/>
              <w:jc w:val="center"/>
              <w:rPr>
                <w:rFonts w:ascii="宋体" w:hAnsi="宋体"/>
                <w:szCs w:val="21"/>
              </w:rPr>
            </w:pPr>
            <w:r>
              <w:rPr>
                <w:rFonts w:hint="eastAsia" w:ascii="宋体" w:hAnsi="宋体"/>
                <w:szCs w:val="21"/>
              </w:rPr>
              <w:t>实配硬盘及</w:t>
            </w:r>
            <w:r>
              <w:rPr>
                <w:rFonts w:ascii="宋体" w:hAnsi="宋体"/>
                <w:szCs w:val="21"/>
              </w:rPr>
              <w:t>托架</w:t>
            </w:r>
          </w:p>
        </w:tc>
        <w:tc>
          <w:tcPr>
            <w:tcW w:w="6614" w:type="dxa"/>
            <w:vAlign w:val="center"/>
          </w:tcPr>
          <w:p>
            <w:pPr>
              <w:pStyle w:val="42"/>
              <w:ind w:firstLine="0" w:firstLineChars="0"/>
              <w:rPr>
                <w:rFonts w:ascii="宋体" w:hAnsi="宋体"/>
                <w:szCs w:val="21"/>
              </w:rPr>
            </w:pPr>
            <w:r>
              <w:rPr>
                <w:rFonts w:hint="eastAsia" w:ascii="宋体" w:hAnsi="宋体"/>
                <w:szCs w:val="21"/>
              </w:rPr>
              <w:t>≥8*</w:t>
            </w:r>
            <w:r>
              <w:rPr>
                <w:rFonts w:ascii="宋体" w:hAnsi="宋体"/>
                <w:szCs w:val="21"/>
              </w:rPr>
              <w:t>6</w:t>
            </w:r>
            <w:r>
              <w:rPr>
                <w:rFonts w:hint="eastAsia" w:ascii="宋体" w:hAnsi="宋体"/>
                <w:szCs w:val="21"/>
              </w:rPr>
              <w:t>TB硬盘，</w:t>
            </w:r>
            <w:r>
              <w:rPr>
                <w:rFonts w:ascii="宋体" w:hAnsi="宋体"/>
                <w:szCs w:val="21"/>
              </w:rPr>
              <w:t>硬盘</w:t>
            </w:r>
            <w:r>
              <w:rPr>
                <w:rFonts w:hint="eastAsia" w:ascii="宋体" w:hAnsi="宋体"/>
                <w:szCs w:val="21"/>
              </w:rPr>
              <w:t>托架</w:t>
            </w:r>
            <w:r>
              <w:rPr>
                <w:rFonts w:ascii="宋体" w:hAnsi="宋体"/>
                <w:szCs w:val="21"/>
              </w:rPr>
              <w:t>具备Raid重</w:t>
            </w:r>
            <w:r>
              <w:rPr>
                <w:rFonts w:hint="eastAsia" w:ascii="宋体" w:hAnsi="宋体"/>
                <w:szCs w:val="21"/>
              </w:rPr>
              <w:t>建</w:t>
            </w:r>
            <w:r>
              <w:rPr>
                <w:rFonts w:ascii="宋体" w:hAnsi="宋体"/>
                <w:szCs w:val="21"/>
              </w:rPr>
              <w:t>时</w:t>
            </w:r>
            <w:r>
              <w:rPr>
                <w:rFonts w:hint="eastAsia" w:ascii="宋体" w:hAnsi="宋体"/>
                <w:szCs w:val="21"/>
              </w:rPr>
              <w:t>不可拔</w:t>
            </w:r>
            <w:r>
              <w:rPr>
                <w:rFonts w:ascii="宋体" w:hAnsi="宋体"/>
                <w:szCs w:val="21"/>
              </w:rPr>
              <w:t>出硬盘</w:t>
            </w:r>
            <w:r>
              <w:rPr>
                <w:rFonts w:hint="eastAsia" w:ascii="宋体" w:hAnsi="宋体"/>
                <w:szCs w:val="21"/>
              </w:rPr>
              <w:t>提示指示灯</w:t>
            </w:r>
            <w:r>
              <w:rPr>
                <w:rFonts w:ascii="宋体" w:hAnsi="宋体"/>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1975" w:type="dxa"/>
            <w:vMerge w:val="restart"/>
            <w:vAlign w:val="center"/>
          </w:tcPr>
          <w:p>
            <w:pPr>
              <w:pStyle w:val="42"/>
              <w:ind w:firstLine="0" w:firstLineChars="0"/>
              <w:jc w:val="center"/>
              <w:rPr>
                <w:rFonts w:ascii="宋体" w:hAnsi="宋体"/>
                <w:szCs w:val="21"/>
              </w:rPr>
            </w:pPr>
            <w:r>
              <w:rPr>
                <w:rFonts w:hint="eastAsia" w:ascii="宋体" w:hAnsi="宋体"/>
                <w:szCs w:val="21"/>
              </w:rPr>
              <w:t>阵列控制器</w:t>
            </w:r>
          </w:p>
        </w:tc>
        <w:tc>
          <w:tcPr>
            <w:tcW w:w="6614" w:type="dxa"/>
            <w:vAlign w:val="center"/>
          </w:tcPr>
          <w:p>
            <w:pPr>
              <w:pStyle w:val="42"/>
              <w:ind w:firstLine="0" w:firstLineChars="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个标配SAS</w:t>
            </w:r>
            <w:r>
              <w:rPr>
                <w:rFonts w:ascii="宋体" w:hAnsi="宋体"/>
                <w:szCs w:val="21"/>
              </w:rPr>
              <w:t xml:space="preserve"> Raid阵列卡</w:t>
            </w:r>
            <w:r>
              <w:rPr>
                <w:rFonts w:hint="eastAsia" w:ascii="宋体" w:hAnsi="宋体"/>
                <w:szCs w:val="21"/>
              </w:rPr>
              <w:t>（</w:t>
            </w:r>
            <w:r>
              <w:rPr>
                <w:rFonts w:ascii="宋体" w:hAnsi="宋体"/>
                <w:szCs w:val="21"/>
              </w:rPr>
              <w:t>不占用PCIE扩展槽）</w:t>
            </w:r>
            <w:r>
              <w:rPr>
                <w:rFonts w:hint="eastAsia" w:ascii="宋体" w:hAnsi="宋体"/>
                <w:szCs w:val="21"/>
              </w:rPr>
              <w:t>，</w:t>
            </w:r>
            <w:r>
              <w:rPr>
                <w:rFonts w:ascii="宋体" w:hAnsi="宋体"/>
                <w:szCs w:val="21"/>
              </w:rPr>
              <w:t>支持Raid0/1/10/5</w:t>
            </w:r>
            <w:r>
              <w:rPr>
                <w:rFonts w:hint="eastAsia" w:ascii="宋体" w:hAnsi="宋体"/>
                <w:szCs w:val="21"/>
              </w:rPr>
              <w:t>/6</w:t>
            </w:r>
            <w:r>
              <w:rPr>
                <w:rFonts w:ascii="宋体" w:hAnsi="宋体"/>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1975" w:type="dxa"/>
            <w:vMerge w:val="continue"/>
            <w:vAlign w:val="center"/>
          </w:tcPr>
          <w:p>
            <w:pPr>
              <w:pStyle w:val="42"/>
              <w:ind w:firstLine="0" w:firstLineChars="0"/>
              <w:jc w:val="center"/>
              <w:rPr>
                <w:rFonts w:ascii="宋体" w:hAnsi="宋体"/>
                <w:szCs w:val="21"/>
              </w:rPr>
            </w:pPr>
          </w:p>
        </w:tc>
        <w:tc>
          <w:tcPr>
            <w:tcW w:w="6614" w:type="dxa"/>
            <w:vAlign w:val="center"/>
          </w:tcPr>
          <w:p>
            <w:pPr>
              <w:pStyle w:val="42"/>
              <w:ind w:firstLine="0" w:firstLineChars="0"/>
              <w:rPr>
                <w:rFonts w:ascii="宋体" w:hAnsi="宋体"/>
                <w:szCs w:val="21"/>
              </w:rPr>
            </w:pPr>
            <w:r>
              <w:rPr>
                <w:rFonts w:hint="eastAsia" w:ascii="宋体" w:hAnsi="宋体"/>
                <w:szCs w:val="21"/>
              </w:rPr>
              <w:t>实配≥</w:t>
            </w:r>
            <w:r>
              <w:rPr>
                <w:rFonts w:hint="eastAsia" w:ascii="宋体" w:hAnsi="宋体"/>
                <w:szCs w:val="21"/>
                <w:lang w:val="en-US" w:eastAsia="zh-CN"/>
              </w:rPr>
              <w:t>2</w:t>
            </w:r>
            <w:r>
              <w:rPr>
                <w:rFonts w:ascii="宋体" w:hAnsi="宋体"/>
                <w:szCs w:val="21"/>
              </w:rPr>
              <w:t>GB</w:t>
            </w:r>
            <w:r>
              <w:rPr>
                <w:rFonts w:hint="eastAsia" w:ascii="宋体" w:hAnsi="宋体"/>
                <w:szCs w:val="21"/>
              </w:rPr>
              <w:t>缓存，支持</w:t>
            </w:r>
            <w:r>
              <w:rPr>
                <w:rFonts w:ascii="宋体" w:hAnsi="宋体"/>
                <w:szCs w:val="21"/>
              </w:rPr>
              <w:t>缓存数据保护，且</w:t>
            </w:r>
            <w:r>
              <w:rPr>
                <w:rFonts w:hint="eastAsia" w:ascii="宋体" w:hAnsi="宋体"/>
                <w:szCs w:val="21"/>
              </w:rPr>
              <w:t>后备保护时间不受限制；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trHeight w:val="20" w:hRule="atLeast"/>
          <w:jc w:val="center"/>
        </w:trPr>
        <w:tc>
          <w:tcPr>
            <w:tcW w:w="1975" w:type="dxa"/>
            <w:vAlign w:val="center"/>
          </w:tcPr>
          <w:p>
            <w:pPr>
              <w:pStyle w:val="42"/>
              <w:ind w:firstLine="0" w:firstLineChars="0"/>
              <w:jc w:val="center"/>
              <w:rPr>
                <w:rFonts w:ascii="宋体" w:hAnsi="宋体"/>
                <w:szCs w:val="21"/>
              </w:rPr>
            </w:pPr>
            <w:r>
              <w:rPr>
                <w:rFonts w:ascii="宋体" w:hAnsi="宋体"/>
                <w:szCs w:val="21"/>
              </w:rPr>
              <w:t>PCI I/O</w:t>
            </w:r>
            <w:r>
              <w:rPr>
                <w:rFonts w:hint="eastAsia" w:ascii="宋体" w:hAnsi="宋体"/>
                <w:szCs w:val="21"/>
              </w:rPr>
              <w:t>插槽</w:t>
            </w:r>
          </w:p>
        </w:tc>
        <w:tc>
          <w:tcPr>
            <w:tcW w:w="6614" w:type="dxa"/>
            <w:vAlign w:val="center"/>
          </w:tcPr>
          <w:p>
            <w:pPr>
              <w:pStyle w:val="42"/>
              <w:ind w:firstLine="0" w:firstLineChars="0"/>
              <w:rPr>
                <w:rFonts w:ascii="宋体" w:hAnsi="宋体"/>
                <w:szCs w:val="21"/>
              </w:rPr>
            </w:pPr>
            <w:r>
              <w:rPr>
                <w:rFonts w:hint="eastAsia" w:ascii="宋体" w:hAnsi="宋体"/>
                <w:szCs w:val="21"/>
              </w:rPr>
              <w:t>最多提供</w:t>
            </w:r>
            <w:r>
              <w:rPr>
                <w:rFonts w:ascii="宋体" w:hAnsi="宋体"/>
                <w:szCs w:val="21"/>
              </w:rPr>
              <w:t>≥6</w:t>
            </w:r>
            <w:r>
              <w:rPr>
                <w:rFonts w:hint="eastAsia" w:ascii="宋体" w:hAnsi="宋体"/>
                <w:szCs w:val="21"/>
              </w:rPr>
              <w:t>个</w:t>
            </w:r>
            <w:r>
              <w:rPr>
                <w:rFonts w:ascii="宋体" w:hAnsi="宋体"/>
                <w:szCs w:val="21"/>
              </w:rPr>
              <w:t>全高PCIE3.0</w:t>
            </w:r>
            <w:r>
              <w:rPr>
                <w:rFonts w:hint="eastAsia" w:ascii="宋体" w:hAnsi="宋体"/>
                <w:szCs w:val="21"/>
              </w:rPr>
              <w:t>插槽</w:t>
            </w:r>
          </w:p>
          <w:p>
            <w:pPr>
              <w:pStyle w:val="42"/>
              <w:ind w:firstLine="0" w:firstLineChars="0"/>
              <w:rPr>
                <w:rFonts w:ascii="宋体" w:hAnsi="宋体"/>
                <w:szCs w:val="21"/>
              </w:rPr>
            </w:pPr>
            <w:r>
              <w:rPr>
                <w:rFonts w:hint="eastAsia" w:ascii="宋体" w:hAnsi="宋体"/>
                <w:szCs w:val="21"/>
              </w:rPr>
              <w:t>当配</w:t>
            </w:r>
            <w:r>
              <w:rPr>
                <w:rFonts w:ascii="宋体" w:hAnsi="宋体"/>
                <w:szCs w:val="21"/>
              </w:rPr>
              <w:t>15个3.5寸热插拔硬盘时须提供≥3个标准全高PCIE 3.0插槽</w:t>
            </w:r>
            <w:r>
              <w:rPr>
                <w:rFonts w:hint="eastAsia" w:ascii="宋体" w:hAnsi="宋体"/>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1975" w:type="dxa"/>
            <w:vAlign w:val="center"/>
          </w:tcPr>
          <w:p>
            <w:pPr>
              <w:pStyle w:val="42"/>
              <w:ind w:firstLine="0" w:firstLineChars="0"/>
              <w:jc w:val="center"/>
              <w:rPr>
                <w:rFonts w:ascii="宋体" w:hAnsi="宋体"/>
                <w:szCs w:val="21"/>
              </w:rPr>
            </w:pPr>
            <w:r>
              <w:rPr>
                <w:rFonts w:hint="eastAsia" w:ascii="宋体" w:hAnsi="宋体"/>
                <w:szCs w:val="21"/>
              </w:rPr>
              <w:t>网卡</w:t>
            </w:r>
          </w:p>
        </w:tc>
        <w:tc>
          <w:tcPr>
            <w:tcW w:w="6614" w:type="dxa"/>
            <w:vAlign w:val="center"/>
          </w:tcPr>
          <w:p>
            <w:pPr>
              <w:pStyle w:val="42"/>
              <w:ind w:firstLine="0" w:firstLineChars="0"/>
              <w:rPr>
                <w:rFonts w:ascii="宋体" w:hAnsi="宋体"/>
                <w:szCs w:val="21"/>
              </w:rPr>
            </w:pPr>
            <w:r>
              <w:rPr>
                <w:rFonts w:hint="eastAsia" w:ascii="宋体" w:hAnsi="宋体"/>
                <w:szCs w:val="21"/>
              </w:rPr>
              <w:t>本次配置≥2块双口万兆以太网光纤网卡，含SFP模块。</w:t>
            </w:r>
          </w:p>
          <w:p>
            <w:pPr>
              <w:pStyle w:val="42"/>
              <w:ind w:firstLine="0" w:firstLineChars="0"/>
              <w:rPr>
                <w:rFonts w:ascii="宋体" w:hAnsi="宋体"/>
                <w:szCs w:val="21"/>
              </w:rPr>
            </w:pPr>
            <w:r>
              <w:rPr>
                <w:rFonts w:hint="eastAsia" w:ascii="宋体" w:hAnsi="宋体"/>
                <w:szCs w:val="21"/>
              </w:rPr>
              <w:t>要求额外</w:t>
            </w:r>
            <w:r>
              <w:rPr>
                <w:rFonts w:ascii="宋体" w:hAnsi="宋体"/>
                <w:szCs w:val="21"/>
              </w:rPr>
              <w:t>提供</w:t>
            </w:r>
            <w:r>
              <w:rPr>
                <w:rFonts w:hint="eastAsia" w:ascii="宋体" w:hAnsi="宋体"/>
                <w:szCs w:val="21"/>
              </w:rPr>
              <w:t>≥1个</w:t>
            </w:r>
            <w:r>
              <w:rPr>
                <w:rFonts w:ascii="宋体" w:hAnsi="宋体"/>
                <w:szCs w:val="21"/>
              </w:rPr>
              <w:t>网卡专用插槽</w:t>
            </w:r>
            <w:r>
              <w:rPr>
                <w:rFonts w:hint="eastAsia" w:ascii="宋体" w:hAnsi="宋体"/>
                <w:szCs w:val="21"/>
              </w:rPr>
              <w:t>（</w:t>
            </w:r>
            <w:r>
              <w:rPr>
                <w:rFonts w:ascii="宋体" w:hAnsi="宋体"/>
                <w:szCs w:val="21"/>
              </w:rPr>
              <w:t>不占用PCIE扩展槽）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1975" w:type="dxa"/>
            <w:vAlign w:val="center"/>
          </w:tcPr>
          <w:p>
            <w:pPr>
              <w:pStyle w:val="42"/>
              <w:ind w:firstLine="0" w:firstLineChars="0"/>
              <w:jc w:val="center"/>
              <w:rPr>
                <w:rFonts w:ascii="宋体" w:hAnsi="宋体"/>
                <w:szCs w:val="21"/>
              </w:rPr>
            </w:pPr>
            <w:r>
              <w:rPr>
                <w:rFonts w:ascii="宋体" w:hAnsi="宋体"/>
                <w:szCs w:val="21"/>
              </w:rPr>
              <w:t>GPU</w:t>
            </w:r>
          </w:p>
        </w:tc>
        <w:tc>
          <w:tcPr>
            <w:tcW w:w="6614" w:type="dxa"/>
            <w:vAlign w:val="center"/>
          </w:tcPr>
          <w:p>
            <w:pPr>
              <w:pStyle w:val="42"/>
              <w:ind w:firstLine="0" w:firstLineChars="0"/>
              <w:rPr>
                <w:rFonts w:ascii="宋体" w:hAnsi="宋体"/>
                <w:szCs w:val="21"/>
              </w:rPr>
            </w:pPr>
            <w:r>
              <w:rPr>
                <w:rFonts w:hint="eastAsia" w:ascii="宋体" w:hAnsi="宋体"/>
                <w:szCs w:val="21"/>
              </w:rPr>
              <w:t>≥</w:t>
            </w:r>
            <w:r>
              <w:rPr>
                <w:rFonts w:ascii="宋体" w:hAnsi="宋体"/>
                <w:szCs w:val="21"/>
              </w:rPr>
              <w:t>12个3.5寸热插拔硬盘时</w:t>
            </w:r>
            <w:r>
              <w:rPr>
                <w:rFonts w:hint="eastAsia" w:ascii="宋体" w:hAnsi="宋体"/>
                <w:szCs w:val="21"/>
              </w:rPr>
              <w:t>，</w:t>
            </w:r>
            <w:r>
              <w:rPr>
                <w:rFonts w:ascii="宋体" w:hAnsi="宋体"/>
                <w:szCs w:val="21"/>
              </w:rPr>
              <w:t>可配置</w:t>
            </w:r>
            <w:r>
              <w:rPr>
                <w:rFonts w:hint="eastAsia" w:ascii="宋体" w:hAnsi="宋体"/>
                <w:szCs w:val="21"/>
              </w:rPr>
              <w:t>≥</w:t>
            </w:r>
            <w:r>
              <w:rPr>
                <w:rFonts w:ascii="宋体" w:hAnsi="宋体"/>
                <w:szCs w:val="21"/>
              </w:rPr>
              <w:t>1</w:t>
            </w:r>
            <w:r>
              <w:rPr>
                <w:rFonts w:hint="eastAsia" w:ascii="宋体" w:hAnsi="宋体"/>
                <w:szCs w:val="21"/>
              </w:rPr>
              <w:t>块</w:t>
            </w:r>
            <w:r>
              <w:rPr>
                <w:rFonts w:ascii="宋体" w:hAnsi="宋体"/>
                <w:szCs w:val="21"/>
              </w:rPr>
              <w:t>K2</w:t>
            </w:r>
            <w:r>
              <w:rPr>
                <w:rFonts w:hint="eastAsia" w:ascii="宋体" w:hAnsi="宋体"/>
                <w:szCs w:val="21"/>
              </w:rPr>
              <w:t>级别显卡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1975" w:type="dxa"/>
            <w:vAlign w:val="center"/>
          </w:tcPr>
          <w:p>
            <w:pPr>
              <w:pStyle w:val="42"/>
              <w:ind w:firstLine="0" w:firstLineChars="0"/>
              <w:jc w:val="center"/>
              <w:rPr>
                <w:rFonts w:ascii="宋体" w:hAnsi="宋体"/>
                <w:szCs w:val="21"/>
              </w:rPr>
            </w:pPr>
            <w:r>
              <w:rPr>
                <w:rFonts w:hint="eastAsia" w:ascii="宋体" w:hAnsi="宋体"/>
                <w:szCs w:val="21"/>
              </w:rPr>
              <w:t>接口</w:t>
            </w:r>
          </w:p>
        </w:tc>
        <w:tc>
          <w:tcPr>
            <w:tcW w:w="6614" w:type="dxa"/>
            <w:vAlign w:val="center"/>
          </w:tcPr>
          <w:p>
            <w:pPr>
              <w:pStyle w:val="42"/>
              <w:ind w:firstLine="0" w:firstLineChars="0"/>
              <w:rPr>
                <w:rFonts w:ascii="宋体" w:hAnsi="宋体"/>
                <w:szCs w:val="21"/>
              </w:rPr>
            </w:pPr>
            <w:r>
              <w:rPr>
                <w:rFonts w:hint="eastAsia" w:ascii="宋体" w:hAnsi="宋体"/>
                <w:szCs w:val="21"/>
              </w:rPr>
              <w:t>≥</w:t>
            </w:r>
            <w:r>
              <w:rPr>
                <w:rFonts w:ascii="宋体" w:hAnsi="宋体"/>
                <w:szCs w:val="21"/>
              </w:rPr>
              <w:t>5</w:t>
            </w:r>
            <w:r>
              <w:rPr>
                <w:rFonts w:hint="eastAsia" w:ascii="宋体" w:hAnsi="宋体"/>
                <w:szCs w:val="21"/>
              </w:rPr>
              <w:t>个</w:t>
            </w:r>
            <w:r>
              <w:rPr>
                <w:rFonts w:ascii="宋体" w:hAnsi="宋体"/>
                <w:szCs w:val="21"/>
              </w:rPr>
              <w:t>USB3.0</w:t>
            </w:r>
            <w:r>
              <w:rPr>
                <w:rFonts w:hint="eastAsia" w:ascii="宋体" w:hAnsi="宋体"/>
                <w:szCs w:val="21"/>
              </w:rPr>
              <w:t>接口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1975" w:type="dxa"/>
            <w:vAlign w:val="center"/>
          </w:tcPr>
          <w:p>
            <w:pPr>
              <w:pStyle w:val="42"/>
              <w:ind w:firstLine="0" w:firstLineChars="0"/>
              <w:jc w:val="center"/>
              <w:rPr>
                <w:rFonts w:ascii="宋体" w:hAnsi="宋体"/>
                <w:szCs w:val="21"/>
              </w:rPr>
            </w:pPr>
            <w:r>
              <w:rPr>
                <w:rFonts w:hint="eastAsia" w:ascii="宋体" w:hAnsi="宋体"/>
                <w:szCs w:val="21"/>
              </w:rPr>
              <w:t>冗余电源</w:t>
            </w:r>
          </w:p>
        </w:tc>
        <w:tc>
          <w:tcPr>
            <w:tcW w:w="6614" w:type="dxa"/>
            <w:vAlign w:val="center"/>
          </w:tcPr>
          <w:p>
            <w:pPr>
              <w:pStyle w:val="42"/>
              <w:ind w:firstLine="0" w:firstLineChars="0"/>
              <w:rPr>
                <w:rFonts w:ascii="宋体" w:hAnsi="宋体"/>
                <w:szCs w:val="21"/>
              </w:rPr>
            </w:pPr>
            <w:r>
              <w:rPr>
                <w:rFonts w:ascii="宋体" w:hAnsi="宋体"/>
                <w:szCs w:val="21"/>
              </w:rPr>
              <w:t>2</w:t>
            </w:r>
            <w:r>
              <w:rPr>
                <w:rFonts w:hint="eastAsia" w:ascii="宋体" w:hAnsi="宋体"/>
                <w:szCs w:val="21"/>
              </w:rPr>
              <w:t>个≥500</w:t>
            </w:r>
            <w:r>
              <w:rPr>
                <w:rFonts w:ascii="宋体" w:hAnsi="宋体"/>
                <w:szCs w:val="21"/>
              </w:rPr>
              <w:t>w</w:t>
            </w:r>
            <w:r>
              <w:rPr>
                <w:rFonts w:hint="eastAsia" w:ascii="宋体" w:hAnsi="宋体"/>
                <w:szCs w:val="21"/>
              </w:rPr>
              <w:t>铂金版热插拔冗余电源，可选服务器内部后备</w:t>
            </w:r>
            <w:r>
              <w:rPr>
                <w:rFonts w:ascii="宋体" w:hAnsi="宋体"/>
                <w:szCs w:val="21"/>
              </w:rPr>
              <w:t>电池，</w:t>
            </w:r>
            <w:r>
              <w:rPr>
                <w:rFonts w:hint="eastAsia" w:ascii="宋体" w:hAnsi="宋体"/>
                <w:szCs w:val="21"/>
              </w:rPr>
              <w:t>断电</w:t>
            </w:r>
            <w:r>
              <w:rPr>
                <w:rFonts w:ascii="宋体" w:hAnsi="宋体"/>
                <w:szCs w:val="21"/>
              </w:rPr>
              <w:t>情况下，支撑服务器运行</w:t>
            </w:r>
            <w:r>
              <w:rPr>
                <w:rFonts w:hint="eastAsia" w:ascii="宋体" w:hAnsi="宋体"/>
                <w:szCs w:val="21"/>
              </w:rPr>
              <w:t>≥</w:t>
            </w:r>
            <w:r>
              <w:rPr>
                <w:rFonts w:ascii="宋体" w:hAnsi="宋体"/>
                <w:szCs w:val="21"/>
              </w:rPr>
              <w:t>60</w:t>
            </w:r>
            <w:r>
              <w:rPr>
                <w:rFonts w:hint="eastAsia" w:ascii="宋体" w:hAnsi="宋体"/>
                <w:szCs w:val="21"/>
              </w:rPr>
              <w:t>秒</w:t>
            </w:r>
            <w:r>
              <w:rPr>
                <w:rFonts w:ascii="宋体" w:hAnsi="宋体"/>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1975" w:type="dxa"/>
            <w:vAlign w:val="center"/>
          </w:tcPr>
          <w:p>
            <w:pPr>
              <w:pStyle w:val="42"/>
              <w:ind w:firstLine="0" w:firstLineChars="0"/>
              <w:jc w:val="center"/>
              <w:rPr>
                <w:rFonts w:ascii="宋体" w:hAnsi="宋体"/>
                <w:szCs w:val="21"/>
              </w:rPr>
            </w:pPr>
            <w:r>
              <w:rPr>
                <w:rFonts w:hint="eastAsia" w:ascii="宋体" w:hAnsi="宋体"/>
                <w:szCs w:val="21"/>
              </w:rPr>
              <w:t>冗余风扇</w:t>
            </w:r>
          </w:p>
        </w:tc>
        <w:tc>
          <w:tcPr>
            <w:tcW w:w="6614" w:type="dxa"/>
            <w:vAlign w:val="center"/>
          </w:tcPr>
          <w:p>
            <w:pPr>
              <w:pStyle w:val="42"/>
              <w:ind w:firstLine="0" w:firstLineChars="0"/>
              <w:rPr>
                <w:rFonts w:ascii="宋体" w:hAnsi="宋体"/>
                <w:szCs w:val="21"/>
              </w:rPr>
            </w:pPr>
            <w:r>
              <w:rPr>
                <w:rFonts w:hint="eastAsia" w:ascii="宋体" w:hAnsi="宋体"/>
                <w:szCs w:val="21"/>
              </w:rPr>
              <w:t>热插拔冗余风扇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trHeight w:val="20" w:hRule="atLeast"/>
          <w:jc w:val="center"/>
        </w:trPr>
        <w:tc>
          <w:tcPr>
            <w:tcW w:w="1975" w:type="dxa"/>
            <w:vAlign w:val="center"/>
          </w:tcPr>
          <w:p>
            <w:pPr>
              <w:pStyle w:val="42"/>
              <w:ind w:firstLine="0" w:firstLineChars="0"/>
              <w:jc w:val="center"/>
              <w:rPr>
                <w:rFonts w:ascii="宋体" w:hAnsi="宋体"/>
                <w:szCs w:val="21"/>
              </w:rPr>
            </w:pPr>
            <w:r>
              <w:rPr>
                <w:rFonts w:hint="eastAsia" w:ascii="宋体" w:hAnsi="宋体"/>
                <w:szCs w:val="21"/>
              </w:rPr>
              <w:t>远程管理卡</w:t>
            </w:r>
          </w:p>
        </w:tc>
        <w:tc>
          <w:tcPr>
            <w:tcW w:w="6614" w:type="dxa"/>
            <w:vAlign w:val="center"/>
          </w:tcPr>
          <w:p>
            <w:pPr>
              <w:pStyle w:val="42"/>
              <w:ind w:firstLine="0" w:firstLineChars="0"/>
              <w:rPr>
                <w:rFonts w:ascii="宋体" w:hAnsi="宋体"/>
                <w:szCs w:val="21"/>
              </w:rPr>
            </w:pPr>
            <w:r>
              <w:rPr>
                <w:rFonts w:hint="eastAsia" w:ascii="宋体" w:hAnsi="宋体"/>
                <w:szCs w:val="21"/>
              </w:rPr>
              <w:t>配置≥</w:t>
            </w:r>
            <w:r>
              <w:rPr>
                <w:rFonts w:ascii="宋体" w:hAnsi="宋体"/>
                <w:szCs w:val="21"/>
              </w:rPr>
              <w:t>1Gb</w:t>
            </w:r>
            <w:r>
              <w:rPr>
                <w:rFonts w:hint="eastAsia" w:ascii="宋体" w:hAnsi="宋体"/>
                <w:szCs w:val="21"/>
              </w:rPr>
              <w:t>独立的远程管理控制端口，配置虚拟KVM</w:t>
            </w:r>
            <w:r>
              <w:rPr>
                <w:rFonts w:ascii="宋体" w:hAnsi="宋体"/>
                <w:szCs w:val="21"/>
              </w:rPr>
              <w:t xml:space="preserve">功能, </w:t>
            </w:r>
            <w:r>
              <w:rPr>
                <w:rFonts w:hint="eastAsia" w:ascii="宋体" w:hAnsi="宋体"/>
                <w:szCs w:val="21"/>
              </w:rPr>
              <w:t>可实现与操作系统无关的远程对服务器的完全控制，包括远程的开机、关机、重启、更新</w:t>
            </w:r>
            <w:r>
              <w:rPr>
                <w:rFonts w:ascii="宋体" w:hAnsi="宋体"/>
                <w:szCs w:val="21"/>
              </w:rPr>
              <w:t>Firmware</w:t>
            </w:r>
            <w:r>
              <w:rPr>
                <w:rFonts w:hint="eastAsia" w:ascii="宋体" w:hAnsi="宋体"/>
                <w:szCs w:val="21"/>
              </w:rPr>
              <w:t>、虚拟软驱、虚拟光驱、</w:t>
            </w:r>
            <w:r>
              <w:rPr>
                <w:rFonts w:ascii="宋体" w:hAnsi="宋体"/>
                <w:szCs w:val="21"/>
              </w:rPr>
              <w:t>虚拟文件夹</w:t>
            </w:r>
            <w:r>
              <w:rPr>
                <w:rFonts w:hint="eastAsia" w:ascii="宋体" w:hAnsi="宋体"/>
                <w:szCs w:val="21"/>
              </w:rPr>
              <w:t>等操作，提供服务器健康日记、服务器控制台录屏</w:t>
            </w:r>
            <w:r>
              <w:rPr>
                <w:rFonts w:ascii="宋体" w:hAnsi="宋体"/>
                <w:szCs w:val="21"/>
              </w:rPr>
              <w:t>/</w:t>
            </w:r>
            <w:r>
              <w:rPr>
                <w:rFonts w:hint="eastAsia" w:ascii="宋体" w:hAnsi="宋体"/>
                <w:szCs w:val="21"/>
              </w:rPr>
              <w:t>回放功能，能够提供电源监控，支持</w:t>
            </w:r>
            <w:r>
              <w:rPr>
                <w:rFonts w:ascii="宋体" w:hAnsi="宋体"/>
                <w:szCs w:val="21"/>
              </w:rPr>
              <w:t>3D图形化的机箱内部温度拓扑</w:t>
            </w:r>
            <w:r>
              <w:rPr>
                <w:rFonts w:hint="eastAsia" w:ascii="宋体" w:hAnsi="宋体"/>
                <w:szCs w:val="21"/>
              </w:rPr>
              <w:t>图</w:t>
            </w:r>
            <w:r>
              <w:rPr>
                <w:rFonts w:ascii="宋体" w:hAnsi="宋体"/>
                <w:szCs w:val="21"/>
              </w:rPr>
              <w:t>显示</w:t>
            </w:r>
            <w:r>
              <w:rPr>
                <w:rFonts w:hint="eastAsia" w:ascii="宋体" w:hAnsi="宋体"/>
                <w:szCs w:val="21"/>
              </w:rPr>
              <w:t>，可支持动态功率封顶。</w:t>
            </w:r>
          </w:p>
          <w:p>
            <w:pPr>
              <w:pStyle w:val="42"/>
              <w:ind w:firstLine="0" w:firstLineChars="0"/>
              <w:rPr>
                <w:rFonts w:ascii="宋体" w:hAnsi="宋体"/>
                <w:szCs w:val="21"/>
              </w:rPr>
            </w:pPr>
            <w:r>
              <w:rPr>
                <w:rFonts w:hint="eastAsia" w:ascii="宋体" w:hAnsi="宋体"/>
                <w:szCs w:val="21"/>
              </w:rPr>
              <w:t>嵌入式</w:t>
            </w:r>
            <w:r>
              <w:rPr>
                <w:rFonts w:ascii="宋体" w:hAnsi="宋体"/>
                <w:szCs w:val="21"/>
              </w:rPr>
              <w:t>管理工具</w:t>
            </w:r>
            <w:r>
              <w:rPr>
                <w:rFonts w:hint="eastAsia" w:ascii="宋体" w:hAnsi="宋体"/>
                <w:szCs w:val="21"/>
              </w:rPr>
              <w:t>支持联合</w:t>
            </w:r>
            <w:r>
              <w:rPr>
                <w:rFonts w:ascii="宋体" w:hAnsi="宋体"/>
                <w:szCs w:val="21"/>
              </w:rPr>
              <w:t>管理功能，无需软件即可</w:t>
            </w:r>
            <w:r>
              <w:rPr>
                <w:rFonts w:hint="eastAsia" w:ascii="宋体" w:hAnsi="宋体"/>
                <w:szCs w:val="21"/>
              </w:rPr>
              <w:t>实现多台</w:t>
            </w:r>
            <w:r>
              <w:rPr>
                <w:rFonts w:ascii="宋体" w:hAnsi="宋体"/>
                <w:szCs w:val="21"/>
              </w:rPr>
              <w:t>服务器统一管理功能，如</w:t>
            </w:r>
            <w:r>
              <w:rPr>
                <w:rFonts w:hint="eastAsia" w:ascii="宋体" w:hAnsi="宋体"/>
                <w:szCs w:val="21"/>
              </w:rPr>
              <w:t>监控</w:t>
            </w:r>
            <w:r>
              <w:rPr>
                <w:rFonts w:ascii="宋体" w:hAnsi="宋体"/>
                <w:szCs w:val="21"/>
              </w:rPr>
              <w:t>硬件健康状况，固件</w:t>
            </w:r>
            <w:r>
              <w:rPr>
                <w:rFonts w:hint="eastAsia" w:ascii="宋体" w:hAnsi="宋体"/>
                <w:szCs w:val="21"/>
              </w:rPr>
              <w:t>升级</w:t>
            </w:r>
            <w:r>
              <w:rPr>
                <w:rFonts w:ascii="宋体" w:hAnsi="宋体"/>
                <w:szCs w:val="21"/>
              </w:rPr>
              <w:t>等。</w:t>
            </w:r>
          </w:p>
          <w:p>
            <w:pPr>
              <w:pStyle w:val="42"/>
              <w:ind w:firstLine="0" w:firstLineChars="0"/>
              <w:rPr>
                <w:rFonts w:ascii="宋体" w:hAnsi="宋体"/>
                <w:szCs w:val="21"/>
              </w:rPr>
            </w:pPr>
            <w:r>
              <w:rPr>
                <w:rFonts w:hint="eastAsia" w:ascii="宋体" w:hAnsi="宋体"/>
                <w:szCs w:val="21"/>
              </w:rPr>
              <w:t>免费提供</w:t>
            </w:r>
            <w:r>
              <w:rPr>
                <w:rFonts w:ascii="宋体" w:hAnsi="宋体"/>
                <w:szCs w:val="21"/>
              </w:rPr>
              <w:t>升级</w:t>
            </w:r>
            <w:r>
              <w:rPr>
                <w:rFonts w:hint="eastAsia" w:ascii="宋体" w:hAnsi="宋体"/>
                <w:szCs w:val="21"/>
              </w:rPr>
              <w:t>工具</w:t>
            </w:r>
            <w:r>
              <w:rPr>
                <w:rFonts w:ascii="宋体" w:hAnsi="宋体"/>
                <w:szCs w:val="21"/>
              </w:rPr>
              <w:t>，</w:t>
            </w:r>
            <w:r>
              <w:rPr>
                <w:rFonts w:hint="eastAsia" w:ascii="宋体" w:hAnsi="宋体"/>
                <w:szCs w:val="21"/>
              </w:rPr>
              <w:t>无需</w:t>
            </w:r>
            <w:r>
              <w:rPr>
                <w:rFonts w:ascii="宋体" w:hAnsi="宋体"/>
                <w:szCs w:val="21"/>
              </w:rPr>
              <w:t>安装代理即可可</w:t>
            </w:r>
            <w:r>
              <w:rPr>
                <w:rFonts w:hint="eastAsia" w:ascii="宋体" w:hAnsi="宋体"/>
                <w:szCs w:val="21"/>
              </w:rPr>
              <w:t>统一</w:t>
            </w:r>
            <w:r>
              <w:rPr>
                <w:rFonts w:ascii="宋体" w:hAnsi="宋体"/>
                <w:szCs w:val="21"/>
              </w:rPr>
              <w:t>升级同一网络中服务器</w:t>
            </w:r>
            <w:r>
              <w:rPr>
                <w:rFonts w:hint="eastAsia" w:ascii="宋体" w:hAnsi="宋体"/>
                <w:szCs w:val="21"/>
              </w:rPr>
              <w:t>的</w:t>
            </w:r>
            <w:r>
              <w:rPr>
                <w:rFonts w:ascii="宋体" w:hAnsi="宋体"/>
                <w:szCs w:val="21"/>
              </w:rPr>
              <w:t>固件及驱动程序。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1975" w:type="dxa"/>
            <w:vAlign w:val="center"/>
          </w:tcPr>
          <w:p>
            <w:pPr>
              <w:pStyle w:val="42"/>
              <w:ind w:firstLine="0" w:firstLineChars="0"/>
              <w:jc w:val="center"/>
              <w:rPr>
                <w:rFonts w:ascii="宋体" w:hAnsi="宋体"/>
                <w:szCs w:val="21"/>
              </w:rPr>
            </w:pPr>
            <w:r>
              <w:rPr>
                <w:rFonts w:hint="eastAsia" w:ascii="宋体" w:hAnsi="宋体"/>
                <w:szCs w:val="21"/>
              </w:rPr>
              <w:t>多平台支持</w:t>
            </w:r>
          </w:p>
        </w:tc>
        <w:tc>
          <w:tcPr>
            <w:tcW w:w="6614" w:type="dxa"/>
            <w:vAlign w:val="center"/>
          </w:tcPr>
          <w:p>
            <w:pPr>
              <w:pStyle w:val="42"/>
              <w:ind w:firstLine="0" w:firstLineChars="0"/>
              <w:rPr>
                <w:rFonts w:ascii="宋体" w:hAnsi="宋体"/>
                <w:szCs w:val="21"/>
              </w:rPr>
            </w:pPr>
            <w:r>
              <w:rPr>
                <w:rFonts w:hint="eastAsia" w:ascii="宋体" w:hAnsi="宋体"/>
                <w:szCs w:val="21"/>
              </w:rPr>
              <w:t>支持Windows、Linux平台及MS SQL、Oracle数据库，支持B/S架构</w:t>
            </w:r>
          </w:p>
        </w:tc>
      </w:tr>
    </w:tbl>
    <w:p>
      <w:pPr>
        <w:pStyle w:val="4"/>
        <w:tabs>
          <w:tab w:val="left" w:pos="432"/>
        </w:tabs>
        <w:rPr>
          <w:sz w:val="24"/>
          <w:szCs w:val="24"/>
        </w:rPr>
      </w:pPr>
    </w:p>
    <w:p>
      <w:pPr>
        <w:pStyle w:val="4"/>
        <w:tabs>
          <w:tab w:val="left" w:pos="432"/>
        </w:tabs>
        <w:rPr>
          <w:sz w:val="24"/>
          <w:szCs w:val="24"/>
        </w:rPr>
      </w:pPr>
      <w:r>
        <w:rPr>
          <w:rFonts w:hint="eastAsia"/>
          <w:sz w:val="24"/>
          <w:szCs w:val="24"/>
        </w:rPr>
        <w:t>7.3.33 分布式存储</w:t>
      </w:r>
    </w:p>
    <w:tbl>
      <w:tblPr>
        <w:tblStyle w:val="35"/>
        <w:tblW w:w="8508"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85"/>
        <w:gridCol w:w="632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2185" w:type="dxa"/>
            <w:vAlign w:val="center"/>
          </w:tcPr>
          <w:p>
            <w:pPr>
              <w:widowControl/>
              <w:jc w:val="center"/>
              <w:rPr>
                <w:rFonts w:ascii="宋体" w:hAnsi="宋体" w:cs="Arial"/>
                <w:b/>
                <w:bCs/>
                <w:kern w:val="0"/>
                <w:szCs w:val="21"/>
              </w:rPr>
            </w:pPr>
            <w:r>
              <w:rPr>
                <w:rFonts w:hint="eastAsia" w:ascii="宋体" w:hAnsi="宋体" w:cs="Arial"/>
                <w:b/>
                <w:bCs/>
                <w:kern w:val="0"/>
                <w:szCs w:val="21"/>
              </w:rPr>
              <w:t>指标项</w:t>
            </w:r>
          </w:p>
        </w:tc>
        <w:tc>
          <w:tcPr>
            <w:tcW w:w="6323" w:type="dxa"/>
            <w:vAlign w:val="center"/>
          </w:tcPr>
          <w:p>
            <w:pPr>
              <w:widowControl/>
              <w:jc w:val="center"/>
              <w:rPr>
                <w:rFonts w:ascii="宋体" w:hAnsi="宋体" w:cs="Arial"/>
                <w:b/>
                <w:bCs/>
                <w:kern w:val="0"/>
                <w:szCs w:val="21"/>
              </w:rPr>
            </w:pPr>
            <w:r>
              <w:rPr>
                <w:rFonts w:hint="eastAsia" w:ascii="宋体" w:hAnsi="宋体" w:cs="Arial"/>
                <w:b/>
                <w:bCs/>
                <w:kern w:val="0"/>
                <w:szCs w:val="21"/>
              </w:rPr>
              <w:t>指标要求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2185" w:type="dxa"/>
            <w:vAlign w:val="center"/>
          </w:tcPr>
          <w:p>
            <w:pPr>
              <w:jc w:val="center"/>
              <w:rPr>
                <w:rFonts w:ascii="宋体" w:hAnsi="宋体"/>
                <w:bCs/>
                <w:szCs w:val="21"/>
              </w:rPr>
            </w:pPr>
            <w:r>
              <w:rPr>
                <w:rFonts w:ascii="宋体" w:hAnsi="宋体"/>
                <w:bCs/>
                <w:szCs w:val="21"/>
              </w:rPr>
              <w:t>体系架构</w:t>
            </w:r>
          </w:p>
        </w:tc>
        <w:tc>
          <w:tcPr>
            <w:tcW w:w="6323" w:type="dxa"/>
          </w:tcPr>
          <w:p>
            <w:pPr>
              <w:rPr>
                <w:rFonts w:ascii="宋体" w:hAnsi="宋体"/>
                <w:bCs/>
                <w:szCs w:val="21"/>
              </w:rPr>
            </w:pPr>
            <w:r>
              <w:rPr>
                <w:rFonts w:ascii="宋体" w:hAnsi="宋体"/>
                <w:bCs/>
                <w:szCs w:val="21"/>
              </w:rPr>
              <w:t xml:space="preserve">要求采用全对称集群存储体系架构，无需增加专门的管理节点或管理服务器。无管理节点或元数据服务器；不接受服务器硬件加文件管理软件拼凑方式；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2185" w:type="dxa"/>
            <w:vAlign w:val="center"/>
          </w:tcPr>
          <w:p>
            <w:pPr>
              <w:jc w:val="center"/>
              <w:rPr>
                <w:rFonts w:ascii="宋体" w:hAnsi="宋体"/>
                <w:bCs/>
                <w:szCs w:val="21"/>
              </w:rPr>
            </w:pPr>
            <w:r>
              <w:rPr>
                <w:rFonts w:ascii="宋体" w:hAnsi="宋体"/>
                <w:bCs/>
                <w:szCs w:val="21"/>
              </w:rPr>
              <w:t>文件系统</w:t>
            </w:r>
          </w:p>
        </w:tc>
        <w:tc>
          <w:tcPr>
            <w:tcW w:w="6323" w:type="dxa"/>
          </w:tcPr>
          <w:p>
            <w:pPr>
              <w:rPr>
                <w:rFonts w:ascii="宋体" w:hAnsi="宋体"/>
                <w:bCs/>
                <w:szCs w:val="21"/>
              </w:rPr>
            </w:pPr>
            <w:r>
              <w:rPr>
                <w:rFonts w:ascii="宋体" w:hAnsi="宋体"/>
                <w:bCs/>
                <w:szCs w:val="21"/>
              </w:rPr>
              <w:t>要求单一文件系统和单一卷≥15PB</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2185" w:type="dxa"/>
            <w:vAlign w:val="center"/>
          </w:tcPr>
          <w:p>
            <w:pPr>
              <w:jc w:val="center"/>
              <w:rPr>
                <w:rFonts w:ascii="宋体" w:hAnsi="宋体"/>
                <w:bCs/>
                <w:szCs w:val="21"/>
              </w:rPr>
            </w:pPr>
            <w:r>
              <w:rPr>
                <w:rFonts w:ascii="宋体" w:hAnsi="宋体"/>
                <w:bCs/>
                <w:szCs w:val="21"/>
              </w:rPr>
              <w:t>存储节点数量</w:t>
            </w:r>
          </w:p>
        </w:tc>
        <w:tc>
          <w:tcPr>
            <w:tcW w:w="6323" w:type="dxa"/>
          </w:tcPr>
          <w:p>
            <w:pPr>
              <w:rPr>
                <w:rFonts w:ascii="宋体" w:hAnsi="宋体"/>
                <w:bCs/>
                <w:szCs w:val="21"/>
              </w:rPr>
            </w:pPr>
            <w:r>
              <w:rPr>
                <w:rFonts w:ascii="宋体" w:hAnsi="宋体"/>
                <w:bCs/>
                <w:szCs w:val="21"/>
              </w:rPr>
              <w:t xml:space="preserve">不少于三个节点。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2185" w:type="dxa"/>
            <w:vAlign w:val="center"/>
          </w:tcPr>
          <w:p>
            <w:pPr>
              <w:jc w:val="center"/>
              <w:rPr>
                <w:rFonts w:ascii="宋体" w:hAnsi="宋体"/>
                <w:bCs/>
                <w:szCs w:val="21"/>
              </w:rPr>
            </w:pPr>
            <w:r>
              <w:rPr>
                <w:rFonts w:ascii="宋体" w:hAnsi="宋体"/>
                <w:bCs/>
                <w:szCs w:val="21"/>
              </w:rPr>
              <w:t>存储节点内部互连</w:t>
            </w:r>
          </w:p>
        </w:tc>
        <w:tc>
          <w:tcPr>
            <w:tcW w:w="6323" w:type="dxa"/>
          </w:tcPr>
          <w:p>
            <w:pPr>
              <w:rPr>
                <w:rFonts w:ascii="宋体" w:hAnsi="宋体"/>
                <w:bCs/>
                <w:szCs w:val="21"/>
              </w:rPr>
            </w:pPr>
            <w:r>
              <w:rPr>
                <w:rFonts w:ascii="宋体" w:hAnsi="宋体"/>
                <w:bCs/>
                <w:szCs w:val="21"/>
              </w:rPr>
              <w:t xml:space="preserve">采用QDR InfiniBand交换机互连，每个节点配置2个InfiniBand接口。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trHeight w:val="20" w:hRule="atLeast"/>
          <w:jc w:val="center"/>
        </w:trPr>
        <w:tc>
          <w:tcPr>
            <w:tcW w:w="2185" w:type="dxa"/>
            <w:vAlign w:val="center"/>
          </w:tcPr>
          <w:p>
            <w:pPr>
              <w:jc w:val="center"/>
              <w:rPr>
                <w:rFonts w:ascii="宋体" w:hAnsi="宋体"/>
                <w:bCs/>
                <w:szCs w:val="21"/>
              </w:rPr>
            </w:pPr>
            <w:r>
              <w:rPr>
                <w:rFonts w:ascii="宋体" w:hAnsi="宋体"/>
                <w:bCs/>
                <w:szCs w:val="21"/>
              </w:rPr>
              <w:t>Infiniband交换机</w:t>
            </w:r>
          </w:p>
        </w:tc>
        <w:tc>
          <w:tcPr>
            <w:tcW w:w="6323" w:type="dxa"/>
          </w:tcPr>
          <w:p>
            <w:pPr>
              <w:rPr>
                <w:rFonts w:ascii="宋体" w:hAnsi="宋体"/>
                <w:bCs/>
                <w:szCs w:val="21"/>
              </w:rPr>
            </w:pPr>
            <w:r>
              <w:rPr>
                <w:rFonts w:ascii="宋体" w:hAnsi="宋体"/>
                <w:bCs/>
                <w:szCs w:val="21"/>
              </w:rPr>
              <w:t>配置两个8端口的QDR Infiniband交换机及其相应配件，每个端口单向40Gb/s。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2185" w:type="dxa"/>
            <w:vAlign w:val="center"/>
          </w:tcPr>
          <w:p>
            <w:pPr>
              <w:jc w:val="center"/>
              <w:rPr>
                <w:rFonts w:ascii="宋体" w:hAnsi="宋体"/>
                <w:bCs/>
                <w:szCs w:val="21"/>
              </w:rPr>
            </w:pPr>
            <w:r>
              <w:rPr>
                <w:rFonts w:ascii="宋体" w:hAnsi="宋体"/>
                <w:bCs/>
                <w:szCs w:val="21"/>
              </w:rPr>
              <w:t>最大NAS头数量</w:t>
            </w:r>
          </w:p>
        </w:tc>
        <w:tc>
          <w:tcPr>
            <w:tcW w:w="6323" w:type="dxa"/>
          </w:tcPr>
          <w:p>
            <w:pPr>
              <w:rPr>
                <w:rFonts w:ascii="宋体" w:hAnsi="宋体"/>
                <w:bCs/>
                <w:szCs w:val="21"/>
              </w:rPr>
            </w:pPr>
            <w:r>
              <w:rPr>
                <w:rFonts w:ascii="宋体" w:hAnsi="宋体"/>
                <w:bCs/>
                <w:szCs w:val="21"/>
              </w:rPr>
              <w:t>支持最大NAS头数量&gt;100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2185" w:type="dxa"/>
            <w:vAlign w:val="center"/>
          </w:tcPr>
          <w:p>
            <w:pPr>
              <w:jc w:val="center"/>
              <w:rPr>
                <w:rFonts w:ascii="宋体" w:hAnsi="宋体"/>
                <w:bCs/>
                <w:szCs w:val="21"/>
              </w:rPr>
            </w:pPr>
            <w:r>
              <w:rPr>
                <w:rFonts w:ascii="宋体" w:hAnsi="宋体"/>
                <w:bCs/>
                <w:szCs w:val="21"/>
              </w:rPr>
              <w:t>存储节点CPU数</w:t>
            </w:r>
          </w:p>
        </w:tc>
        <w:tc>
          <w:tcPr>
            <w:tcW w:w="6323" w:type="dxa"/>
          </w:tcPr>
          <w:p>
            <w:pPr>
              <w:rPr>
                <w:rFonts w:ascii="宋体" w:hAnsi="宋体"/>
                <w:bCs/>
                <w:szCs w:val="21"/>
              </w:rPr>
            </w:pPr>
            <w:r>
              <w:rPr>
                <w:rFonts w:ascii="宋体" w:hAnsi="宋体"/>
                <w:bCs/>
                <w:szCs w:val="21"/>
              </w:rPr>
              <w:t>每节点≥2个Intel Xeon四核处理器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2185" w:type="dxa"/>
            <w:vAlign w:val="center"/>
          </w:tcPr>
          <w:p>
            <w:pPr>
              <w:jc w:val="center"/>
              <w:rPr>
                <w:rFonts w:ascii="宋体" w:hAnsi="宋体"/>
                <w:bCs/>
                <w:szCs w:val="21"/>
              </w:rPr>
            </w:pPr>
            <w:r>
              <w:rPr>
                <w:rFonts w:ascii="宋体" w:hAnsi="宋体"/>
                <w:bCs/>
                <w:szCs w:val="21"/>
              </w:rPr>
              <w:t>存储节点Cache</w:t>
            </w:r>
          </w:p>
        </w:tc>
        <w:tc>
          <w:tcPr>
            <w:tcW w:w="6323" w:type="dxa"/>
          </w:tcPr>
          <w:p>
            <w:pPr>
              <w:rPr>
                <w:rFonts w:ascii="宋体" w:hAnsi="宋体"/>
                <w:bCs/>
                <w:szCs w:val="21"/>
              </w:rPr>
            </w:pPr>
            <w:r>
              <w:rPr>
                <w:rFonts w:ascii="宋体" w:hAnsi="宋体"/>
                <w:bCs/>
                <w:szCs w:val="21"/>
              </w:rPr>
              <w:t>每节点≥12GB Cache,集群各存储节点全局缓存，总Cache≥36GB</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2185" w:type="dxa"/>
            <w:vAlign w:val="center"/>
          </w:tcPr>
          <w:p>
            <w:pPr>
              <w:jc w:val="center"/>
              <w:rPr>
                <w:rFonts w:ascii="宋体" w:hAnsi="宋体"/>
                <w:bCs/>
                <w:szCs w:val="21"/>
              </w:rPr>
            </w:pPr>
            <w:r>
              <w:rPr>
                <w:rFonts w:ascii="宋体" w:hAnsi="宋体"/>
                <w:bCs/>
                <w:szCs w:val="21"/>
              </w:rPr>
              <w:t>存储节点接口</w:t>
            </w:r>
          </w:p>
        </w:tc>
        <w:tc>
          <w:tcPr>
            <w:tcW w:w="6323" w:type="dxa"/>
          </w:tcPr>
          <w:p>
            <w:pPr>
              <w:rPr>
                <w:rFonts w:ascii="宋体" w:hAnsi="宋体"/>
                <w:bCs/>
                <w:szCs w:val="21"/>
              </w:rPr>
            </w:pPr>
            <w:r>
              <w:rPr>
                <w:rFonts w:ascii="宋体" w:hAnsi="宋体"/>
                <w:bCs/>
                <w:szCs w:val="21"/>
              </w:rPr>
              <w:t>每节点配置</w:t>
            </w:r>
            <w:r>
              <w:rPr>
                <w:rFonts w:hint="eastAsia" w:ascii="宋体" w:hAnsi="宋体"/>
                <w:bCs/>
                <w:szCs w:val="21"/>
              </w:rPr>
              <w:t>2</w:t>
            </w:r>
            <w:r>
              <w:rPr>
                <w:rFonts w:ascii="宋体" w:hAnsi="宋体"/>
                <w:bCs/>
                <w:szCs w:val="21"/>
              </w:rPr>
              <w:t>个</w:t>
            </w:r>
            <w:r>
              <w:rPr>
                <w:rFonts w:hint="eastAsia" w:ascii="宋体" w:hAnsi="宋体"/>
                <w:bCs/>
                <w:szCs w:val="21"/>
              </w:rPr>
              <w:t>万兆带光模块</w:t>
            </w:r>
            <w:r>
              <w:rPr>
                <w:rFonts w:ascii="宋体" w:hAnsi="宋体"/>
                <w:bCs/>
                <w:szCs w:val="21"/>
              </w:rPr>
              <w:t>前端NAS服务网络接口；管理网络端口除外。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2185" w:type="dxa"/>
            <w:vAlign w:val="center"/>
          </w:tcPr>
          <w:p>
            <w:pPr>
              <w:jc w:val="center"/>
              <w:rPr>
                <w:rFonts w:ascii="宋体" w:hAnsi="宋体"/>
                <w:bCs/>
                <w:szCs w:val="21"/>
              </w:rPr>
            </w:pPr>
            <w:r>
              <w:rPr>
                <w:rFonts w:ascii="宋体" w:hAnsi="宋体"/>
                <w:bCs/>
                <w:szCs w:val="21"/>
              </w:rPr>
              <w:t>存储节点容量</w:t>
            </w:r>
          </w:p>
        </w:tc>
        <w:tc>
          <w:tcPr>
            <w:tcW w:w="6323" w:type="dxa"/>
          </w:tcPr>
          <w:p>
            <w:pPr>
              <w:rPr>
                <w:rFonts w:ascii="宋体" w:hAnsi="宋体"/>
                <w:bCs/>
                <w:szCs w:val="21"/>
              </w:rPr>
            </w:pPr>
            <w:r>
              <w:rPr>
                <w:rFonts w:ascii="宋体" w:hAnsi="宋体"/>
                <w:bCs/>
                <w:szCs w:val="21"/>
              </w:rPr>
              <w:t>要求每节点配置</w:t>
            </w:r>
            <w:r>
              <w:rPr>
                <w:rFonts w:hint="eastAsia" w:ascii="宋体" w:hAnsi="宋体"/>
                <w:bCs/>
                <w:szCs w:val="21"/>
              </w:rPr>
              <w:t>36</w:t>
            </w:r>
            <w:r>
              <w:rPr>
                <w:rFonts w:ascii="宋体" w:hAnsi="宋体"/>
                <w:bCs/>
                <w:szCs w:val="21"/>
              </w:rPr>
              <w:t>块</w:t>
            </w:r>
            <w:r>
              <w:rPr>
                <w:rFonts w:hint="eastAsia" w:ascii="宋体" w:hAnsi="宋体"/>
                <w:bCs/>
                <w:szCs w:val="21"/>
              </w:rPr>
              <w:t>2</w:t>
            </w:r>
            <w:r>
              <w:rPr>
                <w:rFonts w:ascii="宋体" w:hAnsi="宋体"/>
                <w:bCs/>
                <w:szCs w:val="21"/>
              </w:rPr>
              <w:t>TB 7200RPM SATA硬盘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trHeight w:val="20" w:hRule="atLeast"/>
          <w:jc w:val="center"/>
        </w:trPr>
        <w:tc>
          <w:tcPr>
            <w:tcW w:w="2185" w:type="dxa"/>
            <w:vAlign w:val="center"/>
          </w:tcPr>
          <w:p>
            <w:pPr>
              <w:jc w:val="center"/>
              <w:rPr>
                <w:rFonts w:ascii="宋体" w:hAnsi="宋体"/>
                <w:bCs/>
                <w:szCs w:val="21"/>
              </w:rPr>
            </w:pPr>
            <w:r>
              <w:rPr>
                <w:rFonts w:ascii="宋体" w:hAnsi="宋体"/>
                <w:bCs/>
                <w:szCs w:val="21"/>
              </w:rPr>
              <w:t>安装方便性</w:t>
            </w:r>
          </w:p>
        </w:tc>
        <w:tc>
          <w:tcPr>
            <w:tcW w:w="6323" w:type="dxa"/>
          </w:tcPr>
          <w:p>
            <w:pPr>
              <w:rPr>
                <w:rFonts w:ascii="宋体" w:hAnsi="宋体"/>
                <w:bCs/>
                <w:szCs w:val="21"/>
              </w:rPr>
            </w:pPr>
            <w:r>
              <w:rPr>
                <w:rFonts w:ascii="宋体" w:hAnsi="宋体"/>
                <w:bCs/>
                <w:szCs w:val="21"/>
              </w:rPr>
              <w:t>安装过程中，存储系统自动执行卷和文件系统初始化，不需要人工操作RAID配置、卷划分和文件系统配置。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2185" w:type="dxa"/>
            <w:vAlign w:val="center"/>
          </w:tcPr>
          <w:p>
            <w:pPr>
              <w:jc w:val="center"/>
              <w:rPr>
                <w:rFonts w:ascii="宋体" w:hAnsi="宋体"/>
                <w:bCs/>
                <w:szCs w:val="21"/>
              </w:rPr>
            </w:pPr>
            <w:r>
              <w:rPr>
                <w:rFonts w:ascii="宋体" w:hAnsi="宋体"/>
                <w:bCs/>
                <w:szCs w:val="21"/>
              </w:rPr>
              <w:t>零操作在线扩容</w:t>
            </w:r>
          </w:p>
        </w:tc>
        <w:tc>
          <w:tcPr>
            <w:tcW w:w="6323" w:type="dxa"/>
          </w:tcPr>
          <w:p>
            <w:pPr>
              <w:rPr>
                <w:rFonts w:ascii="宋体" w:hAnsi="宋体"/>
                <w:bCs/>
                <w:szCs w:val="21"/>
              </w:rPr>
            </w:pPr>
            <w:r>
              <w:rPr>
                <w:rFonts w:ascii="宋体" w:hAnsi="宋体"/>
                <w:bCs/>
                <w:szCs w:val="21"/>
              </w:rPr>
              <w:t>要求在存储集群扩展时，新节点连接到IB网络后，存储系统能够自动识别所加入的节点的容量，并自动合并所加入的空间。无需人工操作RAID配置、卷划分和文件系统配置。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2185" w:type="dxa"/>
            <w:vAlign w:val="center"/>
          </w:tcPr>
          <w:p>
            <w:pPr>
              <w:jc w:val="center"/>
              <w:rPr>
                <w:rFonts w:ascii="宋体" w:hAnsi="宋体"/>
                <w:bCs/>
                <w:szCs w:val="21"/>
              </w:rPr>
            </w:pPr>
            <w:r>
              <w:rPr>
                <w:rFonts w:ascii="宋体" w:hAnsi="宋体"/>
                <w:bCs/>
                <w:szCs w:val="21"/>
              </w:rPr>
              <w:t>可用性</w:t>
            </w:r>
          </w:p>
        </w:tc>
        <w:tc>
          <w:tcPr>
            <w:tcW w:w="6323" w:type="dxa"/>
          </w:tcPr>
          <w:p>
            <w:pPr>
              <w:rPr>
                <w:rFonts w:ascii="宋体" w:hAnsi="宋体"/>
                <w:bCs/>
                <w:color w:val="00B0F0"/>
                <w:szCs w:val="21"/>
              </w:rPr>
            </w:pPr>
            <w:r>
              <w:rPr>
                <w:rFonts w:ascii="宋体" w:hAnsi="宋体"/>
                <w:bCs/>
                <w:szCs w:val="21"/>
              </w:rPr>
              <w:t xml:space="preserve">要求存储系统任何一个节点发生故障，或两块在两个不同的节点上的磁盘同时发生故障时，存储系统不会停机，数据仍然保持完整。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2185" w:type="dxa"/>
            <w:vAlign w:val="center"/>
          </w:tcPr>
          <w:p>
            <w:pPr>
              <w:jc w:val="center"/>
              <w:rPr>
                <w:rFonts w:ascii="宋体" w:hAnsi="宋体"/>
                <w:bCs/>
                <w:szCs w:val="21"/>
              </w:rPr>
            </w:pPr>
            <w:r>
              <w:rPr>
                <w:rFonts w:hint="eastAsia" w:ascii="宋体" w:hAnsi="宋体" w:cs="宋体"/>
                <w:color w:val="000000"/>
                <w:kern w:val="0"/>
                <w:szCs w:val="21"/>
              </w:rPr>
              <w:t>NDMP备份</w:t>
            </w:r>
          </w:p>
        </w:tc>
        <w:tc>
          <w:tcPr>
            <w:tcW w:w="6323" w:type="dxa"/>
          </w:tcPr>
          <w:p>
            <w:pPr>
              <w:rPr>
                <w:rFonts w:ascii="宋体" w:hAnsi="宋体"/>
                <w:bCs/>
                <w:szCs w:val="21"/>
              </w:rPr>
            </w:pPr>
            <w:r>
              <w:rPr>
                <w:rFonts w:hint="eastAsia"/>
              </w:rPr>
              <w:t>支持备份功能。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2185" w:type="dxa"/>
            <w:vAlign w:val="center"/>
          </w:tcPr>
          <w:p>
            <w:pPr>
              <w:jc w:val="center"/>
              <w:rPr>
                <w:rFonts w:ascii="宋体" w:hAnsi="宋体"/>
                <w:bCs/>
                <w:szCs w:val="21"/>
              </w:rPr>
            </w:pPr>
            <w:r>
              <w:rPr>
                <w:rFonts w:hint="eastAsia" w:ascii="宋体" w:hAnsi="宋体" w:cs="宋体"/>
                <w:color w:val="000000"/>
                <w:kern w:val="0"/>
                <w:szCs w:val="21"/>
              </w:rPr>
              <w:t>WORM功能</w:t>
            </w:r>
          </w:p>
        </w:tc>
        <w:tc>
          <w:tcPr>
            <w:tcW w:w="6323" w:type="dxa"/>
          </w:tcPr>
          <w:p>
            <w:pPr>
              <w:rPr>
                <w:rFonts w:ascii="宋体" w:hAnsi="宋体"/>
                <w:bCs/>
                <w:szCs w:val="21"/>
              </w:rPr>
            </w:pPr>
            <w:r>
              <w:rPr>
                <w:rFonts w:hint="eastAsia" w:ascii="宋体" w:hAnsi="宋体" w:cs="宋体"/>
                <w:color w:val="000000"/>
                <w:kern w:val="0"/>
                <w:szCs w:val="21"/>
              </w:rPr>
              <w:t>支持WORM功能，防止文件意外删除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2185" w:type="dxa"/>
            <w:vAlign w:val="center"/>
          </w:tcPr>
          <w:p>
            <w:pPr>
              <w:jc w:val="center"/>
              <w:rPr>
                <w:rFonts w:ascii="宋体" w:hAnsi="宋体"/>
                <w:bCs/>
                <w:szCs w:val="21"/>
              </w:rPr>
            </w:pPr>
            <w:r>
              <w:rPr>
                <w:rFonts w:ascii="宋体" w:hAnsi="宋体"/>
                <w:bCs/>
                <w:szCs w:val="21"/>
              </w:rPr>
              <w:t>数据自动条带化</w:t>
            </w:r>
          </w:p>
        </w:tc>
        <w:tc>
          <w:tcPr>
            <w:tcW w:w="6323" w:type="dxa"/>
          </w:tcPr>
          <w:p>
            <w:pPr>
              <w:rPr>
                <w:rFonts w:ascii="宋体" w:hAnsi="宋体"/>
                <w:bCs/>
                <w:szCs w:val="21"/>
              </w:rPr>
            </w:pPr>
            <w:r>
              <w:rPr>
                <w:rFonts w:ascii="宋体" w:hAnsi="宋体"/>
                <w:bCs/>
                <w:szCs w:val="21"/>
              </w:rPr>
              <w:t xml:space="preserve">存储系统能跨所有节点自动均衡条带化数据，每个节点上数据相差少于5%。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trHeight w:val="20" w:hRule="atLeast"/>
          <w:jc w:val="center"/>
        </w:trPr>
        <w:tc>
          <w:tcPr>
            <w:tcW w:w="2185" w:type="dxa"/>
            <w:vAlign w:val="center"/>
          </w:tcPr>
          <w:p>
            <w:pPr>
              <w:jc w:val="center"/>
              <w:rPr>
                <w:rFonts w:ascii="宋体" w:hAnsi="宋体"/>
                <w:bCs/>
                <w:szCs w:val="21"/>
              </w:rPr>
            </w:pPr>
            <w:r>
              <w:rPr>
                <w:rFonts w:ascii="宋体" w:hAnsi="宋体"/>
                <w:bCs/>
                <w:szCs w:val="21"/>
              </w:rPr>
              <w:t>数据保护级别在线更改</w:t>
            </w:r>
          </w:p>
        </w:tc>
        <w:tc>
          <w:tcPr>
            <w:tcW w:w="6323" w:type="dxa"/>
          </w:tcPr>
          <w:p>
            <w:pPr>
              <w:rPr>
                <w:rFonts w:ascii="宋体" w:hAnsi="宋体"/>
                <w:bCs/>
                <w:szCs w:val="21"/>
              </w:rPr>
            </w:pPr>
            <w:r>
              <w:rPr>
                <w:rFonts w:ascii="宋体" w:hAnsi="宋体"/>
                <w:bCs/>
                <w:szCs w:val="21"/>
              </w:rPr>
              <w:t xml:space="preserve">文件系统中的文件可以根据需要分别设置不同的保护级别，并且能在线修改数据安全保护级别。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2185" w:type="dxa"/>
            <w:vAlign w:val="center"/>
          </w:tcPr>
          <w:p>
            <w:pPr>
              <w:jc w:val="center"/>
              <w:rPr>
                <w:rFonts w:ascii="宋体" w:hAnsi="宋体"/>
                <w:bCs/>
                <w:szCs w:val="21"/>
              </w:rPr>
            </w:pPr>
            <w:r>
              <w:rPr>
                <w:rFonts w:ascii="宋体" w:hAnsi="宋体"/>
                <w:bCs/>
                <w:szCs w:val="21"/>
              </w:rPr>
              <w:t>图形化存储管理软件</w:t>
            </w:r>
          </w:p>
        </w:tc>
        <w:tc>
          <w:tcPr>
            <w:tcW w:w="6323" w:type="dxa"/>
          </w:tcPr>
          <w:p>
            <w:pPr>
              <w:rPr>
                <w:rFonts w:ascii="宋体" w:hAnsi="宋体"/>
                <w:bCs/>
                <w:szCs w:val="21"/>
              </w:rPr>
            </w:pPr>
            <w:r>
              <w:rPr>
                <w:rFonts w:ascii="宋体" w:hAnsi="宋体"/>
                <w:bCs/>
                <w:szCs w:val="21"/>
              </w:rPr>
              <w:t xml:space="preserve">支持Telnet/SSH管理，提供基于Web浏览器的管理界面，管理界面简单易用。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2185" w:type="dxa"/>
            <w:vAlign w:val="center"/>
          </w:tcPr>
          <w:p>
            <w:pPr>
              <w:jc w:val="center"/>
              <w:rPr>
                <w:rFonts w:ascii="宋体" w:hAnsi="宋体"/>
                <w:bCs/>
                <w:szCs w:val="21"/>
              </w:rPr>
            </w:pPr>
            <w:r>
              <w:rPr>
                <w:rFonts w:ascii="宋体" w:hAnsi="宋体"/>
                <w:bCs/>
                <w:szCs w:val="21"/>
              </w:rPr>
              <w:t>文件和文件系统快照</w:t>
            </w:r>
          </w:p>
        </w:tc>
        <w:tc>
          <w:tcPr>
            <w:tcW w:w="6323" w:type="dxa"/>
          </w:tcPr>
          <w:p>
            <w:pPr>
              <w:rPr>
                <w:rFonts w:ascii="宋体" w:hAnsi="宋体"/>
                <w:bCs/>
                <w:szCs w:val="21"/>
              </w:rPr>
            </w:pPr>
            <w:r>
              <w:rPr>
                <w:rFonts w:ascii="宋体" w:hAnsi="宋体"/>
                <w:bCs/>
                <w:szCs w:val="21"/>
              </w:rPr>
              <w:t xml:space="preserve">要求支持整个文件系统、目录和子目录的快照。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2185" w:type="dxa"/>
            <w:vAlign w:val="center"/>
          </w:tcPr>
          <w:p>
            <w:pPr>
              <w:jc w:val="center"/>
              <w:rPr>
                <w:rFonts w:ascii="宋体" w:hAnsi="宋体"/>
                <w:bCs/>
                <w:szCs w:val="21"/>
              </w:rPr>
            </w:pPr>
            <w:r>
              <w:rPr>
                <w:rFonts w:ascii="宋体" w:hAnsi="宋体"/>
                <w:bCs/>
                <w:szCs w:val="21"/>
              </w:rPr>
              <w:t>配额管理</w:t>
            </w:r>
          </w:p>
        </w:tc>
        <w:tc>
          <w:tcPr>
            <w:tcW w:w="6323" w:type="dxa"/>
          </w:tcPr>
          <w:p>
            <w:pPr>
              <w:rPr>
                <w:rFonts w:ascii="宋体" w:hAnsi="宋体"/>
                <w:bCs/>
                <w:szCs w:val="21"/>
              </w:rPr>
            </w:pPr>
            <w:r>
              <w:rPr>
                <w:rFonts w:ascii="宋体" w:hAnsi="宋体"/>
                <w:bCs/>
                <w:szCs w:val="21"/>
              </w:rPr>
              <w:t xml:space="preserve">要求支持针对目录、子目录和用户、用户组的配额管理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2185" w:type="dxa"/>
            <w:vAlign w:val="center"/>
          </w:tcPr>
          <w:p>
            <w:pPr>
              <w:jc w:val="center"/>
              <w:rPr>
                <w:rFonts w:ascii="宋体" w:hAnsi="宋体"/>
                <w:bCs/>
                <w:szCs w:val="21"/>
              </w:rPr>
            </w:pPr>
            <w:r>
              <w:rPr>
                <w:rFonts w:ascii="宋体" w:hAnsi="宋体"/>
                <w:bCs/>
                <w:szCs w:val="21"/>
              </w:rPr>
              <w:t>连接管理</w:t>
            </w:r>
          </w:p>
        </w:tc>
        <w:tc>
          <w:tcPr>
            <w:tcW w:w="6323" w:type="dxa"/>
          </w:tcPr>
          <w:p>
            <w:pPr>
              <w:rPr>
                <w:rFonts w:ascii="宋体" w:hAnsi="宋体"/>
                <w:bCs/>
                <w:szCs w:val="21"/>
              </w:rPr>
            </w:pPr>
            <w:r>
              <w:rPr>
                <w:rFonts w:ascii="宋体" w:hAnsi="宋体"/>
                <w:bCs/>
                <w:szCs w:val="21"/>
              </w:rPr>
              <w:t>配置客户端连接管理软件，要求支持针对节点的轮询、CPU利用率、连接数和流量的均衡策略。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2185" w:type="dxa"/>
            <w:vAlign w:val="center"/>
          </w:tcPr>
          <w:p>
            <w:pPr>
              <w:jc w:val="center"/>
              <w:rPr>
                <w:rFonts w:ascii="宋体" w:hAnsi="宋体"/>
                <w:bCs/>
                <w:szCs w:val="21"/>
              </w:rPr>
            </w:pPr>
            <w:r>
              <w:rPr>
                <w:rFonts w:ascii="宋体" w:hAnsi="宋体"/>
                <w:bCs/>
                <w:szCs w:val="21"/>
              </w:rPr>
              <w:t>网络协议支持</w:t>
            </w:r>
          </w:p>
        </w:tc>
        <w:tc>
          <w:tcPr>
            <w:tcW w:w="6323" w:type="dxa"/>
          </w:tcPr>
          <w:p>
            <w:pPr>
              <w:rPr>
                <w:rFonts w:ascii="宋体" w:hAnsi="宋体"/>
                <w:bCs/>
                <w:szCs w:val="21"/>
              </w:rPr>
            </w:pPr>
            <w:r>
              <w:rPr>
                <w:rFonts w:ascii="宋体" w:hAnsi="宋体"/>
                <w:bCs/>
                <w:szCs w:val="21"/>
              </w:rPr>
              <w:t xml:space="preserve">同时支持NFS，CIFS，FTP，iSCSI，HDFS。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trHeight w:val="20" w:hRule="atLeast"/>
          <w:jc w:val="center"/>
        </w:trPr>
        <w:tc>
          <w:tcPr>
            <w:tcW w:w="2185" w:type="dxa"/>
            <w:vAlign w:val="center"/>
          </w:tcPr>
          <w:p>
            <w:pPr>
              <w:jc w:val="center"/>
              <w:rPr>
                <w:rFonts w:ascii="宋体" w:hAnsi="宋体"/>
                <w:bCs/>
                <w:szCs w:val="21"/>
              </w:rPr>
            </w:pPr>
            <w:r>
              <w:rPr>
                <w:rFonts w:ascii="宋体" w:hAnsi="宋体"/>
                <w:bCs/>
                <w:szCs w:val="21"/>
              </w:rPr>
              <w:t>软件许可</w:t>
            </w:r>
          </w:p>
        </w:tc>
        <w:tc>
          <w:tcPr>
            <w:tcW w:w="6323" w:type="dxa"/>
          </w:tcPr>
          <w:p>
            <w:pPr>
              <w:rPr>
                <w:rFonts w:ascii="宋体" w:hAnsi="宋体"/>
                <w:bCs/>
                <w:szCs w:val="21"/>
              </w:rPr>
            </w:pPr>
            <w:r>
              <w:rPr>
                <w:rFonts w:hint="eastAsia"/>
                <w:lang w:eastAsia="zh-CN"/>
              </w:rPr>
              <w:t>配置负载均衡许可和配额管理许可。</w:t>
            </w:r>
          </w:p>
        </w:tc>
      </w:tr>
    </w:tbl>
    <w:p/>
    <w:p>
      <w:pPr>
        <w:pStyle w:val="4"/>
        <w:tabs>
          <w:tab w:val="left" w:pos="432"/>
        </w:tabs>
        <w:rPr>
          <w:sz w:val="24"/>
          <w:szCs w:val="24"/>
        </w:rPr>
      </w:pPr>
      <w:r>
        <w:rPr>
          <w:rFonts w:hint="eastAsia"/>
          <w:sz w:val="24"/>
          <w:szCs w:val="24"/>
        </w:rPr>
        <w:t>7.3.34 服务器虚拟化软件</w:t>
      </w:r>
    </w:p>
    <w:tbl>
      <w:tblPr>
        <w:tblStyle w:val="35"/>
        <w:tblpPr w:leftFromText="180" w:rightFromText="180" w:vertAnchor="text" w:tblpXSpec="center" w:tblpY="1"/>
        <w:tblOverlap w:val="never"/>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35"/>
        <w:gridCol w:w="6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2139" w:type="dxa"/>
            <w:gridSpan w:val="2"/>
            <w:vAlign w:val="center"/>
          </w:tcPr>
          <w:p>
            <w:pPr>
              <w:widowControl/>
              <w:jc w:val="center"/>
              <w:rPr>
                <w:rFonts w:ascii="宋体" w:hAnsi="宋体" w:cs="Arial"/>
                <w:b/>
                <w:bCs/>
                <w:kern w:val="0"/>
                <w:szCs w:val="21"/>
              </w:rPr>
            </w:pPr>
            <w:r>
              <w:rPr>
                <w:rFonts w:hint="eastAsia" w:ascii="宋体" w:hAnsi="宋体" w:cs="Arial"/>
                <w:b/>
                <w:bCs/>
                <w:kern w:val="0"/>
                <w:szCs w:val="21"/>
              </w:rPr>
              <w:t>指标项</w:t>
            </w:r>
          </w:p>
        </w:tc>
        <w:tc>
          <w:tcPr>
            <w:tcW w:w="6157" w:type="dxa"/>
            <w:vAlign w:val="center"/>
          </w:tcPr>
          <w:p>
            <w:pPr>
              <w:widowControl/>
              <w:jc w:val="center"/>
              <w:rPr>
                <w:rFonts w:ascii="宋体" w:hAnsi="宋体" w:cs="Arial"/>
                <w:b/>
                <w:bCs/>
                <w:kern w:val="0"/>
                <w:szCs w:val="21"/>
              </w:rPr>
            </w:pPr>
            <w:r>
              <w:rPr>
                <w:rFonts w:hint="eastAsia" w:ascii="宋体" w:hAnsi="宋体" w:cs="Arial"/>
                <w:b/>
                <w:bCs/>
                <w:kern w:val="0"/>
                <w:szCs w:val="21"/>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restart"/>
            <w:vAlign w:val="center"/>
          </w:tcPr>
          <w:p>
            <w:pPr>
              <w:jc w:val="center"/>
              <w:rPr>
                <w:rFonts w:ascii="宋体" w:hAnsi="宋体" w:cs="Tahoma"/>
                <w:color w:val="000000"/>
                <w:szCs w:val="21"/>
              </w:rPr>
            </w:pPr>
            <w:r>
              <w:rPr>
                <w:rFonts w:hint="eastAsia" w:ascii="宋体" w:hAnsi="宋体" w:cs="Tahoma"/>
                <w:color w:val="000000"/>
                <w:szCs w:val="21"/>
              </w:rPr>
              <w:t>服务器管理功能</w:t>
            </w:r>
          </w:p>
        </w:tc>
        <w:tc>
          <w:tcPr>
            <w:tcW w:w="1435" w:type="dxa"/>
            <w:vMerge w:val="restart"/>
            <w:vAlign w:val="center"/>
          </w:tcPr>
          <w:p>
            <w:pPr>
              <w:jc w:val="center"/>
              <w:rPr>
                <w:rFonts w:ascii="宋体" w:hAnsi="宋体" w:cs="Tahoma"/>
                <w:color w:val="000000"/>
                <w:szCs w:val="21"/>
              </w:rPr>
            </w:pPr>
            <w:r>
              <w:rPr>
                <w:rFonts w:hint="eastAsia" w:ascii="宋体" w:hAnsi="宋体" w:cs="Tahoma"/>
                <w:color w:val="000000"/>
                <w:szCs w:val="21"/>
              </w:rPr>
              <w:t>基本</w:t>
            </w:r>
            <w:r>
              <w:rPr>
                <w:rFonts w:ascii="宋体" w:hAnsi="宋体" w:cs="Tahoma"/>
                <w:color w:val="000000"/>
                <w:szCs w:val="21"/>
              </w:rPr>
              <w:t>管理要求</w:t>
            </w:r>
          </w:p>
        </w:tc>
        <w:tc>
          <w:tcPr>
            <w:tcW w:w="6157" w:type="dxa"/>
            <w:vAlign w:val="center"/>
          </w:tcPr>
          <w:p>
            <w:pPr>
              <w:rPr>
                <w:rFonts w:ascii="宋体" w:hAnsi="宋体" w:cs="Tahoma"/>
                <w:color w:val="000000"/>
                <w:szCs w:val="21"/>
              </w:rPr>
            </w:pPr>
            <w:r>
              <w:rPr>
                <w:rFonts w:hint="eastAsia" w:ascii="宋体" w:hAnsi="宋体" w:cs="Tahoma"/>
                <w:color w:val="000000"/>
                <w:szCs w:val="21"/>
              </w:rPr>
              <w:t>提供统一的图形界面管理软件，可以在一个界面完成服务器的日常功能和运维操作；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rPr>
                <w:rFonts w:ascii="宋体" w:hAnsi="宋体" w:cs="Tahoma"/>
                <w:color w:val="000000"/>
                <w:szCs w:val="21"/>
              </w:rPr>
            </w:pPr>
            <w:r>
              <w:rPr>
                <w:rFonts w:hint="eastAsia" w:ascii="宋体" w:hAnsi="宋体" w:cs="Tahoma"/>
                <w:color w:val="000000"/>
                <w:szCs w:val="21"/>
              </w:rPr>
              <w:t>提供强大的命令行工具，支持编制脚本实现虚拟化管理的自动化；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rPr>
                <w:rFonts w:ascii="宋体" w:hAnsi="宋体" w:cs="Tahoma"/>
                <w:color w:val="000000"/>
                <w:szCs w:val="21"/>
              </w:rPr>
            </w:pPr>
            <w:r>
              <w:rPr>
                <w:rFonts w:hint="eastAsia" w:ascii="宋体" w:hAnsi="宋体" w:cs="Tahoma"/>
                <w:color w:val="000000"/>
                <w:szCs w:val="21"/>
              </w:rPr>
              <w:t>提供</w:t>
            </w:r>
            <w:r>
              <w:rPr>
                <w:rFonts w:ascii="宋体" w:hAnsi="宋体" w:cs="Tahoma"/>
                <w:color w:val="000000"/>
                <w:szCs w:val="21"/>
              </w:rPr>
              <w:t>开放的开发接口，支持其它应用的调用</w:t>
            </w:r>
            <w:r>
              <w:rPr>
                <w:rFonts w:hint="eastAsia" w:ascii="宋体" w:hAnsi="宋体" w:cs="Tahom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Align w:val="center"/>
          </w:tcPr>
          <w:p>
            <w:pPr>
              <w:jc w:val="center"/>
              <w:rPr>
                <w:rFonts w:ascii="宋体" w:hAnsi="宋体" w:cs="Tahoma"/>
                <w:color w:val="000000"/>
                <w:szCs w:val="21"/>
              </w:rPr>
            </w:pPr>
            <w:r>
              <w:rPr>
                <w:rFonts w:ascii="宋体" w:hAnsi="宋体" w:cs="Tahoma"/>
                <w:color w:val="000000"/>
                <w:szCs w:val="21"/>
              </w:rPr>
              <w:t>高级集中管理</w:t>
            </w:r>
          </w:p>
        </w:tc>
        <w:tc>
          <w:tcPr>
            <w:tcW w:w="6157" w:type="dxa"/>
            <w:vAlign w:val="center"/>
          </w:tcPr>
          <w:p>
            <w:pPr>
              <w:rPr>
                <w:rFonts w:ascii="宋体" w:hAnsi="宋体" w:cs="Tahoma"/>
                <w:color w:val="000000"/>
                <w:szCs w:val="21"/>
              </w:rPr>
            </w:pPr>
            <w:r>
              <w:rPr>
                <w:rFonts w:hint="eastAsia" w:ascii="宋体" w:hAnsi="宋体" w:cs="Tahoma"/>
                <w:color w:val="000000"/>
                <w:szCs w:val="21"/>
              </w:rPr>
              <w:t>可以将多台服务器组合为服务器组，通过一个界面完成多台服务器的统一运维操作；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04" w:type="dxa"/>
            <w:vMerge w:val="restart"/>
            <w:vAlign w:val="center"/>
          </w:tcPr>
          <w:p>
            <w:pPr>
              <w:jc w:val="center"/>
              <w:rPr>
                <w:rFonts w:ascii="宋体" w:hAnsi="宋体" w:cs="Tahoma"/>
                <w:color w:val="000000"/>
                <w:szCs w:val="21"/>
              </w:rPr>
            </w:pPr>
            <w:r>
              <w:rPr>
                <w:rFonts w:ascii="宋体" w:hAnsi="宋体" w:cs="Tahoma"/>
                <w:color w:val="000000"/>
                <w:szCs w:val="21"/>
              </w:rPr>
              <w:t>服务器虚拟化功能</w:t>
            </w:r>
          </w:p>
        </w:tc>
        <w:tc>
          <w:tcPr>
            <w:tcW w:w="1435" w:type="dxa"/>
            <w:vMerge w:val="restart"/>
            <w:vAlign w:val="center"/>
          </w:tcPr>
          <w:p>
            <w:pPr>
              <w:jc w:val="center"/>
              <w:rPr>
                <w:rFonts w:ascii="宋体" w:hAnsi="宋体" w:cs="Tahoma"/>
                <w:color w:val="000000"/>
                <w:szCs w:val="21"/>
              </w:rPr>
            </w:pPr>
            <w:r>
              <w:rPr>
                <w:rFonts w:hint="eastAsia" w:ascii="宋体" w:hAnsi="宋体" w:cs="Tahoma"/>
                <w:color w:val="000000"/>
                <w:szCs w:val="21"/>
              </w:rPr>
              <w:t>虚拟机独立性</w:t>
            </w:r>
          </w:p>
        </w:tc>
        <w:tc>
          <w:tcPr>
            <w:tcW w:w="6157" w:type="dxa"/>
            <w:vAlign w:val="center"/>
          </w:tcPr>
          <w:p>
            <w:pPr>
              <w:rPr>
                <w:rFonts w:ascii="宋体" w:hAnsi="宋体" w:cs="Tahoma"/>
                <w:color w:val="000000"/>
                <w:szCs w:val="21"/>
              </w:rPr>
            </w:pPr>
            <w:r>
              <w:rPr>
                <w:rFonts w:ascii="宋体" w:hAnsi="宋体" w:cs="Tahoma"/>
                <w:color w:val="000000"/>
                <w:szCs w:val="21"/>
              </w:rPr>
              <w:t>利用Intel VT和AMD-V的硬件虚拟化技术，提供对硬件驱动的高性能访问</w:t>
            </w:r>
            <w:r>
              <w:rPr>
                <w:rFonts w:hint="eastAsia" w:ascii="宋体" w:hAnsi="宋体" w:cs="Tahom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rPr>
                <w:rFonts w:ascii="宋体" w:hAnsi="宋体" w:cs="Tahoma"/>
                <w:color w:val="000000"/>
                <w:szCs w:val="21"/>
              </w:rPr>
            </w:pPr>
            <w:r>
              <w:rPr>
                <w:rFonts w:ascii="宋体" w:hAnsi="宋体" w:cs="Tahoma"/>
                <w:color w:val="000000"/>
                <w:szCs w:val="21"/>
              </w:rPr>
              <w:t>虚拟机之间可以做到隔离保护，每个虚拟机上的用户权限只限于本虚拟机之内，保障系统平台的安全性</w:t>
            </w:r>
            <w:r>
              <w:rPr>
                <w:rFonts w:hint="eastAsia" w:ascii="宋体" w:hAnsi="宋体" w:cs="Tahom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rPr>
                <w:rFonts w:ascii="宋体" w:hAnsi="宋体" w:cs="Tahoma"/>
                <w:color w:val="000000"/>
                <w:szCs w:val="21"/>
              </w:rPr>
            </w:pPr>
            <w:r>
              <w:rPr>
                <w:rFonts w:ascii="宋体" w:hAnsi="宋体" w:cs="Tahoma"/>
                <w:color w:val="000000"/>
                <w:szCs w:val="21"/>
              </w:rPr>
              <w:t>虚拟机具有自己的资源（内存、CPU、网卡、存储），可以指定单独的IP地址、MAC地址等</w:t>
            </w:r>
            <w:r>
              <w:rPr>
                <w:rFonts w:hint="eastAsia" w:ascii="宋体" w:hAnsi="宋体" w:cs="Tahom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Align w:val="center"/>
          </w:tcPr>
          <w:p>
            <w:pPr>
              <w:jc w:val="center"/>
              <w:rPr>
                <w:rFonts w:ascii="宋体" w:hAnsi="宋体" w:cs="Tahoma"/>
                <w:color w:val="000000"/>
                <w:szCs w:val="21"/>
              </w:rPr>
            </w:pPr>
            <w:r>
              <w:rPr>
                <w:rFonts w:hint="eastAsia" w:ascii="宋体" w:hAnsi="宋体" w:cs="Tahoma"/>
                <w:color w:val="000000"/>
                <w:szCs w:val="21"/>
              </w:rPr>
              <w:t>虚拟机安全</w:t>
            </w:r>
          </w:p>
        </w:tc>
        <w:tc>
          <w:tcPr>
            <w:tcW w:w="6157" w:type="dxa"/>
            <w:tcBorders>
              <w:bottom w:val="single" w:color="auto" w:sz="4" w:space="0"/>
            </w:tcBorders>
            <w:vAlign w:val="center"/>
          </w:tcPr>
          <w:p>
            <w:pPr>
              <w:rPr>
                <w:rFonts w:ascii="宋体" w:hAnsi="宋体" w:cs="Tahoma"/>
                <w:color w:val="000000"/>
                <w:szCs w:val="21"/>
              </w:rPr>
            </w:pPr>
            <w:r>
              <w:rPr>
                <w:rFonts w:hint="eastAsia" w:ascii="宋体" w:hAnsi="宋体" w:cs="Tahoma"/>
                <w:color w:val="000000"/>
                <w:szCs w:val="21"/>
              </w:rPr>
              <w:t>支持受保护的虚拟机（Shielded Virtual Machines）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8" w:hRule="atLeast"/>
        </w:trPr>
        <w:tc>
          <w:tcPr>
            <w:tcW w:w="704" w:type="dxa"/>
            <w:vMerge w:val="continue"/>
            <w:vAlign w:val="center"/>
          </w:tcPr>
          <w:p>
            <w:pPr>
              <w:jc w:val="center"/>
              <w:rPr>
                <w:rFonts w:ascii="宋体" w:hAnsi="宋体" w:cs="Tahoma"/>
                <w:color w:val="000000"/>
                <w:szCs w:val="21"/>
              </w:rPr>
            </w:pPr>
          </w:p>
        </w:tc>
        <w:tc>
          <w:tcPr>
            <w:tcW w:w="1435" w:type="dxa"/>
            <w:vMerge w:val="restart"/>
            <w:vAlign w:val="center"/>
          </w:tcPr>
          <w:p>
            <w:pPr>
              <w:jc w:val="center"/>
              <w:rPr>
                <w:rFonts w:ascii="宋体" w:hAnsi="宋体" w:cs="Tahoma"/>
                <w:color w:val="000000"/>
                <w:szCs w:val="21"/>
              </w:rPr>
            </w:pPr>
            <w:r>
              <w:rPr>
                <w:rFonts w:hint="eastAsia" w:ascii="宋体" w:hAnsi="宋体" w:cs="Tahoma"/>
                <w:color w:val="000000"/>
                <w:szCs w:val="21"/>
              </w:rPr>
              <w:t>异构</w:t>
            </w:r>
            <w:r>
              <w:rPr>
                <w:rFonts w:ascii="宋体" w:hAnsi="宋体" w:cs="Tahoma"/>
                <w:color w:val="000000"/>
                <w:szCs w:val="21"/>
              </w:rPr>
              <w:t>支持</w:t>
            </w:r>
          </w:p>
        </w:tc>
        <w:tc>
          <w:tcPr>
            <w:tcW w:w="6157" w:type="dxa"/>
            <w:vAlign w:val="center"/>
          </w:tcPr>
          <w:p>
            <w:pPr>
              <w:pStyle w:val="42"/>
              <w:ind w:firstLine="0" w:firstLineChars="0"/>
              <w:rPr>
                <w:rFonts w:ascii="宋体" w:hAnsi="宋体"/>
                <w:szCs w:val="21"/>
              </w:rPr>
            </w:pPr>
            <w:r>
              <w:rPr>
                <w:rFonts w:ascii="宋体" w:hAnsi="宋体"/>
                <w:szCs w:val="21"/>
              </w:rPr>
              <w:t>支持在Intel和AMD两个品牌或同一品牌不同CPU类型之间的服务器建立支持异构CPU的虚拟化资源池</w:t>
            </w:r>
            <w:r>
              <w:rPr>
                <w:rFonts w:hint="eastAsia" w:ascii="宋体" w:hAnsi="宋体"/>
                <w:szCs w:val="21"/>
              </w:rPr>
              <w:t>；</w:t>
            </w:r>
          </w:p>
          <w:p>
            <w:pPr>
              <w:pStyle w:val="42"/>
              <w:ind w:firstLine="0" w:firstLineChars="0"/>
              <w:rPr>
                <w:rFonts w:ascii="宋体" w:hAnsi="宋体" w:cs="Tahoma"/>
                <w:color w:val="000000"/>
                <w:szCs w:val="21"/>
              </w:rPr>
            </w:pPr>
            <w:r>
              <w:rPr>
                <w:rFonts w:ascii="宋体" w:hAnsi="宋体"/>
                <w:szCs w:val="21"/>
              </w:rPr>
              <w:t>支持市面上主流的</w:t>
            </w:r>
            <w:r>
              <w:rPr>
                <w:rFonts w:hint="eastAsia" w:ascii="宋体" w:hAnsi="宋体"/>
                <w:szCs w:val="21"/>
              </w:rPr>
              <w:t>x86</w:t>
            </w:r>
            <w:r>
              <w:rPr>
                <w:rFonts w:ascii="宋体" w:hAnsi="宋体"/>
                <w:szCs w:val="21"/>
              </w:rPr>
              <w:t>服务器</w:t>
            </w:r>
            <w:r>
              <w:rPr>
                <w:rFonts w:hint="eastAsia" w:ascii="宋体" w:hAnsi="宋体"/>
                <w:szCs w:val="21"/>
              </w:rPr>
              <w:t>，</w:t>
            </w:r>
            <w:r>
              <w:rPr>
                <w:rFonts w:ascii="宋体" w:hAnsi="宋体"/>
                <w:szCs w:val="21"/>
              </w:rPr>
              <w:t>包括</w:t>
            </w:r>
            <w:r>
              <w:rPr>
                <w:rFonts w:hint="eastAsia" w:ascii="宋体" w:hAnsi="宋体"/>
                <w:szCs w:val="21"/>
              </w:rPr>
              <w:t>HP、Dell、联想等厂商的机架或刀片服务器；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rPr>
                <w:rFonts w:ascii="宋体" w:hAnsi="宋体" w:cs="Tahoma"/>
                <w:color w:val="000000"/>
                <w:szCs w:val="21"/>
              </w:rPr>
            </w:pPr>
            <w:r>
              <w:rPr>
                <w:rFonts w:ascii="宋体" w:hAnsi="宋体" w:cs="Tahoma"/>
                <w:color w:val="000000"/>
                <w:szCs w:val="21"/>
              </w:rPr>
              <w:t>虚拟化资源池内的每个服务器都可以安装虚拟机，并且虚拟机操作系统可以异构。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rPr>
                <w:rFonts w:ascii="宋体" w:hAnsi="宋体" w:cs="Tahoma"/>
                <w:color w:val="000000"/>
                <w:szCs w:val="21"/>
              </w:rPr>
            </w:pPr>
            <w:r>
              <w:rPr>
                <w:rFonts w:hint="eastAsia" w:ascii="宋体" w:hAnsi="宋体" w:cs="Tahoma"/>
                <w:color w:val="000000"/>
                <w:szCs w:val="21"/>
              </w:rPr>
              <w:t>兼容现有市场上X86服务器上能够运行的主流操作系统，具有双方认可的官方客户操作系统兼容性列表，包括不限于以下操作系统：WINDOWS 2003、WINDOWS 2008、WINDOWS 2012、WINDOWS 2016、REDHATLINUX、CENTOSLINUX、ORACLELINUX、SUSELINUX、FREEBSD、UBUNTU、DEBIAN等。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rPr>
                <w:rFonts w:ascii="宋体" w:hAnsi="宋体" w:cs="Tahoma"/>
                <w:color w:val="000000"/>
                <w:szCs w:val="21"/>
              </w:rPr>
            </w:pPr>
            <w:r>
              <w:rPr>
                <w:rFonts w:hint="eastAsia" w:ascii="宋体" w:hAnsi="宋体" w:cs="Tahoma"/>
                <w:color w:val="000000"/>
                <w:szCs w:val="21"/>
              </w:rPr>
              <w:t>ORACLE、IBM等主流应用厂商支持其应用运行于虚拟化技术之上的虚拟机中。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rPr>
                <w:rFonts w:ascii="宋体" w:hAnsi="宋体" w:cs="Tahoma"/>
                <w:color w:val="000000"/>
                <w:szCs w:val="21"/>
              </w:rPr>
            </w:pPr>
            <w:r>
              <w:rPr>
                <w:rFonts w:ascii="宋体" w:hAnsi="宋体" w:cs="Tahoma"/>
                <w:color w:val="000000"/>
                <w:szCs w:val="21"/>
              </w:rPr>
              <w:t>兼容现有市场上主流的存储阵列产品，如IP-SAN、FC-SAN、SAS和iSCSI，品牌包括EMC、IBM、HP、HDS、Netapp、Sun、Dell等，兼容现有市场上主流的网卡和HBA卡产品，包括Qlogic，Emulex，Brocade的HBA卡。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restart"/>
            <w:vAlign w:val="center"/>
          </w:tcPr>
          <w:p>
            <w:pPr>
              <w:jc w:val="center"/>
              <w:rPr>
                <w:rFonts w:ascii="宋体" w:hAnsi="宋体" w:cs="Tahoma"/>
                <w:color w:val="000000"/>
                <w:szCs w:val="21"/>
              </w:rPr>
            </w:pPr>
            <w:r>
              <w:rPr>
                <w:rFonts w:hint="eastAsia" w:ascii="宋体" w:hAnsi="宋体" w:cs="Tahoma"/>
                <w:color w:val="000000"/>
                <w:szCs w:val="21"/>
              </w:rPr>
              <w:t>功能性要求</w:t>
            </w:r>
          </w:p>
        </w:tc>
        <w:tc>
          <w:tcPr>
            <w:tcW w:w="6157" w:type="dxa"/>
            <w:vAlign w:val="center"/>
          </w:tcPr>
          <w:p>
            <w:pPr>
              <w:pStyle w:val="42"/>
              <w:ind w:firstLine="0" w:firstLineChars="0"/>
              <w:rPr>
                <w:rFonts w:ascii="宋体" w:hAnsi="宋体"/>
                <w:szCs w:val="21"/>
              </w:rPr>
            </w:pPr>
            <w:r>
              <w:rPr>
                <w:rFonts w:ascii="宋体" w:hAnsi="宋体"/>
                <w:szCs w:val="21"/>
              </w:rPr>
              <w:t>支持虚拟机实时迁移动能，可以在不停机的状态下，手工或自动地实现虚拟机在群集之内的不同物理主机之间迁移，保障业务连续性</w:t>
            </w:r>
            <w:r>
              <w:rPr>
                <w:rFonts w:hint="eastAsia" w:ascii="宋体" w:hAnsi="宋体"/>
                <w:szCs w:val="21"/>
              </w:rPr>
              <w:t>；</w:t>
            </w:r>
          </w:p>
          <w:p>
            <w:pPr>
              <w:pStyle w:val="42"/>
              <w:ind w:firstLine="0" w:firstLineChars="0"/>
              <w:rPr>
                <w:rFonts w:ascii="宋体" w:hAnsi="宋体"/>
                <w:szCs w:val="21"/>
              </w:rPr>
            </w:pPr>
            <w:r>
              <w:rPr>
                <w:rFonts w:ascii="宋体" w:hAnsi="宋体"/>
                <w:szCs w:val="21"/>
              </w:rPr>
              <w:t>实时迁移无需依赖高可用群集和共享存储</w:t>
            </w:r>
            <w:r>
              <w:rPr>
                <w:rFonts w:hint="eastAsia" w:ascii="宋体" w:hAnsi="宋体"/>
                <w:szCs w:val="21"/>
              </w:rPr>
              <w:t>，</w:t>
            </w:r>
            <w:r>
              <w:rPr>
                <w:rFonts w:ascii="宋体" w:hAnsi="宋体"/>
                <w:szCs w:val="21"/>
              </w:rPr>
              <w:t>支持位于本地存储的虚拟机在不同的物理主机进行迁移</w:t>
            </w:r>
            <w:r>
              <w:rPr>
                <w:rFonts w:hint="eastAsia" w:ascii="宋体" w:hAnsi="宋体"/>
                <w:szCs w:val="21"/>
              </w:rPr>
              <w:t>，</w:t>
            </w:r>
            <w:r>
              <w:rPr>
                <w:rFonts w:ascii="宋体" w:hAnsi="宋体"/>
                <w:szCs w:val="21"/>
              </w:rPr>
              <w:t>迁移过程中不停机</w:t>
            </w:r>
            <w:r>
              <w:rPr>
                <w:rFonts w:hint="eastAsia" w:ascii="宋体" w:hAnsi="宋体"/>
                <w:szCs w:val="21"/>
              </w:rPr>
              <w:t>；</w:t>
            </w:r>
          </w:p>
          <w:p>
            <w:pPr>
              <w:pStyle w:val="42"/>
              <w:ind w:firstLine="0" w:firstLineChars="0"/>
              <w:rPr>
                <w:rFonts w:ascii="宋体" w:hAnsi="宋体"/>
                <w:szCs w:val="21"/>
              </w:rPr>
            </w:pPr>
            <w:r>
              <w:rPr>
                <w:rFonts w:ascii="宋体" w:hAnsi="宋体"/>
                <w:szCs w:val="21"/>
              </w:rPr>
              <w:t>支持位于共享文件夹中的虚拟机实时迁移</w:t>
            </w:r>
            <w:r>
              <w:rPr>
                <w:rFonts w:hint="eastAsia" w:ascii="宋体" w:hAnsi="宋体"/>
                <w:szCs w:val="21"/>
              </w:rPr>
              <w:t>；</w:t>
            </w:r>
          </w:p>
          <w:p>
            <w:pPr>
              <w:pStyle w:val="42"/>
              <w:ind w:firstLine="0" w:firstLineChars="0"/>
              <w:rPr>
                <w:rFonts w:ascii="宋体" w:hAnsi="宋体"/>
                <w:szCs w:val="21"/>
              </w:rPr>
            </w:pPr>
            <w:r>
              <w:rPr>
                <w:rFonts w:ascii="宋体" w:hAnsi="宋体"/>
                <w:szCs w:val="21"/>
              </w:rPr>
              <w:t>支持在群集内的不限数量的并发实时迁移</w:t>
            </w:r>
            <w:r>
              <w:rPr>
                <w:rFonts w:hint="eastAsia" w:ascii="宋体" w:hAnsi="宋体"/>
                <w:szCs w:val="21"/>
              </w:rPr>
              <w:t>，并可以查看实时迁移状态和队列；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rPr>
                <w:rFonts w:ascii="宋体" w:hAnsi="宋体" w:cs="Tahoma"/>
                <w:color w:val="000000"/>
                <w:szCs w:val="21"/>
              </w:rPr>
            </w:pPr>
            <w:r>
              <w:rPr>
                <w:rFonts w:ascii="宋体" w:hAnsi="宋体" w:cs="Tahoma"/>
                <w:color w:val="000000"/>
                <w:szCs w:val="21"/>
              </w:rPr>
              <w:t>支持存储实时迁移</w:t>
            </w:r>
            <w:r>
              <w:rPr>
                <w:rFonts w:hint="eastAsia" w:ascii="宋体" w:hAnsi="宋体" w:cs="Tahoma"/>
                <w:color w:val="000000"/>
                <w:szCs w:val="21"/>
              </w:rPr>
              <w:t>，</w:t>
            </w:r>
            <w:r>
              <w:rPr>
                <w:rFonts w:ascii="宋体" w:hAnsi="宋体" w:cs="Tahoma"/>
                <w:color w:val="000000"/>
                <w:szCs w:val="21"/>
              </w:rPr>
              <w:t>可以在不同的</w:t>
            </w:r>
            <w:r>
              <w:rPr>
                <w:rFonts w:hint="eastAsia" w:ascii="宋体" w:hAnsi="宋体" w:cs="Tahoma"/>
                <w:color w:val="000000"/>
                <w:szCs w:val="21"/>
              </w:rPr>
              <w:t>L</w:t>
            </w:r>
            <w:r>
              <w:rPr>
                <w:rFonts w:ascii="宋体" w:hAnsi="宋体" w:cs="Tahoma"/>
                <w:color w:val="000000"/>
                <w:szCs w:val="21"/>
              </w:rPr>
              <w:t>UN之间迁移虚拟机存储</w:t>
            </w:r>
            <w:r>
              <w:rPr>
                <w:rFonts w:hint="eastAsia" w:ascii="宋体" w:hAnsi="宋体" w:cs="Tahoma"/>
                <w:color w:val="000000"/>
                <w:szCs w:val="21"/>
              </w:rPr>
              <w:t>，</w:t>
            </w:r>
            <w:r>
              <w:rPr>
                <w:rFonts w:ascii="宋体" w:hAnsi="宋体" w:cs="Tahoma"/>
                <w:color w:val="000000"/>
                <w:szCs w:val="21"/>
              </w:rPr>
              <w:t>迁移过程中虚拟机不会停机</w:t>
            </w:r>
            <w:r>
              <w:rPr>
                <w:rFonts w:hint="eastAsia" w:ascii="宋体" w:hAnsi="宋体" w:cs="Tahom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rPr>
                <w:rFonts w:ascii="宋体" w:hAnsi="宋体" w:cs="Tahoma"/>
                <w:color w:val="000000"/>
                <w:szCs w:val="21"/>
              </w:rPr>
            </w:pPr>
            <w:r>
              <w:rPr>
                <w:rFonts w:hint="eastAsia" w:ascii="宋体" w:hAnsi="宋体" w:cs="Tahoma"/>
                <w:color w:val="000000"/>
                <w:szCs w:val="21"/>
              </w:rPr>
              <w:t>支持跨越软件和硬件交换机、跨越数据中心进行虚拟机在线复制、迁移，可实现远距离无中断实时迁移工作负载。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rPr>
                <w:rFonts w:ascii="宋体" w:hAnsi="宋体" w:cs="Tahoma"/>
                <w:color w:val="000000"/>
                <w:szCs w:val="21"/>
              </w:rPr>
            </w:pPr>
            <w:r>
              <w:rPr>
                <w:rFonts w:ascii="宋体" w:hAnsi="宋体" w:cs="Tahoma"/>
                <w:color w:val="000000"/>
                <w:szCs w:val="21"/>
              </w:rPr>
              <w:t>支持故障转移功能，当一台物理</w:t>
            </w:r>
            <w:r>
              <w:rPr>
                <w:rFonts w:hint="eastAsia" w:ascii="宋体" w:hAnsi="宋体" w:cs="Tahoma"/>
                <w:color w:val="000000"/>
                <w:szCs w:val="21"/>
              </w:rPr>
              <w:t>主</w:t>
            </w:r>
            <w:r>
              <w:rPr>
                <w:rFonts w:ascii="宋体" w:hAnsi="宋体" w:cs="Tahoma"/>
                <w:color w:val="000000"/>
                <w:szCs w:val="21"/>
              </w:rPr>
              <w:t>机发生故障时，之上的虚拟机可以实现在虚拟化群集之内的其它物理主机上重新启动，保障业务连续性</w:t>
            </w:r>
            <w:r>
              <w:rPr>
                <w:rFonts w:hint="eastAsia" w:ascii="宋体" w:hAnsi="宋体" w:cs="Tahom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rPr>
                <w:rFonts w:ascii="宋体" w:hAnsi="宋体" w:cs="Tahoma"/>
                <w:color w:val="000000"/>
                <w:szCs w:val="21"/>
              </w:rPr>
            </w:pPr>
            <w:r>
              <w:rPr>
                <w:rFonts w:ascii="宋体" w:hAnsi="宋体" w:cs="Tahoma"/>
                <w:color w:val="000000"/>
                <w:szCs w:val="21"/>
              </w:rPr>
              <w:t>支持资源动态优化</w:t>
            </w:r>
            <w:r>
              <w:rPr>
                <w:rFonts w:hint="eastAsia" w:ascii="宋体" w:hAnsi="宋体" w:cs="Tahoma"/>
                <w:color w:val="000000"/>
                <w:szCs w:val="21"/>
              </w:rPr>
              <w:t>，</w:t>
            </w:r>
            <w:r>
              <w:rPr>
                <w:rFonts w:ascii="宋体" w:hAnsi="宋体" w:cs="Tahoma"/>
                <w:color w:val="000000"/>
                <w:szCs w:val="21"/>
              </w:rPr>
              <w:t>在物理主机的负载达到一定程度后，自动将高负载物理服务器上运行的虚拟机迁移到其它比较空闲的物理服务器上。支持按照CPU、内存、网络和磁盘设定相关阀值和策略实现负载均衡。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rPr>
                <w:rFonts w:ascii="宋体" w:hAnsi="宋体" w:cs="Tahoma"/>
                <w:color w:val="000000"/>
                <w:szCs w:val="21"/>
              </w:rPr>
            </w:pPr>
            <w:r>
              <w:rPr>
                <w:rFonts w:ascii="宋体" w:hAnsi="宋体" w:cs="Tahoma"/>
                <w:color w:val="000000"/>
                <w:szCs w:val="21"/>
              </w:rPr>
              <w:t>支持自动化的电源管理功能，在满足业务性能需求的前提下，根据各种业务工作负载情况整合物理服务器，使服务器数量最少；同时关闭不需要的服务器以降低整个系统的资源能耗。当业务需要更多的物理资源时自动开启服务器。整个过程系统自动完成</w:t>
            </w:r>
            <w:r>
              <w:rPr>
                <w:rFonts w:hint="eastAsia" w:ascii="宋体" w:hAnsi="宋体" w:cs="Tahom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rPr>
                <w:rFonts w:ascii="宋体" w:hAnsi="宋体" w:cs="Tahoma"/>
                <w:color w:val="000000"/>
                <w:szCs w:val="21"/>
              </w:rPr>
            </w:pPr>
            <w:r>
              <w:rPr>
                <w:rFonts w:ascii="宋体" w:hAnsi="宋体" w:cs="Tahoma"/>
                <w:color w:val="000000"/>
                <w:szCs w:val="21"/>
              </w:rPr>
              <w:t>支持在线快照功能：在线为虚拟机打快照，可包括内存数据。在线删除快照时可立即合并增量数据，无需等待关机后再执行</w:t>
            </w:r>
            <w:r>
              <w:rPr>
                <w:rFonts w:hint="eastAsia" w:ascii="宋体" w:hAnsi="宋体" w:cs="Tahom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rPr>
                <w:rFonts w:ascii="宋体" w:hAnsi="宋体" w:cs="Tahoma"/>
                <w:color w:val="000000"/>
                <w:szCs w:val="21"/>
              </w:rPr>
            </w:pPr>
            <w:r>
              <w:rPr>
                <w:rFonts w:hint="eastAsia" w:ascii="宋体" w:hAnsi="宋体" w:cs="Tahoma"/>
                <w:color w:val="000000"/>
                <w:szCs w:val="21"/>
              </w:rPr>
              <w:t>支持</w:t>
            </w:r>
            <w:r>
              <w:rPr>
                <w:rFonts w:ascii="宋体" w:hAnsi="宋体" w:cs="Tahoma"/>
                <w:color w:val="000000"/>
                <w:szCs w:val="21"/>
              </w:rPr>
              <w:t>虚拟机快照</w:t>
            </w:r>
            <w:r>
              <w:rPr>
                <w:rFonts w:hint="eastAsia" w:ascii="宋体" w:hAnsi="宋体" w:cs="Tahoma"/>
                <w:color w:val="000000"/>
                <w:szCs w:val="21"/>
              </w:rPr>
              <w:t>的</w:t>
            </w:r>
            <w:r>
              <w:rPr>
                <w:rFonts w:ascii="宋体" w:hAnsi="宋体" w:cs="Tahoma"/>
                <w:color w:val="000000"/>
                <w:szCs w:val="21"/>
              </w:rPr>
              <w:t>创建、</w:t>
            </w:r>
            <w:r>
              <w:rPr>
                <w:rFonts w:hint="eastAsia" w:ascii="宋体" w:hAnsi="宋体" w:cs="Tahoma"/>
                <w:color w:val="000000"/>
                <w:szCs w:val="21"/>
              </w:rPr>
              <w:t>恢复及</w:t>
            </w:r>
            <w:r>
              <w:rPr>
                <w:rFonts w:ascii="宋体" w:hAnsi="宋体" w:cs="Tahoma"/>
                <w:color w:val="000000"/>
                <w:szCs w:val="21"/>
              </w:rPr>
              <w:t>删除，</w:t>
            </w:r>
            <w:r>
              <w:rPr>
                <w:rFonts w:hint="eastAsia" w:ascii="宋体" w:hAnsi="宋体" w:cs="Tahoma"/>
                <w:color w:val="000000"/>
                <w:szCs w:val="21"/>
              </w:rPr>
              <w:t>并</w:t>
            </w:r>
            <w:r>
              <w:rPr>
                <w:rFonts w:ascii="宋体" w:hAnsi="宋体" w:cs="Tahoma"/>
                <w:color w:val="000000"/>
                <w:szCs w:val="21"/>
              </w:rPr>
              <w:t>支持</w:t>
            </w:r>
            <w:r>
              <w:rPr>
                <w:rFonts w:hint="eastAsia" w:ascii="宋体" w:hAnsi="宋体" w:cs="Tahoma"/>
                <w:color w:val="000000"/>
                <w:szCs w:val="21"/>
              </w:rPr>
              <w:t>按照</w:t>
            </w:r>
            <w:r>
              <w:rPr>
                <w:rFonts w:ascii="宋体" w:hAnsi="宋体" w:cs="Tahoma"/>
                <w:color w:val="000000"/>
                <w:szCs w:val="21"/>
              </w:rPr>
              <w:t>时间顺序以树状结构显示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rPr>
                <w:rFonts w:ascii="宋体" w:hAnsi="宋体" w:cs="Tahoma"/>
                <w:color w:val="000000"/>
                <w:szCs w:val="21"/>
              </w:rPr>
            </w:pPr>
            <w:r>
              <w:rPr>
                <w:rFonts w:ascii="宋体" w:hAnsi="宋体" w:cs="Tahoma"/>
                <w:color w:val="000000"/>
                <w:szCs w:val="21"/>
              </w:rPr>
              <w:t>支持存储空间功能</w:t>
            </w:r>
            <w:r>
              <w:rPr>
                <w:rFonts w:hint="eastAsia" w:ascii="宋体" w:hAnsi="宋体" w:cs="Tahoma"/>
                <w:color w:val="000000"/>
                <w:szCs w:val="21"/>
              </w:rPr>
              <w:t>，</w:t>
            </w:r>
            <w:r>
              <w:rPr>
                <w:rFonts w:ascii="宋体" w:hAnsi="宋体" w:cs="Tahoma"/>
                <w:color w:val="000000"/>
                <w:szCs w:val="21"/>
              </w:rPr>
              <w:t>群集共享卷内可以包括多个</w:t>
            </w:r>
            <w:r>
              <w:rPr>
                <w:rFonts w:hint="eastAsia" w:ascii="宋体" w:hAnsi="宋体" w:cs="Tahoma"/>
                <w:color w:val="000000"/>
                <w:szCs w:val="21"/>
              </w:rPr>
              <w:t>LUN，支持在线增加L</w:t>
            </w:r>
            <w:r>
              <w:rPr>
                <w:rFonts w:ascii="宋体" w:hAnsi="宋体" w:cs="Tahoma"/>
                <w:color w:val="000000"/>
                <w:szCs w:val="21"/>
              </w:rPr>
              <w:t>UN以扩展存储空间</w:t>
            </w:r>
            <w:r>
              <w:rPr>
                <w:rFonts w:hint="eastAsia" w:ascii="宋体" w:hAnsi="宋体" w:cs="Tahom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pStyle w:val="42"/>
              <w:ind w:firstLine="0" w:firstLineChars="0"/>
              <w:rPr>
                <w:rFonts w:ascii="宋体" w:hAnsi="宋体"/>
                <w:szCs w:val="21"/>
              </w:rPr>
            </w:pPr>
            <w:r>
              <w:rPr>
                <w:rFonts w:ascii="宋体" w:hAnsi="宋体"/>
                <w:szCs w:val="21"/>
              </w:rPr>
              <w:t>支持最多</w:t>
            </w:r>
            <w:r>
              <w:rPr>
                <w:rFonts w:hint="eastAsia" w:ascii="宋体" w:hAnsi="宋体"/>
                <w:szCs w:val="21"/>
              </w:rPr>
              <w:t>将64台物理主机配置为单一群集，虚拟机可以在群集内实现实时迁移、故障转移，同时支持动态资源调节和电源优化功能，可以根据配置的策略自动调整虚拟机在物理主机上的分布；</w:t>
            </w:r>
          </w:p>
          <w:p>
            <w:pPr>
              <w:pStyle w:val="42"/>
              <w:ind w:firstLine="0" w:firstLineChars="0"/>
              <w:rPr>
                <w:rFonts w:ascii="宋体" w:hAnsi="宋体"/>
                <w:szCs w:val="21"/>
              </w:rPr>
            </w:pPr>
            <w:r>
              <w:rPr>
                <w:rFonts w:ascii="宋体" w:hAnsi="宋体"/>
                <w:szCs w:val="21"/>
              </w:rPr>
              <w:t>单一群集至少支持</w:t>
            </w:r>
            <w:r>
              <w:rPr>
                <w:rFonts w:hint="eastAsia" w:ascii="宋体" w:hAnsi="宋体"/>
                <w:szCs w:val="21"/>
              </w:rPr>
              <w:t>8000台虚拟机的负载；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pStyle w:val="42"/>
              <w:ind w:firstLine="0" w:firstLineChars="0"/>
              <w:rPr>
                <w:rFonts w:ascii="宋体" w:hAnsi="宋体"/>
                <w:szCs w:val="21"/>
              </w:rPr>
            </w:pPr>
            <w:r>
              <w:rPr>
                <w:rFonts w:ascii="宋体" w:hAnsi="宋体"/>
                <w:szCs w:val="21"/>
              </w:rPr>
              <w:t>支持</w:t>
            </w:r>
            <w:r>
              <w:rPr>
                <w:rFonts w:hint="eastAsia" w:ascii="宋体" w:hAnsi="宋体"/>
                <w:szCs w:val="21"/>
              </w:rPr>
              <w:t>虚拟机复制功能，可以在不同站点，不同物理主机和存储系统上进行虚拟机的复制，复制的副本虚拟机和原始虚拟机保持数据一致；</w:t>
            </w:r>
          </w:p>
          <w:p>
            <w:pPr>
              <w:pStyle w:val="42"/>
              <w:ind w:firstLine="0" w:firstLineChars="0"/>
              <w:rPr>
                <w:rFonts w:ascii="宋体" w:hAnsi="宋体"/>
                <w:szCs w:val="21"/>
              </w:rPr>
            </w:pPr>
            <w:r>
              <w:rPr>
                <w:rFonts w:ascii="宋体" w:hAnsi="宋体"/>
                <w:szCs w:val="21"/>
              </w:rPr>
              <w:t>可制定</w:t>
            </w:r>
            <w:r>
              <w:rPr>
                <w:rFonts w:hint="eastAsia" w:ascii="宋体" w:hAnsi="宋体"/>
                <w:szCs w:val="21"/>
              </w:rPr>
              <w:t>复制</w:t>
            </w:r>
            <w:r>
              <w:rPr>
                <w:rFonts w:ascii="宋体" w:hAnsi="宋体"/>
                <w:szCs w:val="21"/>
              </w:rPr>
              <w:t>的</w:t>
            </w:r>
            <w:r>
              <w:rPr>
                <w:rFonts w:hint="eastAsia" w:ascii="宋体" w:hAnsi="宋体"/>
                <w:szCs w:val="21"/>
              </w:rPr>
              <w:t>频率</w:t>
            </w:r>
            <w:r>
              <w:rPr>
                <w:rFonts w:ascii="宋体" w:hAnsi="宋体"/>
                <w:szCs w:val="21"/>
              </w:rPr>
              <w:t>、</w:t>
            </w:r>
            <w:r>
              <w:rPr>
                <w:rFonts w:hint="eastAsia" w:ascii="宋体" w:hAnsi="宋体"/>
                <w:szCs w:val="21"/>
              </w:rPr>
              <w:t>次数，可随时</w:t>
            </w:r>
            <w:r>
              <w:rPr>
                <w:rFonts w:ascii="宋体" w:hAnsi="宋体"/>
                <w:szCs w:val="21"/>
              </w:rPr>
              <w:t>检查复制状态，对复制进行检查</w:t>
            </w:r>
            <w:r>
              <w:rPr>
                <w:rFonts w:hint="eastAsia" w:ascii="宋体" w:hAnsi="宋体"/>
                <w:szCs w:val="21"/>
              </w:rPr>
              <w:t>；</w:t>
            </w:r>
          </w:p>
          <w:p>
            <w:pPr>
              <w:pStyle w:val="42"/>
              <w:ind w:firstLine="0" w:firstLineChars="0"/>
              <w:rPr>
                <w:rFonts w:ascii="宋体" w:hAnsi="宋体"/>
                <w:szCs w:val="21"/>
              </w:rPr>
            </w:pPr>
            <w:r>
              <w:rPr>
                <w:rFonts w:ascii="宋体" w:hAnsi="宋体"/>
                <w:szCs w:val="21"/>
              </w:rPr>
              <w:t>支持对复制的虚拟机进行计划或非计划的故障转移</w:t>
            </w:r>
            <w:r>
              <w:rPr>
                <w:rFonts w:hint="eastAsia" w:ascii="宋体" w:hAnsi="宋体"/>
                <w:szCs w:val="21"/>
              </w:rPr>
              <w:t>，进行计划故障转移时保证数据的完整性，</w:t>
            </w:r>
            <w:r>
              <w:rPr>
                <w:rFonts w:ascii="宋体" w:hAnsi="宋体"/>
                <w:szCs w:val="21"/>
              </w:rPr>
              <w:t>支持对故障转移进行测试</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pStyle w:val="42"/>
              <w:ind w:firstLine="0" w:firstLineChars="0"/>
              <w:rPr>
                <w:rFonts w:ascii="宋体" w:hAnsi="宋体"/>
                <w:szCs w:val="21"/>
              </w:rPr>
            </w:pPr>
            <w:r>
              <w:rPr>
                <w:rFonts w:ascii="宋体" w:hAnsi="宋体"/>
                <w:szCs w:val="21"/>
              </w:rPr>
              <w:t>虚拟机可以配置CPU</w:t>
            </w:r>
            <w:r>
              <w:rPr>
                <w:rFonts w:hint="eastAsia" w:ascii="宋体" w:hAnsi="宋体"/>
                <w:szCs w:val="21"/>
              </w:rPr>
              <w:t>资源</w:t>
            </w:r>
            <w:r>
              <w:rPr>
                <w:rFonts w:ascii="宋体" w:hAnsi="宋体"/>
                <w:szCs w:val="21"/>
              </w:rPr>
              <w:t>分配权重</w:t>
            </w:r>
            <w:r>
              <w:rPr>
                <w:rFonts w:hint="eastAsia" w:ascii="宋体" w:hAnsi="宋体"/>
                <w:szCs w:val="21"/>
              </w:rPr>
              <w:t>，</w:t>
            </w:r>
            <w:r>
              <w:rPr>
                <w:rFonts w:ascii="宋体" w:hAnsi="宋体"/>
                <w:szCs w:val="21"/>
              </w:rPr>
              <w:t>并</w:t>
            </w:r>
            <w:r>
              <w:rPr>
                <w:rFonts w:hint="eastAsia" w:ascii="宋体" w:hAnsi="宋体"/>
                <w:szCs w:val="21"/>
              </w:rPr>
              <w:t>支持</w:t>
            </w:r>
            <w:r>
              <w:rPr>
                <w:rFonts w:ascii="宋体" w:hAnsi="宋体"/>
                <w:szCs w:val="21"/>
              </w:rPr>
              <w:t>在线调整</w:t>
            </w:r>
            <w:r>
              <w:rPr>
                <w:rFonts w:hint="eastAsia" w:ascii="宋体" w:hAnsi="宋体"/>
                <w:szCs w:val="21"/>
              </w:rPr>
              <w:t>分配</w:t>
            </w:r>
            <w:r>
              <w:rPr>
                <w:rFonts w:ascii="宋体" w:hAnsi="宋体"/>
                <w:szCs w:val="21"/>
              </w:rPr>
              <w:t>权重</w:t>
            </w:r>
            <w:r>
              <w:rPr>
                <w:rFonts w:hint="eastAsia" w:ascii="宋体" w:hAnsi="宋体"/>
                <w:szCs w:val="21"/>
              </w:rPr>
              <w:t>；</w:t>
            </w:r>
          </w:p>
          <w:p>
            <w:pPr>
              <w:pStyle w:val="42"/>
              <w:ind w:firstLine="0" w:firstLineChars="0"/>
              <w:rPr>
                <w:rFonts w:ascii="宋体" w:hAnsi="宋体"/>
                <w:szCs w:val="21"/>
              </w:rPr>
            </w:pPr>
            <w:r>
              <w:rPr>
                <w:rFonts w:ascii="宋体" w:hAnsi="宋体"/>
                <w:szCs w:val="21"/>
              </w:rPr>
              <w:t>支持对内存的动态控制，可指定虚拟机的最小内存</w:t>
            </w:r>
            <w:r>
              <w:rPr>
                <w:rFonts w:hint="eastAsia" w:ascii="宋体" w:hAnsi="宋体"/>
                <w:szCs w:val="21"/>
              </w:rPr>
              <w:t>、</w:t>
            </w:r>
            <w:r>
              <w:rPr>
                <w:rFonts w:ascii="宋体" w:hAnsi="宋体"/>
                <w:szCs w:val="21"/>
              </w:rPr>
              <w:t>启动内存和最大内存，并在指定范围内自动的根据虚拟机的业务运行自动的调整和调度内存的使用，在线动态增加和减少内存</w:t>
            </w:r>
            <w:r>
              <w:rPr>
                <w:rFonts w:hint="eastAsia" w:ascii="宋体" w:hAnsi="宋体"/>
                <w:szCs w:val="21"/>
              </w:rPr>
              <w:t>；</w:t>
            </w:r>
          </w:p>
          <w:p>
            <w:pPr>
              <w:pStyle w:val="42"/>
              <w:ind w:firstLine="0" w:firstLineChars="0"/>
              <w:rPr>
                <w:rFonts w:ascii="宋体" w:hAnsi="宋体"/>
                <w:szCs w:val="21"/>
              </w:rPr>
            </w:pPr>
            <w:r>
              <w:rPr>
                <w:rFonts w:ascii="宋体" w:hAnsi="宋体"/>
                <w:szCs w:val="21"/>
              </w:rPr>
              <w:t>支持为虚拟机添加和删除网卡，在线的添加和删除</w:t>
            </w:r>
            <w:r>
              <w:rPr>
                <w:rFonts w:hint="eastAsia" w:ascii="宋体" w:hAnsi="宋体"/>
                <w:szCs w:val="21"/>
              </w:rPr>
              <w:t>SCSI虚拟磁盘；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pStyle w:val="42"/>
              <w:ind w:firstLine="0" w:firstLineChars="0"/>
              <w:rPr>
                <w:rFonts w:ascii="宋体" w:hAnsi="宋体"/>
                <w:szCs w:val="21"/>
              </w:rPr>
            </w:pPr>
            <w:r>
              <w:rPr>
                <w:rFonts w:ascii="宋体" w:hAnsi="宋体"/>
                <w:szCs w:val="21"/>
              </w:rPr>
              <w:t>虚拟机支持直通磁盘访问</w:t>
            </w:r>
            <w:r>
              <w:rPr>
                <w:rFonts w:hint="eastAsia" w:ascii="宋体" w:hAnsi="宋体"/>
                <w:szCs w:val="21"/>
              </w:rPr>
              <w:t>，</w:t>
            </w:r>
            <w:r>
              <w:rPr>
                <w:rFonts w:ascii="宋体" w:hAnsi="宋体"/>
                <w:szCs w:val="21"/>
              </w:rPr>
              <w:t>可以直接访问物理存储</w:t>
            </w:r>
            <w:r>
              <w:rPr>
                <w:rFonts w:hint="eastAsia" w:ascii="宋体" w:hAnsi="宋体"/>
                <w:szCs w:val="21"/>
              </w:rPr>
              <w:t>；</w:t>
            </w:r>
          </w:p>
          <w:p>
            <w:pPr>
              <w:pStyle w:val="42"/>
              <w:ind w:firstLine="0" w:firstLineChars="0"/>
              <w:rPr>
                <w:rFonts w:ascii="宋体" w:hAnsi="宋体"/>
                <w:szCs w:val="21"/>
              </w:rPr>
            </w:pPr>
            <w:r>
              <w:rPr>
                <w:rFonts w:ascii="宋体" w:hAnsi="宋体"/>
                <w:szCs w:val="21"/>
              </w:rPr>
              <w:t>可以为虚拟机配置虚拟光纤通道卡</w:t>
            </w:r>
            <w:r>
              <w:rPr>
                <w:rFonts w:hint="eastAsia" w:ascii="宋体" w:hAnsi="宋体"/>
                <w:szCs w:val="21"/>
              </w:rPr>
              <w:t>，</w:t>
            </w:r>
            <w:r>
              <w:rPr>
                <w:rFonts w:ascii="宋体" w:hAnsi="宋体"/>
                <w:szCs w:val="21"/>
              </w:rPr>
              <w:t>实现虚拟机对</w:t>
            </w:r>
            <w:r>
              <w:rPr>
                <w:rFonts w:hint="eastAsia" w:ascii="宋体" w:hAnsi="宋体"/>
                <w:szCs w:val="21"/>
              </w:rPr>
              <w:t>FC-</w:t>
            </w:r>
            <w:r>
              <w:rPr>
                <w:rFonts w:ascii="宋体" w:hAnsi="宋体"/>
                <w:szCs w:val="21"/>
              </w:rPr>
              <w:t>SAN的访问</w:t>
            </w:r>
            <w:r>
              <w:rPr>
                <w:rFonts w:hint="eastAsia" w:ascii="宋体" w:hAnsi="宋体"/>
                <w:szCs w:val="21"/>
              </w:rPr>
              <w:t>，</w:t>
            </w:r>
            <w:r>
              <w:rPr>
                <w:rFonts w:ascii="宋体" w:hAnsi="宋体"/>
                <w:szCs w:val="21"/>
              </w:rPr>
              <w:t>在实时迁移过程中</w:t>
            </w:r>
            <w:r>
              <w:rPr>
                <w:rFonts w:hint="eastAsia" w:ascii="宋体" w:hAnsi="宋体"/>
                <w:szCs w:val="21"/>
              </w:rPr>
              <w:t>，</w:t>
            </w:r>
            <w:r>
              <w:rPr>
                <w:rFonts w:ascii="宋体" w:hAnsi="宋体"/>
                <w:szCs w:val="21"/>
              </w:rPr>
              <w:t>不会中断虚拟机对FC存储的连接</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pStyle w:val="42"/>
              <w:ind w:firstLine="0" w:firstLineChars="0"/>
              <w:rPr>
                <w:rFonts w:ascii="宋体" w:hAnsi="宋体"/>
                <w:szCs w:val="21"/>
              </w:rPr>
            </w:pPr>
            <w:r>
              <w:rPr>
                <w:rFonts w:ascii="宋体" w:hAnsi="宋体"/>
                <w:szCs w:val="21"/>
              </w:rPr>
              <w:t>虚拟机支持动态</w:t>
            </w:r>
            <w:r>
              <w:rPr>
                <w:rFonts w:hint="eastAsia" w:ascii="宋体" w:hAnsi="宋体"/>
                <w:szCs w:val="21"/>
              </w:rPr>
              <w:t>、</w:t>
            </w:r>
            <w:r>
              <w:rPr>
                <w:rFonts w:ascii="宋体" w:hAnsi="宋体"/>
                <w:szCs w:val="21"/>
              </w:rPr>
              <w:t>固定和差异三种类型的磁盘</w:t>
            </w:r>
            <w:r>
              <w:rPr>
                <w:rFonts w:hint="eastAsia" w:ascii="宋体" w:hAnsi="宋体"/>
                <w:szCs w:val="21"/>
              </w:rPr>
              <w:t>，</w:t>
            </w:r>
            <w:r>
              <w:rPr>
                <w:rFonts w:ascii="宋体" w:hAnsi="宋体"/>
                <w:szCs w:val="21"/>
              </w:rPr>
              <w:t>支持对磁盘进行在线扩展和压缩</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pStyle w:val="42"/>
              <w:ind w:firstLine="0" w:firstLineChars="0"/>
              <w:rPr>
                <w:rFonts w:ascii="宋体" w:hAnsi="宋体"/>
                <w:szCs w:val="21"/>
              </w:rPr>
            </w:pPr>
            <w:r>
              <w:rPr>
                <w:rFonts w:hint="eastAsia" w:ascii="宋体" w:hAnsi="宋体"/>
                <w:szCs w:val="21"/>
              </w:rPr>
              <w:t>支持虚拟机</w:t>
            </w:r>
            <w:r>
              <w:rPr>
                <w:rFonts w:ascii="宋体" w:hAnsi="宋体"/>
                <w:szCs w:val="21"/>
              </w:rPr>
              <w:t>导入、导出，</w:t>
            </w:r>
            <w:r>
              <w:rPr>
                <w:rFonts w:hint="eastAsia" w:ascii="宋体" w:hAnsi="宋体"/>
                <w:szCs w:val="21"/>
              </w:rPr>
              <w:t>同时</w:t>
            </w:r>
            <w:r>
              <w:rPr>
                <w:rFonts w:ascii="宋体" w:hAnsi="宋体"/>
                <w:szCs w:val="21"/>
              </w:rPr>
              <w:t>支持在不导出虚拟机的情况下直接导入虚拟机</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04" w:type="dxa"/>
            <w:vMerge w:val="restart"/>
            <w:vAlign w:val="center"/>
          </w:tcPr>
          <w:p>
            <w:pPr>
              <w:jc w:val="center"/>
              <w:rPr>
                <w:rFonts w:ascii="宋体" w:hAnsi="宋体" w:cs="Tahoma"/>
                <w:color w:val="000000"/>
                <w:szCs w:val="21"/>
              </w:rPr>
            </w:pPr>
            <w:r>
              <w:rPr>
                <w:rFonts w:ascii="宋体" w:hAnsi="宋体" w:cs="Tahoma"/>
                <w:color w:val="000000"/>
                <w:szCs w:val="21"/>
              </w:rPr>
              <w:t>存储功能</w:t>
            </w:r>
          </w:p>
        </w:tc>
        <w:tc>
          <w:tcPr>
            <w:tcW w:w="1435" w:type="dxa"/>
            <w:vMerge w:val="restart"/>
            <w:vAlign w:val="center"/>
          </w:tcPr>
          <w:p>
            <w:pPr>
              <w:jc w:val="center"/>
              <w:rPr>
                <w:rFonts w:ascii="宋体" w:hAnsi="宋体"/>
                <w:szCs w:val="21"/>
              </w:rPr>
            </w:pPr>
            <w:r>
              <w:rPr>
                <w:rFonts w:ascii="宋体" w:hAnsi="宋体"/>
                <w:szCs w:val="21"/>
              </w:rPr>
              <w:t>存储虚拟化</w:t>
            </w:r>
          </w:p>
        </w:tc>
        <w:tc>
          <w:tcPr>
            <w:tcW w:w="6157" w:type="dxa"/>
            <w:vAlign w:val="center"/>
          </w:tcPr>
          <w:p>
            <w:pPr>
              <w:pStyle w:val="42"/>
              <w:ind w:firstLine="0" w:firstLineChars="0"/>
              <w:rPr>
                <w:rFonts w:ascii="宋体" w:hAnsi="宋体"/>
                <w:szCs w:val="21"/>
              </w:rPr>
            </w:pPr>
            <w:r>
              <w:rPr>
                <w:rFonts w:hint="eastAsia" w:ascii="宋体" w:hAnsi="宋体"/>
                <w:szCs w:val="21"/>
              </w:rPr>
              <w:t>支持直接将服务器本地磁盘或直连的JBOD盘柜中的磁盘配置为存储池，并从存储池中创建逻辑单元；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szCs w:val="21"/>
              </w:rPr>
            </w:pPr>
          </w:p>
        </w:tc>
        <w:tc>
          <w:tcPr>
            <w:tcW w:w="6157" w:type="dxa"/>
            <w:vAlign w:val="center"/>
          </w:tcPr>
          <w:p>
            <w:pPr>
              <w:pStyle w:val="42"/>
              <w:ind w:firstLine="0" w:firstLineChars="0"/>
              <w:rPr>
                <w:rFonts w:ascii="宋体" w:hAnsi="宋体"/>
                <w:szCs w:val="21"/>
              </w:rPr>
            </w:pPr>
            <w:r>
              <w:rPr>
                <w:rFonts w:hint="eastAsia" w:ascii="宋体" w:hAnsi="宋体"/>
                <w:szCs w:val="21"/>
              </w:rPr>
              <w:t>支持分离式设计，虚拟化服务器可以通过常用的网络协议访问存储池中的逻辑单元，而无需直连存储设备，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szCs w:val="21"/>
              </w:rPr>
            </w:pPr>
          </w:p>
        </w:tc>
        <w:tc>
          <w:tcPr>
            <w:tcW w:w="6157" w:type="dxa"/>
            <w:vAlign w:val="center"/>
          </w:tcPr>
          <w:p>
            <w:pPr>
              <w:pStyle w:val="42"/>
              <w:ind w:firstLine="0" w:firstLineChars="0"/>
              <w:rPr>
                <w:rFonts w:ascii="宋体" w:hAnsi="宋体"/>
                <w:szCs w:val="21"/>
              </w:rPr>
            </w:pPr>
            <w:r>
              <w:rPr>
                <w:rFonts w:hint="eastAsia" w:ascii="宋体" w:hAnsi="宋体"/>
                <w:szCs w:val="21"/>
              </w:rPr>
              <w:t>支持SMB3.0、i</w:t>
            </w:r>
            <w:r>
              <w:rPr>
                <w:rFonts w:ascii="宋体" w:hAnsi="宋体"/>
                <w:szCs w:val="21"/>
              </w:rPr>
              <w:t>SCSI和</w:t>
            </w:r>
            <w:r>
              <w:rPr>
                <w:rFonts w:hint="eastAsia" w:ascii="宋体" w:hAnsi="宋体"/>
                <w:szCs w:val="21"/>
              </w:rPr>
              <w:t>NFS；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szCs w:val="21"/>
              </w:rPr>
            </w:pPr>
          </w:p>
        </w:tc>
        <w:tc>
          <w:tcPr>
            <w:tcW w:w="6157" w:type="dxa"/>
            <w:vAlign w:val="center"/>
          </w:tcPr>
          <w:p>
            <w:pPr>
              <w:pStyle w:val="42"/>
              <w:ind w:firstLine="0" w:firstLineChars="0"/>
              <w:rPr>
                <w:rFonts w:ascii="宋体" w:hAnsi="宋体"/>
                <w:szCs w:val="21"/>
              </w:rPr>
            </w:pPr>
            <w:r>
              <w:rPr>
                <w:rFonts w:hint="eastAsia" w:ascii="宋体" w:hAnsi="宋体"/>
                <w:szCs w:val="21"/>
              </w:rPr>
              <w:t>支持在逻辑单元中进行数据去重和数据分层；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szCs w:val="21"/>
              </w:rPr>
            </w:pPr>
          </w:p>
        </w:tc>
        <w:tc>
          <w:tcPr>
            <w:tcW w:w="6157" w:type="dxa"/>
            <w:vAlign w:val="center"/>
          </w:tcPr>
          <w:p>
            <w:pPr>
              <w:pStyle w:val="42"/>
              <w:ind w:firstLine="0" w:firstLineChars="0"/>
              <w:rPr>
                <w:rFonts w:ascii="宋体" w:hAnsi="宋体"/>
                <w:szCs w:val="21"/>
              </w:rPr>
            </w:pPr>
            <w:r>
              <w:rPr>
                <w:rFonts w:hint="eastAsia" w:ascii="宋体" w:hAnsi="宋体"/>
                <w:szCs w:val="21"/>
              </w:rPr>
              <w:t>支持在创建逻辑单元时设置可用性模式，支持包括Simple、双层和三层Mirror、Parity模式；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szCs w:val="21"/>
              </w:rPr>
            </w:pPr>
          </w:p>
        </w:tc>
        <w:tc>
          <w:tcPr>
            <w:tcW w:w="6157" w:type="dxa"/>
            <w:vAlign w:val="center"/>
          </w:tcPr>
          <w:p>
            <w:pPr>
              <w:pStyle w:val="42"/>
              <w:ind w:firstLine="0" w:firstLineChars="0"/>
              <w:rPr>
                <w:rFonts w:ascii="宋体" w:hAnsi="宋体"/>
                <w:szCs w:val="21"/>
              </w:rPr>
            </w:pPr>
            <w:r>
              <w:rPr>
                <w:rFonts w:hint="eastAsia" w:ascii="宋体" w:hAnsi="宋体"/>
                <w:szCs w:val="21"/>
              </w:rPr>
              <w:t>支持存储服务器、磁盘和Enclosure多层级容灾功能，可以防止单个或多个存储服务器、磁盘和Enclosure损坏，且可有效恢复数据；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szCs w:val="21"/>
              </w:rPr>
            </w:pPr>
          </w:p>
        </w:tc>
        <w:tc>
          <w:tcPr>
            <w:tcW w:w="6157" w:type="dxa"/>
            <w:vAlign w:val="center"/>
          </w:tcPr>
          <w:p>
            <w:pPr>
              <w:pStyle w:val="42"/>
              <w:ind w:firstLine="0" w:firstLineChars="0"/>
              <w:rPr>
                <w:rFonts w:ascii="宋体" w:hAnsi="宋体"/>
                <w:szCs w:val="21"/>
              </w:rPr>
            </w:pPr>
            <w:r>
              <w:rPr>
                <w:rFonts w:hint="eastAsia" w:ascii="宋体" w:hAnsi="宋体"/>
                <w:szCs w:val="21"/>
              </w:rPr>
              <w:t>分布式服务器存储，支持多个独立的服务器本地SSD或磁盘组成一个分布式的存储资源池，提供给虚拟化或其他应用使用。易于管理，并支持横向扩展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szCs w:val="21"/>
              </w:rPr>
            </w:pPr>
          </w:p>
        </w:tc>
        <w:tc>
          <w:tcPr>
            <w:tcW w:w="6157" w:type="dxa"/>
            <w:vAlign w:val="center"/>
          </w:tcPr>
          <w:p>
            <w:pPr>
              <w:pStyle w:val="42"/>
              <w:ind w:firstLine="0" w:firstLineChars="0"/>
              <w:rPr>
                <w:rFonts w:ascii="宋体" w:hAnsi="宋体"/>
                <w:szCs w:val="21"/>
              </w:rPr>
            </w:pPr>
            <w:r>
              <w:rPr>
                <w:rFonts w:hint="eastAsia" w:ascii="宋体" w:hAnsi="宋体"/>
                <w:szCs w:val="21"/>
              </w:rPr>
              <w:t>对存储的管理简单易行，可对存储容量进行扩展和容量性能平衡，制定存储QOS策略</w:t>
            </w:r>
          </w:p>
          <w:p>
            <w:pPr>
              <w:pStyle w:val="42"/>
              <w:ind w:firstLine="0" w:firstLineChars="0"/>
              <w:rPr>
                <w:rFonts w:ascii="宋体" w:hAnsi="宋体"/>
                <w:szCs w:val="21"/>
              </w:rPr>
            </w:pPr>
            <w:r>
              <w:rPr>
                <w:rFonts w:hint="eastAsia" w:ascii="宋体" w:hAnsi="宋体"/>
                <w:szCs w:val="21"/>
              </w:rPr>
              <w:t>提供基于存储策略的管理机制，可根据业务应用的需求，事先创建好相应的存储策略。之后，创建同一类业务应用的虚机时，无需进入存储管理界面，即可按分配存储资源，并支持通过变更存储策略进行在线的动态调整业务应用正在使用的存储资源</w:t>
            </w:r>
          </w:p>
          <w:p>
            <w:pPr>
              <w:pStyle w:val="42"/>
              <w:ind w:firstLine="0" w:firstLineChars="0"/>
              <w:rPr>
                <w:rFonts w:ascii="宋体" w:hAnsi="宋体"/>
                <w:szCs w:val="21"/>
              </w:rPr>
            </w:pPr>
            <w:r>
              <w:rPr>
                <w:rFonts w:hint="eastAsia" w:ascii="宋体" w:hAnsi="宋体"/>
                <w:szCs w:val="21"/>
              </w:rPr>
              <w:t>支持SSD作为高速读/写缓存，并且提供可以动态调整的虚拟机级别的读写缓存预留，确保重要应用的读写性能</w:t>
            </w:r>
          </w:p>
          <w:p>
            <w:pPr>
              <w:pStyle w:val="42"/>
              <w:ind w:firstLine="0" w:firstLineChars="0"/>
              <w:rPr>
                <w:rFonts w:ascii="宋体" w:hAnsi="宋体"/>
                <w:szCs w:val="21"/>
              </w:rPr>
            </w:pPr>
            <w:r>
              <w:rPr>
                <w:rFonts w:hint="eastAsia" w:ascii="宋体" w:hAnsi="宋体"/>
                <w:szCs w:val="21"/>
              </w:rPr>
              <w:t>可支持16节点数量组成高可用级</w:t>
            </w:r>
          </w:p>
          <w:p>
            <w:pPr>
              <w:pStyle w:val="42"/>
              <w:ind w:firstLine="0" w:firstLineChars="0"/>
              <w:rPr>
                <w:rFonts w:ascii="宋体" w:hAnsi="宋体"/>
                <w:szCs w:val="21"/>
              </w:rPr>
            </w:pPr>
            <w:r>
              <w:rPr>
                <w:rFonts w:hint="eastAsia" w:ascii="宋体" w:hAnsi="宋体"/>
                <w:szCs w:val="21"/>
              </w:rPr>
              <w:t>支持SSD和SAS/SATAHDD磁盘混合存储</w:t>
            </w:r>
          </w:p>
          <w:p>
            <w:pPr>
              <w:pStyle w:val="42"/>
              <w:ind w:firstLine="0" w:firstLineChars="0"/>
              <w:rPr>
                <w:rFonts w:ascii="宋体" w:hAnsi="宋体"/>
                <w:szCs w:val="21"/>
              </w:rPr>
            </w:pPr>
            <w:r>
              <w:rPr>
                <w:rFonts w:hint="eastAsia" w:ascii="宋体" w:hAnsi="宋体"/>
                <w:szCs w:val="21"/>
              </w:rPr>
              <w:t>支持NVME类型SSD作为读写缓存</w:t>
            </w:r>
          </w:p>
          <w:p>
            <w:pPr>
              <w:pStyle w:val="42"/>
              <w:ind w:firstLine="0" w:firstLineChars="0"/>
              <w:rPr>
                <w:rFonts w:ascii="宋体" w:hAnsi="宋体"/>
                <w:szCs w:val="21"/>
              </w:rPr>
            </w:pPr>
            <w:r>
              <w:rPr>
                <w:rFonts w:hint="eastAsia" w:ascii="宋体" w:hAnsi="宋体"/>
                <w:szCs w:val="21"/>
              </w:rPr>
              <w:t>支持使用JBOD存储，本地硬盘等形式</w:t>
            </w:r>
          </w:p>
          <w:p>
            <w:pPr>
              <w:pStyle w:val="42"/>
              <w:ind w:firstLine="0" w:firstLineChars="0"/>
              <w:rPr>
                <w:rFonts w:ascii="宋体" w:hAnsi="宋体"/>
                <w:szCs w:val="21"/>
              </w:rPr>
            </w:pPr>
            <w:r>
              <w:rPr>
                <w:rFonts w:hint="eastAsia" w:ascii="宋体" w:hAnsi="宋体"/>
                <w:szCs w:val="21"/>
              </w:rPr>
              <w:t>提供对存储资源的集中化管理界面，具备针对存储资源的硬件监控、合规性运行状况检查、容量规划和根本原因分析功能。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Align w:val="center"/>
          </w:tcPr>
          <w:p>
            <w:pPr>
              <w:jc w:val="center"/>
              <w:rPr>
                <w:rFonts w:ascii="宋体" w:hAnsi="宋体" w:cs="Tahoma"/>
                <w:color w:val="000000"/>
                <w:szCs w:val="21"/>
              </w:rPr>
            </w:pPr>
            <w:r>
              <w:rPr>
                <w:rFonts w:hint="eastAsia" w:ascii="宋体" w:hAnsi="宋体" w:cs="Tahoma"/>
                <w:color w:val="000000"/>
                <w:szCs w:val="21"/>
              </w:rPr>
              <w:t>软件定义存储</w:t>
            </w:r>
          </w:p>
        </w:tc>
        <w:tc>
          <w:tcPr>
            <w:tcW w:w="6157" w:type="dxa"/>
            <w:vAlign w:val="center"/>
          </w:tcPr>
          <w:p>
            <w:pPr>
              <w:rPr>
                <w:rFonts w:ascii="宋体" w:hAnsi="宋体" w:cs="Tahoma"/>
                <w:color w:val="000000"/>
                <w:szCs w:val="21"/>
              </w:rPr>
            </w:pPr>
            <w:r>
              <w:rPr>
                <w:rFonts w:hint="eastAsia" w:ascii="宋体" w:hAnsi="宋体" w:cs="Tahoma"/>
                <w:color w:val="000000"/>
                <w:szCs w:val="21"/>
              </w:rPr>
              <w:t>支持直接存储空间技术以及存储复制技术（Storage features including Storage Spaces Direct and Storage Replica）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restart"/>
            <w:vAlign w:val="center"/>
          </w:tcPr>
          <w:p>
            <w:pPr>
              <w:jc w:val="center"/>
              <w:rPr>
                <w:rFonts w:ascii="宋体" w:hAnsi="宋体" w:cs="Tahoma"/>
                <w:color w:val="000000"/>
                <w:szCs w:val="21"/>
              </w:rPr>
            </w:pPr>
            <w:r>
              <w:rPr>
                <w:rFonts w:ascii="宋体" w:hAnsi="宋体" w:cs="Tahoma"/>
                <w:color w:val="000000"/>
                <w:szCs w:val="21"/>
              </w:rPr>
              <w:t>可扩展文件服务器</w:t>
            </w:r>
          </w:p>
        </w:tc>
        <w:tc>
          <w:tcPr>
            <w:tcW w:w="6157" w:type="dxa"/>
            <w:vAlign w:val="center"/>
          </w:tcPr>
          <w:p>
            <w:pPr>
              <w:pStyle w:val="42"/>
              <w:ind w:firstLine="0" w:firstLineChars="0"/>
              <w:rPr>
                <w:rFonts w:ascii="宋体" w:hAnsi="宋体"/>
                <w:szCs w:val="21"/>
              </w:rPr>
            </w:pPr>
            <w:r>
              <w:rPr>
                <w:rFonts w:hint="eastAsia" w:ascii="宋体" w:hAnsi="宋体"/>
                <w:szCs w:val="21"/>
              </w:rPr>
              <w:t>提供基于SMB 3.0的文件共享访问。服务器消息块（SMB）客户端连接以每个文件共享（而非每台服务器）为单位进行跟踪，客户端接着被重定向至文件共享使用的对卷有最佳访问能力的集群节点。通过降低文件服务器节点间的重定向数据传输，提高运行效率；</w:t>
            </w:r>
          </w:p>
          <w:p>
            <w:pPr>
              <w:pStyle w:val="42"/>
              <w:ind w:firstLine="0" w:firstLineChars="0"/>
              <w:rPr>
                <w:rFonts w:ascii="宋体" w:hAnsi="宋体"/>
                <w:szCs w:val="21"/>
              </w:rPr>
            </w:pPr>
            <w:r>
              <w:rPr>
                <w:rFonts w:hint="eastAsia" w:ascii="宋体" w:hAnsi="宋体"/>
                <w:szCs w:val="21"/>
              </w:rPr>
              <w:t>客户端会根据初始连接，以及当集群存储被重新配置时被重定向；</w:t>
            </w:r>
          </w:p>
          <w:p>
            <w:pPr>
              <w:pStyle w:val="42"/>
              <w:ind w:firstLine="0" w:firstLineChars="0"/>
              <w:rPr>
                <w:rFonts w:ascii="宋体" w:hAnsi="宋体"/>
                <w:szCs w:val="21"/>
              </w:rPr>
            </w:pPr>
            <w:r>
              <w:rPr>
                <w:rFonts w:ascii="宋体" w:hAnsi="宋体"/>
                <w:szCs w:val="21"/>
              </w:rPr>
              <w:t>客户端会根据本地和共享服务器的网卡数量</w:t>
            </w:r>
            <w:r>
              <w:rPr>
                <w:rFonts w:hint="eastAsia" w:ascii="宋体" w:hAnsi="宋体"/>
                <w:szCs w:val="21"/>
              </w:rPr>
              <w:t>，</w:t>
            </w:r>
            <w:r>
              <w:rPr>
                <w:rFonts w:ascii="宋体" w:hAnsi="宋体"/>
                <w:szCs w:val="21"/>
              </w:rPr>
              <w:t>自动配置使用多块网卡同时访问文件共享</w:t>
            </w:r>
            <w:r>
              <w:rPr>
                <w:rFonts w:hint="eastAsia" w:ascii="宋体" w:hAnsi="宋体"/>
                <w:szCs w:val="21"/>
              </w:rPr>
              <w:t>，</w:t>
            </w:r>
            <w:r>
              <w:rPr>
                <w:rFonts w:ascii="宋体" w:hAnsi="宋体"/>
                <w:szCs w:val="21"/>
              </w:rPr>
              <w:t>提供网络性能</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pStyle w:val="42"/>
              <w:ind w:firstLine="0" w:firstLineChars="0"/>
              <w:rPr>
                <w:rFonts w:ascii="宋体" w:hAnsi="宋体"/>
                <w:szCs w:val="21"/>
              </w:rPr>
            </w:pPr>
            <w:r>
              <w:rPr>
                <w:rFonts w:hint="eastAsia" w:ascii="宋体" w:hAnsi="宋体"/>
                <w:szCs w:val="21"/>
              </w:rPr>
              <w:t>如果服务器网卡支持RDMA功能，SMB3.0会自动使用RDMA功能，减少网络访问延迟；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restart"/>
            <w:vAlign w:val="center"/>
          </w:tcPr>
          <w:p>
            <w:pPr>
              <w:jc w:val="center"/>
              <w:rPr>
                <w:rFonts w:ascii="宋体" w:hAnsi="宋体" w:cs="Tahoma"/>
                <w:color w:val="000000"/>
                <w:szCs w:val="21"/>
              </w:rPr>
            </w:pPr>
            <w:r>
              <w:rPr>
                <w:rFonts w:hint="eastAsia" w:ascii="宋体" w:hAnsi="宋体" w:cs="Tahoma"/>
                <w:color w:val="000000"/>
                <w:szCs w:val="21"/>
              </w:rPr>
              <w:t>网络功能</w:t>
            </w:r>
          </w:p>
        </w:tc>
        <w:tc>
          <w:tcPr>
            <w:tcW w:w="1435" w:type="dxa"/>
            <w:vMerge w:val="restart"/>
            <w:vAlign w:val="center"/>
          </w:tcPr>
          <w:p>
            <w:pPr>
              <w:jc w:val="center"/>
              <w:rPr>
                <w:rFonts w:ascii="宋体" w:hAnsi="宋体" w:cs="Tahoma"/>
                <w:color w:val="000000"/>
                <w:szCs w:val="21"/>
              </w:rPr>
            </w:pPr>
            <w:r>
              <w:rPr>
                <w:rFonts w:ascii="宋体" w:hAnsi="宋体" w:cs="Tahoma"/>
                <w:color w:val="000000"/>
                <w:szCs w:val="21"/>
              </w:rPr>
              <w:t>虚拟化网络功能</w:t>
            </w:r>
          </w:p>
        </w:tc>
        <w:tc>
          <w:tcPr>
            <w:tcW w:w="6157" w:type="dxa"/>
            <w:vAlign w:val="center"/>
          </w:tcPr>
          <w:p>
            <w:pPr>
              <w:pStyle w:val="42"/>
              <w:ind w:firstLine="0" w:firstLineChars="0"/>
              <w:rPr>
                <w:rFonts w:ascii="宋体" w:hAnsi="宋体"/>
                <w:szCs w:val="21"/>
              </w:rPr>
            </w:pPr>
            <w:r>
              <w:rPr>
                <w:rFonts w:ascii="宋体" w:hAnsi="宋体"/>
                <w:szCs w:val="21"/>
              </w:rPr>
              <w:t>支持外部网络</w:t>
            </w:r>
            <w:r>
              <w:rPr>
                <w:rFonts w:hint="eastAsia" w:ascii="宋体" w:hAnsi="宋体"/>
                <w:szCs w:val="21"/>
              </w:rPr>
              <w:t>、</w:t>
            </w:r>
            <w:r>
              <w:rPr>
                <w:rFonts w:ascii="宋体" w:hAnsi="宋体"/>
                <w:szCs w:val="21"/>
              </w:rPr>
              <w:t>内部网络和私有网络三种类型虚拟网络</w:t>
            </w:r>
            <w:r>
              <w:rPr>
                <w:rFonts w:hint="eastAsia" w:ascii="宋体" w:hAnsi="宋体"/>
                <w:szCs w:val="21"/>
              </w:rPr>
              <w:t>，</w:t>
            </w:r>
            <w:r>
              <w:rPr>
                <w:rFonts w:ascii="宋体" w:hAnsi="宋体"/>
                <w:szCs w:val="21"/>
              </w:rPr>
              <w:t>虚拟机可以通过外部网络和物理网络联通</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rPr>
                <w:rFonts w:ascii="宋体" w:hAnsi="宋体" w:cs="Tahoma"/>
                <w:color w:val="000000"/>
                <w:szCs w:val="21"/>
              </w:rPr>
            </w:pPr>
            <w:r>
              <w:rPr>
                <w:rFonts w:ascii="宋体" w:hAnsi="宋体" w:cs="Tahoma"/>
                <w:color w:val="000000"/>
                <w:szCs w:val="21"/>
              </w:rPr>
              <w:t>支持虚拟机之间的通信可以配置为通过同一主机的内部虚拟交换网络</w:t>
            </w:r>
            <w:r>
              <w:rPr>
                <w:rFonts w:hint="eastAsia" w:ascii="宋体" w:hAnsi="宋体" w:cs="Tahom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rPr>
                <w:rFonts w:ascii="宋体" w:hAnsi="宋体" w:cs="Tahoma"/>
                <w:color w:val="000000"/>
                <w:szCs w:val="21"/>
              </w:rPr>
            </w:pPr>
            <w:r>
              <w:rPr>
                <w:rFonts w:hint="eastAsia" w:ascii="宋体" w:hAnsi="宋体" w:cs="Tahoma"/>
                <w:color w:val="000000"/>
                <w:szCs w:val="21"/>
              </w:rPr>
              <w:t>支持对</w:t>
            </w:r>
            <w:r>
              <w:rPr>
                <w:rFonts w:ascii="宋体" w:hAnsi="宋体" w:cs="Tahoma"/>
                <w:color w:val="000000"/>
                <w:szCs w:val="21"/>
              </w:rPr>
              <w:t>虚拟机交换机及</w:t>
            </w:r>
            <w:r>
              <w:rPr>
                <w:rFonts w:hint="eastAsia" w:ascii="宋体" w:hAnsi="宋体" w:cs="Tahoma"/>
                <w:color w:val="000000"/>
                <w:szCs w:val="21"/>
              </w:rPr>
              <w:t>端口</w:t>
            </w:r>
            <w:r>
              <w:rPr>
                <w:rFonts w:ascii="宋体" w:hAnsi="宋体" w:cs="Tahoma"/>
                <w:color w:val="000000"/>
                <w:szCs w:val="21"/>
              </w:rPr>
              <w:t>进行VLAN设置</w:t>
            </w:r>
            <w:r>
              <w:rPr>
                <w:rFonts w:hint="eastAsia" w:ascii="宋体" w:hAnsi="宋体" w:cs="Tahoma"/>
                <w:color w:val="000000"/>
                <w:szCs w:val="21"/>
              </w:rPr>
              <w:t>，支持同一物理主机上虚拟机之间的网络隔离；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rPr>
                <w:rFonts w:ascii="宋体" w:hAnsi="宋体" w:cs="Tahoma"/>
                <w:color w:val="000000"/>
                <w:szCs w:val="21"/>
              </w:rPr>
            </w:pPr>
            <w:r>
              <w:rPr>
                <w:rFonts w:hint="eastAsia" w:ascii="宋体" w:hAnsi="宋体" w:cs="Tahoma"/>
                <w:color w:val="000000"/>
                <w:szCs w:val="21"/>
              </w:rPr>
              <w:t>支持网络虚拟化技术，提供同一物理网络上多个虚拟网络隔离的能力；提供基于软件定义的虚拟网络网关、负载均衡器，虚拟网关需能支持站点到站点和点到站点的VPN；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rPr>
                <w:rFonts w:ascii="宋体" w:hAnsi="宋体" w:cs="Tahoma"/>
                <w:color w:val="000000"/>
                <w:szCs w:val="21"/>
              </w:rPr>
            </w:pPr>
            <w:r>
              <w:rPr>
                <w:rFonts w:hint="eastAsia" w:ascii="宋体" w:hAnsi="宋体" w:cs="Tahoma"/>
                <w:color w:val="000000"/>
                <w:szCs w:val="21"/>
              </w:rPr>
              <w:t>支持在操作系统中配置可扩展交换机，可将第三方开发的虚拟交换机软件添加到操作系统中，扩展操作系统网络管理功能；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rPr>
                <w:rFonts w:ascii="宋体" w:hAnsi="宋体" w:cs="Tahoma"/>
                <w:color w:val="000000"/>
                <w:szCs w:val="21"/>
              </w:rPr>
            </w:pPr>
            <w:r>
              <w:rPr>
                <w:rFonts w:hint="eastAsia" w:ascii="宋体" w:hAnsi="宋体" w:cs="Tahoma"/>
                <w:color w:val="000000"/>
                <w:szCs w:val="21"/>
              </w:rPr>
              <w:t>支持宿主机至少32块网卡绑定，支持虚拟机内多网卡绑定，虚拟机网卡绑定不依赖与网卡驱动，不同型号和厂家的网卡可以进行绑定；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rPr>
                <w:rFonts w:ascii="宋体" w:hAnsi="宋体" w:cs="Tahoma"/>
                <w:color w:val="000000"/>
                <w:szCs w:val="21"/>
              </w:rPr>
            </w:pPr>
            <w:r>
              <w:rPr>
                <w:rFonts w:hint="eastAsia" w:ascii="宋体" w:hAnsi="宋体" w:cs="Tahoma"/>
                <w:color w:val="000000"/>
                <w:szCs w:val="21"/>
              </w:rPr>
              <w:t>支持</w:t>
            </w:r>
            <w:r>
              <w:rPr>
                <w:rFonts w:ascii="宋体" w:hAnsi="宋体" w:cs="Tahoma"/>
                <w:color w:val="000000"/>
                <w:szCs w:val="21"/>
              </w:rPr>
              <w:t>对虚拟机</w:t>
            </w:r>
            <w:r>
              <w:rPr>
                <w:rFonts w:hint="eastAsia" w:ascii="宋体" w:hAnsi="宋体" w:cs="Tahoma"/>
                <w:color w:val="000000"/>
                <w:szCs w:val="21"/>
              </w:rPr>
              <w:t>网络</w:t>
            </w:r>
            <w:r>
              <w:rPr>
                <w:rFonts w:ascii="宋体" w:hAnsi="宋体" w:cs="Tahoma"/>
                <w:color w:val="000000"/>
                <w:szCs w:val="21"/>
              </w:rPr>
              <w:t>流量</w:t>
            </w:r>
            <w:r>
              <w:rPr>
                <w:rFonts w:hint="eastAsia" w:ascii="宋体" w:hAnsi="宋体" w:cs="Tahoma"/>
                <w:color w:val="000000"/>
                <w:szCs w:val="21"/>
              </w:rPr>
              <w:t>进行带宽</w:t>
            </w:r>
            <w:r>
              <w:rPr>
                <w:rFonts w:ascii="宋体" w:hAnsi="宋体" w:cs="Tahoma"/>
                <w:color w:val="000000"/>
                <w:szCs w:val="21"/>
              </w:rPr>
              <w:t>控制</w:t>
            </w:r>
            <w:r>
              <w:rPr>
                <w:rFonts w:hint="eastAsia" w:ascii="宋体" w:hAnsi="宋体" w:cs="Tahom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rPr>
                <w:rFonts w:ascii="宋体" w:hAnsi="宋体" w:cs="Tahoma"/>
                <w:color w:val="000000"/>
                <w:szCs w:val="21"/>
              </w:rPr>
            </w:pPr>
            <w:r>
              <w:rPr>
                <w:rFonts w:hint="eastAsia" w:ascii="宋体" w:hAnsi="宋体" w:cs="Tahoma"/>
                <w:color w:val="000000"/>
                <w:szCs w:val="21"/>
              </w:rPr>
              <w:t>支持对</w:t>
            </w:r>
            <w:r>
              <w:rPr>
                <w:rFonts w:ascii="宋体" w:hAnsi="宋体" w:cs="Tahoma"/>
                <w:color w:val="000000"/>
                <w:szCs w:val="21"/>
              </w:rPr>
              <w:t>通过虚拟交换机的</w:t>
            </w:r>
            <w:r>
              <w:rPr>
                <w:rFonts w:hint="eastAsia" w:ascii="宋体" w:hAnsi="宋体" w:cs="Tahoma"/>
                <w:color w:val="000000"/>
                <w:szCs w:val="21"/>
              </w:rPr>
              <w:t>流量进行</w:t>
            </w:r>
            <w:r>
              <w:rPr>
                <w:rFonts w:ascii="宋体" w:hAnsi="宋体" w:cs="Tahoma"/>
                <w:color w:val="000000"/>
                <w:szCs w:val="21"/>
              </w:rPr>
              <w:t>计量</w:t>
            </w:r>
            <w:r>
              <w:rPr>
                <w:rFonts w:hint="eastAsia" w:ascii="宋体" w:hAnsi="宋体" w:cs="Tahom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Merge w:val="continue"/>
            <w:vAlign w:val="center"/>
          </w:tcPr>
          <w:p>
            <w:pPr>
              <w:jc w:val="center"/>
              <w:rPr>
                <w:rFonts w:ascii="宋体" w:hAnsi="宋体" w:cs="Tahoma"/>
                <w:color w:val="000000"/>
                <w:szCs w:val="21"/>
              </w:rPr>
            </w:pPr>
          </w:p>
        </w:tc>
        <w:tc>
          <w:tcPr>
            <w:tcW w:w="6157" w:type="dxa"/>
            <w:vAlign w:val="center"/>
          </w:tcPr>
          <w:p>
            <w:pPr>
              <w:rPr>
                <w:rFonts w:ascii="宋体" w:hAnsi="宋体" w:cs="Tahoma"/>
                <w:color w:val="000000"/>
                <w:szCs w:val="21"/>
              </w:rPr>
            </w:pPr>
            <w:r>
              <w:rPr>
                <w:rFonts w:ascii="宋体" w:hAnsi="宋体" w:cs="Tahoma"/>
                <w:color w:val="000000"/>
                <w:szCs w:val="21"/>
              </w:rPr>
              <w:t>支持</w:t>
            </w:r>
            <w:r>
              <w:rPr>
                <w:rFonts w:hint="eastAsia" w:ascii="宋体" w:hAnsi="宋体" w:cs="Tahoma"/>
                <w:color w:val="000000"/>
                <w:szCs w:val="21"/>
              </w:rPr>
              <w:t>SR-IOV技术，虚拟机可以直接使用物理网卡虚拟功能模块，提高虚拟机网络性能；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Align w:val="center"/>
          </w:tcPr>
          <w:p>
            <w:pPr>
              <w:jc w:val="center"/>
              <w:rPr>
                <w:rFonts w:ascii="宋体" w:hAnsi="宋体" w:cs="Tahoma"/>
                <w:color w:val="000000"/>
                <w:szCs w:val="21"/>
              </w:rPr>
            </w:pPr>
            <w:r>
              <w:rPr>
                <w:rFonts w:hint="eastAsia" w:ascii="宋体" w:hAnsi="宋体" w:cs="Tahoma"/>
                <w:color w:val="000000"/>
                <w:szCs w:val="21"/>
              </w:rPr>
              <w:t>软件定义网络</w:t>
            </w:r>
          </w:p>
        </w:tc>
        <w:tc>
          <w:tcPr>
            <w:tcW w:w="6157" w:type="dxa"/>
            <w:vAlign w:val="center"/>
          </w:tcPr>
          <w:p>
            <w:pPr>
              <w:pStyle w:val="42"/>
              <w:ind w:firstLine="0" w:firstLineChars="0"/>
              <w:rPr>
                <w:rFonts w:ascii="宋体" w:hAnsi="宋体"/>
                <w:szCs w:val="21"/>
              </w:rPr>
            </w:pPr>
            <w:r>
              <w:rPr>
                <w:rFonts w:hint="eastAsia" w:ascii="宋体" w:hAnsi="宋体"/>
                <w:szCs w:val="21"/>
              </w:rPr>
              <w:t>软件定义网络方案，可从底层硬件分离网络并对网络基础架构应用虚拟化策略，能够在软件中重现整个网络连接环境，包括每个虚拟网络中的L2、L3 和L4–L7 网络服务。</w:t>
            </w:r>
          </w:p>
          <w:p>
            <w:pPr>
              <w:pStyle w:val="42"/>
              <w:ind w:firstLine="0" w:firstLineChars="0"/>
              <w:rPr>
                <w:rFonts w:ascii="宋体" w:hAnsi="宋体"/>
                <w:szCs w:val="21"/>
              </w:rPr>
            </w:pPr>
            <w:r>
              <w:rPr>
                <w:rFonts w:hint="eastAsia" w:ascii="宋体" w:hAnsi="宋体"/>
                <w:szCs w:val="21"/>
              </w:rPr>
              <w:t>支持虚拟化平台软件(HYPERVISOR)的软件网络及安全构件，包含控制节点、软件交换机、软件路由器、软件防火墙、软件网关等虚拟网络能力。</w:t>
            </w:r>
          </w:p>
          <w:p>
            <w:pPr>
              <w:pStyle w:val="42"/>
              <w:ind w:firstLine="0" w:firstLineChars="0"/>
              <w:rPr>
                <w:rFonts w:ascii="宋体" w:hAnsi="宋体"/>
                <w:szCs w:val="21"/>
              </w:rPr>
            </w:pPr>
            <w:r>
              <w:rPr>
                <w:rFonts w:hint="eastAsia" w:ascii="宋体" w:hAnsi="宋体"/>
                <w:szCs w:val="21"/>
              </w:rPr>
              <w:t>各软件交换机、软件路由器、软件防火墙应具备同高带宽、高并发能力。</w:t>
            </w:r>
          </w:p>
          <w:p>
            <w:pPr>
              <w:pStyle w:val="42"/>
              <w:ind w:firstLine="0" w:firstLineChars="0"/>
              <w:rPr>
                <w:rFonts w:ascii="宋体" w:hAnsi="宋体"/>
                <w:szCs w:val="21"/>
              </w:rPr>
            </w:pPr>
            <w:r>
              <w:rPr>
                <w:rFonts w:hint="eastAsia" w:ascii="宋体" w:hAnsi="宋体"/>
                <w:szCs w:val="21"/>
              </w:rPr>
              <w:t>控制节点应作为统一的虚拟网络服务管理点，提供基于图形和脚本模式下的配置管理界面。</w:t>
            </w:r>
          </w:p>
          <w:p>
            <w:pPr>
              <w:pStyle w:val="42"/>
              <w:ind w:firstLine="0" w:firstLineChars="0"/>
              <w:rPr>
                <w:rFonts w:ascii="宋体" w:hAnsi="宋体"/>
                <w:szCs w:val="21"/>
              </w:rPr>
            </w:pPr>
            <w:r>
              <w:rPr>
                <w:rFonts w:hint="eastAsia" w:ascii="宋体" w:hAnsi="宋体"/>
                <w:szCs w:val="21"/>
              </w:rPr>
              <w:t>控制节点支持高可用模式，至少支持3台控制节点实现的高可用架构。</w:t>
            </w:r>
          </w:p>
          <w:p>
            <w:pPr>
              <w:pStyle w:val="42"/>
              <w:ind w:firstLine="0" w:firstLineChars="0"/>
              <w:rPr>
                <w:rFonts w:ascii="宋体" w:hAnsi="宋体"/>
                <w:szCs w:val="21"/>
              </w:rPr>
            </w:pPr>
            <w:r>
              <w:rPr>
                <w:rFonts w:hint="eastAsia" w:ascii="宋体" w:hAnsi="宋体"/>
                <w:szCs w:val="21"/>
              </w:rPr>
              <w:t>控制节点与其他软件虚拟网络组件之间应基于X.509证书模式的加密通讯。</w:t>
            </w:r>
          </w:p>
          <w:p>
            <w:pPr>
              <w:pStyle w:val="42"/>
              <w:ind w:firstLine="0" w:firstLineChars="0"/>
              <w:rPr>
                <w:rFonts w:ascii="宋体" w:hAnsi="宋体"/>
                <w:szCs w:val="21"/>
              </w:rPr>
            </w:pPr>
            <w:r>
              <w:rPr>
                <w:rFonts w:hint="eastAsia" w:ascii="宋体" w:hAnsi="宋体"/>
                <w:szCs w:val="21"/>
              </w:rPr>
              <w:t>控制节点应提供RESTFULAPI接口进行调用。</w:t>
            </w:r>
          </w:p>
          <w:p>
            <w:pPr>
              <w:pStyle w:val="42"/>
              <w:ind w:firstLine="0" w:firstLineChars="0"/>
              <w:rPr>
                <w:rFonts w:ascii="宋体" w:hAnsi="宋体"/>
                <w:szCs w:val="21"/>
              </w:rPr>
            </w:pPr>
            <w:r>
              <w:rPr>
                <w:rFonts w:hint="eastAsia" w:ascii="宋体" w:hAnsi="宋体"/>
                <w:szCs w:val="21"/>
              </w:rPr>
              <w:t>可创建多个基于租户概念的逻辑网络，并且各逻辑网络是相互隔离。</w:t>
            </w:r>
          </w:p>
          <w:p>
            <w:pPr>
              <w:pStyle w:val="42"/>
              <w:ind w:firstLine="0" w:firstLineChars="0"/>
              <w:rPr>
                <w:rFonts w:ascii="宋体" w:hAnsi="宋体"/>
                <w:szCs w:val="21"/>
              </w:rPr>
            </w:pPr>
            <w:r>
              <w:rPr>
                <w:rFonts w:hint="eastAsia" w:ascii="宋体" w:hAnsi="宋体"/>
                <w:szCs w:val="21"/>
              </w:rPr>
              <w:t>在各逻辑网络中，网络子网是可以重复的，在各自逻辑网络中的资源对其他逻辑网络中的资源没有感知。</w:t>
            </w:r>
          </w:p>
          <w:p>
            <w:pPr>
              <w:pStyle w:val="42"/>
              <w:ind w:firstLine="0" w:firstLineChars="0"/>
              <w:rPr>
                <w:rFonts w:ascii="宋体" w:hAnsi="宋体"/>
                <w:szCs w:val="21"/>
              </w:rPr>
            </w:pPr>
            <w:r>
              <w:rPr>
                <w:rFonts w:hint="eastAsia" w:ascii="宋体" w:hAnsi="宋体"/>
                <w:szCs w:val="21"/>
              </w:rPr>
              <w:t>逻辑网络内可支持多个自定义的网络子网。</w:t>
            </w:r>
          </w:p>
          <w:p>
            <w:pPr>
              <w:pStyle w:val="42"/>
              <w:ind w:firstLine="0" w:firstLineChars="0"/>
              <w:rPr>
                <w:rFonts w:ascii="宋体" w:hAnsi="宋体"/>
                <w:szCs w:val="21"/>
              </w:rPr>
            </w:pPr>
            <w:r>
              <w:rPr>
                <w:rFonts w:hint="eastAsia" w:ascii="宋体" w:hAnsi="宋体"/>
                <w:szCs w:val="21"/>
              </w:rPr>
              <w:t>逻辑网络的入站和出站通讯均支持ACL控制。</w:t>
            </w:r>
          </w:p>
          <w:p>
            <w:pPr>
              <w:pStyle w:val="42"/>
              <w:ind w:firstLine="0" w:firstLineChars="0"/>
              <w:rPr>
                <w:rFonts w:ascii="宋体" w:hAnsi="宋体"/>
                <w:szCs w:val="21"/>
              </w:rPr>
            </w:pPr>
            <w:r>
              <w:rPr>
                <w:rFonts w:hint="eastAsia" w:ascii="宋体" w:hAnsi="宋体"/>
                <w:szCs w:val="21"/>
              </w:rPr>
              <w:t>同一逻辑网络可以分布在不同的虚拟化主机上，虚拟机可以在不同的虚拟化主机上访问到相同的逻辑网络。</w:t>
            </w:r>
          </w:p>
          <w:p>
            <w:pPr>
              <w:pStyle w:val="42"/>
              <w:ind w:firstLine="0" w:firstLineChars="0"/>
              <w:rPr>
                <w:rFonts w:ascii="宋体" w:hAnsi="宋体"/>
                <w:szCs w:val="21"/>
              </w:rPr>
            </w:pPr>
            <w:r>
              <w:rPr>
                <w:rFonts w:hint="eastAsia" w:ascii="宋体" w:hAnsi="宋体"/>
                <w:szCs w:val="21"/>
              </w:rPr>
              <w:t>支持快速部署逻辑网络，支持脚本化、配置文件等模式下的部署。</w:t>
            </w:r>
          </w:p>
          <w:p>
            <w:pPr>
              <w:pStyle w:val="42"/>
              <w:ind w:firstLine="0" w:firstLineChars="0"/>
              <w:rPr>
                <w:rFonts w:ascii="宋体" w:hAnsi="宋体"/>
                <w:szCs w:val="21"/>
              </w:rPr>
            </w:pPr>
            <w:r>
              <w:rPr>
                <w:rFonts w:hint="eastAsia" w:ascii="宋体" w:hAnsi="宋体"/>
                <w:szCs w:val="21"/>
              </w:rPr>
              <w:t>分布式防火墙可以分布在边缘和核心网络区域进行防护。支持基于资源组或者标签的方式，对资源对象集合进行ACL控制。</w:t>
            </w:r>
          </w:p>
          <w:p>
            <w:pPr>
              <w:pStyle w:val="42"/>
              <w:ind w:firstLine="0" w:firstLineChars="0"/>
              <w:rPr>
                <w:rFonts w:ascii="宋体" w:hAnsi="宋体"/>
                <w:szCs w:val="21"/>
              </w:rPr>
            </w:pPr>
            <w:r>
              <w:rPr>
                <w:rFonts w:hint="eastAsia" w:ascii="宋体" w:hAnsi="宋体"/>
                <w:szCs w:val="21"/>
              </w:rPr>
              <w:t>ACL访问控制策略可以跟随虚拟机进行应用，即使虚拟机被迁移到其他虚拟主机上运行。</w:t>
            </w:r>
          </w:p>
          <w:p>
            <w:pPr>
              <w:pStyle w:val="42"/>
              <w:ind w:firstLine="0" w:firstLineChars="0"/>
              <w:rPr>
                <w:rFonts w:ascii="宋体" w:hAnsi="宋体"/>
                <w:szCs w:val="21"/>
              </w:rPr>
            </w:pPr>
            <w:r>
              <w:rPr>
                <w:rFonts w:hint="eastAsia" w:ascii="宋体" w:hAnsi="宋体"/>
                <w:szCs w:val="21"/>
              </w:rPr>
              <w:t>软件负载均衡组件应支持网络4层级别负载均衡模式，支持对内NAT和对外NAT转换。</w:t>
            </w:r>
          </w:p>
          <w:p>
            <w:pPr>
              <w:pStyle w:val="42"/>
              <w:ind w:firstLine="0" w:firstLineChars="0"/>
              <w:rPr>
                <w:rFonts w:ascii="宋体" w:hAnsi="宋体"/>
                <w:szCs w:val="21"/>
              </w:rPr>
            </w:pPr>
            <w:r>
              <w:rPr>
                <w:rFonts w:hint="eastAsia" w:ascii="宋体" w:hAnsi="宋体"/>
                <w:szCs w:val="21"/>
              </w:rPr>
              <w:t>在虚拟机启动时自动应用安全策略，在迁移虚拟机时移动安全策略，在取消调配虚拟机时删除安全策略</w:t>
            </w:r>
          </w:p>
          <w:p>
            <w:pPr>
              <w:pStyle w:val="42"/>
              <w:ind w:firstLine="0" w:firstLineChars="0"/>
              <w:rPr>
                <w:rFonts w:ascii="宋体" w:hAnsi="宋体"/>
                <w:szCs w:val="21"/>
              </w:rPr>
            </w:pPr>
            <w:r>
              <w:rPr>
                <w:rFonts w:hint="eastAsia" w:ascii="宋体" w:hAnsi="宋体"/>
                <w:szCs w:val="21"/>
              </w:rPr>
              <w:t>可按需提供基于虚拟机的网络边界网关的网络边界网关，为虚拟机提供路由器、防火墙、负载均衡器等网络服务。</w:t>
            </w:r>
          </w:p>
          <w:p>
            <w:pPr>
              <w:pStyle w:val="42"/>
              <w:ind w:firstLine="0" w:firstLineChars="0"/>
              <w:rPr>
                <w:rFonts w:ascii="宋体" w:hAnsi="宋体"/>
                <w:szCs w:val="21"/>
              </w:rPr>
            </w:pPr>
            <w:r>
              <w:rPr>
                <w:rFonts w:hint="eastAsia" w:ascii="宋体" w:hAnsi="宋体"/>
                <w:szCs w:val="21"/>
              </w:rPr>
              <w:t>提供与网络封装覆盖(OVERLAY)的交换机制(VXLAN/NVGRE)，可支持在不限定网络设备品牌的基础上创建软件交换机，且修改软件交换机时不需要对底层的实体网络进行设定的更改。</w:t>
            </w:r>
          </w:p>
          <w:p>
            <w:pPr>
              <w:pStyle w:val="42"/>
              <w:ind w:firstLine="0" w:firstLineChars="0"/>
              <w:rPr>
                <w:rFonts w:ascii="宋体" w:hAnsi="宋体"/>
                <w:szCs w:val="21"/>
              </w:rPr>
            </w:pPr>
            <w:r>
              <w:rPr>
                <w:rFonts w:hint="eastAsia" w:ascii="宋体" w:hAnsi="宋体"/>
                <w:szCs w:val="21"/>
              </w:rPr>
              <w:t>提供网络流量监控功能(FLOWMONITORING)，可针对方案内防护的虚拟机的进出流量。</w:t>
            </w:r>
          </w:p>
          <w:p>
            <w:pPr>
              <w:pStyle w:val="42"/>
              <w:ind w:firstLine="0" w:firstLineChars="0"/>
              <w:rPr>
                <w:rFonts w:ascii="宋体" w:hAnsi="宋体"/>
                <w:szCs w:val="21"/>
              </w:rPr>
            </w:pPr>
            <w:r>
              <w:rPr>
                <w:rFonts w:hint="eastAsia" w:ascii="宋体" w:hAnsi="宋体"/>
                <w:szCs w:val="21"/>
              </w:rPr>
              <w:t>方案内软件负载均衡器可支持以下功能：</w:t>
            </w:r>
          </w:p>
          <w:p>
            <w:pPr>
              <w:pStyle w:val="42"/>
              <w:ind w:firstLine="0" w:firstLineChars="0"/>
              <w:rPr>
                <w:rFonts w:ascii="宋体" w:hAnsi="宋体"/>
                <w:szCs w:val="21"/>
              </w:rPr>
            </w:pPr>
            <w:r>
              <w:rPr>
                <w:rFonts w:hint="eastAsia" w:ascii="宋体" w:hAnsi="宋体"/>
                <w:szCs w:val="21"/>
              </w:rPr>
              <w:t>• TCP / UDP / HTTP / HTTPS等协议的负载均衡机制</w:t>
            </w:r>
          </w:p>
          <w:p>
            <w:pPr>
              <w:pStyle w:val="42"/>
              <w:ind w:firstLine="0" w:firstLineChars="0"/>
              <w:rPr>
                <w:rFonts w:ascii="宋体" w:hAnsi="宋体"/>
                <w:szCs w:val="21"/>
              </w:rPr>
            </w:pPr>
            <w:r>
              <w:rPr>
                <w:rFonts w:hint="eastAsia" w:ascii="宋体" w:hAnsi="宋体"/>
                <w:szCs w:val="21"/>
              </w:rPr>
              <w:t>• 负载均衡机制支持ROUND-ROBIN / IPHASH / LEASTCONNECTION等方式进行</w:t>
            </w:r>
          </w:p>
          <w:p>
            <w:pPr>
              <w:pStyle w:val="42"/>
              <w:ind w:firstLine="0" w:firstLineChars="0"/>
              <w:rPr>
                <w:rFonts w:ascii="宋体" w:hAnsi="宋体"/>
                <w:szCs w:val="21"/>
              </w:rPr>
            </w:pPr>
            <w:r>
              <w:rPr>
                <w:rFonts w:hint="eastAsia" w:ascii="宋体" w:hAnsi="宋体"/>
                <w:szCs w:val="21"/>
              </w:rPr>
              <w:t>• 可以后端应用服务器进行健康检查(HEALTHCHECK)</w:t>
            </w:r>
          </w:p>
          <w:p>
            <w:pPr>
              <w:pStyle w:val="42"/>
              <w:ind w:firstLine="0" w:firstLineChars="0"/>
              <w:rPr>
                <w:rFonts w:ascii="宋体" w:hAnsi="宋体"/>
                <w:szCs w:val="21"/>
              </w:rPr>
            </w:pPr>
            <w:r>
              <w:rPr>
                <w:rFonts w:hint="eastAsia" w:ascii="宋体" w:hAnsi="宋体"/>
                <w:szCs w:val="21"/>
              </w:rPr>
              <w:t>支持虚拟交换机，并且支持VXLAN/NVGRE封装协议。</w:t>
            </w:r>
          </w:p>
          <w:p>
            <w:pPr>
              <w:pStyle w:val="42"/>
              <w:ind w:firstLine="0" w:firstLineChars="0"/>
              <w:rPr>
                <w:rFonts w:ascii="宋体" w:hAnsi="宋体"/>
                <w:szCs w:val="21"/>
              </w:rPr>
            </w:pPr>
            <w:r>
              <w:rPr>
                <w:rFonts w:hint="eastAsia" w:ascii="宋体" w:hAnsi="宋体"/>
                <w:szCs w:val="21"/>
              </w:rPr>
              <w:t>VXLAN/NVGREVTEP支持多网卡的负载均衡机制，可基于LACP、MAC或IP作为分配条件。</w:t>
            </w:r>
          </w:p>
          <w:p>
            <w:pPr>
              <w:pStyle w:val="42"/>
              <w:ind w:firstLine="0" w:firstLineChars="0"/>
              <w:rPr>
                <w:rFonts w:ascii="宋体" w:hAnsi="宋体"/>
                <w:szCs w:val="21"/>
              </w:rPr>
            </w:pPr>
            <w:r>
              <w:rPr>
                <w:rFonts w:hint="eastAsia" w:ascii="宋体" w:hAnsi="宋体"/>
                <w:szCs w:val="21"/>
              </w:rPr>
              <w:t>软件路由器需支持分布式的功能，由虚拟化平台软件（HYPERVISOR）直接判断虚拟网络内三层东西向的端到端通信</w:t>
            </w:r>
          </w:p>
          <w:p>
            <w:pPr>
              <w:pStyle w:val="42"/>
              <w:ind w:firstLine="0" w:firstLineChars="0"/>
              <w:rPr>
                <w:rFonts w:ascii="宋体" w:hAnsi="宋体"/>
                <w:szCs w:val="21"/>
              </w:rPr>
            </w:pPr>
            <w:r>
              <w:rPr>
                <w:rFonts w:hint="eastAsia" w:ascii="宋体" w:hAnsi="宋体"/>
                <w:szCs w:val="21"/>
              </w:rPr>
              <w:t>支持分布式防火墙的功能，由虚拟化平台软件（HYPERVISOR）直接判断虚拟网络的在线访问能力。</w:t>
            </w:r>
          </w:p>
          <w:p>
            <w:pPr>
              <w:pStyle w:val="42"/>
              <w:ind w:firstLine="0" w:firstLineChars="0"/>
              <w:rPr>
                <w:rFonts w:ascii="宋体" w:hAnsi="宋体"/>
                <w:szCs w:val="21"/>
              </w:rPr>
            </w:pPr>
            <w:r>
              <w:rPr>
                <w:rFonts w:hint="eastAsia" w:ascii="宋体" w:hAnsi="宋体"/>
                <w:szCs w:val="21"/>
              </w:rPr>
              <w:t>支持网络边界的软件功能，包含负载均衡、NAT等功能。</w:t>
            </w:r>
          </w:p>
          <w:p>
            <w:pPr>
              <w:pStyle w:val="42"/>
              <w:ind w:firstLine="0" w:firstLineChars="0"/>
              <w:rPr>
                <w:rFonts w:ascii="宋体" w:hAnsi="宋体"/>
                <w:szCs w:val="21"/>
              </w:rPr>
            </w:pPr>
            <w:r>
              <w:rPr>
                <w:rFonts w:hint="eastAsia" w:ascii="宋体" w:hAnsi="宋体"/>
                <w:szCs w:val="21"/>
              </w:rPr>
              <w:t>支持软件负载均衡器，并且支持ROUND-ROBIN,IPHASH, LEASTCONNECTION等负载均衡机制。</w:t>
            </w:r>
          </w:p>
          <w:p>
            <w:pPr>
              <w:pStyle w:val="42"/>
              <w:ind w:firstLine="0" w:firstLineChars="0"/>
              <w:rPr>
                <w:rFonts w:ascii="宋体" w:hAnsi="宋体"/>
                <w:szCs w:val="21"/>
              </w:rPr>
            </w:pPr>
            <w:r>
              <w:rPr>
                <w:rFonts w:hint="eastAsia" w:ascii="宋体" w:hAnsi="宋体"/>
                <w:szCs w:val="21"/>
              </w:rPr>
              <w:t>支持网络堆栈（Software Defined Networking (SDN) Stack）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Align w:val="center"/>
          </w:tcPr>
          <w:p>
            <w:pPr>
              <w:jc w:val="center"/>
              <w:rPr>
                <w:rFonts w:ascii="宋体" w:hAnsi="宋体" w:cs="Tahoma"/>
                <w:color w:val="000000"/>
                <w:szCs w:val="21"/>
              </w:rPr>
            </w:pPr>
            <w:r>
              <w:rPr>
                <w:rFonts w:ascii="宋体" w:hAnsi="宋体" w:cs="Tahoma"/>
                <w:color w:val="000000"/>
                <w:szCs w:val="21"/>
              </w:rPr>
              <w:t>通用网络服务支持</w:t>
            </w:r>
          </w:p>
        </w:tc>
        <w:tc>
          <w:tcPr>
            <w:tcW w:w="6157" w:type="dxa"/>
            <w:vAlign w:val="center"/>
          </w:tcPr>
          <w:p>
            <w:pPr>
              <w:pStyle w:val="42"/>
              <w:ind w:firstLine="0" w:firstLineChars="0"/>
              <w:rPr>
                <w:rFonts w:ascii="宋体" w:hAnsi="宋体"/>
                <w:szCs w:val="21"/>
              </w:rPr>
            </w:pPr>
            <w:r>
              <w:rPr>
                <w:rFonts w:hint="eastAsia" w:ascii="宋体" w:hAnsi="宋体"/>
                <w:szCs w:val="21"/>
              </w:rPr>
              <w:t>提供用户、用户组管理功能</w:t>
            </w:r>
          </w:p>
          <w:p>
            <w:pPr>
              <w:pStyle w:val="42"/>
              <w:ind w:firstLine="0" w:firstLineChars="0"/>
              <w:rPr>
                <w:rFonts w:ascii="宋体" w:hAnsi="宋体"/>
                <w:szCs w:val="21"/>
              </w:rPr>
            </w:pPr>
            <w:r>
              <w:rPr>
                <w:rFonts w:hint="eastAsia" w:ascii="宋体" w:hAnsi="宋体"/>
                <w:szCs w:val="21"/>
              </w:rPr>
              <w:t>提供统一用户授权功能</w:t>
            </w:r>
          </w:p>
          <w:p>
            <w:pPr>
              <w:pStyle w:val="42"/>
              <w:ind w:firstLine="0" w:firstLineChars="0"/>
              <w:rPr>
                <w:rFonts w:ascii="宋体" w:hAnsi="宋体"/>
                <w:szCs w:val="21"/>
              </w:rPr>
            </w:pPr>
            <w:r>
              <w:rPr>
                <w:rFonts w:hint="eastAsia" w:ascii="宋体" w:hAnsi="宋体"/>
                <w:szCs w:val="21"/>
              </w:rPr>
              <w:t>提供DNS服务</w:t>
            </w:r>
          </w:p>
          <w:p>
            <w:pPr>
              <w:pStyle w:val="42"/>
              <w:ind w:firstLine="0" w:firstLineChars="0"/>
              <w:rPr>
                <w:rFonts w:ascii="宋体" w:hAnsi="宋体"/>
                <w:szCs w:val="21"/>
              </w:rPr>
            </w:pPr>
            <w:r>
              <w:rPr>
                <w:rFonts w:hint="eastAsia" w:ascii="宋体" w:hAnsi="宋体"/>
                <w:szCs w:val="21"/>
              </w:rPr>
              <w:t>提供DHCP服务</w:t>
            </w:r>
          </w:p>
          <w:p>
            <w:pPr>
              <w:pStyle w:val="42"/>
              <w:ind w:firstLine="0" w:firstLineChars="0"/>
              <w:rPr>
                <w:rFonts w:ascii="宋体" w:hAnsi="宋体"/>
                <w:szCs w:val="21"/>
              </w:rPr>
            </w:pPr>
            <w:r>
              <w:rPr>
                <w:rFonts w:hint="eastAsia" w:ascii="宋体" w:hAnsi="宋体"/>
                <w:szCs w:val="21"/>
              </w:rPr>
              <w:t>提供传真服务器</w:t>
            </w:r>
          </w:p>
          <w:p>
            <w:pPr>
              <w:pStyle w:val="42"/>
              <w:ind w:firstLine="0" w:firstLineChars="0"/>
              <w:rPr>
                <w:rFonts w:ascii="宋体" w:hAnsi="宋体"/>
                <w:szCs w:val="21"/>
              </w:rPr>
            </w:pPr>
            <w:r>
              <w:rPr>
                <w:rFonts w:hint="eastAsia" w:ascii="宋体" w:hAnsi="宋体"/>
                <w:szCs w:val="21"/>
              </w:rPr>
              <w:t>提供文件及存储服务</w:t>
            </w:r>
          </w:p>
          <w:p>
            <w:pPr>
              <w:pStyle w:val="42"/>
              <w:ind w:firstLine="0" w:firstLineChars="0"/>
              <w:rPr>
                <w:rFonts w:ascii="宋体" w:hAnsi="宋体"/>
                <w:szCs w:val="21"/>
              </w:rPr>
            </w:pPr>
            <w:r>
              <w:rPr>
                <w:rFonts w:hint="eastAsia" w:ascii="宋体" w:hAnsi="宋体"/>
                <w:szCs w:val="21"/>
              </w:rPr>
              <w:t>提供终端计算机统一管理</w:t>
            </w:r>
          </w:p>
          <w:p>
            <w:pPr>
              <w:pStyle w:val="42"/>
              <w:ind w:firstLine="0" w:firstLineChars="0"/>
              <w:rPr>
                <w:rFonts w:ascii="宋体" w:hAnsi="宋体"/>
                <w:szCs w:val="21"/>
              </w:rPr>
            </w:pPr>
            <w:r>
              <w:rPr>
                <w:rFonts w:hint="eastAsia" w:ascii="宋体" w:hAnsi="宋体"/>
                <w:szCs w:val="21"/>
              </w:rPr>
              <w:t>支持通过策略对终端计算机进行统一管理（包括配置修改、行为限定等）</w:t>
            </w:r>
          </w:p>
          <w:p>
            <w:pPr>
              <w:pStyle w:val="42"/>
              <w:ind w:firstLine="0" w:firstLineChars="0"/>
              <w:rPr>
                <w:rFonts w:ascii="宋体" w:hAnsi="宋体"/>
                <w:szCs w:val="21"/>
              </w:rPr>
            </w:pPr>
            <w:r>
              <w:rPr>
                <w:rFonts w:hint="eastAsia" w:ascii="宋体" w:hAnsi="宋体"/>
                <w:szCs w:val="21"/>
              </w:rPr>
              <w:t>支持通过LDAP进行帐户和网络资源管理，并支持通过策略统一管理帐户权限，目录服务对象包含但不限于用户帐户、计算机帐户和打印机等。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restart"/>
            <w:vAlign w:val="center"/>
          </w:tcPr>
          <w:p>
            <w:pPr>
              <w:jc w:val="center"/>
              <w:rPr>
                <w:rFonts w:ascii="宋体" w:hAnsi="宋体" w:cs="Tahoma"/>
                <w:color w:val="000000"/>
                <w:szCs w:val="21"/>
              </w:rPr>
            </w:pPr>
            <w:r>
              <w:rPr>
                <w:rFonts w:hint="eastAsia" w:ascii="宋体" w:hAnsi="宋体" w:cs="Tahoma"/>
                <w:color w:val="000000"/>
                <w:szCs w:val="21"/>
              </w:rPr>
              <w:t>高可用功能</w:t>
            </w:r>
          </w:p>
        </w:tc>
        <w:tc>
          <w:tcPr>
            <w:tcW w:w="1435" w:type="dxa"/>
            <w:vAlign w:val="center"/>
          </w:tcPr>
          <w:p>
            <w:pPr>
              <w:jc w:val="center"/>
              <w:rPr>
                <w:rFonts w:ascii="宋体" w:hAnsi="宋体" w:cs="Tahoma"/>
                <w:color w:val="000000"/>
                <w:szCs w:val="21"/>
              </w:rPr>
            </w:pPr>
            <w:r>
              <w:rPr>
                <w:rFonts w:hint="eastAsia" w:ascii="宋体" w:hAnsi="宋体" w:cs="Tahoma"/>
                <w:color w:val="000000"/>
                <w:szCs w:val="21"/>
              </w:rPr>
              <w:t>故障转移群集功能</w:t>
            </w:r>
          </w:p>
        </w:tc>
        <w:tc>
          <w:tcPr>
            <w:tcW w:w="6157" w:type="dxa"/>
            <w:vAlign w:val="center"/>
          </w:tcPr>
          <w:p>
            <w:pPr>
              <w:pStyle w:val="42"/>
              <w:ind w:firstLine="0" w:firstLineChars="0"/>
              <w:rPr>
                <w:rFonts w:ascii="宋体" w:hAnsi="宋体"/>
                <w:szCs w:val="21"/>
              </w:rPr>
            </w:pPr>
            <w:r>
              <w:rPr>
                <w:rFonts w:hint="eastAsia" w:ascii="宋体" w:hAnsi="宋体"/>
                <w:szCs w:val="21"/>
              </w:rPr>
              <w:t>支持配置为主备或多活模式群集；</w:t>
            </w:r>
          </w:p>
          <w:p>
            <w:pPr>
              <w:pStyle w:val="42"/>
              <w:ind w:firstLine="0" w:firstLineChars="0"/>
              <w:rPr>
                <w:rFonts w:ascii="宋体" w:hAnsi="宋体"/>
                <w:szCs w:val="21"/>
              </w:rPr>
            </w:pPr>
            <w:r>
              <w:rPr>
                <w:rFonts w:ascii="宋体" w:hAnsi="宋体"/>
                <w:szCs w:val="21"/>
              </w:rPr>
              <w:t>支持自动配置仲裁</w:t>
            </w:r>
            <w:r>
              <w:rPr>
                <w:rFonts w:hint="eastAsia" w:ascii="宋体" w:hAnsi="宋体"/>
                <w:szCs w:val="21"/>
              </w:rPr>
              <w:t>，</w:t>
            </w:r>
            <w:r>
              <w:rPr>
                <w:rFonts w:ascii="宋体" w:hAnsi="宋体"/>
                <w:szCs w:val="21"/>
              </w:rPr>
              <w:t>支持基于共享磁盘</w:t>
            </w:r>
            <w:r>
              <w:rPr>
                <w:rFonts w:hint="eastAsia" w:ascii="宋体" w:hAnsi="宋体"/>
                <w:szCs w:val="21"/>
              </w:rPr>
              <w:t>、</w:t>
            </w:r>
            <w:r>
              <w:rPr>
                <w:rFonts w:ascii="宋体" w:hAnsi="宋体"/>
                <w:szCs w:val="21"/>
              </w:rPr>
              <w:t>共享文件夹</w:t>
            </w:r>
            <w:r>
              <w:rPr>
                <w:rFonts w:hint="eastAsia" w:ascii="宋体" w:hAnsi="宋体"/>
                <w:szCs w:val="21"/>
              </w:rPr>
              <w:t>、</w:t>
            </w:r>
            <w:r>
              <w:rPr>
                <w:rFonts w:ascii="宋体" w:hAnsi="宋体"/>
                <w:szCs w:val="21"/>
              </w:rPr>
              <w:t>节点多数三种仲裁模式</w:t>
            </w:r>
            <w:r>
              <w:rPr>
                <w:rFonts w:hint="eastAsia" w:ascii="宋体" w:hAnsi="宋体"/>
                <w:szCs w:val="21"/>
              </w:rPr>
              <w:t>；</w:t>
            </w:r>
          </w:p>
          <w:p>
            <w:pPr>
              <w:pStyle w:val="42"/>
              <w:ind w:firstLine="0" w:firstLineChars="0"/>
              <w:rPr>
                <w:rFonts w:ascii="宋体" w:hAnsi="宋体"/>
                <w:szCs w:val="21"/>
              </w:rPr>
            </w:pPr>
            <w:r>
              <w:rPr>
                <w:rFonts w:ascii="宋体" w:hAnsi="宋体"/>
                <w:szCs w:val="21"/>
              </w:rPr>
              <w:t>支持在故障转移群集中配置</w:t>
            </w:r>
            <w:r>
              <w:rPr>
                <w:rFonts w:hint="eastAsia" w:ascii="宋体" w:hAnsi="宋体"/>
                <w:szCs w:val="21"/>
              </w:rPr>
              <w:t>虚拟化、DNS、DHCP、文件共享、分布式文件系统、数据库等多种资源高可用；</w:t>
            </w:r>
          </w:p>
          <w:p>
            <w:pPr>
              <w:pStyle w:val="42"/>
              <w:ind w:firstLine="0" w:firstLineChars="0"/>
              <w:rPr>
                <w:rFonts w:ascii="宋体" w:hAnsi="宋体"/>
                <w:szCs w:val="21"/>
              </w:rPr>
            </w:pPr>
            <w:r>
              <w:rPr>
                <w:rFonts w:ascii="宋体" w:hAnsi="宋体"/>
                <w:szCs w:val="21"/>
              </w:rPr>
              <w:t>支持资源反关联和关联性配置</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Align w:val="center"/>
          </w:tcPr>
          <w:p>
            <w:pPr>
              <w:jc w:val="center"/>
              <w:rPr>
                <w:rFonts w:ascii="宋体" w:hAnsi="宋体" w:cs="Tahoma"/>
                <w:color w:val="000000"/>
                <w:szCs w:val="21"/>
              </w:rPr>
            </w:pPr>
            <w:r>
              <w:rPr>
                <w:rFonts w:hint="eastAsia" w:ascii="宋体" w:hAnsi="宋体" w:cs="Tahoma"/>
                <w:color w:val="000000"/>
                <w:szCs w:val="21"/>
              </w:rPr>
              <w:t>故障转移群集指标</w:t>
            </w:r>
          </w:p>
        </w:tc>
        <w:tc>
          <w:tcPr>
            <w:tcW w:w="6157" w:type="dxa"/>
            <w:vAlign w:val="center"/>
          </w:tcPr>
          <w:p>
            <w:pPr>
              <w:pStyle w:val="42"/>
              <w:ind w:firstLine="0" w:firstLineChars="0"/>
              <w:rPr>
                <w:rFonts w:ascii="宋体" w:hAnsi="宋体"/>
                <w:szCs w:val="21"/>
              </w:rPr>
            </w:pPr>
            <w:r>
              <w:rPr>
                <w:rFonts w:hint="eastAsia" w:ascii="宋体" w:hAnsi="宋体"/>
                <w:szCs w:val="21"/>
              </w:rPr>
              <w:t>每个</w:t>
            </w:r>
            <w:r>
              <w:rPr>
                <w:rFonts w:ascii="宋体" w:hAnsi="宋体"/>
                <w:szCs w:val="21"/>
              </w:rPr>
              <w:t>虚拟机高可用性群集至少支持</w:t>
            </w:r>
            <w:r>
              <w:rPr>
                <w:rFonts w:hint="eastAsia" w:ascii="宋体" w:hAnsi="宋体"/>
                <w:szCs w:val="21"/>
              </w:rPr>
              <w:t>8000个</w:t>
            </w:r>
            <w:r>
              <w:rPr>
                <w:rFonts w:ascii="宋体" w:hAnsi="宋体"/>
                <w:szCs w:val="21"/>
              </w:rPr>
              <w:t>虚拟机</w:t>
            </w:r>
            <w:r>
              <w:rPr>
                <w:rFonts w:hint="eastAsia" w:ascii="宋体" w:hAnsi="宋体"/>
                <w:szCs w:val="21"/>
              </w:rPr>
              <w:t>；</w:t>
            </w:r>
          </w:p>
          <w:p>
            <w:pPr>
              <w:pStyle w:val="42"/>
              <w:ind w:firstLine="0" w:firstLineChars="0"/>
              <w:rPr>
                <w:rFonts w:ascii="宋体" w:hAnsi="宋体"/>
                <w:szCs w:val="21"/>
              </w:rPr>
            </w:pPr>
            <w:r>
              <w:rPr>
                <w:rFonts w:hint="eastAsia" w:ascii="宋体" w:hAnsi="宋体"/>
                <w:szCs w:val="21"/>
              </w:rPr>
              <w:t>每个</w:t>
            </w:r>
            <w:r>
              <w:rPr>
                <w:rFonts w:ascii="宋体" w:hAnsi="宋体"/>
                <w:szCs w:val="21"/>
              </w:rPr>
              <w:t>高可用性群集</w:t>
            </w:r>
            <w:r>
              <w:rPr>
                <w:rFonts w:hint="eastAsia" w:ascii="宋体" w:hAnsi="宋体"/>
                <w:szCs w:val="21"/>
              </w:rPr>
              <w:t>至少</w:t>
            </w:r>
            <w:r>
              <w:rPr>
                <w:rFonts w:ascii="宋体" w:hAnsi="宋体"/>
                <w:szCs w:val="21"/>
              </w:rPr>
              <w:t>支持</w:t>
            </w:r>
            <w:r>
              <w:rPr>
                <w:rFonts w:hint="eastAsia" w:ascii="宋体" w:hAnsi="宋体"/>
                <w:szCs w:val="21"/>
              </w:rPr>
              <w:t>64个</w:t>
            </w:r>
            <w:r>
              <w:rPr>
                <w:rFonts w:ascii="宋体" w:hAnsi="宋体"/>
                <w:szCs w:val="21"/>
              </w:rPr>
              <w:t>节点</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Align w:val="center"/>
          </w:tcPr>
          <w:p>
            <w:pPr>
              <w:jc w:val="center"/>
              <w:rPr>
                <w:rFonts w:ascii="宋体" w:hAnsi="宋体" w:cs="Tahoma"/>
                <w:color w:val="000000"/>
                <w:szCs w:val="21"/>
              </w:rPr>
            </w:pPr>
            <w:r>
              <w:rPr>
                <w:rFonts w:hint="eastAsia" w:ascii="宋体" w:hAnsi="宋体" w:cs="Tahoma"/>
                <w:color w:val="000000"/>
                <w:szCs w:val="21"/>
              </w:rPr>
              <w:t>网络负载均衡</w:t>
            </w:r>
          </w:p>
        </w:tc>
        <w:tc>
          <w:tcPr>
            <w:tcW w:w="6157" w:type="dxa"/>
            <w:vAlign w:val="center"/>
          </w:tcPr>
          <w:p>
            <w:pPr>
              <w:pStyle w:val="42"/>
              <w:ind w:firstLine="0" w:firstLineChars="0"/>
              <w:rPr>
                <w:rFonts w:ascii="宋体" w:hAnsi="宋体"/>
                <w:szCs w:val="21"/>
              </w:rPr>
            </w:pPr>
            <w:r>
              <w:rPr>
                <w:rFonts w:hint="eastAsia" w:ascii="宋体" w:hAnsi="宋体"/>
                <w:szCs w:val="21"/>
              </w:rPr>
              <w:t>支持配置网络负载均衡；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04" w:type="dxa"/>
            <w:vMerge w:val="continue"/>
            <w:vAlign w:val="center"/>
          </w:tcPr>
          <w:p>
            <w:pPr>
              <w:jc w:val="center"/>
              <w:rPr>
                <w:rFonts w:ascii="宋体" w:hAnsi="宋体" w:cs="Tahoma"/>
                <w:color w:val="000000"/>
                <w:szCs w:val="21"/>
              </w:rPr>
            </w:pPr>
          </w:p>
        </w:tc>
        <w:tc>
          <w:tcPr>
            <w:tcW w:w="1435" w:type="dxa"/>
            <w:vAlign w:val="center"/>
          </w:tcPr>
          <w:p>
            <w:pPr>
              <w:jc w:val="center"/>
              <w:rPr>
                <w:rFonts w:ascii="宋体" w:hAnsi="宋体" w:cs="Tahoma"/>
                <w:color w:val="000000"/>
                <w:szCs w:val="21"/>
              </w:rPr>
            </w:pPr>
            <w:r>
              <w:rPr>
                <w:rFonts w:hint="eastAsia" w:ascii="宋体" w:hAnsi="宋体" w:cs="Tahoma"/>
                <w:color w:val="000000"/>
                <w:szCs w:val="21"/>
              </w:rPr>
              <w:t>数据要求</w:t>
            </w:r>
          </w:p>
        </w:tc>
        <w:tc>
          <w:tcPr>
            <w:tcW w:w="6157" w:type="dxa"/>
            <w:vAlign w:val="center"/>
          </w:tcPr>
          <w:p>
            <w:pPr>
              <w:pStyle w:val="42"/>
              <w:ind w:firstLine="0" w:firstLineChars="0"/>
              <w:rPr>
                <w:rFonts w:ascii="宋体" w:hAnsi="宋体"/>
                <w:szCs w:val="21"/>
              </w:rPr>
            </w:pPr>
            <w:r>
              <w:rPr>
                <w:rFonts w:hint="eastAsia" w:ascii="宋体" w:hAnsi="宋体"/>
                <w:szCs w:val="21"/>
              </w:rPr>
              <w:t>每个宿主机至少支持</w:t>
            </w:r>
            <w:r>
              <w:rPr>
                <w:rFonts w:ascii="宋体" w:hAnsi="宋体"/>
                <w:szCs w:val="21"/>
              </w:rPr>
              <w:t>512</w:t>
            </w:r>
            <w:r>
              <w:rPr>
                <w:rFonts w:hint="eastAsia" w:ascii="宋体" w:hAnsi="宋体"/>
                <w:szCs w:val="21"/>
              </w:rPr>
              <w:t>个逻辑</w:t>
            </w:r>
            <w:r>
              <w:rPr>
                <w:rFonts w:ascii="宋体" w:hAnsi="宋体"/>
                <w:szCs w:val="21"/>
              </w:rPr>
              <w:t>CPU</w:t>
            </w:r>
            <w:r>
              <w:rPr>
                <w:rFonts w:hint="eastAsia" w:ascii="宋体" w:hAnsi="宋体"/>
                <w:szCs w:val="21"/>
              </w:rPr>
              <w:t>；</w:t>
            </w:r>
          </w:p>
          <w:p>
            <w:pPr>
              <w:pStyle w:val="42"/>
              <w:ind w:firstLine="0" w:firstLineChars="0"/>
              <w:rPr>
                <w:rFonts w:ascii="宋体" w:hAnsi="宋体"/>
                <w:szCs w:val="21"/>
              </w:rPr>
            </w:pPr>
            <w:r>
              <w:rPr>
                <w:rFonts w:hint="eastAsia" w:ascii="宋体" w:hAnsi="宋体"/>
                <w:szCs w:val="21"/>
              </w:rPr>
              <w:t>每个宿主机至少支持</w:t>
            </w:r>
            <w:r>
              <w:rPr>
                <w:rFonts w:ascii="宋体" w:hAnsi="宋体"/>
                <w:szCs w:val="21"/>
              </w:rPr>
              <w:t>24TB</w:t>
            </w:r>
            <w:r>
              <w:rPr>
                <w:rFonts w:hint="eastAsia" w:ascii="宋体" w:hAnsi="宋体"/>
                <w:szCs w:val="21"/>
              </w:rPr>
              <w:t>物理内存；</w:t>
            </w:r>
          </w:p>
          <w:p>
            <w:pPr>
              <w:pStyle w:val="42"/>
              <w:ind w:firstLine="0" w:firstLineChars="0"/>
              <w:rPr>
                <w:rFonts w:ascii="宋体" w:hAnsi="宋体"/>
                <w:szCs w:val="21"/>
              </w:rPr>
            </w:pPr>
            <w:r>
              <w:rPr>
                <w:rFonts w:hint="eastAsia" w:ascii="宋体" w:hAnsi="宋体"/>
                <w:szCs w:val="21"/>
              </w:rPr>
              <w:t>每个虚拟机至少支持</w:t>
            </w:r>
            <w:r>
              <w:rPr>
                <w:rFonts w:ascii="宋体" w:hAnsi="宋体"/>
                <w:szCs w:val="21"/>
              </w:rPr>
              <w:t>240</w:t>
            </w:r>
            <w:r>
              <w:rPr>
                <w:rFonts w:hint="eastAsia" w:ascii="宋体" w:hAnsi="宋体"/>
                <w:szCs w:val="21"/>
              </w:rPr>
              <w:t>个虚拟</w:t>
            </w:r>
            <w:r>
              <w:rPr>
                <w:rFonts w:ascii="宋体" w:hAnsi="宋体"/>
                <w:szCs w:val="21"/>
              </w:rPr>
              <w:t>CPU</w:t>
            </w:r>
            <w:r>
              <w:rPr>
                <w:rFonts w:hint="eastAsia" w:ascii="宋体" w:hAnsi="宋体"/>
                <w:szCs w:val="21"/>
              </w:rPr>
              <w:t>；</w:t>
            </w:r>
          </w:p>
          <w:p>
            <w:pPr>
              <w:pStyle w:val="42"/>
              <w:ind w:firstLine="0" w:firstLineChars="0"/>
              <w:rPr>
                <w:rFonts w:ascii="宋体" w:hAnsi="宋体"/>
                <w:szCs w:val="21"/>
              </w:rPr>
            </w:pPr>
            <w:r>
              <w:rPr>
                <w:rFonts w:hint="eastAsia" w:ascii="宋体" w:hAnsi="宋体"/>
                <w:szCs w:val="21"/>
              </w:rPr>
              <w:t>每个虚拟机至少支持</w:t>
            </w:r>
            <w:r>
              <w:rPr>
                <w:rFonts w:ascii="宋体" w:hAnsi="宋体"/>
                <w:szCs w:val="21"/>
              </w:rPr>
              <w:t>16TB</w:t>
            </w:r>
            <w:r>
              <w:rPr>
                <w:rFonts w:hint="eastAsia" w:ascii="宋体" w:hAnsi="宋体"/>
                <w:szCs w:val="21"/>
              </w:rPr>
              <w:t>内存；</w:t>
            </w:r>
          </w:p>
        </w:tc>
      </w:tr>
    </w:tbl>
    <w:p/>
    <w:p>
      <w:pPr>
        <w:pStyle w:val="4"/>
        <w:tabs>
          <w:tab w:val="left" w:pos="432"/>
        </w:tabs>
        <w:rPr>
          <w:sz w:val="24"/>
          <w:szCs w:val="24"/>
        </w:rPr>
      </w:pPr>
      <w:r>
        <w:rPr>
          <w:rFonts w:hint="eastAsia"/>
          <w:sz w:val="24"/>
          <w:szCs w:val="24"/>
        </w:rPr>
        <w:t>7.3.35 操作系统</w:t>
      </w:r>
    </w:p>
    <w:tbl>
      <w:tblPr>
        <w:tblStyle w:val="35"/>
        <w:tblW w:w="828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599"/>
        <w:gridCol w:w="66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00" w:hRule="atLeast"/>
        </w:trPr>
        <w:tc>
          <w:tcPr>
            <w:tcW w:w="1599" w:type="dxa"/>
            <w:shd w:val="clear" w:color="000000" w:fill="FFFFFF"/>
            <w:vAlign w:val="center"/>
          </w:tcPr>
          <w:p>
            <w:pPr>
              <w:widowControl/>
              <w:jc w:val="center"/>
              <w:rPr>
                <w:rFonts w:ascii="宋体" w:hAnsi="宋体" w:cs="Arial"/>
                <w:b/>
                <w:bCs/>
                <w:kern w:val="0"/>
                <w:szCs w:val="21"/>
              </w:rPr>
            </w:pPr>
            <w:r>
              <w:rPr>
                <w:rFonts w:hint="eastAsia" w:ascii="宋体" w:hAnsi="宋体" w:cs="Arial"/>
                <w:b/>
                <w:bCs/>
                <w:kern w:val="0"/>
                <w:szCs w:val="21"/>
              </w:rPr>
              <w:t>指标项</w:t>
            </w:r>
          </w:p>
        </w:tc>
        <w:tc>
          <w:tcPr>
            <w:tcW w:w="6687" w:type="dxa"/>
            <w:shd w:val="clear" w:color="000000" w:fill="FFFFFF"/>
            <w:vAlign w:val="center"/>
          </w:tcPr>
          <w:p>
            <w:pPr>
              <w:widowControl/>
              <w:jc w:val="center"/>
              <w:rPr>
                <w:rFonts w:ascii="宋体" w:hAnsi="宋体" w:cs="Arial"/>
                <w:b/>
                <w:bCs/>
                <w:kern w:val="0"/>
                <w:szCs w:val="21"/>
              </w:rPr>
            </w:pPr>
            <w:r>
              <w:rPr>
                <w:rFonts w:hint="eastAsia" w:ascii="宋体" w:hAnsi="宋体" w:cs="Arial"/>
                <w:b/>
                <w:bCs/>
                <w:kern w:val="0"/>
                <w:szCs w:val="21"/>
              </w:rPr>
              <w:t>指标要求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1599" w:type="dxa"/>
            <w:vAlign w:val="center"/>
          </w:tcPr>
          <w:p>
            <w:pPr>
              <w:pStyle w:val="42"/>
              <w:ind w:firstLine="0" w:firstLineChars="0"/>
              <w:jc w:val="left"/>
              <w:rPr>
                <w:szCs w:val="21"/>
              </w:rPr>
            </w:pPr>
            <w:r>
              <w:rPr>
                <w:rFonts w:hint="eastAsia"/>
                <w:szCs w:val="21"/>
              </w:rPr>
              <w:t>操作系统</w:t>
            </w:r>
          </w:p>
        </w:tc>
        <w:tc>
          <w:tcPr>
            <w:tcW w:w="6687" w:type="dxa"/>
            <w:vAlign w:val="center"/>
          </w:tcPr>
          <w:p>
            <w:pPr>
              <w:pStyle w:val="42"/>
              <w:ind w:firstLine="0" w:firstLineChars="0"/>
              <w:rPr>
                <w:szCs w:val="21"/>
              </w:rPr>
            </w:pPr>
            <w:r>
              <w:rPr>
                <w:rFonts w:hint="eastAsia" w:ascii="宋体" w:hAnsi="宋体" w:cs="宋体"/>
                <w:color w:val="000000"/>
                <w:szCs w:val="21"/>
              </w:rPr>
              <w:t>win</w:t>
            </w:r>
            <w:r>
              <w:rPr>
                <w:rFonts w:hint="eastAsia" w:ascii="宋体" w:hAnsi="宋体" w:cs="宋体"/>
                <w:szCs w:val="21"/>
              </w:rPr>
              <w:t>dows 2012</w:t>
            </w:r>
            <w:r>
              <w:rPr>
                <w:rFonts w:ascii="宋体" w:hAnsi="宋体" w:cs="宋体"/>
                <w:szCs w:val="21"/>
              </w:rPr>
              <w:t>Datacenter</w:t>
            </w:r>
            <w:r>
              <w:rPr>
                <w:rFonts w:hint="eastAsia" w:ascii="宋体" w:hAnsi="宋体" w:cs="宋体"/>
                <w:szCs w:val="21"/>
              </w:rPr>
              <w:t>版</w:t>
            </w:r>
          </w:p>
        </w:tc>
      </w:tr>
    </w:tbl>
    <w:p>
      <w:pPr>
        <w:pStyle w:val="4"/>
        <w:tabs>
          <w:tab w:val="left" w:pos="432"/>
        </w:tabs>
        <w:rPr>
          <w:sz w:val="24"/>
          <w:szCs w:val="24"/>
        </w:rPr>
      </w:pPr>
      <w:r>
        <w:rPr>
          <w:rFonts w:hint="eastAsia"/>
          <w:sz w:val="24"/>
          <w:szCs w:val="24"/>
        </w:rPr>
        <w:t>7.3.36 Oracle数据库</w:t>
      </w:r>
    </w:p>
    <w:tbl>
      <w:tblPr>
        <w:tblStyle w:val="35"/>
        <w:tblW w:w="828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599"/>
        <w:gridCol w:w="66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00" w:hRule="atLeast"/>
        </w:trPr>
        <w:tc>
          <w:tcPr>
            <w:tcW w:w="1599" w:type="dxa"/>
            <w:shd w:val="clear" w:color="000000" w:fill="FFFFFF"/>
            <w:vAlign w:val="center"/>
          </w:tcPr>
          <w:p>
            <w:pPr>
              <w:widowControl/>
              <w:jc w:val="center"/>
              <w:rPr>
                <w:rFonts w:ascii="宋体" w:hAnsi="宋体" w:cs="Arial"/>
                <w:b/>
                <w:bCs/>
                <w:kern w:val="0"/>
                <w:szCs w:val="21"/>
              </w:rPr>
            </w:pPr>
            <w:r>
              <w:rPr>
                <w:rFonts w:hint="eastAsia" w:ascii="宋体" w:hAnsi="宋体" w:cs="Arial"/>
                <w:b/>
                <w:bCs/>
                <w:kern w:val="0"/>
                <w:szCs w:val="21"/>
              </w:rPr>
              <w:t>指标项</w:t>
            </w:r>
          </w:p>
        </w:tc>
        <w:tc>
          <w:tcPr>
            <w:tcW w:w="6687" w:type="dxa"/>
            <w:shd w:val="clear" w:color="000000" w:fill="FFFFFF"/>
            <w:vAlign w:val="center"/>
          </w:tcPr>
          <w:p>
            <w:pPr>
              <w:widowControl/>
              <w:jc w:val="center"/>
              <w:rPr>
                <w:rFonts w:ascii="宋体" w:hAnsi="宋体" w:cs="Arial"/>
                <w:b/>
                <w:bCs/>
                <w:kern w:val="0"/>
                <w:szCs w:val="21"/>
              </w:rPr>
            </w:pPr>
            <w:r>
              <w:rPr>
                <w:rFonts w:hint="eastAsia" w:ascii="宋体" w:hAnsi="宋体" w:cs="Arial"/>
                <w:b/>
                <w:bCs/>
                <w:kern w:val="0"/>
                <w:szCs w:val="21"/>
              </w:rPr>
              <w:t>指标要求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1599" w:type="dxa"/>
            <w:vAlign w:val="center"/>
          </w:tcPr>
          <w:p>
            <w:pPr>
              <w:jc w:val="center"/>
              <w:rPr>
                <w:rFonts w:ascii="宋体" w:hAnsi="宋体"/>
                <w:color w:val="000000"/>
                <w:szCs w:val="21"/>
              </w:rPr>
            </w:pPr>
            <w:r>
              <w:rPr>
                <w:rFonts w:hint="eastAsia"/>
                <w:color w:val="000000"/>
                <w:szCs w:val="21"/>
              </w:rPr>
              <w:t>数据库企业版</w:t>
            </w:r>
          </w:p>
        </w:tc>
        <w:tc>
          <w:tcPr>
            <w:tcW w:w="6687" w:type="dxa"/>
            <w:vAlign w:val="center"/>
          </w:tcPr>
          <w:p>
            <w:pPr>
              <w:rPr>
                <w:rFonts w:ascii="宋体" w:hAnsi="宋体"/>
                <w:color w:val="000000"/>
                <w:spacing w:val="-8"/>
                <w:szCs w:val="21"/>
              </w:rPr>
            </w:pPr>
            <w:r>
              <w:rPr>
                <w:rFonts w:hint="eastAsia" w:ascii="宋体" w:hAnsi="宋体"/>
                <w:color w:val="000000"/>
                <w:spacing w:val="-8"/>
                <w:szCs w:val="21"/>
              </w:rPr>
              <w:t>Oracle</w:t>
            </w:r>
            <w:r>
              <w:rPr>
                <w:rFonts w:ascii="宋体" w:hAnsi="宋体"/>
                <w:color w:val="000000"/>
                <w:spacing w:val="-8"/>
                <w:szCs w:val="21"/>
              </w:rPr>
              <w:t xml:space="preserve"> Database Enterprise Edition  4 </w:t>
            </w:r>
            <w:r>
              <w:rPr>
                <w:rFonts w:hint="eastAsia" w:ascii="宋体" w:hAnsi="宋体"/>
                <w:color w:val="000000"/>
                <w:spacing w:val="-8"/>
                <w:szCs w:val="21"/>
              </w:rPr>
              <w:t>Processor</w:t>
            </w:r>
            <w:r>
              <w:rPr>
                <w:rFonts w:ascii="宋体" w:hAnsi="宋体"/>
                <w:color w:val="000000"/>
                <w:spacing w:val="-8"/>
                <w:szCs w:val="21"/>
              </w:rPr>
              <w:t xml:space="preserve"> Fulluse</w:t>
            </w:r>
            <w:r>
              <w:rPr>
                <w:rFonts w:hint="eastAsia" w:ascii="宋体" w:hAnsi="宋体"/>
                <w:color w:val="000000"/>
                <w:spacing w:val="-8"/>
                <w:szCs w:val="21"/>
              </w:rPr>
              <w:t xml:space="preserve"> License (Oracle数据库企业版完全许可</w:t>
            </w:r>
            <w:r>
              <w:rPr>
                <w:rFonts w:ascii="宋体" w:hAnsi="宋体"/>
                <w:color w:val="000000"/>
                <w:spacing w:val="-8"/>
                <w:szCs w:val="21"/>
              </w:rPr>
              <w:t xml:space="preserve">4 </w:t>
            </w:r>
            <w:r>
              <w:rPr>
                <w:rFonts w:hint="eastAsia" w:ascii="宋体" w:hAnsi="宋体"/>
                <w:color w:val="000000"/>
                <w:spacing w:val="-8"/>
                <w:szCs w:val="21"/>
              </w:rPr>
              <w:t>CPU ) 含原厂一年</w:t>
            </w:r>
            <w:r>
              <w:rPr>
                <w:rFonts w:ascii="宋体" w:hAnsi="宋体"/>
                <w:color w:val="000000"/>
                <w:spacing w:val="-8"/>
                <w:szCs w:val="21"/>
              </w:rPr>
              <w:t>标准服务，</w:t>
            </w:r>
            <w:r>
              <w:rPr>
                <w:rFonts w:hint="eastAsia" w:ascii="宋体" w:hAnsi="宋体"/>
                <w:color w:val="000000"/>
                <w:spacing w:val="-8"/>
                <w:szCs w:val="21"/>
              </w:rPr>
              <w:t>允许</w:t>
            </w:r>
            <w:r>
              <w:rPr>
                <w:rFonts w:ascii="宋体" w:hAnsi="宋体"/>
                <w:color w:val="000000"/>
                <w:spacing w:val="-8"/>
                <w:szCs w:val="21"/>
              </w:rPr>
              <w:t>迁移和升级</w:t>
            </w:r>
            <w:r>
              <w:rPr>
                <w:rFonts w:hint="eastAsia" w:ascii="宋体" w:hAnsi="宋体"/>
                <w:color w:val="000000"/>
                <w:spacing w:val="-8"/>
                <w:szCs w:val="21"/>
              </w:rPr>
              <w:t>,</w:t>
            </w:r>
            <w:r>
              <w:rPr>
                <w:rFonts w:hint="eastAsia"/>
                <w:szCs w:val="21"/>
              </w:rPr>
              <w:t xml:space="preserve"> </w:t>
            </w:r>
            <w:r>
              <w:rPr>
                <w:rFonts w:hint="eastAsia" w:ascii="宋体" w:hAnsi="宋体"/>
                <w:color w:val="000000"/>
                <w:spacing w:val="-8"/>
                <w:szCs w:val="21"/>
              </w:rPr>
              <w:t>合法授权类型： Full Use。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1599" w:type="dxa"/>
            <w:vAlign w:val="center"/>
          </w:tcPr>
          <w:p>
            <w:pPr>
              <w:jc w:val="center"/>
              <w:rPr>
                <w:rFonts w:ascii="宋体" w:hAnsi="宋体"/>
                <w:color w:val="000000"/>
                <w:szCs w:val="21"/>
              </w:rPr>
            </w:pPr>
            <w:r>
              <w:rPr>
                <w:rFonts w:hint="eastAsia"/>
                <w:color w:val="000000"/>
                <w:szCs w:val="21"/>
              </w:rPr>
              <w:t>真正应用集群</w:t>
            </w:r>
          </w:p>
        </w:tc>
        <w:tc>
          <w:tcPr>
            <w:tcW w:w="6687" w:type="dxa"/>
            <w:vAlign w:val="center"/>
          </w:tcPr>
          <w:p>
            <w:pPr>
              <w:pStyle w:val="42"/>
              <w:ind w:firstLine="0" w:firstLineChars="0"/>
              <w:rPr>
                <w:rFonts w:ascii="宋体" w:hAnsi="宋体"/>
                <w:szCs w:val="21"/>
              </w:rPr>
            </w:pPr>
            <w:r>
              <w:rPr>
                <w:rFonts w:ascii="宋体" w:hAnsi="宋体"/>
                <w:szCs w:val="21"/>
              </w:rPr>
              <w:t xml:space="preserve">Real Application Clusters 4 </w:t>
            </w:r>
            <w:r>
              <w:rPr>
                <w:rFonts w:hint="eastAsia" w:ascii="宋体" w:hAnsi="宋体"/>
                <w:szCs w:val="21"/>
              </w:rPr>
              <w:t>Processor</w:t>
            </w:r>
            <w:r>
              <w:rPr>
                <w:rFonts w:ascii="宋体" w:hAnsi="宋体"/>
                <w:szCs w:val="21"/>
              </w:rPr>
              <w:t xml:space="preserve"> Fulluse</w:t>
            </w:r>
            <w:r>
              <w:rPr>
                <w:rFonts w:hint="eastAsia" w:ascii="宋体" w:hAnsi="宋体"/>
                <w:szCs w:val="21"/>
              </w:rPr>
              <w:t xml:space="preserve"> License</w:t>
            </w:r>
          </w:p>
          <w:p>
            <w:pPr>
              <w:pStyle w:val="42"/>
              <w:ind w:firstLine="0" w:firstLineChars="0"/>
              <w:rPr>
                <w:rFonts w:ascii="宋体" w:hAnsi="宋体"/>
                <w:szCs w:val="21"/>
              </w:rPr>
            </w:pPr>
            <w:r>
              <w:rPr>
                <w:rFonts w:hint="eastAsia" w:ascii="宋体" w:hAnsi="宋体"/>
                <w:szCs w:val="21"/>
              </w:rPr>
              <w:t>(</w:t>
            </w:r>
            <w:r>
              <w:rPr>
                <w:rFonts w:ascii="宋体" w:hAnsi="宋体"/>
                <w:szCs w:val="21"/>
              </w:rPr>
              <w:t>RAC</w:t>
            </w:r>
            <w:r>
              <w:rPr>
                <w:rFonts w:hint="eastAsia" w:ascii="宋体" w:hAnsi="宋体"/>
                <w:szCs w:val="21"/>
              </w:rPr>
              <w:t>完全许可</w:t>
            </w:r>
            <w:r>
              <w:rPr>
                <w:rFonts w:ascii="宋体" w:hAnsi="宋体"/>
                <w:szCs w:val="21"/>
              </w:rPr>
              <w:t xml:space="preserve">4 </w:t>
            </w:r>
            <w:r>
              <w:rPr>
                <w:rFonts w:hint="eastAsia" w:ascii="宋体" w:hAnsi="宋体"/>
                <w:szCs w:val="21"/>
              </w:rPr>
              <w:t xml:space="preserve">CPU ) </w:t>
            </w:r>
          </w:p>
          <w:p>
            <w:pPr>
              <w:pStyle w:val="42"/>
              <w:ind w:firstLine="0" w:firstLineChars="0"/>
              <w:rPr>
                <w:rFonts w:ascii="宋体" w:hAnsi="宋体" w:cs="Tahoma"/>
                <w:color w:val="000000"/>
                <w:szCs w:val="21"/>
              </w:rPr>
            </w:pPr>
            <w:r>
              <w:rPr>
                <w:rFonts w:hint="eastAsia" w:ascii="宋体" w:hAnsi="宋体"/>
                <w:szCs w:val="21"/>
              </w:rPr>
              <w:t>RAC允许多个数据库实例以集群方式运行在多个服务器上，并且共享一份数据文件（数据库）。RAC消除了单点故障，也提供了更好的性能扩展，含原厂一年</w:t>
            </w:r>
            <w:r>
              <w:rPr>
                <w:rFonts w:ascii="宋体" w:hAnsi="宋体"/>
                <w:szCs w:val="21"/>
              </w:rPr>
              <w:t>标准服务</w:t>
            </w:r>
            <w:r>
              <w:rPr>
                <w:rFonts w:hint="eastAsia" w:ascii="宋体" w:hAnsi="宋体"/>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1599" w:type="dxa"/>
            <w:vAlign w:val="center"/>
          </w:tcPr>
          <w:p>
            <w:pPr>
              <w:jc w:val="center"/>
              <w:rPr>
                <w:rFonts w:ascii="宋体" w:hAnsi="宋体"/>
                <w:color w:val="000000"/>
                <w:szCs w:val="21"/>
              </w:rPr>
            </w:pPr>
            <w:r>
              <w:rPr>
                <w:rFonts w:hint="eastAsia"/>
                <w:color w:val="000000"/>
                <w:szCs w:val="21"/>
              </w:rPr>
              <w:t>数据库企业版要求</w:t>
            </w:r>
          </w:p>
        </w:tc>
        <w:tc>
          <w:tcPr>
            <w:tcW w:w="6687" w:type="dxa"/>
          </w:tcPr>
          <w:p>
            <w:pPr>
              <w:pStyle w:val="42"/>
              <w:ind w:firstLine="0" w:firstLineChars="0"/>
              <w:rPr>
                <w:rFonts w:ascii="宋体" w:hAnsi="宋体"/>
                <w:szCs w:val="21"/>
              </w:rPr>
            </w:pPr>
            <w:r>
              <w:rPr>
                <w:rFonts w:hint="eastAsia" w:ascii="宋体" w:hAnsi="宋体"/>
                <w:szCs w:val="21"/>
              </w:rPr>
              <w:t>支持当前最流行的数据库技术标准；完全支持中文国家标准中文字符的存储处理。</w:t>
            </w:r>
          </w:p>
          <w:p>
            <w:pPr>
              <w:pStyle w:val="42"/>
              <w:ind w:firstLine="0" w:firstLineChars="0"/>
              <w:rPr>
                <w:rFonts w:ascii="宋体" w:hAnsi="宋体"/>
                <w:szCs w:val="21"/>
              </w:rPr>
            </w:pPr>
            <w:r>
              <w:rPr>
                <w:rFonts w:hint="eastAsia" w:ascii="宋体" w:hAnsi="宋体"/>
                <w:szCs w:val="21"/>
              </w:rPr>
              <w:t>支持数据库多版本读写一致性及自动的死锁处理能力；支持范围、列表、哈希、组合、引用、间隔等多种表分区方式。</w:t>
            </w:r>
          </w:p>
          <w:p>
            <w:pPr>
              <w:pStyle w:val="42"/>
              <w:ind w:firstLine="0" w:firstLineChars="0"/>
              <w:rPr>
                <w:rFonts w:ascii="宋体" w:hAnsi="宋体"/>
                <w:szCs w:val="21"/>
              </w:rPr>
            </w:pPr>
            <w:r>
              <w:rPr>
                <w:rFonts w:ascii="宋体" w:hAnsi="宋体"/>
                <w:szCs w:val="21"/>
              </w:rPr>
              <w:t>支持多级增量备份</w:t>
            </w:r>
            <w:r>
              <w:rPr>
                <w:rFonts w:hint="eastAsia" w:ascii="宋体" w:hAnsi="宋体"/>
                <w:szCs w:val="21"/>
              </w:rPr>
              <w:t>；支持不依赖于第三方软件的异地容灾方案，且容灾数据库可打开用于查询等操作；必须支持数据库闪回技术，能保障数据准确恢复到以前某个时间点。</w:t>
            </w:r>
          </w:p>
          <w:p>
            <w:pPr>
              <w:pStyle w:val="42"/>
              <w:ind w:firstLine="0" w:firstLineChars="0"/>
              <w:rPr>
                <w:rFonts w:ascii="宋体" w:hAnsi="宋体"/>
                <w:szCs w:val="21"/>
              </w:rPr>
            </w:pPr>
            <w:r>
              <w:rPr>
                <w:rFonts w:hint="eastAsia" w:ascii="宋体" w:hAnsi="宋体"/>
                <w:szCs w:val="21"/>
              </w:rPr>
              <w:t>支持</w:t>
            </w:r>
            <w:r>
              <w:rPr>
                <w:rFonts w:ascii="宋体" w:hAnsi="宋体"/>
                <w:szCs w:val="21"/>
              </w:rPr>
              <w:t>C2级安全标准，多级安全控制；</w:t>
            </w:r>
            <w:r>
              <w:rPr>
                <w:rFonts w:hint="eastAsia" w:ascii="宋体" w:hAnsi="宋体"/>
                <w:szCs w:val="21"/>
              </w:rPr>
              <w:t>支持透明数据加密、标签安全等数据库安全特性。</w:t>
            </w:r>
          </w:p>
          <w:p>
            <w:pPr>
              <w:pStyle w:val="42"/>
              <w:ind w:firstLine="0" w:firstLineChars="0"/>
              <w:rPr>
                <w:rFonts w:ascii="宋体" w:hAnsi="宋体"/>
                <w:szCs w:val="21"/>
              </w:rPr>
            </w:pPr>
            <w:r>
              <w:rPr>
                <w:rFonts w:hint="eastAsia" w:ascii="宋体" w:hAnsi="宋体"/>
                <w:szCs w:val="21"/>
              </w:rPr>
              <w:t>支持主流硬件平台及操作系统（Windows/Linux/Unix等)；支持主流的网络通信协议；支持具有广泛适应性的开发语言和工具(VC/JAVA/XML等)。</w:t>
            </w:r>
          </w:p>
          <w:p>
            <w:pPr>
              <w:pStyle w:val="42"/>
              <w:ind w:firstLine="0" w:firstLineChars="0"/>
              <w:rPr>
                <w:rFonts w:ascii="宋体" w:hAnsi="宋体"/>
                <w:szCs w:val="21"/>
              </w:rPr>
            </w:pPr>
            <w:r>
              <w:rPr>
                <w:rFonts w:hint="eastAsia" w:ascii="宋体" w:hAnsi="宋体"/>
                <w:szCs w:val="21"/>
              </w:rPr>
              <w:t>支持多个数据库共享一套硬件资源和后台进程的能力，具有将多个数据库作为一个进行管理，并且保留独立数据库的数据隔离和资源优先级。</w:t>
            </w:r>
          </w:p>
          <w:p>
            <w:pPr>
              <w:pStyle w:val="42"/>
              <w:ind w:firstLine="0" w:firstLineChars="0"/>
              <w:rPr>
                <w:rFonts w:ascii="宋体" w:hAnsi="宋体"/>
                <w:szCs w:val="21"/>
              </w:rPr>
            </w:pPr>
            <w:r>
              <w:rPr>
                <w:rFonts w:hint="eastAsia" w:ascii="宋体" w:hAnsi="宋体"/>
                <w:szCs w:val="21"/>
              </w:rPr>
              <w:t>支持单一的B/S模式管理控制台，要求数据库提供自我诊断、自我调优功能。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1599" w:type="dxa"/>
            <w:vAlign w:val="center"/>
          </w:tcPr>
          <w:p>
            <w:pPr>
              <w:jc w:val="center"/>
              <w:rPr>
                <w:rFonts w:ascii="宋体" w:hAnsi="宋体"/>
                <w:color w:val="000000"/>
                <w:szCs w:val="21"/>
              </w:rPr>
            </w:pPr>
            <w:r>
              <w:rPr>
                <w:rFonts w:hint="eastAsia"/>
                <w:color w:val="000000"/>
                <w:szCs w:val="21"/>
              </w:rPr>
              <w:t>真正应用集群</w:t>
            </w:r>
            <w:r>
              <w:rPr>
                <w:rFonts w:hint="eastAsia" w:ascii="宋体" w:hAnsi="宋体"/>
                <w:color w:val="000000"/>
                <w:szCs w:val="21"/>
              </w:rPr>
              <w:t>要求</w:t>
            </w:r>
          </w:p>
        </w:tc>
        <w:tc>
          <w:tcPr>
            <w:tcW w:w="6687" w:type="dxa"/>
          </w:tcPr>
          <w:p>
            <w:pPr>
              <w:pStyle w:val="42"/>
              <w:ind w:firstLine="0" w:firstLineChars="0"/>
              <w:rPr>
                <w:rFonts w:ascii="宋体" w:hAnsi="宋体"/>
                <w:szCs w:val="21"/>
              </w:rPr>
            </w:pPr>
            <w:r>
              <w:rPr>
                <w:rFonts w:hint="eastAsia" w:ascii="宋体" w:hAnsi="宋体"/>
                <w:szCs w:val="21"/>
              </w:rPr>
              <w:t>要求与数据库产品同一厂商；要求是基于共享存储的真正应用集群</w:t>
            </w:r>
            <w:r>
              <w:rPr>
                <w:rFonts w:ascii="宋体" w:hAnsi="宋体"/>
                <w:szCs w:val="21"/>
              </w:rPr>
              <w:t>系统</w:t>
            </w:r>
            <w:r>
              <w:rPr>
                <w:rFonts w:hint="eastAsia" w:ascii="宋体" w:hAnsi="宋体"/>
                <w:szCs w:val="21"/>
              </w:rPr>
              <w:t>，可同时应用与OLAP和OLTP环境，支持负载均衡和秒级自动故障切换功能，集群可水平扩展至上百节点，增加节点无需停机；要求集群产品在国内具有多个成功案例。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trHeight w:val="495" w:hRule="atLeast"/>
        </w:trPr>
        <w:tc>
          <w:tcPr>
            <w:tcW w:w="1599" w:type="dxa"/>
            <w:vAlign w:val="center"/>
          </w:tcPr>
          <w:p>
            <w:pPr>
              <w:jc w:val="center"/>
              <w:rPr>
                <w:rFonts w:ascii="宋体" w:hAnsi="宋体"/>
                <w:color w:val="000000"/>
                <w:szCs w:val="21"/>
              </w:rPr>
            </w:pPr>
            <w:r>
              <w:rPr>
                <w:rFonts w:hint="eastAsia" w:ascii="宋体" w:hAnsi="宋体"/>
                <w:color w:val="000000"/>
                <w:szCs w:val="21"/>
              </w:rPr>
              <w:t>服务</w:t>
            </w:r>
          </w:p>
        </w:tc>
        <w:tc>
          <w:tcPr>
            <w:tcW w:w="6687" w:type="dxa"/>
            <w:vAlign w:val="center"/>
          </w:tcPr>
          <w:p>
            <w:pPr>
              <w:rPr>
                <w:rFonts w:ascii="宋体" w:hAnsi="宋体"/>
                <w:color w:val="000000"/>
                <w:spacing w:val="-8"/>
                <w:szCs w:val="21"/>
              </w:rPr>
            </w:pPr>
            <w:r>
              <w:rPr>
                <w:rFonts w:hint="eastAsia" w:ascii="宋体" w:hAnsi="宋体"/>
                <w:color w:val="000000"/>
                <w:spacing w:val="-8"/>
                <w:szCs w:val="21"/>
              </w:rPr>
              <w:t>提供一年标准服务。</w:t>
            </w:r>
          </w:p>
        </w:tc>
      </w:tr>
    </w:tbl>
    <w:p/>
    <w:p>
      <w:pPr>
        <w:pStyle w:val="4"/>
        <w:tabs>
          <w:tab w:val="left" w:pos="432"/>
        </w:tabs>
        <w:rPr>
          <w:sz w:val="24"/>
          <w:szCs w:val="24"/>
        </w:rPr>
      </w:pPr>
      <w:r>
        <w:rPr>
          <w:rFonts w:hint="eastAsia"/>
          <w:sz w:val="24"/>
          <w:szCs w:val="24"/>
        </w:rPr>
        <w:t>7.3.37 SQL数据库</w:t>
      </w:r>
    </w:p>
    <w:tbl>
      <w:tblPr>
        <w:tblStyle w:val="35"/>
        <w:tblW w:w="828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599"/>
        <w:gridCol w:w="66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00" w:hRule="atLeast"/>
        </w:trPr>
        <w:tc>
          <w:tcPr>
            <w:tcW w:w="1599" w:type="dxa"/>
            <w:shd w:val="clear" w:color="000000" w:fill="FFFFFF"/>
            <w:vAlign w:val="center"/>
          </w:tcPr>
          <w:p>
            <w:pPr>
              <w:widowControl/>
              <w:jc w:val="center"/>
              <w:rPr>
                <w:rFonts w:ascii="宋体" w:hAnsi="宋体" w:cs="Arial"/>
                <w:b/>
                <w:bCs/>
                <w:kern w:val="0"/>
                <w:szCs w:val="21"/>
              </w:rPr>
            </w:pPr>
            <w:r>
              <w:rPr>
                <w:rFonts w:hint="eastAsia" w:ascii="宋体" w:hAnsi="宋体" w:cs="Arial"/>
                <w:b/>
                <w:bCs/>
                <w:kern w:val="0"/>
                <w:szCs w:val="21"/>
              </w:rPr>
              <w:t>指标项</w:t>
            </w:r>
          </w:p>
        </w:tc>
        <w:tc>
          <w:tcPr>
            <w:tcW w:w="6687" w:type="dxa"/>
            <w:shd w:val="clear" w:color="000000" w:fill="FFFFFF"/>
            <w:vAlign w:val="center"/>
          </w:tcPr>
          <w:p>
            <w:pPr>
              <w:widowControl/>
              <w:jc w:val="center"/>
              <w:rPr>
                <w:rFonts w:ascii="宋体" w:hAnsi="宋体" w:cs="Arial"/>
                <w:b/>
                <w:bCs/>
                <w:kern w:val="0"/>
                <w:szCs w:val="21"/>
              </w:rPr>
            </w:pPr>
            <w:r>
              <w:rPr>
                <w:rFonts w:hint="eastAsia" w:ascii="宋体" w:hAnsi="宋体" w:cs="Arial"/>
                <w:b/>
                <w:bCs/>
                <w:kern w:val="0"/>
                <w:szCs w:val="21"/>
              </w:rPr>
              <w:t>指标要求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1599" w:type="dxa"/>
            <w:vAlign w:val="center"/>
          </w:tcPr>
          <w:p>
            <w:pPr>
              <w:pStyle w:val="42"/>
              <w:ind w:firstLine="0" w:firstLineChars="0"/>
              <w:jc w:val="left"/>
              <w:rPr>
                <w:szCs w:val="21"/>
              </w:rPr>
            </w:pPr>
            <w:r>
              <w:rPr>
                <w:rFonts w:hint="eastAsia"/>
                <w:szCs w:val="21"/>
              </w:rPr>
              <w:t>SQL数据库</w:t>
            </w:r>
          </w:p>
        </w:tc>
        <w:tc>
          <w:tcPr>
            <w:tcW w:w="6687" w:type="dxa"/>
            <w:vAlign w:val="center"/>
          </w:tcPr>
          <w:p>
            <w:pPr>
              <w:pStyle w:val="42"/>
              <w:ind w:firstLine="0" w:firstLineChars="0"/>
              <w:rPr>
                <w:szCs w:val="21"/>
              </w:rPr>
            </w:pPr>
            <w:r>
              <w:rPr>
                <w:rFonts w:ascii="宋体" w:hAnsi="宋体" w:cs="宋体"/>
                <w:color w:val="000000"/>
                <w:szCs w:val="21"/>
              </w:rPr>
              <w:t>S</w:t>
            </w:r>
            <w:r>
              <w:rPr>
                <w:rFonts w:hint="eastAsia" w:ascii="宋体" w:hAnsi="宋体" w:cs="宋体"/>
                <w:color w:val="000000"/>
                <w:szCs w:val="21"/>
              </w:rPr>
              <w:t>qlserver 2016企业版</w:t>
            </w:r>
          </w:p>
        </w:tc>
      </w:tr>
    </w:tbl>
    <w:p>
      <w:pPr>
        <w:pStyle w:val="4"/>
        <w:tabs>
          <w:tab w:val="left" w:pos="432"/>
        </w:tabs>
        <w:rPr>
          <w:sz w:val="24"/>
          <w:szCs w:val="24"/>
        </w:rPr>
      </w:pPr>
    </w:p>
    <w:p>
      <w:pPr>
        <w:pStyle w:val="4"/>
        <w:tabs>
          <w:tab w:val="left" w:pos="432"/>
        </w:tabs>
        <w:rPr>
          <w:sz w:val="24"/>
          <w:szCs w:val="24"/>
        </w:rPr>
      </w:pPr>
      <w:r>
        <w:rPr>
          <w:rFonts w:hint="eastAsia"/>
          <w:sz w:val="24"/>
          <w:szCs w:val="24"/>
        </w:rPr>
        <w:t>7.3.38 数据库容灾软件</w:t>
      </w:r>
    </w:p>
    <w:tbl>
      <w:tblPr>
        <w:tblStyle w:val="35"/>
        <w:tblW w:w="8380" w:type="dxa"/>
        <w:tblInd w:w="108" w:type="dxa"/>
        <w:tblLayout w:type="fixed"/>
        <w:tblCellMar>
          <w:top w:w="0" w:type="dxa"/>
          <w:left w:w="108" w:type="dxa"/>
          <w:bottom w:w="0" w:type="dxa"/>
          <w:right w:w="108" w:type="dxa"/>
        </w:tblCellMar>
      </w:tblPr>
      <w:tblGrid>
        <w:gridCol w:w="1080"/>
        <w:gridCol w:w="7300"/>
      </w:tblGrid>
      <w:tr>
        <w:tblPrEx>
          <w:tblLayout w:type="fixed"/>
          <w:tblCellMar>
            <w:top w:w="0" w:type="dxa"/>
            <w:left w:w="108" w:type="dxa"/>
            <w:bottom w:w="0" w:type="dxa"/>
            <w:right w:w="108" w:type="dxa"/>
          </w:tblCellMar>
        </w:tblPrEx>
        <w:trPr>
          <w:trHeight w:val="285" w:hRule="atLeast"/>
        </w:trPr>
        <w:tc>
          <w:tcPr>
            <w:tcW w:w="1080" w:type="dxa"/>
            <w:tcBorders>
              <w:top w:val="single" w:color="auto" w:sz="8" w:space="0"/>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指标项</w:t>
            </w:r>
          </w:p>
        </w:tc>
        <w:tc>
          <w:tcPr>
            <w:tcW w:w="7300" w:type="dxa"/>
            <w:tcBorders>
              <w:top w:val="single" w:color="auto" w:sz="8" w:space="0"/>
              <w:left w:val="nil"/>
              <w:bottom w:val="single" w:color="auto" w:sz="8" w:space="0"/>
              <w:right w:val="single" w:color="auto" w:sz="8" w:space="0"/>
            </w:tcBorders>
            <w:shd w:val="clear" w:color="000000" w:fill="FFFFFF"/>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指标要求</w:t>
            </w:r>
          </w:p>
        </w:tc>
      </w:tr>
      <w:tr>
        <w:tblPrEx>
          <w:tblLayout w:type="fixed"/>
          <w:tblCellMar>
            <w:top w:w="0" w:type="dxa"/>
            <w:left w:w="108" w:type="dxa"/>
            <w:bottom w:w="0" w:type="dxa"/>
            <w:right w:w="108" w:type="dxa"/>
          </w:tblCellMar>
        </w:tblPrEx>
        <w:trPr>
          <w:trHeight w:val="1305" w:hRule="atLeast"/>
        </w:trPr>
        <w:tc>
          <w:tcPr>
            <w:tcW w:w="1080" w:type="dxa"/>
            <w:tcBorders>
              <w:top w:val="nil"/>
              <w:left w:val="single" w:color="auto" w:sz="8" w:space="0"/>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灾备架构总体要求</w:t>
            </w:r>
          </w:p>
        </w:tc>
        <w:tc>
          <w:tcPr>
            <w:tcW w:w="7300" w:type="dxa"/>
            <w:tcBorders>
              <w:top w:val="nil"/>
              <w:left w:val="nil"/>
              <w:bottom w:val="single" w:color="auto" w:sz="4" w:space="0"/>
              <w:right w:val="single" w:color="auto" w:sz="8"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要求采用灾备复制软件实现主备中心之间的文件、数据实时复制，当生产系统发生故障或灾难时，可以及时启用灾备系统，减少业务系统下线时间。并要求灾备中心数据库始终处于Open状态，用于提供数据查询和统计报表功能。通过独立开发实现数据库日志分析、交易排序、数据格式化、传输压缩、高速装载等数据同步全部过程，不接受使用操作系统或者数据库自带工具参与投标。</w:t>
            </w:r>
          </w:p>
        </w:tc>
      </w:tr>
      <w:tr>
        <w:tblPrEx>
          <w:tblLayout w:type="fixed"/>
          <w:tblCellMar>
            <w:top w:w="0" w:type="dxa"/>
            <w:left w:w="108" w:type="dxa"/>
            <w:bottom w:w="0" w:type="dxa"/>
            <w:right w:w="108" w:type="dxa"/>
          </w:tblCellMar>
        </w:tblPrEx>
        <w:trPr>
          <w:trHeight w:val="810" w:hRule="atLeast"/>
        </w:trPr>
        <w:tc>
          <w:tcPr>
            <w:tcW w:w="1080" w:type="dxa"/>
            <w:vMerge w:val="restart"/>
            <w:tcBorders>
              <w:top w:val="nil"/>
              <w:left w:val="single" w:color="auto" w:sz="8" w:space="0"/>
              <w:bottom w:val="single" w:color="000000" w:sz="8"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基本功能要求</w:t>
            </w: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支持对文件数据的同步，包括应用程序、图像数据、音视频数据、网站文件等；支持Oracle、MYSQL、SQLSever等异构数据库的交易复制，且灾备数据库始终处于Open状态；</w:t>
            </w:r>
          </w:p>
        </w:tc>
      </w:tr>
      <w:tr>
        <w:tblPrEx>
          <w:tblLayout w:type="fixed"/>
          <w:tblCellMar>
            <w:top w:w="0" w:type="dxa"/>
            <w:left w:w="108" w:type="dxa"/>
            <w:bottom w:w="0" w:type="dxa"/>
            <w:right w:w="108" w:type="dxa"/>
          </w:tblCellMar>
        </w:tblPrEx>
        <w:trPr>
          <w:trHeight w:val="525" w:hRule="atLeast"/>
        </w:trPr>
        <w:tc>
          <w:tcPr>
            <w:tcW w:w="1080" w:type="dxa"/>
            <w:vMerge w:val="continue"/>
            <w:tcBorders>
              <w:top w:val="nil"/>
              <w:left w:val="single" w:color="auto" w:sz="8" w:space="0"/>
              <w:bottom w:val="single" w:color="000000" w:sz="8" w:space="0"/>
              <w:right w:val="single" w:color="auto" w:sz="4" w:space="0"/>
            </w:tcBorders>
            <w:vAlign w:val="center"/>
          </w:tcPr>
          <w:p>
            <w:pPr>
              <w:widowControl/>
              <w:jc w:val="left"/>
              <w:rPr>
                <w:rFonts w:ascii="宋体" w:hAnsi="宋体" w:cs="宋体"/>
                <w:color w:val="000000"/>
                <w:kern w:val="0"/>
                <w:szCs w:val="21"/>
              </w:rPr>
            </w:pP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容灾软件License满足Unix(X86平台，RAC或HA模式）到X86平台的oracle数据库复制需求</w:t>
            </w:r>
          </w:p>
        </w:tc>
      </w:tr>
      <w:tr>
        <w:tblPrEx>
          <w:tblLayout w:type="fixed"/>
          <w:tblCellMar>
            <w:top w:w="0" w:type="dxa"/>
            <w:left w:w="108" w:type="dxa"/>
            <w:bottom w:w="0" w:type="dxa"/>
            <w:right w:w="108" w:type="dxa"/>
          </w:tblCellMar>
        </w:tblPrEx>
        <w:trPr>
          <w:trHeight w:val="270" w:hRule="atLeast"/>
        </w:trPr>
        <w:tc>
          <w:tcPr>
            <w:tcW w:w="1080" w:type="dxa"/>
            <w:vMerge w:val="continue"/>
            <w:tcBorders>
              <w:top w:val="nil"/>
              <w:left w:val="single" w:color="auto" w:sz="8" w:space="0"/>
              <w:bottom w:val="single" w:color="000000" w:sz="8" w:space="0"/>
              <w:right w:val="single" w:color="auto" w:sz="4" w:space="0"/>
            </w:tcBorders>
            <w:vAlign w:val="center"/>
          </w:tcPr>
          <w:p>
            <w:pPr>
              <w:widowControl/>
              <w:jc w:val="left"/>
              <w:rPr>
                <w:rFonts w:ascii="宋体" w:hAnsi="宋体" w:cs="宋体"/>
                <w:color w:val="000000"/>
                <w:kern w:val="0"/>
                <w:szCs w:val="21"/>
              </w:rPr>
            </w:pP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要求支持任意数据库版本，硬件平台异构实时灾备</w:t>
            </w:r>
          </w:p>
        </w:tc>
      </w:tr>
      <w:tr>
        <w:tblPrEx>
          <w:tblLayout w:type="fixed"/>
        </w:tblPrEx>
        <w:trPr>
          <w:trHeight w:val="285" w:hRule="atLeast"/>
        </w:trPr>
        <w:tc>
          <w:tcPr>
            <w:tcW w:w="1080" w:type="dxa"/>
            <w:vMerge w:val="continue"/>
            <w:tcBorders>
              <w:top w:val="nil"/>
              <w:left w:val="single" w:color="auto" w:sz="8" w:space="0"/>
              <w:bottom w:val="single" w:color="000000" w:sz="8" w:space="0"/>
              <w:right w:val="single" w:color="auto" w:sz="4" w:space="0"/>
            </w:tcBorders>
            <w:vAlign w:val="center"/>
          </w:tcPr>
          <w:p>
            <w:pPr>
              <w:widowControl/>
              <w:jc w:val="left"/>
              <w:rPr>
                <w:rFonts w:ascii="宋体" w:hAnsi="宋体" w:cs="宋体"/>
                <w:color w:val="000000"/>
                <w:kern w:val="0"/>
                <w:szCs w:val="21"/>
              </w:rPr>
            </w:pP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要求具有备份模块</w:t>
            </w:r>
          </w:p>
        </w:tc>
      </w:tr>
      <w:tr>
        <w:tblPrEx>
          <w:tblLayout w:type="fixed"/>
          <w:tblCellMar>
            <w:top w:w="0" w:type="dxa"/>
            <w:left w:w="108" w:type="dxa"/>
            <w:bottom w:w="0" w:type="dxa"/>
            <w:right w:w="108" w:type="dxa"/>
          </w:tblCellMar>
        </w:tblPrEx>
        <w:trPr>
          <w:trHeight w:val="540" w:hRule="atLeast"/>
        </w:trPr>
        <w:tc>
          <w:tcPr>
            <w:tcW w:w="1080" w:type="dxa"/>
            <w:vMerge w:val="restart"/>
            <w:tcBorders>
              <w:top w:val="nil"/>
              <w:left w:val="single" w:color="auto" w:sz="8" w:space="0"/>
              <w:bottom w:val="single" w:color="000000" w:sz="8"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资质</w:t>
            </w: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产品需具有国家版权局颁发的《软件著作权登记证书》，具有自主知识产权，独立研发能力。</w:t>
            </w:r>
          </w:p>
        </w:tc>
      </w:tr>
      <w:tr>
        <w:tblPrEx>
          <w:tblLayout w:type="fixed"/>
          <w:tblCellMar>
            <w:top w:w="0" w:type="dxa"/>
            <w:left w:w="108" w:type="dxa"/>
            <w:bottom w:w="0" w:type="dxa"/>
            <w:right w:w="108" w:type="dxa"/>
          </w:tblCellMar>
        </w:tblPrEx>
        <w:trPr>
          <w:trHeight w:val="270" w:hRule="atLeast"/>
        </w:trPr>
        <w:tc>
          <w:tcPr>
            <w:tcW w:w="1080" w:type="dxa"/>
            <w:vMerge w:val="continue"/>
            <w:tcBorders>
              <w:top w:val="nil"/>
              <w:left w:val="single" w:color="auto" w:sz="8" w:space="0"/>
              <w:bottom w:val="single" w:color="000000" w:sz="8" w:space="0"/>
              <w:right w:val="single" w:color="auto" w:sz="4" w:space="0"/>
            </w:tcBorders>
            <w:vAlign w:val="center"/>
          </w:tcPr>
          <w:p>
            <w:pPr>
              <w:widowControl/>
              <w:jc w:val="left"/>
              <w:rPr>
                <w:rFonts w:ascii="宋体" w:hAnsi="宋体" w:cs="宋体"/>
                <w:kern w:val="0"/>
                <w:szCs w:val="21"/>
              </w:rPr>
            </w:pP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产品需具有国家信息中心软件测试报告；</w:t>
            </w:r>
          </w:p>
        </w:tc>
      </w:tr>
      <w:tr>
        <w:tblPrEx>
          <w:tblLayout w:type="fixed"/>
          <w:tblCellMar>
            <w:top w:w="0" w:type="dxa"/>
            <w:left w:w="108" w:type="dxa"/>
            <w:bottom w:w="0" w:type="dxa"/>
            <w:right w:w="108" w:type="dxa"/>
          </w:tblCellMar>
        </w:tblPrEx>
        <w:trPr>
          <w:trHeight w:val="540" w:hRule="atLeast"/>
        </w:trPr>
        <w:tc>
          <w:tcPr>
            <w:tcW w:w="1080" w:type="dxa"/>
            <w:vMerge w:val="restart"/>
            <w:tcBorders>
              <w:top w:val="nil"/>
              <w:left w:val="single" w:color="auto" w:sz="8" w:space="0"/>
              <w:bottom w:val="single" w:color="000000" w:sz="8"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兼容性要求</w:t>
            </w: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容灾及备份软件支持主流操作系统：Linux、HP-UNIX、Sun Solaris、IBM AIX、Windows；</w:t>
            </w:r>
          </w:p>
        </w:tc>
      </w:tr>
      <w:tr>
        <w:tblPrEx>
          <w:tblLayout w:type="fixed"/>
          <w:tblCellMar>
            <w:top w:w="0" w:type="dxa"/>
            <w:left w:w="108" w:type="dxa"/>
            <w:bottom w:w="0" w:type="dxa"/>
            <w:right w:w="108" w:type="dxa"/>
          </w:tblCellMar>
        </w:tblPrEx>
        <w:trPr>
          <w:trHeight w:val="270" w:hRule="atLeast"/>
        </w:trPr>
        <w:tc>
          <w:tcPr>
            <w:tcW w:w="1080" w:type="dxa"/>
            <w:vMerge w:val="continue"/>
            <w:tcBorders>
              <w:top w:val="nil"/>
              <w:left w:val="single" w:color="auto" w:sz="8" w:space="0"/>
              <w:bottom w:val="single" w:color="000000" w:sz="8" w:space="0"/>
              <w:right w:val="single" w:color="auto" w:sz="4" w:space="0"/>
            </w:tcBorders>
            <w:vAlign w:val="center"/>
          </w:tcPr>
          <w:p>
            <w:pPr>
              <w:widowControl/>
              <w:jc w:val="left"/>
              <w:rPr>
                <w:rFonts w:ascii="宋体" w:hAnsi="宋体" w:cs="宋体"/>
                <w:color w:val="000000"/>
                <w:kern w:val="0"/>
                <w:szCs w:val="21"/>
              </w:rPr>
            </w:pP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支持HA和RAC模式；</w:t>
            </w:r>
          </w:p>
        </w:tc>
      </w:tr>
      <w:tr>
        <w:tblPrEx>
          <w:tblLayout w:type="fixed"/>
          <w:tblCellMar>
            <w:top w:w="0" w:type="dxa"/>
            <w:left w:w="108" w:type="dxa"/>
            <w:bottom w:w="0" w:type="dxa"/>
            <w:right w:w="108" w:type="dxa"/>
          </w:tblCellMar>
        </w:tblPrEx>
        <w:trPr>
          <w:trHeight w:val="795" w:hRule="atLeast"/>
        </w:trPr>
        <w:tc>
          <w:tcPr>
            <w:tcW w:w="1080" w:type="dxa"/>
            <w:vMerge w:val="continue"/>
            <w:tcBorders>
              <w:top w:val="nil"/>
              <w:left w:val="single" w:color="auto" w:sz="8" w:space="0"/>
              <w:bottom w:val="single" w:color="000000" w:sz="8" w:space="0"/>
              <w:right w:val="single" w:color="auto" w:sz="4" w:space="0"/>
            </w:tcBorders>
            <w:vAlign w:val="center"/>
          </w:tcPr>
          <w:p>
            <w:pPr>
              <w:widowControl/>
              <w:jc w:val="left"/>
              <w:rPr>
                <w:rFonts w:ascii="宋体" w:hAnsi="宋体" w:cs="宋体"/>
                <w:color w:val="000000"/>
                <w:kern w:val="0"/>
                <w:szCs w:val="21"/>
              </w:rPr>
            </w:pP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支持Oracle、Sql、Mysql、Hadoop、Db2、人大金仓、神州通用等数据库跨数据库种类的数据交易复制；且灾备库始终处于Open状态，实现业务系统读写分离，灾备系统查询分析等服务；</w:t>
            </w:r>
          </w:p>
        </w:tc>
      </w:tr>
      <w:tr>
        <w:tblPrEx>
          <w:tblLayout w:type="fixed"/>
        </w:tblPrEx>
        <w:trPr>
          <w:trHeight w:val="540" w:hRule="atLeast"/>
        </w:trPr>
        <w:tc>
          <w:tcPr>
            <w:tcW w:w="1080" w:type="dxa"/>
            <w:vMerge w:val="continue"/>
            <w:tcBorders>
              <w:top w:val="nil"/>
              <w:left w:val="single" w:color="auto" w:sz="8" w:space="0"/>
              <w:bottom w:val="single" w:color="000000" w:sz="8" w:space="0"/>
              <w:right w:val="single" w:color="auto" w:sz="4" w:space="0"/>
            </w:tcBorders>
            <w:vAlign w:val="center"/>
          </w:tcPr>
          <w:p>
            <w:pPr>
              <w:widowControl/>
              <w:jc w:val="left"/>
              <w:rPr>
                <w:rFonts w:ascii="宋体" w:hAnsi="宋体" w:cs="宋体"/>
                <w:color w:val="000000"/>
                <w:kern w:val="0"/>
                <w:szCs w:val="21"/>
              </w:rPr>
            </w:pP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在数据迁移初始化同步过程中，业务不能停止；异构平台或跨数据库版本之间的数据初始化过程中不需要人工干预；</w:t>
            </w:r>
          </w:p>
        </w:tc>
      </w:tr>
      <w:tr>
        <w:tblPrEx>
          <w:tblLayout w:type="fixed"/>
          <w:tblCellMar>
            <w:top w:w="0" w:type="dxa"/>
            <w:left w:w="108" w:type="dxa"/>
            <w:bottom w:w="0" w:type="dxa"/>
            <w:right w:w="108" w:type="dxa"/>
          </w:tblCellMar>
        </w:tblPrEx>
        <w:trPr>
          <w:trHeight w:val="270" w:hRule="atLeast"/>
        </w:trPr>
        <w:tc>
          <w:tcPr>
            <w:tcW w:w="1080" w:type="dxa"/>
            <w:vMerge w:val="restart"/>
            <w:tcBorders>
              <w:top w:val="nil"/>
              <w:left w:val="single" w:color="auto" w:sz="8" w:space="0"/>
              <w:bottom w:val="single" w:color="000000" w:sz="8"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技术指标要求</w:t>
            </w: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系统资源占用少，保证主机的正常运行；</w:t>
            </w:r>
          </w:p>
        </w:tc>
      </w:tr>
      <w:tr>
        <w:tblPrEx>
          <w:tblLayout w:type="fixed"/>
          <w:tblCellMar>
            <w:top w:w="0" w:type="dxa"/>
            <w:left w:w="108" w:type="dxa"/>
            <w:bottom w:w="0" w:type="dxa"/>
            <w:right w:w="108" w:type="dxa"/>
          </w:tblCellMar>
        </w:tblPrEx>
        <w:trPr>
          <w:trHeight w:val="270" w:hRule="atLeast"/>
        </w:trPr>
        <w:tc>
          <w:tcPr>
            <w:tcW w:w="1080" w:type="dxa"/>
            <w:vMerge w:val="continue"/>
            <w:tcBorders>
              <w:top w:val="nil"/>
              <w:left w:val="single" w:color="auto" w:sz="8" w:space="0"/>
              <w:bottom w:val="single" w:color="000000" w:sz="8" w:space="0"/>
              <w:right w:val="single" w:color="auto" w:sz="4" w:space="0"/>
            </w:tcBorders>
            <w:vAlign w:val="center"/>
          </w:tcPr>
          <w:p>
            <w:pPr>
              <w:widowControl/>
              <w:jc w:val="left"/>
              <w:rPr>
                <w:rFonts w:ascii="宋体" w:hAnsi="宋体" w:cs="宋体"/>
                <w:color w:val="000000"/>
                <w:kern w:val="0"/>
                <w:szCs w:val="21"/>
              </w:rPr>
            </w:pP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源端CPU占用小于3％；内存占用小于200M；</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8" w:space="0"/>
              <w:bottom w:val="single" w:color="000000" w:sz="8" w:space="0"/>
              <w:right w:val="single" w:color="auto" w:sz="4" w:space="0"/>
            </w:tcBorders>
            <w:vAlign w:val="center"/>
          </w:tcPr>
          <w:p>
            <w:pPr>
              <w:widowControl/>
              <w:jc w:val="left"/>
              <w:rPr>
                <w:rFonts w:ascii="宋体" w:hAnsi="宋体" w:cs="宋体"/>
                <w:color w:val="000000"/>
                <w:kern w:val="0"/>
                <w:szCs w:val="21"/>
              </w:rPr>
            </w:pP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目标端CPU占用小于3％；内存占用小于200M；</w:t>
            </w:r>
          </w:p>
        </w:tc>
      </w:tr>
      <w:tr>
        <w:tblPrEx>
          <w:tblLayout w:type="fixed"/>
          <w:tblCellMar>
            <w:top w:w="0" w:type="dxa"/>
            <w:left w:w="108" w:type="dxa"/>
            <w:bottom w:w="0" w:type="dxa"/>
            <w:right w:w="108" w:type="dxa"/>
          </w:tblCellMar>
        </w:tblPrEx>
        <w:trPr>
          <w:trHeight w:val="780" w:hRule="atLeast"/>
        </w:trPr>
        <w:tc>
          <w:tcPr>
            <w:tcW w:w="1080" w:type="dxa"/>
            <w:tcBorders>
              <w:top w:val="nil"/>
              <w:left w:val="single" w:color="auto" w:sz="8" w:space="0"/>
              <w:bottom w:val="single" w:color="auto" w:sz="8"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一体化同步要求</w:t>
            </w: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启动同步后，软件自动实现全同步和增量同步操作，‘一键式’执行，无需人工干预。支持异构平台下的首次数据初始化同步。支持跨数据库版本之间数据库的初始化同步操作。</w:t>
            </w:r>
          </w:p>
        </w:tc>
      </w:tr>
      <w:tr>
        <w:tblPrEx>
          <w:tblLayout w:type="fixed"/>
          <w:tblCellMar>
            <w:top w:w="0" w:type="dxa"/>
            <w:left w:w="108" w:type="dxa"/>
            <w:bottom w:w="0" w:type="dxa"/>
            <w:right w:w="108" w:type="dxa"/>
          </w:tblCellMar>
        </w:tblPrEx>
        <w:trPr>
          <w:trHeight w:val="510" w:hRule="atLeast"/>
        </w:trPr>
        <w:tc>
          <w:tcPr>
            <w:tcW w:w="1080" w:type="dxa"/>
            <w:vMerge w:val="restart"/>
            <w:tcBorders>
              <w:top w:val="nil"/>
              <w:left w:val="single" w:color="auto" w:sz="8" w:space="0"/>
              <w:bottom w:val="single" w:color="000000" w:sz="8"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应用系统等文件数据的容灾功能要求</w:t>
            </w: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针对用户的应用系统，需要具有提供实时容灾的功能，当主机上的应用软件出现配置调整或者其他变化的时候，由软件实现同步复制功能。</w:t>
            </w:r>
          </w:p>
        </w:tc>
      </w:tr>
      <w:tr>
        <w:tblPrEx>
          <w:tblLayout w:type="fixed"/>
        </w:tblPrEx>
        <w:trPr>
          <w:trHeight w:val="229" w:hRule="atLeast"/>
        </w:trPr>
        <w:tc>
          <w:tcPr>
            <w:tcW w:w="1080" w:type="dxa"/>
            <w:vMerge w:val="continue"/>
            <w:tcBorders>
              <w:top w:val="nil"/>
              <w:left w:val="single" w:color="auto" w:sz="8" w:space="0"/>
              <w:bottom w:val="single" w:color="000000" w:sz="8" w:space="0"/>
              <w:right w:val="single" w:color="auto" w:sz="4" w:space="0"/>
            </w:tcBorders>
            <w:vAlign w:val="center"/>
          </w:tcPr>
          <w:p>
            <w:pPr>
              <w:widowControl/>
              <w:jc w:val="left"/>
              <w:rPr>
                <w:rFonts w:ascii="宋体" w:hAnsi="宋体" w:cs="宋体"/>
                <w:color w:val="000000"/>
                <w:kern w:val="0"/>
                <w:szCs w:val="21"/>
              </w:rPr>
            </w:pP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文件同步功能可支持基于用户管理策略规则，用户可对指定文件进行同步；</w:t>
            </w:r>
          </w:p>
        </w:tc>
      </w:tr>
      <w:tr>
        <w:tblPrEx>
          <w:tblLayout w:type="fixed"/>
          <w:tblCellMar>
            <w:top w:w="0" w:type="dxa"/>
            <w:left w:w="108" w:type="dxa"/>
            <w:bottom w:w="0" w:type="dxa"/>
            <w:right w:w="108" w:type="dxa"/>
          </w:tblCellMar>
        </w:tblPrEx>
        <w:trPr>
          <w:trHeight w:val="525" w:hRule="atLeast"/>
        </w:trPr>
        <w:tc>
          <w:tcPr>
            <w:tcW w:w="1080" w:type="dxa"/>
            <w:vMerge w:val="continue"/>
            <w:tcBorders>
              <w:top w:val="nil"/>
              <w:left w:val="single" w:color="auto" w:sz="8" w:space="0"/>
              <w:bottom w:val="single" w:color="000000" w:sz="8" w:space="0"/>
              <w:right w:val="single" w:color="auto" w:sz="4" w:space="0"/>
            </w:tcBorders>
            <w:vAlign w:val="center"/>
          </w:tcPr>
          <w:p>
            <w:pPr>
              <w:widowControl/>
              <w:jc w:val="left"/>
              <w:rPr>
                <w:rFonts w:ascii="宋体" w:hAnsi="宋体" w:cs="宋体"/>
                <w:color w:val="000000"/>
                <w:kern w:val="0"/>
                <w:szCs w:val="21"/>
              </w:rPr>
            </w:pP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文件发生变化后，可以识别变化的部分，只需要传输变化的部分，而不需要重新传输整个文件；</w:t>
            </w:r>
          </w:p>
        </w:tc>
      </w:tr>
      <w:tr>
        <w:tblPrEx>
          <w:tblLayout w:type="fixed"/>
          <w:tblCellMar>
            <w:top w:w="0" w:type="dxa"/>
            <w:left w:w="108" w:type="dxa"/>
            <w:bottom w:w="0" w:type="dxa"/>
            <w:right w:w="108" w:type="dxa"/>
          </w:tblCellMar>
        </w:tblPrEx>
        <w:trPr>
          <w:trHeight w:val="270" w:hRule="atLeast"/>
        </w:trPr>
        <w:tc>
          <w:tcPr>
            <w:tcW w:w="1080" w:type="dxa"/>
            <w:vMerge w:val="continue"/>
            <w:tcBorders>
              <w:top w:val="nil"/>
              <w:left w:val="single" w:color="auto" w:sz="8" w:space="0"/>
              <w:bottom w:val="single" w:color="000000" w:sz="8" w:space="0"/>
              <w:right w:val="single" w:color="auto" w:sz="4" w:space="0"/>
            </w:tcBorders>
            <w:vAlign w:val="center"/>
          </w:tcPr>
          <w:p>
            <w:pPr>
              <w:widowControl/>
              <w:jc w:val="left"/>
              <w:rPr>
                <w:rFonts w:ascii="宋体" w:hAnsi="宋体" w:cs="宋体"/>
                <w:color w:val="000000"/>
                <w:kern w:val="0"/>
                <w:szCs w:val="21"/>
              </w:rPr>
            </w:pP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支持镜像保存整个目录树和文件系统；</w:t>
            </w:r>
          </w:p>
        </w:tc>
      </w:tr>
      <w:tr>
        <w:tblPrEx>
          <w:tblLayout w:type="fixed"/>
          <w:tblCellMar>
            <w:top w:w="0" w:type="dxa"/>
            <w:left w:w="108" w:type="dxa"/>
            <w:bottom w:w="0" w:type="dxa"/>
            <w:right w:w="108" w:type="dxa"/>
          </w:tblCellMar>
        </w:tblPrEx>
        <w:trPr>
          <w:trHeight w:val="270" w:hRule="atLeast"/>
        </w:trPr>
        <w:tc>
          <w:tcPr>
            <w:tcW w:w="1080" w:type="dxa"/>
            <w:vMerge w:val="continue"/>
            <w:tcBorders>
              <w:top w:val="nil"/>
              <w:left w:val="single" w:color="auto" w:sz="8" w:space="0"/>
              <w:bottom w:val="single" w:color="000000" w:sz="8" w:space="0"/>
              <w:right w:val="single" w:color="auto" w:sz="4" w:space="0"/>
            </w:tcBorders>
            <w:vAlign w:val="center"/>
          </w:tcPr>
          <w:p>
            <w:pPr>
              <w:widowControl/>
              <w:jc w:val="left"/>
              <w:rPr>
                <w:rFonts w:ascii="宋体" w:hAnsi="宋体" w:cs="宋体"/>
                <w:color w:val="000000"/>
                <w:kern w:val="0"/>
                <w:szCs w:val="21"/>
              </w:rPr>
            </w:pP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可保持原来文件的权限、时间、软硬链接；</w:t>
            </w:r>
          </w:p>
        </w:tc>
      </w:tr>
      <w:tr>
        <w:tblPrEx>
          <w:tblLayout w:type="fixed"/>
          <w:tblCellMar>
            <w:top w:w="0" w:type="dxa"/>
            <w:left w:w="108" w:type="dxa"/>
            <w:bottom w:w="0" w:type="dxa"/>
            <w:right w:w="108" w:type="dxa"/>
          </w:tblCellMar>
        </w:tblPrEx>
        <w:trPr>
          <w:trHeight w:val="270" w:hRule="atLeast"/>
        </w:trPr>
        <w:tc>
          <w:tcPr>
            <w:tcW w:w="1080" w:type="dxa"/>
            <w:vMerge w:val="continue"/>
            <w:tcBorders>
              <w:top w:val="nil"/>
              <w:left w:val="single" w:color="auto" w:sz="8" w:space="0"/>
              <w:bottom w:val="single" w:color="000000" w:sz="8" w:space="0"/>
              <w:right w:val="single" w:color="auto" w:sz="4" w:space="0"/>
            </w:tcBorders>
            <w:vAlign w:val="center"/>
          </w:tcPr>
          <w:p>
            <w:pPr>
              <w:widowControl/>
              <w:jc w:val="left"/>
              <w:rPr>
                <w:rFonts w:ascii="宋体" w:hAnsi="宋体" w:cs="宋体"/>
                <w:color w:val="000000"/>
                <w:kern w:val="0"/>
                <w:szCs w:val="21"/>
              </w:rPr>
            </w:pP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优化的流程，文件传输效率高；无须特殊权限即可安装；</w:t>
            </w:r>
          </w:p>
        </w:tc>
      </w:tr>
      <w:tr>
        <w:tblPrEx>
          <w:tblLayout w:type="fixed"/>
          <w:tblCellMar>
            <w:top w:w="0" w:type="dxa"/>
            <w:left w:w="108" w:type="dxa"/>
            <w:bottom w:w="0" w:type="dxa"/>
            <w:right w:w="108" w:type="dxa"/>
          </w:tblCellMar>
        </w:tblPrEx>
        <w:trPr>
          <w:trHeight w:val="270" w:hRule="atLeast"/>
        </w:trPr>
        <w:tc>
          <w:tcPr>
            <w:tcW w:w="1080" w:type="dxa"/>
            <w:vMerge w:val="continue"/>
            <w:tcBorders>
              <w:top w:val="nil"/>
              <w:left w:val="single" w:color="auto" w:sz="8" w:space="0"/>
              <w:bottom w:val="single" w:color="000000" w:sz="8" w:space="0"/>
              <w:right w:val="single" w:color="auto" w:sz="4" w:space="0"/>
            </w:tcBorders>
            <w:vAlign w:val="center"/>
          </w:tcPr>
          <w:p>
            <w:pPr>
              <w:widowControl/>
              <w:jc w:val="left"/>
              <w:rPr>
                <w:rFonts w:ascii="宋体" w:hAnsi="宋体" w:cs="宋体"/>
                <w:color w:val="000000"/>
                <w:kern w:val="0"/>
                <w:szCs w:val="21"/>
              </w:rPr>
            </w:pP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可以使用rcp、ssh、socket等方式来传输文件</w:t>
            </w:r>
          </w:p>
        </w:tc>
      </w:tr>
      <w:tr>
        <w:tblPrEx>
          <w:tblLayout w:type="fixed"/>
        </w:tblPrEx>
        <w:trPr>
          <w:trHeight w:val="270" w:hRule="atLeast"/>
        </w:trPr>
        <w:tc>
          <w:tcPr>
            <w:tcW w:w="1080" w:type="dxa"/>
            <w:vMerge w:val="continue"/>
            <w:tcBorders>
              <w:top w:val="nil"/>
              <w:left w:val="single" w:color="auto" w:sz="8" w:space="0"/>
              <w:bottom w:val="single" w:color="000000" w:sz="8" w:space="0"/>
              <w:right w:val="single" w:color="auto" w:sz="4" w:space="0"/>
            </w:tcBorders>
            <w:vAlign w:val="center"/>
          </w:tcPr>
          <w:p>
            <w:pPr>
              <w:widowControl/>
              <w:jc w:val="left"/>
              <w:rPr>
                <w:rFonts w:ascii="宋体" w:hAnsi="宋体" w:cs="宋体"/>
                <w:color w:val="000000"/>
                <w:kern w:val="0"/>
                <w:szCs w:val="21"/>
              </w:rPr>
            </w:pP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文件传输可设定压缩选项，来降低网络带宽需求；</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8" w:space="0"/>
              <w:bottom w:val="single" w:color="000000" w:sz="8" w:space="0"/>
              <w:right w:val="single" w:color="auto" w:sz="4" w:space="0"/>
            </w:tcBorders>
            <w:vAlign w:val="center"/>
          </w:tcPr>
          <w:p>
            <w:pPr>
              <w:widowControl/>
              <w:jc w:val="left"/>
              <w:rPr>
                <w:rFonts w:ascii="宋体" w:hAnsi="宋体" w:cs="宋体"/>
                <w:color w:val="000000"/>
                <w:kern w:val="0"/>
                <w:szCs w:val="21"/>
              </w:rPr>
            </w:pP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数据库在非归档模式下，也可以增量备份。</w:t>
            </w:r>
          </w:p>
        </w:tc>
      </w:tr>
      <w:tr>
        <w:tblPrEx>
          <w:tblLayout w:type="fixed"/>
          <w:tblCellMar>
            <w:top w:w="0" w:type="dxa"/>
            <w:left w:w="108" w:type="dxa"/>
            <w:bottom w:w="0" w:type="dxa"/>
            <w:right w:w="108" w:type="dxa"/>
          </w:tblCellMar>
        </w:tblPrEx>
        <w:trPr>
          <w:trHeight w:val="540" w:hRule="atLeast"/>
        </w:trPr>
        <w:tc>
          <w:tcPr>
            <w:tcW w:w="1080" w:type="dxa"/>
            <w:tcBorders>
              <w:top w:val="nil"/>
              <w:left w:val="single" w:color="auto" w:sz="8" w:space="0"/>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DDL支持要求</w:t>
            </w:r>
          </w:p>
        </w:tc>
        <w:tc>
          <w:tcPr>
            <w:tcW w:w="7300" w:type="dxa"/>
            <w:tcBorders>
              <w:top w:val="single" w:color="auto" w:sz="4" w:space="0"/>
              <w:left w:val="nil"/>
              <w:bottom w:val="single" w:color="auto" w:sz="8" w:space="0"/>
              <w:right w:val="single" w:color="auto" w:sz="8"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支持从数据库日志中分析所有DDL操作，不影响整个同步过程。</w:t>
            </w:r>
          </w:p>
        </w:tc>
      </w:tr>
      <w:tr>
        <w:tblPrEx>
          <w:tblLayout w:type="fixed"/>
          <w:tblCellMar>
            <w:top w:w="0" w:type="dxa"/>
            <w:left w:w="108" w:type="dxa"/>
            <w:bottom w:w="0" w:type="dxa"/>
            <w:right w:w="108" w:type="dxa"/>
          </w:tblCellMar>
        </w:tblPrEx>
        <w:trPr>
          <w:trHeight w:val="540" w:hRule="atLeast"/>
        </w:trPr>
        <w:tc>
          <w:tcPr>
            <w:tcW w:w="1080" w:type="dxa"/>
            <w:tcBorders>
              <w:top w:val="nil"/>
              <w:left w:val="single" w:color="auto" w:sz="8" w:space="0"/>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智能化要求</w:t>
            </w:r>
          </w:p>
        </w:tc>
        <w:tc>
          <w:tcPr>
            <w:tcW w:w="7300" w:type="dxa"/>
            <w:tcBorders>
              <w:top w:val="nil"/>
              <w:left w:val="nil"/>
              <w:bottom w:val="single" w:color="auto" w:sz="8" w:space="0"/>
              <w:right w:val="single" w:color="auto" w:sz="8"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在源端数据库数据结构发生变化(如修改表结构，增加表等)后，复制软件可自动将新增结构变化同步到目标端。</w:t>
            </w:r>
          </w:p>
        </w:tc>
      </w:tr>
      <w:tr>
        <w:tblPrEx>
          <w:tblLayout w:type="fixed"/>
          <w:tblCellMar>
            <w:top w:w="0" w:type="dxa"/>
            <w:left w:w="108" w:type="dxa"/>
            <w:bottom w:w="0" w:type="dxa"/>
            <w:right w:w="108" w:type="dxa"/>
          </w:tblCellMar>
        </w:tblPrEx>
        <w:trPr>
          <w:trHeight w:val="285" w:hRule="atLeast"/>
        </w:trPr>
        <w:tc>
          <w:tcPr>
            <w:tcW w:w="1080" w:type="dxa"/>
            <w:vMerge w:val="restart"/>
            <w:tcBorders>
              <w:top w:val="nil"/>
              <w:left w:val="single" w:color="auto" w:sz="8" w:space="0"/>
              <w:bottom w:val="single" w:color="000000"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数据库的容灾功能要求</w:t>
            </w:r>
          </w:p>
        </w:tc>
        <w:tc>
          <w:tcPr>
            <w:tcW w:w="7300" w:type="dxa"/>
            <w:tcBorders>
              <w:top w:val="nil"/>
              <w:left w:val="nil"/>
              <w:bottom w:val="single" w:color="auto" w:sz="8" w:space="0"/>
              <w:right w:val="single" w:color="auto" w:sz="8"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支持一对一，双向，一对多，多对一，和级联复制；</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7300" w:type="dxa"/>
            <w:tcBorders>
              <w:top w:val="nil"/>
              <w:left w:val="nil"/>
              <w:bottom w:val="single" w:color="auto" w:sz="8" w:space="0"/>
              <w:right w:val="single" w:color="auto" w:sz="8"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支持数据转换、数据拆分及分发；</w:t>
            </w:r>
          </w:p>
        </w:tc>
      </w:tr>
      <w:tr>
        <w:tblPrEx>
          <w:tblLayout w:type="fixed"/>
        </w:tblPrEx>
        <w:trPr>
          <w:trHeight w:val="285" w:hRule="atLeast"/>
        </w:trPr>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7300" w:type="dxa"/>
            <w:tcBorders>
              <w:top w:val="nil"/>
              <w:left w:val="nil"/>
              <w:bottom w:val="single" w:color="auto" w:sz="8" w:space="0"/>
              <w:right w:val="single" w:color="auto" w:sz="8"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支持从多个数据库中同一类型表的记录整合到一个表中去；</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7300" w:type="dxa"/>
            <w:tcBorders>
              <w:top w:val="nil"/>
              <w:left w:val="nil"/>
              <w:bottom w:val="single" w:color="auto" w:sz="8" w:space="0"/>
              <w:right w:val="single" w:color="auto" w:sz="8"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支持对列的数据进行转换，包括列映射、增/删除列、列转换</w:t>
            </w:r>
          </w:p>
        </w:tc>
      </w:tr>
      <w:tr>
        <w:tblPrEx>
          <w:tblLayout w:type="fixed"/>
          <w:tblCellMar>
            <w:top w:w="0" w:type="dxa"/>
            <w:left w:w="108" w:type="dxa"/>
            <w:bottom w:w="0" w:type="dxa"/>
            <w:right w:w="108" w:type="dxa"/>
          </w:tblCellMar>
        </w:tblPrEx>
        <w:trPr>
          <w:trHeight w:val="540" w:hRule="atLeast"/>
        </w:trPr>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7300" w:type="dxa"/>
            <w:tcBorders>
              <w:top w:val="nil"/>
              <w:left w:val="nil"/>
              <w:bottom w:val="single" w:color="auto" w:sz="8" w:space="0"/>
              <w:right w:val="single" w:color="auto" w:sz="8"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支持DML操作复制、支持SEQUENCE、函数、存储过程、视图、同义词、索引、应用包、用户等数据库对象进行复制；</w:t>
            </w:r>
          </w:p>
        </w:tc>
      </w:tr>
      <w:tr>
        <w:tblPrEx>
          <w:tblLayout w:type="fixed"/>
          <w:tblCellMar>
            <w:top w:w="0" w:type="dxa"/>
            <w:left w:w="108" w:type="dxa"/>
            <w:bottom w:w="0" w:type="dxa"/>
            <w:right w:w="108" w:type="dxa"/>
          </w:tblCellMar>
        </w:tblPrEx>
        <w:trPr>
          <w:trHeight w:val="540" w:hRule="atLeast"/>
        </w:trPr>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7300" w:type="dxa"/>
            <w:tcBorders>
              <w:top w:val="nil"/>
              <w:left w:val="nil"/>
              <w:bottom w:val="single" w:color="auto" w:sz="8" w:space="0"/>
              <w:right w:val="single" w:color="auto" w:sz="8"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支持没有PK/UK字段的表的复制、并无需打开或修改数据库参数，可定义并过滤不需要复制的事务；</w:t>
            </w:r>
          </w:p>
        </w:tc>
      </w:tr>
      <w:tr>
        <w:tblPrEx>
          <w:tblLayout w:type="fixed"/>
          <w:tblCellMar>
            <w:top w:w="0" w:type="dxa"/>
            <w:left w:w="108" w:type="dxa"/>
            <w:bottom w:w="0" w:type="dxa"/>
            <w:right w:w="108" w:type="dxa"/>
          </w:tblCellMar>
        </w:tblPrEx>
        <w:trPr>
          <w:trHeight w:val="555" w:hRule="atLeast"/>
        </w:trPr>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7300" w:type="dxa"/>
            <w:tcBorders>
              <w:top w:val="nil"/>
              <w:left w:val="nil"/>
              <w:bottom w:val="single" w:color="auto" w:sz="8" w:space="0"/>
              <w:right w:val="single" w:color="auto" w:sz="8"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支持按照schema方式设置复制关系，无需单表设置复制关系，支持不同源和目标端在不同的schema名情况下的复制；</w:t>
            </w:r>
          </w:p>
        </w:tc>
      </w:tr>
      <w:tr>
        <w:tblPrEx>
          <w:tblLayout w:type="fixed"/>
          <w:tblCellMar>
            <w:top w:w="0" w:type="dxa"/>
            <w:left w:w="108" w:type="dxa"/>
            <w:bottom w:w="0" w:type="dxa"/>
            <w:right w:w="108" w:type="dxa"/>
          </w:tblCellMar>
        </w:tblPrEx>
        <w:trPr>
          <w:trHeight w:val="525" w:hRule="atLeast"/>
        </w:trPr>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7300" w:type="dxa"/>
            <w:tcBorders>
              <w:top w:val="nil"/>
              <w:left w:val="nil"/>
              <w:bottom w:val="single" w:color="auto" w:sz="8" w:space="0"/>
              <w:right w:val="single" w:color="auto" w:sz="8"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支持中文汉字内码，符合双字节编码；支持自定义数据格式的装载；支持数据详细地址的方式实现数据快速定位；</w:t>
            </w:r>
          </w:p>
        </w:tc>
      </w:tr>
      <w:tr>
        <w:tblPrEx>
          <w:tblLayout w:type="fixed"/>
        </w:tblPrEx>
        <w:trPr>
          <w:trHeight w:val="540" w:hRule="atLeast"/>
        </w:trPr>
        <w:tc>
          <w:tcPr>
            <w:tcW w:w="1080" w:type="dxa"/>
            <w:tcBorders>
              <w:top w:val="nil"/>
              <w:left w:val="single" w:color="auto" w:sz="8" w:space="0"/>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文件复制系统</w:t>
            </w:r>
          </w:p>
        </w:tc>
        <w:tc>
          <w:tcPr>
            <w:tcW w:w="7300" w:type="dxa"/>
            <w:tcBorders>
              <w:top w:val="nil"/>
              <w:left w:val="nil"/>
              <w:bottom w:val="single" w:color="auto" w:sz="8" w:space="0"/>
              <w:right w:val="single" w:color="auto" w:sz="8"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实现应用系统实时同步灾备要求，要求软件各种操作系统的文 件复制，且灾备服务器始终处于可用状态；具有软件著作权证书；(提供复印件)</w:t>
            </w:r>
          </w:p>
        </w:tc>
      </w:tr>
      <w:tr>
        <w:tblPrEx>
          <w:tblLayout w:type="fixed"/>
          <w:tblCellMar>
            <w:top w:w="0" w:type="dxa"/>
            <w:left w:w="108" w:type="dxa"/>
            <w:bottom w:w="0" w:type="dxa"/>
            <w:right w:w="108" w:type="dxa"/>
          </w:tblCellMar>
        </w:tblPrEx>
        <w:trPr>
          <w:trHeight w:val="1035" w:hRule="atLeast"/>
        </w:trPr>
        <w:tc>
          <w:tcPr>
            <w:tcW w:w="1080" w:type="dxa"/>
            <w:tcBorders>
              <w:top w:val="nil"/>
              <w:left w:val="single" w:color="auto" w:sz="8" w:space="0"/>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灾备切换导航监控</w:t>
            </w:r>
          </w:p>
        </w:tc>
        <w:tc>
          <w:tcPr>
            <w:tcW w:w="7300" w:type="dxa"/>
            <w:tcBorders>
              <w:top w:val="nil"/>
              <w:left w:val="nil"/>
              <w:bottom w:val="single" w:color="auto" w:sz="8" w:space="0"/>
              <w:right w:val="single" w:color="auto" w:sz="8"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可以监控并管理数据库灾备软件和文件复制灾备软件，中文操作界面，灾备导航和主备一键切换图形化操作，实现对灾备软件的运行状态、运行日志、系统配置等方面进行统一的管理及监控；识别异常并发出以短信/邮件等形式的告警信息；</w:t>
            </w:r>
          </w:p>
        </w:tc>
      </w:tr>
      <w:tr>
        <w:tblPrEx>
          <w:tblLayout w:type="fixed"/>
          <w:tblCellMar>
            <w:top w:w="0" w:type="dxa"/>
            <w:left w:w="108" w:type="dxa"/>
            <w:bottom w:w="0" w:type="dxa"/>
            <w:right w:w="108" w:type="dxa"/>
          </w:tblCellMar>
        </w:tblPrEx>
        <w:trPr>
          <w:trHeight w:val="780" w:hRule="atLeast"/>
        </w:trPr>
        <w:tc>
          <w:tcPr>
            <w:tcW w:w="1080" w:type="dxa"/>
            <w:vMerge w:val="restart"/>
            <w:tcBorders>
              <w:top w:val="nil"/>
              <w:left w:val="single" w:color="auto" w:sz="8" w:space="0"/>
              <w:bottom w:val="single" w:color="000000"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故障应对能力</w:t>
            </w:r>
          </w:p>
        </w:tc>
        <w:tc>
          <w:tcPr>
            <w:tcW w:w="7300" w:type="dxa"/>
            <w:tcBorders>
              <w:top w:val="nil"/>
              <w:left w:val="nil"/>
              <w:bottom w:val="nil"/>
              <w:right w:val="single" w:color="auto" w:sz="8"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  在遇到系统错误引起的复制中断时，例如硬件故障、数据库故障、网络中断或延迟，分级存储机制能完好的保存已经合成的交易信息，避免数据丢失，直到系统故障解决，恢复从队列传输的中断点开始；（提供软件截图）</w:t>
            </w:r>
          </w:p>
        </w:tc>
      </w:tr>
      <w:tr>
        <w:tblPrEx>
          <w:tblLayout w:type="fixed"/>
          <w:tblCellMar>
            <w:top w:w="0" w:type="dxa"/>
            <w:left w:w="108" w:type="dxa"/>
            <w:bottom w:w="0" w:type="dxa"/>
            <w:right w:w="108" w:type="dxa"/>
          </w:tblCellMar>
        </w:tblPrEx>
        <w:trPr>
          <w:trHeight w:val="780" w:hRule="atLeast"/>
        </w:trPr>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7300" w:type="dxa"/>
            <w:tcBorders>
              <w:top w:val="nil"/>
              <w:left w:val="nil"/>
              <w:bottom w:val="nil"/>
              <w:right w:val="single" w:color="auto" w:sz="8"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2、  系统需提供数据比对功能，如果发现不一致情况后能够提供便利的单表以及单用户的数据修复工作，要求操作简单，修复速度快，且修复过程中不影响业务正常运行；（提供软件截图）</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7300" w:type="dxa"/>
            <w:tcBorders>
              <w:top w:val="nil"/>
              <w:left w:val="nil"/>
              <w:bottom w:val="single" w:color="auto" w:sz="4" w:space="0"/>
              <w:right w:val="single" w:color="auto" w:sz="8"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3、  生产灾备切换后，支持快速的增量回切、全量回切功能；</w:t>
            </w:r>
          </w:p>
        </w:tc>
      </w:tr>
      <w:tr>
        <w:tblPrEx>
          <w:tblLayout w:type="fixed"/>
          <w:tblCellMar>
            <w:top w:w="0" w:type="dxa"/>
            <w:left w:w="108" w:type="dxa"/>
            <w:bottom w:w="0" w:type="dxa"/>
            <w:right w:w="108" w:type="dxa"/>
          </w:tblCellMar>
        </w:tblPrEx>
        <w:trPr>
          <w:trHeight w:val="270" w:hRule="atLeast"/>
        </w:trPr>
        <w:tc>
          <w:tcPr>
            <w:tcW w:w="1080" w:type="dxa"/>
            <w:vMerge w:val="restart"/>
            <w:tcBorders>
              <w:top w:val="nil"/>
              <w:left w:val="single" w:color="auto" w:sz="8" w:space="0"/>
              <w:bottom w:val="single" w:color="000000" w:sz="8"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管理监控功能</w:t>
            </w: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1、要求提供中文操作界面；</w:t>
            </w:r>
          </w:p>
        </w:tc>
      </w:tr>
      <w:tr>
        <w:tblPrEx>
          <w:tblLayout w:type="fixed"/>
        </w:tblPrEx>
        <w:trPr>
          <w:trHeight w:val="525" w:hRule="atLeast"/>
        </w:trPr>
        <w:tc>
          <w:tcPr>
            <w:tcW w:w="1080" w:type="dxa"/>
            <w:vMerge w:val="continue"/>
            <w:tcBorders>
              <w:top w:val="nil"/>
              <w:left w:val="single" w:color="auto" w:sz="8" w:space="0"/>
              <w:bottom w:val="single" w:color="000000" w:sz="8" w:space="0"/>
              <w:right w:val="single" w:color="auto" w:sz="4" w:space="0"/>
            </w:tcBorders>
            <w:vAlign w:val="center"/>
          </w:tcPr>
          <w:p>
            <w:pPr>
              <w:widowControl/>
              <w:jc w:val="left"/>
              <w:rPr>
                <w:rFonts w:ascii="宋体" w:hAnsi="宋体" w:cs="宋体"/>
                <w:color w:val="000000"/>
                <w:kern w:val="0"/>
                <w:szCs w:val="21"/>
              </w:rPr>
            </w:pP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2、复制软件需提供统一的管理监控功能，能实现对复制软件的运行状态、运行日志、系统配置等方面进行统一的管理及监控（提供软件截图）；</w:t>
            </w:r>
          </w:p>
        </w:tc>
      </w:tr>
      <w:tr>
        <w:tblPrEx>
          <w:tblLayout w:type="fixed"/>
          <w:tblCellMar>
            <w:top w:w="0" w:type="dxa"/>
            <w:left w:w="108" w:type="dxa"/>
            <w:bottom w:w="0" w:type="dxa"/>
            <w:right w:w="108" w:type="dxa"/>
          </w:tblCellMar>
        </w:tblPrEx>
        <w:trPr>
          <w:trHeight w:val="540" w:hRule="atLeast"/>
        </w:trPr>
        <w:tc>
          <w:tcPr>
            <w:tcW w:w="1080" w:type="dxa"/>
            <w:vMerge w:val="continue"/>
            <w:tcBorders>
              <w:top w:val="nil"/>
              <w:left w:val="single" w:color="auto" w:sz="8" w:space="0"/>
              <w:bottom w:val="single" w:color="000000" w:sz="8" w:space="0"/>
              <w:right w:val="single" w:color="auto" w:sz="4" w:space="0"/>
            </w:tcBorders>
            <w:vAlign w:val="center"/>
          </w:tcPr>
          <w:p>
            <w:pPr>
              <w:widowControl/>
              <w:jc w:val="left"/>
              <w:rPr>
                <w:rFonts w:ascii="宋体" w:hAnsi="宋体" w:cs="宋体"/>
                <w:color w:val="000000"/>
                <w:kern w:val="0"/>
                <w:szCs w:val="21"/>
              </w:rPr>
            </w:pP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3、系统软件应具有故障的监视和诊断能力，出现不正常情况时，应能及时识别并发出告警信息；</w:t>
            </w:r>
          </w:p>
        </w:tc>
      </w:tr>
      <w:tr>
        <w:tblPrEx>
          <w:tblLayout w:type="fixed"/>
          <w:tblCellMar>
            <w:top w:w="0" w:type="dxa"/>
            <w:left w:w="108" w:type="dxa"/>
            <w:bottom w:w="0" w:type="dxa"/>
            <w:right w:w="108" w:type="dxa"/>
          </w:tblCellMar>
        </w:tblPrEx>
        <w:trPr>
          <w:trHeight w:val="540" w:hRule="atLeast"/>
        </w:trPr>
        <w:tc>
          <w:tcPr>
            <w:tcW w:w="1080" w:type="dxa"/>
            <w:tcBorders>
              <w:top w:val="nil"/>
              <w:left w:val="single" w:color="auto" w:sz="8" w:space="0"/>
              <w:bottom w:val="single" w:color="auto"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审计功能</w:t>
            </w:r>
          </w:p>
        </w:tc>
        <w:tc>
          <w:tcPr>
            <w:tcW w:w="7300" w:type="dxa"/>
            <w:tcBorders>
              <w:top w:val="single" w:color="auto" w:sz="4" w:space="0"/>
              <w:left w:val="nil"/>
              <w:bottom w:val="single" w:color="auto" w:sz="8" w:space="0"/>
              <w:right w:val="single" w:color="auto" w:sz="8"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通过分析Oracle数据库的日志对数据库操作进行监控，具有记录，留痕，报表回溯等功能。（提供软件截图）</w:t>
            </w:r>
          </w:p>
        </w:tc>
      </w:tr>
      <w:tr>
        <w:tblPrEx>
          <w:tblLayout w:type="fixed"/>
          <w:tblCellMar>
            <w:top w:w="0" w:type="dxa"/>
            <w:left w:w="108" w:type="dxa"/>
            <w:bottom w:w="0" w:type="dxa"/>
            <w:right w:w="108" w:type="dxa"/>
          </w:tblCellMar>
        </w:tblPrEx>
        <w:trPr>
          <w:trHeight w:val="312" w:hRule="atLeast"/>
        </w:trPr>
        <w:tc>
          <w:tcPr>
            <w:tcW w:w="1080" w:type="dxa"/>
            <w:vMerge w:val="restart"/>
            <w:tcBorders>
              <w:top w:val="nil"/>
              <w:left w:val="single" w:color="auto" w:sz="8" w:space="0"/>
              <w:bottom w:val="single" w:color="000000" w:sz="8" w:space="0"/>
              <w:right w:val="single" w:color="auto"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归档功能</w:t>
            </w:r>
          </w:p>
        </w:tc>
        <w:tc>
          <w:tcPr>
            <w:tcW w:w="7300" w:type="dxa"/>
            <w:vMerge w:val="restart"/>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按照客户要求将使用频度低的数据一次性(从数据库文件读取)或者连续归档(分析数据库日志)到目标数据库中，并在源端进行数据清理，从而减少源库数据量，提升系统效率，分担系统压力。（提供软件截图）</w:t>
            </w:r>
          </w:p>
        </w:tc>
      </w:tr>
      <w:tr>
        <w:tblPrEx>
          <w:tblLayout w:type="fixed"/>
          <w:tblCellMar>
            <w:top w:w="0" w:type="dxa"/>
            <w:left w:w="108" w:type="dxa"/>
            <w:bottom w:w="0" w:type="dxa"/>
            <w:right w:w="108" w:type="dxa"/>
          </w:tblCellMar>
        </w:tblPrEx>
        <w:trPr>
          <w:trHeight w:val="312" w:hRule="atLeast"/>
        </w:trPr>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730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312" w:hRule="atLeast"/>
        </w:trPr>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Cs w:val="21"/>
              </w:rPr>
            </w:pPr>
          </w:p>
        </w:tc>
        <w:tc>
          <w:tcPr>
            <w:tcW w:w="7300" w:type="dxa"/>
            <w:vMerge w:val="continue"/>
            <w:tcBorders>
              <w:top w:val="nil"/>
              <w:left w:val="single" w:color="auto" w:sz="8" w:space="0"/>
              <w:bottom w:val="single" w:color="auto" w:sz="4" w:space="0"/>
              <w:right w:val="single" w:color="auto" w:sz="8" w:space="0"/>
            </w:tcBorders>
            <w:vAlign w:val="center"/>
          </w:tcPr>
          <w:p>
            <w:pPr>
              <w:widowControl/>
              <w:jc w:val="left"/>
              <w:rPr>
                <w:rFonts w:ascii="宋体" w:hAnsi="宋体" w:cs="宋体"/>
                <w:color w:val="000000"/>
                <w:kern w:val="0"/>
                <w:szCs w:val="21"/>
              </w:rPr>
            </w:pPr>
          </w:p>
        </w:tc>
      </w:tr>
      <w:tr>
        <w:tblPrEx>
          <w:tblLayout w:type="fixed"/>
        </w:tblPrEx>
        <w:trPr>
          <w:trHeight w:val="795" w:hRule="atLeast"/>
        </w:trPr>
        <w:tc>
          <w:tcPr>
            <w:tcW w:w="1080" w:type="dxa"/>
            <w:vMerge w:val="restart"/>
            <w:tcBorders>
              <w:top w:val="nil"/>
              <w:left w:val="single" w:color="auto" w:sz="8" w:space="0"/>
              <w:bottom w:val="single" w:color="000000" w:sz="8"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▲服务要求</w:t>
            </w: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1、原厂负责首次安装调试、现场培训及售后服务，并出具2年现场7X24响应、4小时到现场、原厂10个现场人/天，软件免费升级，无节假日限制的服务承诺；（中标后提供）</w:t>
            </w:r>
          </w:p>
        </w:tc>
      </w:tr>
      <w:tr>
        <w:tblPrEx>
          <w:tblLayout w:type="fixed"/>
          <w:tblCellMar>
            <w:top w:w="0" w:type="dxa"/>
            <w:left w:w="108" w:type="dxa"/>
            <w:bottom w:w="0" w:type="dxa"/>
            <w:right w:w="108" w:type="dxa"/>
          </w:tblCellMar>
        </w:tblPrEx>
        <w:trPr>
          <w:trHeight w:val="270" w:hRule="atLeast"/>
        </w:trPr>
        <w:tc>
          <w:tcPr>
            <w:tcW w:w="1080" w:type="dxa"/>
            <w:vMerge w:val="continue"/>
            <w:tcBorders>
              <w:top w:val="nil"/>
              <w:left w:val="single" w:color="auto" w:sz="8" w:space="0"/>
              <w:bottom w:val="single" w:color="000000" w:sz="8" w:space="0"/>
              <w:right w:val="single" w:color="auto" w:sz="4" w:space="0"/>
            </w:tcBorders>
            <w:vAlign w:val="center"/>
          </w:tcPr>
          <w:p>
            <w:pPr>
              <w:widowControl/>
              <w:jc w:val="left"/>
              <w:rPr>
                <w:rFonts w:ascii="宋体" w:hAnsi="宋体" w:cs="宋体"/>
                <w:color w:val="000000"/>
                <w:kern w:val="0"/>
                <w:szCs w:val="21"/>
              </w:rPr>
            </w:pP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2、投标方在标书中详细描述初始化数据同步解决方案。</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8" w:space="0"/>
              <w:bottom w:val="single" w:color="000000" w:sz="8" w:space="0"/>
              <w:right w:val="single" w:color="auto" w:sz="4" w:space="0"/>
            </w:tcBorders>
            <w:vAlign w:val="center"/>
          </w:tcPr>
          <w:p>
            <w:pPr>
              <w:widowControl/>
              <w:jc w:val="left"/>
              <w:rPr>
                <w:rFonts w:ascii="宋体" w:hAnsi="宋体" w:cs="宋体"/>
                <w:color w:val="000000"/>
                <w:kern w:val="0"/>
                <w:szCs w:val="21"/>
              </w:rPr>
            </w:pPr>
          </w:p>
        </w:tc>
        <w:tc>
          <w:tcPr>
            <w:tcW w:w="73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3、投标方在标书中详细描述数据迁移方案。</w:t>
            </w:r>
          </w:p>
        </w:tc>
      </w:tr>
    </w:tbl>
    <w:p/>
    <w:p>
      <w:pPr>
        <w:pStyle w:val="4"/>
        <w:tabs>
          <w:tab w:val="left" w:pos="432"/>
        </w:tabs>
        <w:rPr>
          <w:sz w:val="24"/>
          <w:szCs w:val="24"/>
        </w:rPr>
      </w:pPr>
      <w:r>
        <w:rPr>
          <w:rFonts w:hint="eastAsia"/>
          <w:sz w:val="24"/>
          <w:szCs w:val="24"/>
        </w:rPr>
        <w:t>7.3.39备份软件</w:t>
      </w:r>
    </w:p>
    <w:tbl>
      <w:tblPr>
        <w:tblStyle w:val="3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widowControl/>
              <w:jc w:val="center"/>
              <w:rPr>
                <w:rFonts w:ascii="宋体" w:hAnsi="宋体" w:cs="Arial"/>
                <w:b/>
                <w:bCs/>
                <w:kern w:val="0"/>
                <w:szCs w:val="21"/>
              </w:rPr>
            </w:pPr>
            <w:r>
              <w:rPr>
                <w:rFonts w:hint="eastAsia" w:ascii="宋体" w:hAnsi="宋体" w:cs="Arial"/>
                <w:b/>
                <w:bCs/>
                <w:kern w:val="0"/>
                <w:szCs w:val="21"/>
              </w:rPr>
              <w:t>指标项</w:t>
            </w:r>
          </w:p>
        </w:tc>
        <w:tc>
          <w:tcPr>
            <w:tcW w:w="7195" w:type="dxa"/>
            <w:vAlign w:val="center"/>
          </w:tcPr>
          <w:p>
            <w:pPr>
              <w:widowControl/>
              <w:jc w:val="center"/>
              <w:rPr>
                <w:rFonts w:ascii="宋体" w:hAnsi="宋体" w:cs="Arial"/>
                <w:b/>
                <w:bCs/>
                <w:kern w:val="0"/>
                <w:szCs w:val="21"/>
              </w:rPr>
            </w:pPr>
            <w:r>
              <w:rPr>
                <w:rFonts w:hint="eastAsia" w:ascii="宋体" w:hAnsi="宋体" w:cs="Arial"/>
                <w:b/>
                <w:bCs/>
                <w:kern w:val="0"/>
                <w:szCs w:val="21"/>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1</w:t>
            </w:r>
          </w:p>
        </w:tc>
        <w:tc>
          <w:tcPr>
            <w:tcW w:w="7195" w:type="dxa"/>
            <w:vAlign w:val="center"/>
          </w:tcPr>
          <w:p>
            <w:pPr>
              <w:rPr>
                <w:rFonts w:ascii="宋体" w:hAnsi="宋体" w:cs="Tahoma"/>
                <w:color w:val="000000"/>
                <w:szCs w:val="21"/>
              </w:rPr>
            </w:pPr>
            <w:r>
              <w:rPr>
                <w:rFonts w:hint="eastAsia" w:ascii="宋体" w:hAnsi="宋体" w:cs="Tahoma"/>
                <w:color w:val="000000"/>
                <w:szCs w:val="21"/>
              </w:rPr>
              <w:t>单一产品同时支持备份、还原</w:t>
            </w:r>
            <w:r>
              <w:rPr>
                <w:rFonts w:ascii="宋体" w:hAnsi="宋体" w:cs="Tahoma"/>
                <w:color w:val="000000"/>
                <w:szCs w:val="21"/>
              </w:rPr>
              <w:t>、</w:t>
            </w:r>
            <w:r>
              <w:rPr>
                <w:rFonts w:hint="eastAsia" w:ascii="宋体" w:hAnsi="宋体" w:cs="Tahoma"/>
                <w:color w:val="000000"/>
                <w:szCs w:val="21"/>
              </w:rPr>
              <w:t>复制和容灾解决</w:t>
            </w:r>
            <w:r>
              <w:rPr>
                <w:rFonts w:ascii="宋体" w:hAnsi="宋体" w:cs="Tahoma"/>
                <w:color w:val="000000"/>
                <w:szCs w:val="21"/>
              </w:rPr>
              <w:t>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2</w:t>
            </w:r>
          </w:p>
        </w:tc>
        <w:tc>
          <w:tcPr>
            <w:tcW w:w="7195" w:type="dxa"/>
            <w:vAlign w:val="center"/>
          </w:tcPr>
          <w:p>
            <w:pPr>
              <w:rPr>
                <w:rFonts w:ascii="宋体" w:hAnsi="宋体" w:cs="Tahoma"/>
                <w:color w:val="000000"/>
                <w:szCs w:val="21"/>
              </w:rPr>
            </w:pPr>
            <w:r>
              <w:rPr>
                <w:rFonts w:hint="eastAsia" w:ascii="宋体" w:hAnsi="宋体" w:cs="Tahoma"/>
                <w:color w:val="000000"/>
                <w:szCs w:val="21"/>
              </w:rPr>
              <w:t>全面支持VMware vSphere平台和Microsoft Hyper-V平台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3</w:t>
            </w:r>
          </w:p>
        </w:tc>
        <w:tc>
          <w:tcPr>
            <w:tcW w:w="7195" w:type="dxa"/>
            <w:vAlign w:val="center"/>
          </w:tcPr>
          <w:p>
            <w:pPr>
              <w:rPr>
                <w:rFonts w:ascii="宋体" w:hAnsi="宋体" w:cs="Tahoma"/>
                <w:color w:val="000000"/>
                <w:szCs w:val="21"/>
              </w:rPr>
            </w:pPr>
            <w:r>
              <w:rPr>
                <w:rFonts w:hint="eastAsia" w:ascii="宋体" w:hAnsi="宋体" w:cs="Tahoma"/>
                <w:color w:val="000000"/>
                <w:szCs w:val="21"/>
              </w:rPr>
              <w:t>无须在每一台虚拟机上安装代理程序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4</w:t>
            </w:r>
          </w:p>
        </w:tc>
        <w:tc>
          <w:tcPr>
            <w:tcW w:w="7195" w:type="dxa"/>
            <w:vAlign w:val="center"/>
          </w:tcPr>
          <w:p>
            <w:pPr>
              <w:rPr>
                <w:rFonts w:ascii="宋体" w:hAnsi="宋体" w:cs="Tahoma"/>
                <w:color w:val="000000"/>
                <w:szCs w:val="21"/>
              </w:rPr>
            </w:pPr>
            <w:r>
              <w:rPr>
                <w:rFonts w:hint="eastAsia" w:ascii="宋体" w:hAnsi="宋体" w:cs="Tahoma"/>
                <w:color w:val="000000"/>
                <w:szCs w:val="21"/>
              </w:rPr>
              <w:t>无代理</w:t>
            </w:r>
            <w:r>
              <w:rPr>
                <w:rFonts w:ascii="宋体" w:hAnsi="宋体" w:cs="Tahoma"/>
                <w:color w:val="000000"/>
                <w:szCs w:val="21"/>
              </w:rPr>
              <w:t>方式备份</w:t>
            </w:r>
            <w:r>
              <w:rPr>
                <w:rFonts w:hint="eastAsia" w:ascii="宋体" w:hAnsi="宋体" w:cs="Tahoma"/>
                <w:color w:val="000000"/>
                <w:szCs w:val="21"/>
              </w:rPr>
              <w:t>、</w:t>
            </w:r>
            <w:r>
              <w:rPr>
                <w:rFonts w:ascii="宋体" w:hAnsi="宋体" w:cs="Tahoma"/>
                <w:color w:val="000000"/>
                <w:szCs w:val="21"/>
              </w:rPr>
              <w:t>还原</w:t>
            </w:r>
            <w:r>
              <w:rPr>
                <w:rFonts w:hint="eastAsia" w:ascii="宋体" w:hAnsi="宋体" w:cs="Tahoma"/>
                <w:color w:val="000000"/>
                <w:szCs w:val="21"/>
              </w:rPr>
              <w:t>关键应用</w:t>
            </w:r>
            <w:r>
              <w:rPr>
                <w:rFonts w:ascii="宋体" w:hAnsi="宋体" w:cs="Tahoma"/>
                <w:color w:val="000000"/>
                <w:szCs w:val="21"/>
              </w:rPr>
              <w:t>（</w:t>
            </w:r>
            <w:r>
              <w:rPr>
                <w:rFonts w:hint="eastAsia" w:ascii="宋体" w:hAnsi="宋体" w:cs="Tahoma"/>
                <w:color w:val="000000"/>
                <w:szCs w:val="21"/>
              </w:rPr>
              <w:t xml:space="preserve">Oracle, </w:t>
            </w:r>
            <w:r>
              <w:rPr>
                <w:rFonts w:ascii="宋体" w:hAnsi="宋体" w:cs="Tahoma"/>
                <w:color w:val="000000"/>
                <w:szCs w:val="21"/>
              </w:rPr>
              <w:t>SQL</w:t>
            </w:r>
            <w:r>
              <w:rPr>
                <w:rFonts w:hint="eastAsia" w:ascii="宋体" w:hAnsi="宋体" w:cs="Tahoma"/>
                <w:color w:val="000000"/>
                <w:szCs w:val="21"/>
              </w:rPr>
              <w:t>,</w:t>
            </w:r>
            <w:r>
              <w:rPr>
                <w:rFonts w:ascii="宋体" w:hAnsi="宋体" w:cs="Tahoma"/>
                <w:color w:val="000000"/>
                <w:szCs w:val="21"/>
              </w:rPr>
              <w:t xml:space="preserve"> Exchange</w:t>
            </w:r>
            <w:r>
              <w:rPr>
                <w:rFonts w:hint="eastAsia" w:ascii="宋体" w:hAnsi="宋体" w:cs="Tahoma"/>
                <w:color w:val="000000"/>
                <w:szCs w:val="21"/>
              </w:rPr>
              <w:t>,</w:t>
            </w:r>
            <w:r>
              <w:rPr>
                <w:rFonts w:ascii="宋体" w:hAnsi="宋体" w:cs="Tahoma"/>
                <w:color w:val="000000"/>
                <w:szCs w:val="21"/>
              </w:rPr>
              <w:t xml:space="preserve"> SharePoint, AD</w:t>
            </w:r>
            <w:r>
              <w:rPr>
                <w:rFonts w:hint="eastAsia" w:ascii="宋体" w:hAnsi="宋体" w:cs="Tahoma"/>
                <w:color w:val="000000"/>
                <w:szCs w:val="21"/>
              </w:rPr>
              <w:t>活动目录以及</w:t>
            </w:r>
            <w:r>
              <w:rPr>
                <w:rFonts w:ascii="宋体" w:hAnsi="宋体" w:cs="Tahoma"/>
                <w:color w:val="000000"/>
                <w:szCs w:val="21"/>
              </w:rPr>
              <w:t>其它应用</w:t>
            </w:r>
            <w:r>
              <w:rPr>
                <w:rFonts w:hint="eastAsia" w:ascii="宋体" w:hAnsi="宋体" w:cs="Tahoma"/>
                <w:color w:val="000000"/>
                <w:szCs w:val="21"/>
              </w:rPr>
              <w:t>系统</w:t>
            </w:r>
            <w:r>
              <w:rPr>
                <w:rFonts w:ascii="宋体" w:hAnsi="宋体" w:cs="Tahom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5</w:t>
            </w:r>
          </w:p>
        </w:tc>
        <w:tc>
          <w:tcPr>
            <w:tcW w:w="7195" w:type="dxa"/>
            <w:vAlign w:val="center"/>
          </w:tcPr>
          <w:p>
            <w:pPr>
              <w:rPr>
                <w:rFonts w:ascii="宋体" w:hAnsi="宋体" w:cs="Tahoma"/>
                <w:color w:val="000000"/>
                <w:szCs w:val="21"/>
              </w:rPr>
            </w:pPr>
            <w:r>
              <w:rPr>
                <w:rFonts w:hint="eastAsia" w:ascii="宋体" w:hAnsi="宋体" w:cs="Tahoma"/>
                <w:color w:val="000000"/>
                <w:szCs w:val="21"/>
              </w:rPr>
              <w:t>支持应用程序一致性的映像级虚拟机备份和复制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6</w:t>
            </w:r>
          </w:p>
        </w:tc>
        <w:tc>
          <w:tcPr>
            <w:tcW w:w="7195" w:type="dxa"/>
            <w:vAlign w:val="center"/>
          </w:tcPr>
          <w:p>
            <w:pPr>
              <w:rPr>
                <w:rFonts w:ascii="宋体" w:hAnsi="宋体" w:cs="Tahoma"/>
                <w:color w:val="000000"/>
                <w:szCs w:val="21"/>
              </w:rPr>
            </w:pPr>
            <w:r>
              <w:rPr>
                <w:rFonts w:hint="eastAsia" w:ascii="宋体" w:hAnsi="宋体" w:cs="Tahoma"/>
                <w:color w:val="000000"/>
                <w:szCs w:val="21"/>
              </w:rPr>
              <w:t>能够通过</w:t>
            </w:r>
            <w:r>
              <w:rPr>
                <w:rFonts w:ascii="宋体" w:hAnsi="宋体" w:cs="Tahoma"/>
                <w:color w:val="000000"/>
                <w:szCs w:val="21"/>
              </w:rPr>
              <w:t>v</w:t>
            </w:r>
            <w:r>
              <w:rPr>
                <w:rFonts w:hint="eastAsia" w:ascii="宋体" w:hAnsi="宋体" w:cs="Tahoma"/>
                <w:color w:val="000000"/>
                <w:szCs w:val="21"/>
              </w:rPr>
              <w:t>Center或者单个ESX /ESXi主机, 充分利用VSphere API进行数据保护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7</w:t>
            </w:r>
          </w:p>
        </w:tc>
        <w:tc>
          <w:tcPr>
            <w:tcW w:w="7195" w:type="dxa"/>
            <w:vAlign w:val="center"/>
          </w:tcPr>
          <w:p>
            <w:pPr>
              <w:rPr>
                <w:rFonts w:ascii="宋体" w:hAnsi="宋体" w:cs="Tahoma"/>
                <w:color w:val="000000"/>
                <w:szCs w:val="21"/>
              </w:rPr>
            </w:pPr>
            <w:r>
              <w:rPr>
                <w:rFonts w:hint="eastAsia" w:ascii="宋体" w:hAnsi="宋体" w:cs="Tahoma"/>
                <w:color w:val="000000"/>
                <w:szCs w:val="21"/>
              </w:rPr>
              <w:t>支持VMware vSphere的块改变跟踪（</w:t>
            </w:r>
            <w:r>
              <w:rPr>
                <w:rFonts w:ascii="宋体" w:hAnsi="宋体" w:cs="Tahoma"/>
                <w:color w:val="000000"/>
                <w:szCs w:val="21"/>
              </w:rPr>
              <w:t>CBT）</w:t>
            </w:r>
            <w:r>
              <w:rPr>
                <w:rFonts w:hint="eastAsia" w:ascii="宋体" w:hAnsi="宋体" w:cs="Tahoma"/>
                <w:color w:val="000000"/>
                <w:szCs w:val="21"/>
              </w:rPr>
              <w:t>技术, 或</w:t>
            </w:r>
            <w:r>
              <w:rPr>
                <w:rFonts w:ascii="宋体" w:hAnsi="宋体" w:cs="Tahoma"/>
                <w:color w:val="000000"/>
                <w:szCs w:val="21"/>
              </w:rPr>
              <w:t>Microsoft Hyper-V</w:t>
            </w:r>
            <w:r>
              <w:rPr>
                <w:rFonts w:hint="eastAsia" w:ascii="宋体" w:hAnsi="宋体" w:cs="Tahoma"/>
                <w:color w:val="000000"/>
                <w:szCs w:val="21"/>
              </w:rPr>
              <w:t>虚拟机</w:t>
            </w:r>
            <w:r>
              <w:rPr>
                <w:rFonts w:ascii="宋体" w:hAnsi="宋体" w:cs="Tahoma"/>
                <w:color w:val="000000"/>
                <w:szCs w:val="21"/>
              </w:rPr>
              <w:t>的</w:t>
            </w:r>
            <w:r>
              <w:rPr>
                <w:rFonts w:hint="eastAsia" w:ascii="宋体" w:hAnsi="宋体" w:cs="Tahoma"/>
                <w:color w:val="000000"/>
                <w:szCs w:val="21"/>
              </w:rPr>
              <w:t xml:space="preserve"> 弹性变化跟踪（RCT）技术进行</w:t>
            </w:r>
            <w:r>
              <w:rPr>
                <w:rFonts w:ascii="宋体" w:hAnsi="宋体" w:cs="Tahoma"/>
                <w:color w:val="000000"/>
                <w:szCs w:val="21"/>
              </w:rPr>
              <w:t>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8</w:t>
            </w:r>
          </w:p>
        </w:tc>
        <w:tc>
          <w:tcPr>
            <w:tcW w:w="7195" w:type="dxa"/>
            <w:vAlign w:val="center"/>
          </w:tcPr>
          <w:p>
            <w:pPr>
              <w:rPr>
                <w:rFonts w:ascii="宋体" w:hAnsi="宋体" w:cs="Tahoma"/>
                <w:color w:val="000000"/>
                <w:szCs w:val="21"/>
              </w:rPr>
            </w:pPr>
            <w:r>
              <w:rPr>
                <w:rFonts w:hint="eastAsia" w:ascii="宋体" w:hAnsi="宋体" w:cs="Tahoma"/>
                <w:color w:val="000000"/>
                <w:szCs w:val="21"/>
              </w:rPr>
              <w:t>能够在备份作</w:t>
            </w:r>
            <w:r>
              <w:rPr>
                <w:rFonts w:ascii="宋体" w:hAnsi="宋体" w:cs="Tahoma"/>
                <w:color w:val="000000"/>
                <w:szCs w:val="21"/>
              </w:rPr>
              <w:t>业</w:t>
            </w:r>
            <w:r>
              <w:rPr>
                <w:rFonts w:hint="eastAsia" w:ascii="宋体" w:hAnsi="宋体" w:cs="Tahoma"/>
                <w:color w:val="000000"/>
                <w:szCs w:val="21"/>
              </w:rPr>
              <w:t>运行期间动态的增加新虚拟机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9</w:t>
            </w:r>
          </w:p>
        </w:tc>
        <w:tc>
          <w:tcPr>
            <w:tcW w:w="7195" w:type="dxa"/>
            <w:vAlign w:val="center"/>
          </w:tcPr>
          <w:p>
            <w:pPr>
              <w:rPr>
                <w:rFonts w:ascii="宋体" w:hAnsi="宋体" w:cs="Tahoma"/>
                <w:color w:val="000000"/>
                <w:szCs w:val="21"/>
              </w:rPr>
            </w:pPr>
            <w:r>
              <w:rPr>
                <w:rFonts w:hint="eastAsia" w:ascii="宋体" w:hAnsi="宋体" w:cs="Tahoma"/>
                <w:color w:val="000000"/>
                <w:szCs w:val="21"/>
              </w:rPr>
              <w:t>支持LAN-free方式</w:t>
            </w:r>
            <w:r>
              <w:rPr>
                <w:rFonts w:ascii="宋体" w:hAnsi="宋体" w:cs="Tahoma"/>
                <w:color w:val="000000"/>
                <w:szCs w:val="21"/>
              </w:rPr>
              <w:t>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10</w:t>
            </w:r>
          </w:p>
        </w:tc>
        <w:tc>
          <w:tcPr>
            <w:tcW w:w="7195" w:type="dxa"/>
            <w:vAlign w:val="center"/>
          </w:tcPr>
          <w:p>
            <w:pPr>
              <w:rPr>
                <w:rFonts w:ascii="宋体" w:hAnsi="宋体" w:cs="Tahoma"/>
                <w:color w:val="000000"/>
                <w:szCs w:val="21"/>
              </w:rPr>
            </w:pPr>
            <w:r>
              <w:rPr>
                <w:rFonts w:hint="eastAsia" w:ascii="宋体" w:hAnsi="宋体" w:cs="Tahoma"/>
                <w:color w:val="000000"/>
                <w:szCs w:val="21"/>
              </w:rPr>
              <w:t>支持连续的作业计划，当一个备份完成立即开始新备份，以达到接近CDP的数据保护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11</w:t>
            </w:r>
          </w:p>
        </w:tc>
        <w:tc>
          <w:tcPr>
            <w:tcW w:w="7195" w:type="dxa"/>
            <w:vAlign w:val="center"/>
          </w:tcPr>
          <w:p>
            <w:pPr>
              <w:rPr>
                <w:rFonts w:ascii="宋体" w:hAnsi="宋体" w:cs="Tahoma"/>
                <w:color w:val="000000"/>
                <w:szCs w:val="21"/>
              </w:rPr>
            </w:pPr>
            <w:r>
              <w:rPr>
                <w:rFonts w:hint="eastAsia" w:ascii="宋体" w:hAnsi="宋体" w:cs="Tahoma"/>
                <w:color w:val="000000"/>
                <w:szCs w:val="21"/>
              </w:rPr>
              <w:t xml:space="preserve">支持thin模式和thick模式磁盘分配的虚拟机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12</w:t>
            </w:r>
          </w:p>
        </w:tc>
        <w:tc>
          <w:tcPr>
            <w:tcW w:w="7195" w:type="dxa"/>
            <w:vAlign w:val="center"/>
          </w:tcPr>
          <w:p>
            <w:pPr>
              <w:rPr>
                <w:rFonts w:ascii="宋体" w:hAnsi="宋体" w:cs="Tahoma"/>
                <w:color w:val="000000"/>
                <w:szCs w:val="21"/>
              </w:rPr>
            </w:pPr>
            <w:r>
              <w:rPr>
                <w:rFonts w:hint="eastAsia" w:ascii="宋体" w:hAnsi="宋体" w:cs="Tahoma"/>
                <w:color w:val="000000"/>
                <w:szCs w:val="21"/>
              </w:rPr>
              <w:t>支持设置</w:t>
            </w:r>
            <w:r>
              <w:rPr>
                <w:rFonts w:ascii="宋体" w:hAnsi="宋体" w:cs="Tahoma"/>
                <w:color w:val="000000"/>
                <w:szCs w:val="21"/>
              </w:rPr>
              <w:t>不同的</w:t>
            </w:r>
            <w:r>
              <w:rPr>
                <w:rFonts w:hint="eastAsia" w:ascii="宋体" w:hAnsi="宋体" w:cs="Tahoma"/>
                <w:color w:val="000000"/>
                <w:szCs w:val="21"/>
              </w:rPr>
              <w:t>用户</w:t>
            </w:r>
            <w:r>
              <w:rPr>
                <w:rFonts w:ascii="宋体" w:hAnsi="宋体" w:cs="Tahoma"/>
                <w:color w:val="000000"/>
                <w:szCs w:val="21"/>
              </w:rPr>
              <w:t>权限，</w:t>
            </w:r>
            <w:r>
              <w:rPr>
                <w:rFonts w:hint="eastAsia" w:ascii="宋体" w:hAnsi="宋体" w:cs="Tahoma"/>
                <w:color w:val="000000"/>
                <w:szCs w:val="21"/>
              </w:rPr>
              <w:t>设置</w:t>
            </w:r>
            <w:r>
              <w:rPr>
                <w:rFonts w:ascii="宋体" w:hAnsi="宋体" w:cs="Tahoma"/>
                <w:color w:val="000000"/>
                <w:szCs w:val="21"/>
              </w:rPr>
              <w:t>特定的用户只能查看备份状态或者进行恢复操作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13</w:t>
            </w:r>
          </w:p>
        </w:tc>
        <w:tc>
          <w:tcPr>
            <w:tcW w:w="7195" w:type="dxa"/>
            <w:vAlign w:val="center"/>
          </w:tcPr>
          <w:p>
            <w:pPr>
              <w:rPr>
                <w:rFonts w:ascii="宋体" w:hAnsi="宋体" w:cs="Tahoma"/>
                <w:color w:val="000000"/>
                <w:szCs w:val="21"/>
              </w:rPr>
            </w:pPr>
            <w:r>
              <w:rPr>
                <w:rFonts w:hint="eastAsia" w:ascii="宋体" w:hAnsi="宋体" w:cs="Tahoma"/>
                <w:color w:val="000000"/>
                <w:szCs w:val="21"/>
              </w:rPr>
              <w:t>在设定的时间段内，过期的虚拟机备份镜像文件可以自动删除以节省存储空间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14</w:t>
            </w:r>
          </w:p>
        </w:tc>
        <w:tc>
          <w:tcPr>
            <w:tcW w:w="7195" w:type="dxa"/>
            <w:vAlign w:val="center"/>
          </w:tcPr>
          <w:p>
            <w:pPr>
              <w:rPr>
                <w:rFonts w:ascii="宋体" w:hAnsi="宋体" w:cs="Tahoma"/>
                <w:color w:val="000000"/>
                <w:szCs w:val="21"/>
              </w:rPr>
            </w:pPr>
            <w:r>
              <w:rPr>
                <w:rFonts w:hint="eastAsia" w:ascii="宋体" w:hAnsi="宋体" w:cs="Tahoma"/>
                <w:color w:val="000000"/>
                <w:szCs w:val="21"/>
              </w:rPr>
              <w:t>支持备份</w:t>
            </w:r>
            <w:r>
              <w:rPr>
                <w:rFonts w:ascii="宋体" w:hAnsi="宋体" w:cs="Tahoma"/>
                <w:color w:val="000000"/>
                <w:szCs w:val="21"/>
              </w:rPr>
              <w:t>到磁盘</w:t>
            </w:r>
            <w:r>
              <w:rPr>
                <w:rFonts w:hint="eastAsia" w:ascii="宋体" w:hAnsi="宋体" w:cs="Tahoma"/>
                <w:color w:val="000000"/>
                <w:szCs w:val="21"/>
              </w:rPr>
              <w:t>、LTO规格的</w:t>
            </w:r>
            <w:r>
              <w:rPr>
                <w:rFonts w:ascii="宋体" w:hAnsi="宋体" w:cs="Tahoma"/>
                <w:color w:val="000000"/>
                <w:szCs w:val="21"/>
              </w:rPr>
              <w:t>磁带</w:t>
            </w:r>
            <w:r>
              <w:rPr>
                <w:rFonts w:hint="eastAsia" w:ascii="宋体" w:hAnsi="宋体" w:cs="Tahoma"/>
                <w:color w:val="000000"/>
                <w:szCs w:val="21"/>
              </w:rPr>
              <w:t>（备份和归档</w:t>
            </w:r>
            <w:r>
              <w:rPr>
                <w:rFonts w:ascii="宋体" w:hAnsi="宋体" w:cs="Tahoma"/>
                <w:color w:val="000000"/>
                <w:szCs w:val="21"/>
              </w:rPr>
              <w:t>文件到</w:t>
            </w:r>
            <w:r>
              <w:rPr>
                <w:rFonts w:hint="eastAsia" w:ascii="宋体" w:hAnsi="宋体" w:cs="Tahoma"/>
                <w:color w:val="000000"/>
                <w:szCs w:val="21"/>
              </w:rPr>
              <w:t>磁带,</w:t>
            </w:r>
            <w:r>
              <w:rPr>
                <w:rFonts w:ascii="宋体" w:hAnsi="宋体" w:cs="Tahoma"/>
                <w:color w:val="000000"/>
                <w:szCs w:val="21"/>
              </w:rPr>
              <w:t>归档备份文件到磁带）</w:t>
            </w:r>
            <w:r>
              <w:rPr>
                <w:rFonts w:hint="eastAsia" w:ascii="宋体" w:hAnsi="宋体" w:cs="Tahoma"/>
                <w:color w:val="000000"/>
                <w:szCs w:val="21"/>
              </w:rPr>
              <w:t>、以及具有去重功能的专业备份设备，例如：</w:t>
            </w:r>
            <w:r>
              <w:rPr>
                <w:rFonts w:ascii="宋体" w:hAnsi="宋体" w:cs="Tahoma"/>
                <w:color w:val="000000"/>
                <w:szCs w:val="21"/>
              </w:rPr>
              <w:t>EMC DataDomain</w:t>
            </w:r>
            <w:r>
              <w:rPr>
                <w:rFonts w:hint="eastAsia" w:ascii="宋体" w:hAnsi="宋体" w:cs="Tahoma"/>
                <w:color w:val="000000"/>
                <w:szCs w:val="21"/>
              </w:rPr>
              <w:t>、</w:t>
            </w:r>
            <w:r>
              <w:rPr>
                <w:rFonts w:ascii="宋体" w:hAnsi="宋体" w:cs="Tahoma"/>
                <w:color w:val="000000"/>
                <w:szCs w:val="21"/>
              </w:rPr>
              <w:t>HPEStoreOnce</w:t>
            </w:r>
            <w:r>
              <w:rPr>
                <w:rFonts w:hint="eastAsia" w:ascii="宋体" w:hAnsi="宋体" w:cs="Tahoma"/>
                <w:color w:val="000000"/>
                <w:szCs w:val="21"/>
              </w:rPr>
              <w:t>或某些公有云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15</w:t>
            </w:r>
          </w:p>
        </w:tc>
        <w:tc>
          <w:tcPr>
            <w:tcW w:w="7195" w:type="dxa"/>
            <w:vAlign w:val="center"/>
          </w:tcPr>
          <w:p>
            <w:pPr>
              <w:rPr>
                <w:rFonts w:ascii="宋体" w:hAnsi="宋体" w:cs="Tahoma"/>
                <w:color w:val="000000"/>
                <w:szCs w:val="21"/>
              </w:rPr>
            </w:pPr>
            <w:r>
              <w:rPr>
                <w:rFonts w:hint="eastAsia" w:ascii="宋体" w:hAnsi="宋体" w:cs="Tahoma"/>
                <w:color w:val="000000"/>
                <w:szCs w:val="21"/>
              </w:rPr>
              <w:t>提供基于网络访问的企业控制台用于监控、管理、备份、恢复和统计等管理操作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1</w:t>
            </w:r>
            <w:r>
              <w:rPr>
                <w:rFonts w:ascii="宋体" w:hAnsi="宋体" w:cs="Tahoma"/>
                <w:color w:val="000000"/>
                <w:szCs w:val="21"/>
              </w:rPr>
              <w:t>6</w:t>
            </w:r>
          </w:p>
        </w:tc>
        <w:tc>
          <w:tcPr>
            <w:tcW w:w="7195" w:type="dxa"/>
            <w:vAlign w:val="center"/>
          </w:tcPr>
          <w:p>
            <w:pPr>
              <w:autoSpaceDE w:val="0"/>
              <w:autoSpaceDN w:val="0"/>
              <w:adjustRightInd w:val="0"/>
              <w:rPr>
                <w:rFonts w:ascii="宋体" w:hAnsi="宋体" w:cs="Tahoma"/>
                <w:color w:val="000000"/>
                <w:szCs w:val="21"/>
              </w:rPr>
            </w:pPr>
            <w:r>
              <w:rPr>
                <w:rFonts w:hint="eastAsia" w:ascii="宋体" w:hAnsi="宋体" w:cs="Tahoma"/>
                <w:color w:val="000000"/>
                <w:szCs w:val="21"/>
              </w:rPr>
              <w:t>能够支持整个虚拟机恢复、虚拟机文件、虚拟磁盘恢复，支持直接从备份文件中启动虚拟机和业务系统，同时支持将</w:t>
            </w:r>
            <w:r>
              <w:rPr>
                <w:rFonts w:ascii="宋体" w:hAnsi="宋体" w:cs="Tahoma"/>
                <w:color w:val="000000"/>
                <w:szCs w:val="21"/>
              </w:rPr>
              <w:t>备份</w:t>
            </w:r>
            <w:r>
              <w:rPr>
                <w:rFonts w:hint="eastAsia" w:ascii="宋体" w:hAnsi="宋体" w:cs="Tahoma"/>
                <w:color w:val="000000"/>
                <w:szCs w:val="21"/>
              </w:rPr>
              <w:t>虚拟机</w:t>
            </w:r>
            <w:r>
              <w:rPr>
                <w:rFonts w:ascii="宋体" w:hAnsi="宋体" w:cs="Tahoma"/>
                <w:color w:val="000000"/>
                <w:szCs w:val="21"/>
              </w:rPr>
              <w:t>直接恢复到</w:t>
            </w:r>
            <w:r>
              <w:rPr>
                <w:rFonts w:hint="eastAsia" w:ascii="宋体" w:hAnsi="宋体" w:cs="Tahoma"/>
                <w:color w:val="000000"/>
                <w:szCs w:val="21"/>
              </w:rPr>
              <w:t>公有云中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1</w:t>
            </w:r>
            <w:r>
              <w:rPr>
                <w:rFonts w:ascii="宋体" w:hAnsi="宋体" w:cs="Tahoma"/>
                <w:color w:val="000000"/>
                <w:szCs w:val="21"/>
              </w:rPr>
              <w:t>7</w:t>
            </w:r>
          </w:p>
        </w:tc>
        <w:tc>
          <w:tcPr>
            <w:tcW w:w="7195" w:type="dxa"/>
            <w:vAlign w:val="center"/>
          </w:tcPr>
          <w:p>
            <w:pPr>
              <w:rPr>
                <w:rFonts w:ascii="宋体" w:hAnsi="宋体" w:cs="Tahoma"/>
                <w:color w:val="000000"/>
                <w:szCs w:val="21"/>
              </w:rPr>
            </w:pPr>
            <w:r>
              <w:rPr>
                <w:rFonts w:hint="eastAsia" w:ascii="宋体" w:hAnsi="宋体" w:cs="Tahoma"/>
                <w:color w:val="000000"/>
                <w:szCs w:val="21"/>
              </w:rPr>
              <w:t>能够提供Guest OS层面的文件级即时恢复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1</w:t>
            </w:r>
            <w:r>
              <w:rPr>
                <w:rFonts w:ascii="宋体" w:hAnsi="宋体" w:cs="Tahoma"/>
                <w:color w:val="000000"/>
                <w:szCs w:val="21"/>
              </w:rPr>
              <w:t>8</w:t>
            </w:r>
          </w:p>
        </w:tc>
        <w:tc>
          <w:tcPr>
            <w:tcW w:w="7195" w:type="dxa"/>
            <w:vAlign w:val="center"/>
          </w:tcPr>
          <w:p>
            <w:pPr>
              <w:rPr>
                <w:rFonts w:ascii="宋体" w:hAnsi="宋体" w:cs="Tahoma"/>
                <w:color w:val="000000"/>
                <w:szCs w:val="21"/>
              </w:rPr>
            </w:pPr>
            <w:r>
              <w:rPr>
                <w:rFonts w:hint="eastAsia" w:ascii="宋体" w:hAnsi="宋体" w:cs="Tahoma"/>
                <w:color w:val="000000"/>
                <w:szCs w:val="21"/>
              </w:rPr>
              <w:t>能够从EMC、HPE、NetApp、Nimble等企业存储级快照中恢复单个虚拟机、客户机操作系统文件或应用程序及程序中的子项目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1</w:t>
            </w:r>
            <w:r>
              <w:rPr>
                <w:rFonts w:ascii="宋体" w:hAnsi="宋体" w:cs="Tahoma"/>
                <w:color w:val="000000"/>
                <w:szCs w:val="21"/>
              </w:rPr>
              <w:t>9</w:t>
            </w:r>
          </w:p>
        </w:tc>
        <w:tc>
          <w:tcPr>
            <w:tcW w:w="7195" w:type="dxa"/>
            <w:vAlign w:val="center"/>
          </w:tcPr>
          <w:p>
            <w:pPr>
              <w:rPr>
                <w:rFonts w:ascii="宋体" w:hAnsi="宋体" w:cs="Tahoma"/>
                <w:color w:val="000000"/>
                <w:szCs w:val="21"/>
              </w:rPr>
            </w:pPr>
            <w:r>
              <w:rPr>
                <w:rFonts w:hint="eastAsia" w:ascii="宋体" w:hAnsi="宋体" w:cs="Tahoma"/>
                <w:color w:val="000000"/>
                <w:szCs w:val="21"/>
              </w:rPr>
              <w:t>能够备份并恢复虚拟机的配置文件，比如vSphere虚拟机的vmx文件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20</w:t>
            </w:r>
          </w:p>
        </w:tc>
        <w:tc>
          <w:tcPr>
            <w:tcW w:w="7195" w:type="dxa"/>
            <w:vAlign w:val="center"/>
          </w:tcPr>
          <w:p>
            <w:pPr>
              <w:rPr>
                <w:rFonts w:ascii="宋体" w:hAnsi="宋体" w:cs="Tahoma"/>
                <w:color w:val="000000"/>
                <w:szCs w:val="21"/>
              </w:rPr>
            </w:pPr>
            <w:r>
              <w:rPr>
                <w:rFonts w:hint="eastAsia" w:ascii="宋体" w:hAnsi="宋体" w:cs="Tahoma"/>
                <w:color w:val="000000"/>
                <w:szCs w:val="21"/>
              </w:rPr>
              <w:t>能够支持无代理应用-条目级恢复（用于MS SQL 、Exchange、AD 、SharePoint、Oracle以及其它应用）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2</w:t>
            </w:r>
            <w:r>
              <w:rPr>
                <w:rFonts w:ascii="宋体" w:hAnsi="宋体" w:cs="Tahoma"/>
                <w:color w:val="000000"/>
                <w:szCs w:val="21"/>
              </w:rPr>
              <w:t>1</w:t>
            </w:r>
          </w:p>
        </w:tc>
        <w:tc>
          <w:tcPr>
            <w:tcW w:w="7195" w:type="dxa"/>
            <w:vAlign w:val="center"/>
          </w:tcPr>
          <w:p>
            <w:pPr>
              <w:rPr>
                <w:rFonts w:ascii="宋体" w:hAnsi="宋体" w:cs="Tahoma"/>
                <w:color w:val="000000"/>
                <w:szCs w:val="21"/>
              </w:rPr>
            </w:pPr>
            <w:r>
              <w:rPr>
                <w:rFonts w:hint="eastAsia" w:ascii="宋体" w:hAnsi="宋体" w:cs="Tahoma"/>
                <w:color w:val="000000"/>
                <w:szCs w:val="21"/>
              </w:rPr>
              <w:t>能够搜索</w:t>
            </w:r>
            <w:r>
              <w:rPr>
                <w:rFonts w:ascii="宋体" w:hAnsi="宋体" w:cs="Tahoma"/>
                <w:color w:val="000000"/>
                <w:szCs w:val="21"/>
              </w:rPr>
              <w:t>和还原所有</w:t>
            </w:r>
            <w:r>
              <w:rPr>
                <w:rFonts w:hint="eastAsia" w:ascii="宋体" w:hAnsi="宋体" w:cs="Tahoma"/>
                <w:color w:val="000000"/>
                <w:szCs w:val="21"/>
              </w:rPr>
              <w:t>AD对象</w:t>
            </w:r>
            <w:r>
              <w:rPr>
                <w:rFonts w:ascii="宋体" w:hAnsi="宋体" w:cs="Tahoma"/>
                <w:color w:val="000000"/>
                <w:szCs w:val="21"/>
              </w:rPr>
              <w:t>类型，包括用户</w:t>
            </w:r>
            <w:r>
              <w:rPr>
                <w:rFonts w:hint="eastAsia" w:ascii="宋体" w:hAnsi="宋体" w:cs="Tahoma"/>
                <w:color w:val="000000"/>
                <w:szCs w:val="21"/>
              </w:rPr>
              <w:t>、</w:t>
            </w:r>
            <w:r>
              <w:rPr>
                <w:rFonts w:ascii="宋体" w:hAnsi="宋体" w:cs="Tahoma"/>
                <w:color w:val="000000"/>
                <w:szCs w:val="21"/>
              </w:rPr>
              <w:t>组、计算机账号、联系人</w:t>
            </w:r>
            <w:r>
              <w:rPr>
                <w:rFonts w:hint="eastAsia" w:ascii="宋体" w:hAnsi="宋体" w:cs="Tahoma"/>
                <w:color w:val="000000"/>
                <w:szCs w:val="21"/>
              </w:rPr>
              <w:t>以及</w:t>
            </w:r>
            <w:r>
              <w:rPr>
                <w:rFonts w:ascii="宋体" w:hAnsi="宋体" w:cs="Tahoma"/>
                <w:color w:val="000000"/>
                <w:szCs w:val="21"/>
              </w:rPr>
              <w:t>计算机密码的恢复</w:t>
            </w:r>
            <w:r>
              <w:rPr>
                <w:rFonts w:hint="eastAsia" w:ascii="宋体" w:hAnsi="宋体" w:cs="Tahoma"/>
                <w:color w:val="000000"/>
                <w:szCs w:val="21"/>
              </w:rPr>
              <w:t>，多选</w:t>
            </w:r>
            <w:r>
              <w:rPr>
                <w:rFonts w:ascii="宋体" w:hAnsi="宋体" w:cs="Tahoma"/>
                <w:color w:val="000000"/>
                <w:szCs w:val="21"/>
              </w:rPr>
              <w:t>还原、</w:t>
            </w:r>
            <w:r>
              <w:rPr>
                <w:rFonts w:hint="eastAsia" w:ascii="宋体" w:hAnsi="宋体" w:cs="Tahoma"/>
                <w:color w:val="000000"/>
                <w:szCs w:val="21"/>
              </w:rPr>
              <w:t>容器</w:t>
            </w:r>
            <w:r>
              <w:rPr>
                <w:rFonts w:ascii="宋体" w:hAnsi="宋体" w:cs="Tahoma"/>
                <w:color w:val="000000"/>
                <w:szCs w:val="21"/>
              </w:rPr>
              <w:t>恢复</w:t>
            </w:r>
            <w:r>
              <w:rPr>
                <w:rFonts w:hint="eastAsia" w:ascii="宋体" w:hAnsi="宋体" w:cs="Tahoma"/>
                <w:color w:val="000000"/>
                <w:szCs w:val="21"/>
              </w:rPr>
              <w:t>、</w:t>
            </w:r>
            <w:r>
              <w:rPr>
                <w:rFonts w:ascii="宋体" w:hAnsi="宋体" w:cs="Tahoma"/>
                <w:color w:val="000000"/>
                <w:szCs w:val="21"/>
              </w:rPr>
              <w:t>组策略</w:t>
            </w:r>
            <w:r>
              <w:rPr>
                <w:rFonts w:hint="eastAsia" w:ascii="宋体" w:hAnsi="宋体" w:cs="Tahoma"/>
                <w:color w:val="000000"/>
                <w:szCs w:val="21"/>
              </w:rPr>
              <w:t>对象</w:t>
            </w:r>
            <w:r>
              <w:rPr>
                <w:rFonts w:ascii="宋体" w:hAnsi="宋体" w:cs="Tahoma"/>
                <w:color w:val="000000"/>
                <w:szCs w:val="21"/>
              </w:rPr>
              <w:t>还原</w:t>
            </w:r>
            <w:r>
              <w:rPr>
                <w:rFonts w:hint="eastAsia" w:ascii="宋体" w:hAnsi="宋体" w:cs="Tahoma"/>
                <w:color w:val="000000"/>
                <w:szCs w:val="21"/>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2</w:t>
            </w:r>
            <w:r>
              <w:rPr>
                <w:rFonts w:ascii="宋体" w:hAnsi="宋体" w:cs="Tahoma"/>
                <w:color w:val="000000"/>
                <w:szCs w:val="21"/>
              </w:rPr>
              <w:t>2</w:t>
            </w:r>
          </w:p>
        </w:tc>
        <w:tc>
          <w:tcPr>
            <w:tcW w:w="7195" w:type="dxa"/>
            <w:vAlign w:val="center"/>
          </w:tcPr>
          <w:p>
            <w:pPr>
              <w:rPr>
                <w:rFonts w:ascii="宋体" w:hAnsi="宋体" w:cs="Tahoma"/>
                <w:color w:val="000000"/>
                <w:szCs w:val="21"/>
              </w:rPr>
            </w:pPr>
            <w:r>
              <w:rPr>
                <w:rFonts w:hint="eastAsia" w:ascii="宋体" w:hAnsi="宋体" w:cs="Tahoma"/>
                <w:color w:val="000000"/>
                <w:szCs w:val="21"/>
              </w:rPr>
              <w:t>能够实现</w:t>
            </w:r>
            <w:r>
              <w:rPr>
                <w:rFonts w:ascii="宋体" w:hAnsi="宋体" w:cs="Tahoma"/>
                <w:color w:val="000000"/>
                <w:szCs w:val="21"/>
              </w:rPr>
              <w:t>对单个</w:t>
            </w:r>
            <w:r>
              <w:rPr>
                <w:rFonts w:hint="eastAsia" w:ascii="宋体" w:hAnsi="宋体" w:cs="Tahoma"/>
                <w:color w:val="000000"/>
                <w:szCs w:val="21"/>
              </w:rPr>
              <w:t>Exchange项目（电子</w:t>
            </w:r>
            <w:r>
              <w:rPr>
                <w:rFonts w:ascii="宋体" w:hAnsi="宋体" w:cs="Tahoma"/>
                <w:color w:val="000000"/>
                <w:szCs w:val="21"/>
              </w:rPr>
              <w:t>邮件、备份、联系人）</w:t>
            </w:r>
            <w:r>
              <w:rPr>
                <w:rFonts w:hint="eastAsia" w:ascii="宋体" w:hAnsi="宋体" w:cs="Tahoma"/>
                <w:color w:val="000000"/>
                <w:szCs w:val="21"/>
              </w:rPr>
              <w:t>、</w:t>
            </w:r>
            <w:r>
              <w:rPr>
                <w:rFonts w:ascii="宋体" w:hAnsi="宋体" w:cs="Tahoma"/>
                <w:color w:val="000000"/>
                <w:szCs w:val="21"/>
              </w:rPr>
              <w:t>硬删除项目的</w:t>
            </w:r>
            <w:r>
              <w:rPr>
                <w:rFonts w:hint="eastAsia" w:ascii="宋体" w:hAnsi="宋体" w:cs="Tahoma"/>
                <w:color w:val="000000"/>
                <w:szCs w:val="21"/>
              </w:rPr>
              <w:t>项目</w:t>
            </w:r>
            <w:r>
              <w:rPr>
                <w:rFonts w:ascii="宋体" w:hAnsi="宋体" w:cs="Tahoma"/>
                <w:color w:val="000000"/>
                <w:szCs w:val="21"/>
              </w:rPr>
              <w:t>恢复，</w:t>
            </w:r>
            <w:r>
              <w:rPr>
                <w:rFonts w:hint="eastAsia" w:ascii="宋体" w:hAnsi="宋体" w:cs="Tahoma"/>
                <w:color w:val="000000"/>
                <w:szCs w:val="21"/>
              </w:rPr>
              <w:t>支持</w:t>
            </w:r>
            <w:r>
              <w:rPr>
                <w:rFonts w:ascii="宋体" w:hAnsi="宋体" w:cs="Tahoma"/>
                <w:color w:val="000000"/>
                <w:szCs w:val="21"/>
              </w:rPr>
              <w:t>还原回原始邮箱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2</w:t>
            </w:r>
            <w:r>
              <w:rPr>
                <w:rFonts w:ascii="宋体" w:hAnsi="宋体" w:cs="Tahoma"/>
                <w:color w:val="000000"/>
                <w:szCs w:val="21"/>
              </w:rPr>
              <w:t>3</w:t>
            </w:r>
          </w:p>
        </w:tc>
        <w:tc>
          <w:tcPr>
            <w:tcW w:w="7195" w:type="dxa"/>
            <w:vAlign w:val="center"/>
          </w:tcPr>
          <w:p>
            <w:pPr>
              <w:rPr>
                <w:rFonts w:ascii="宋体" w:hAnsi="宋体" w:cs="Tahoma"/>
                <w:color w:val="000000"/>
                <w:szCs w:val="21"/>
              </w:rPr>
            </w:pPr>
            <w:r>
              <w:rPr>
                <w:rFonts w:hint="eastAsia" w:ascii="宋体" w:hAnsi="宋体" w:cs="Tahoma"/>
                <w:color w:val="000000"/>
                <w:szCs w:val="21"/>
              </w:rPr>
              <w:t>还原单个 SQL 数据库，支持本地时间点导出 SQL 数据库文件，无代理事务日志备份和重播，支持将数据库和 SQL 对象（表、存储的程序、视图等）事务级还原至原始或新 SQL 服务器的功能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2</w:t>
            </w:r>
            <w:r>
              <w:rPr>
                <w:rFonts w:ascii="宋体" w:hAnsi="宋体" w:cs="Tahoma"/>
                <w:color w:val="000000"/>
                <w:szCs w:val="21"/>
              </w:rPr>
              <w:t>4</w:t>
            </w:r>
          </w:p>
        </w:tc>
        <w:tc>
          <w:tcPr>
            <w:tcW w:w="7195" w:type="dxa"/>
            <w:vAlign w:val="center"/>
          </w:tcPr>
          <w:p>
            <w:pPr>
              <w:rPr>
                <w:rFonts w:ascii="宋体" w:hAnsi="宋体" w:cs="Tahoma"/>
                <w:color w:val="000000"/>
                <w:szCs w:val="21"/>
              </w:rPr>
            </w:pPr>
            <w:r>
              <w:rPr>
                <w:rFonts w:hint="eastAsia" w:ascii="宋体" w:hAnsi="宋体" w:cs="Tahoma"/>
                <w:color w:val="000000"/>
                <w:szCs w:val="21"/>
              </w:rPr>
              <w:t>支持 SharePoint 细粒度还原并可对还原的项目执行保存、发送和导出操作。还支持还原至原始位置的功能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2</w:t>
            </w:r>
            <w:r>
              <w:rPr>
                <w:rFonts w:ascii="宋体" w:hAnsi="宋体" w:cs="Tahoma"/>
                <w:color w:val="000000"/>
                <w:szCs w:val="21"/>
              </w:rPr>
              <w:t>5</w:t>
            </w:r>
          </w:p>
        </w:tc>
        <w:tc>
          <w:tcPr>
            <w:tcW w:w="7195" w:type="dxa"/>
            <w:vAlign w:val="center"/>
          </w:tcPr>
          <w:p>
            <w:pPr>
              <w:rPr>
                <w:rFonts w:ascii="宋体" w:hAnsi="宋体" w:cs="Tahoma"/>
                <w:color w:val="000000"/>
                <w:szCs w:val="21"/>
              </w:rPr>
            </w:pPr>
            <w:r>
              <w:rPr>
                <w:rFonts w:hint="eastAsia" w:ascii="宋体" w:hAnsi="宋体" w:cs="Tahoma"/>
                <w:color w:val="000000"/>
                <w:szCs w:val="21"/>
              </w:rPr>
              <w:t>还原单个</w:t>
            </w:r>
            <w:r>
              <w:rPr>
                <w:rFonts w:ascii="宋体" w:hAnsi="宋体" w:cs="Tahoma"/>
                <w:color w:val="000000"/>
                <w:szCs w:val="21"/>
              </w:rPr>
              <w:t xml:space="preserve"> Oracle </w:t>
            </w:r>
            <w:r>
              <w:rPr>
                <w:rFonts w:hint="eastAsia" w:ascii="宋体" w:hAnsi="宋体" w:cs="Tahoma"/>
                <w:color w:val="000000"/>
                <w:szCs w:val="21"/>
              </w:rPr>
              <w:t>数据库，包括无代理事务日志备份、存档日志管理以及将数据库事务级还原至原始或新</w:t>
            </w:r>
            <w:r>
              <w:rPr>
                <w:rFonts w:ascii="宋体" w:hAnsi="宋体" w:cs="Tahoma"/>
                <w:color w:val="000000"/>
                <w:szCs w:val="21"/>
              </w:rPr>
              <w:t xml:space="preserve">Oracle </w:t>
            </w:r>
            <w:r>
              <w:rPr>
                <w:rFonts w:hint="eastAsia" w:ascii="宋体" w:hAnsi="宋体" w:cs="Tahoma"/>
                <w:color w:val="000000"/>
                <w:szCs w:val="21"/>
              </w:rPr>
              <w:t>服务器的功能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2</w:t>
            </w:r>
            <w:r>
              <w:rPr>
                <w:rFonts w:ascii="宋体" w:hAnsi="宋体" w:cs="Tahoma"/>
                <w:color w:val="000000"/>
                <w:szCs w:val="21"/>
              </w:rPr>
              <w:t>6</w:t>
            </w:r>
          </w:p>
        </w:tc>
        <w:tc>
          <w:tcPr>
            <w:tcW w:w="7195" w:type="dxa"/>
            <w:vAlign w:val="center"/>
          </w:tcPr>
          <w:p>
            <w:pPr>
              <w:rPr>
                <w:rFonts w:ascii="宋体" w:hAnsi="宋体" w:cs="Tahoma"/>
                <w:color w:val="000000"/>
                <w:szCs w:val="21"/>
              </w:rPr>
            </w:pPr>
            <w:r>
              <w:rPr>
                <w:rFonts w:hint="eastAsia" w:ascii="宋体" w:hAnsi="宋体" w:cs="Tahoma"/>
                <w:color w:val="000000"/>
                <w:szCs w:val="21"/>
              </w:rPr>
              <w:t>可通过</w:t>
            </w:r>
            <w:r>
              <w:rPr>
                <w:rFonts w:ascii="宋体" w:hAnsi="宋体" w:cs="Tahoma"/>
                <w:color w:val="000000"/>
                <w:szCs w:val="21"/>
              </w:rPr>
              <w:t xml:space="preserve"> Web </w:t>
            </w:r>
            <w:r>
              <w:rPr>
                <w:rFonts w:hint="eastAsia" w:ascii="宋体" w:hAnsi="宋体" w:cs="Tahoma"/>
                <w:color w:val="000000"/>
                <w:szCs w:val="21"/>
              </w:rPr>
              <w:t>用户界面进行一键式的自助式恢复，包括文件、应用程序和虚拟机等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2</w:t>
            </w:r>
            <w:r>
              <w:rPr>
                <w:rFonts w:ascii="宋体" w:hAnsi="宋体" w:cs="Tahoma"/>
                <w:color w:val="000000"/>
                <w:szCs w:val="21"/>
              </w:rPr>
              <w:t>7</w:t>
            </w:r>
          </w:p>
        </w:tc>
        <w:tc>
          <w:tcPr>
            <w:tcW w:w="7195" w:type="dxa"/>
            <w:vAlign w:val="center"/>
          </w:tcPr>
          <w:p>
            <w:pPr>
              <w:rPr>
                <w:rFonts w:ascii="宋体" w:hAnsi="宋体" w:cs="Tahoma"/>
                <w:color w:val="000000"/>
                <w:szCs w:val="21"/>
              </w:rPr>
            </w:pPr>
            <w:r>
              <w:rPr>
                <w:rFonts w:hint="eastAsia" w:ascii="宋体" w:hAnsi="宋体" w:cs="Tahoma"/>
                <w:color w:val="000000"/>
                <w:szCs w:val="21"/>
              </w:rPr>
              <w:t>通过Web页访问的方式，可将恢复任务委派给特定用户或用户组，从而能够实现所有 Web UI 自助恢复功能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2</w:t>
            </w:r>
            <w:r>
              <w:rPr>
                <w:rFonts w:ascii="宋体" w:hAnsi="宋体" w:cs="Tahoma"/>
                <w:color w:val="000000"/>
                <w:szCs w:val="21"/>
              </w:rPr>
              <w:t>8</w:t>
            </w:r>
          </w:p>
        </w:tc>
        <w:tc>
          <w:tcPr>
            <w:tcW w:w="7195" w:type="dxa"/>
            <w:vAlign w:val="center"/>
          </w:tcPr>
          <w:p>
            <w:pPr>
              <w:rPr>
                <w:rFonts w:ascii="宋体" w:hAnsi="宋体" w:cs="Tahoma"/>
                <w:color w:val="000000"/>
                <w:szCs w:val="21"/>
              </w:rPr>
            </w:pPr>
            <w:r>
              <w:rPr>
                <w:rFonts w:hint="eastAsia" w:ascii="宋体" w:hAnsi="宋体" w:cs="Tahoma"/>
                <w:color w:val="000000"/>
                <w:szCs w:val="21"/>
              </w:rPr>
              <w:t>支持对</w:t>
            </w:r>
            <w:r>
              <w:rPr>
                <w:rFonts w:ascii="宋体" w:hAnsi="宋体" w:cs="Tahoma"/>
                <w:color w:val="000000"/>
                <w:szCs w:val="21"/>
              </w:rPr>
              <w:t>备份</w:t>
            </w:r>
            <w:r>
              <w:rPr>
                <w:rFonts w:hint="eastAsia" w:ascii="宋体" w:hAnsi="宋体" w:cs="Tahoma"/>
                <w:color w:val="000000"/>
                <w:szCs w:val="21"/>
              </w:rPr>
              <w:t>I/O进行</w:t>
            </w:r>
            <w:r>
              <w:rPr>
                <w:rFonts w:ascii="宋体" w:hAnsi="宋体" w:cs="Tahoma"/>
                <w:color w:val="000000"/>
                <w:szCs w:val="21"/>
              </w:rPr>
              <w:t>设置</w:t>
            </w:r>
            <w:r>
              <w:rPr>
                <w:rFonts w:hint="eastAsia" w:ascii="宋体" w:hAnsi="宋体" w:cs="Tahoma"/>
                <w:color w:val="000000"/>
                <w:szCs w:val="21"/>
              </w:rPr>
              <w:t>，以确保备份和复制活动不会影响用于满足生产负荷的存储可用性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29</w:t>
            </w:r>
          </w:p>
        </w:tc>
        <w:tc>
          <w:tcPr>
            <w:tcW w:w="7195" w:type="dxa"/>
            <w:vAlign w:val="center"/>
          </w:tcPr>
          <w:p>
            <w:pPr>
              <w:rPr>
                <w:rFonts w:ascii="宋体" w:hAnsi="宋体" w:cs="Tahoma"/>
                <w:color w:val="000000"/>
                <w:szCs w:val="21"/>
              </w:rPr>
            </w:pPr>
            <w:r>
              <w:rPr>
                <w:rFonts w:hint="eastAsia" w:ascii="宋体" w:hAnsi="宋体" w:cs="Tahoma"/>
                <w:color w:val="000000"/>
                <w:szCs w:val="21"/>
              </w:rPr>
              <w:t>支持通过利用存储快照技术（EMC、</w:t>
            </w:r>
            <w:r>
              <w:rPr>
                <w:rFonts w:ascii="宋体" w:hAnsi="宋体" w:cs="Tahoma"/>
                <w:color w:val="000000"/>
                <w:szCs w:val="21"/>
              </w:rPr>
              <w:t>NetApp</w:t>
            </w:r>
            <w:r>
              <w:rPr>
                <w:rFonts w:hint="eastAsia" w:ascii="宋体" w:hAnsi="宋体" w:cs="Tahoma"/>
                <w:color w:val="000000"/>
                <w:szCs w:val="21"/>
              </w:rPr>
              <w:t>、</w:t>
            </w:r>
            <w:r>
              <w:rPr>
                <w:rFonts w:ascii="宋体" w:hAnsi="宋体" w:cs="Tahoma"/>
                <w:color w:val="000000"/>
                <w:szCs w:val="21"/>
              </w:rPr>
              <w:t>HPE</w:t>
            </w:r>
            <w:r>
              <w:rPr>
                <w:rFonts w:hint="eastAsia" w:ascii="宋体" w:hAnsi="宋体" w:cs="Tahoma"/>
                <w:color w:val="000000"/>
                <w:szCs w:val="21"/>
              </w:rPr>
              <w:t>、</w:t>
            </w:r>
            <w:r>
              <w:rPr>
                <w:rFonts w:ascii="宋体" w:hAnsi="宋体" w:cs="Tahoma"/>
                <w:color w:val="000000"/>
                <w:szCs w:val="21"/>
              </w:rPr>
              <w:t>Nimble</w:t>
            </w:r>
            <w:r>
              <w:rPr>
                <w:rFonts w:hint="eastAsia" w:ascii="宋体" w:hAnsi="宋体" w:cs="Tahoma"/>
                <w:color w:val="000000"/>
                <w:szCs w:val="21"/>
              </w:rPr>
              <w:t>、Cisco HyperFlex等</w:t>
            </w:r>
            <w:r>
              <w:rPr>
                <w:rFonts w:ascii="宋体" w:hAnsi="宋体" w:cs="Tahoma"/>
                <w:color w:val="000000"/>
                <w:szCs w:val="21"/>
              </w:rPr>
              <w:t>）</w:t>
            </w:r>
            <w:r>
              <w:rPr>
                <w:rFonts w:hint="eastAsia" w:ascii="宋体" w:hAnsi="宋体" w:cs="Tahoma"/>
                <w:color w:val="000000"/>
                <w:szCs w:val="21"/>
              </w:rPr>
              <w:t>来备份和</w:t>
            </w:r>
            <w:r>
              <w:rPr>
                <w:rFonts w:ascii="宋体" w:hAnsi="宋体" w:cs="Tahoma"/>
                <w:color w:val="000000"/>
                <w:szCs w:val="21"/>
              </w:rPr>
              <w:t>复制</w:t>
            </w:r>
            <w:r>
              <w:rPr>
                <w:rFonts w:hint="eastAsia" w:ascii="宋体" w:hAnsi="宋体" w:cs="Tahoma"/>
                <w:color w:val="000000"/>
                <w:szCs w:val="21"/>
              </w:rPr>
              <w:t>虚拟机，减低物理服务器负载，</w:t>
            </w:r>
            <w:r>
              <w:rPr>
                <w:rFonts w:ascii="宋体" w:hAnsi="宋体" w:cs="Tahoma"/>
                <w:color w:val="000000"/>
                <w:szCs w:val="21"/>
              </w:rPr>
              <w:t>实现更快速的虚拟机和应用</w:t>
            </w:r>
            <w:r>
              <w:rPr>
                <w:rFonts w:hint="eastAsia" w:ascii="宋体" w:hAnsi="宋体" w:cs="Tahoma"/>
                <w:color w:val="000000"/>
                <w:szCs w:val="21"/>
              </w:rPr>
              <w:t>程序</w:t>
            </w:r>
            <w:r>
              <w:rPr>
                <w:rFonts w:ascii="宋体" w:hAnsi="宋体" w:cs="Tahoma"/>
                <w:color w:val="000000"/>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3</w:t>
            </w:r>
            <w:r>
              <w:rPr>
                <w:rFonts w:ascii="宋体" w:hAnsi="宋体" w:cs="Tahoma"/>
                <w:color w:val="000000"/>
                <w:szCs w:val="21"/>
              </w:rPr>
              <w:t>0</w:t>
            </w:r>
          </w:p>
        </w:tc>
        <w:tc>
          <w:tcPr>
            <w:tcW w:w="7195" w:type="dxa"/>
            <w:vAlign w:val="center"/>
          </w:tcPr>
          <w:p>
            <w:pPr>
              <w:rPr>
                <w:rFonts w:ascii="宋体" w:hAnsi="宋体" w:cs="Tahoma"/>
                <w:color w:val="000000"/>
                <w:szCs w:val="21"/>
              </w:rPr>
            </w:pPr>
            <w:r>
              <w:rPr>
                <w:rFonts w:hint="eastAsia" w:ascii="宋体" w:hAnsi="宋体" w:cs="Tahoma"/>
                <w:color w:val="000000"/>
                <w:szCs w:val="21"/>
              </w:rPr>
              <w:t>支持NFS直接访问，可通过基于文件的</w:t>
            </w:r>
            <w:r>
              <w:rPr>
                <w:rFonts w:ascii="宋体" w:hAnsi="宋体" w:cs="Tahoma"/>
                <w:color w:val="000000"/>
                <w:szCs w:val="21"/>
              </w:rPr>
              <w:t xml:space="preserve"> (NFS) </w:t>
            </w:r>
            <w:r>
              <w:rPr>
                <w:rFonts w:hint="eastAsia" w:ascii="宋体" w:hAnsi="宋体" w:cs="Tahoma"/>
                <w:color w:val="000000"/>
                <w:szCs w:val="21"/>
              </w:rPr>
              <w:t>主存储中直接备份，能够更快地执行</w:t>
            </w:r>
            <w:r>
              <w:rPr>
                <w:rFonts w:ascii="宋体" w:hAnsi="宋体" w:cs="Tahoma"/>
                <w:color w:val="000000"/>
                <w:szCs w:val="21"/>
              </w:rPr>
              <w:t xml:space="preserve"> VSphere </w:t>
            </w:r>
            <w:r>
              <w:rPr>
                <w:rFonts w:hint="eastAsia" w:ascii="宋体" w:hAnsi="宋体" w:cs="Tahoma"/>
                <w:color w:val="000000"/>
                <w:szCs w:val="21"/>
              </w:rPr>
              <w:t>备份、复制和还原，并降低对虚拟化环境的影响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3</w:t>
            </w:r>
            <w:r>
              <w:rPr>
                <w:rFonts w:ascii="宋体" w:hAnsi="宋体" w:cs="Tahoma"/>
                <w:color w:val="000000"/>
                <w:szCs w:val="21"/>
              </w:rPr>
              <w:t>1</w:t>
            </w:r>
          </w:p>
        </w:tc>
        <w:tc>
          <w:tcPr>
            <w:tcW w:w="7195" w:type="dxa"/>
            <w:vAlign w:val="center"/>
          </w:tcPr>
          <w:p>
            <w:pPr>
              <w:rPr>
                <w:rFonts w:ascii="宋体" w:hAnsi="宋体" w:cs="Tahoma"/>
                <w:color w:val="000000"/>
                <w:szCs w:val="21"/>
              </w:rPr>
            </w:pPr>
            <w:r>
              <w:rPr>
                <w:rFonts w:hint="eastAsia" w:ascii="宋体" w:hAnsi="宋体" w:cs="Tahoma"/>
                <w:color w:val="000000"/>
                <w:szCs w:val="21"/>
              </w:rPr>
              <w:t>支持正向增量/反转增量/合成全备份等备份方法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3</w:t>
            </w:r>
            <w:r>
              <w:rPr>
                <w:rFonts w:ascii="宋体" w:hAnsi="宋体" w:cs="Tahoma"/>
                <w:color w:val="000000"/>
                <w:szCs w:val="21"/>
              </w:rPr>
              <w:t>2</w:t>
            </w:r>
          </w:p>
        </w:tc>
        <w:tc>
          <w:tcPr>
            <w:tcW w:w="7195" w:type="dxa"/>
            <w:vAlign w:val="center"/>
          </w:tcPr>
          <w:p>
            <w:pPr>
              <w:rPr>
                <w:rFonts w:ascii="宋体" w:hAnsi="宋体" w:cs="Tahoma"/>
                <w:color w:val="000000"/>
                <w:szCs w:val="21"/>
              </w:rPr>
            </w:pPr>
            <w:r>
              <w:rPr>
                <w:rFonts w:hint="eastAsia" w:ascii="宋体" w:hAnsi="宋体" w:cs="Tahoma"/>
                <w:color w:val="000000"/>
                <w:szCs w:val="21"/>
              </w:rPr>
              <w:t>能够从备份</w:t>
            </w:r>
            <w:r>
              <w:rPr>
                <w:rFonts w:ascii="宋体" w:hAnsi="宋体" w:cs="Tahoma"/>
                <w:color w:val="000000"/>
                <w:szCs w:val="21"/>
              </w:rPr>
              <w:t>作业</w:t>
            </w:r>
            <w:r>
              <w:rPr>
                <w:rFonts w:hint="eastAsia" w:ascii="宋体" w:hAnsi="宋体" w:cs="Tahoma"/>
                <w:color w:val="000000"/>
                <w:szCs w:val="21"/>
              </w:rPr>
              <w:t>中排除虚拟机特殊类型的虚拟磁盘、单个</w:t>
            </w:r>
            <w:r>
              <w:rPr>
                <w:rFonts w:ascii="宋体" w:hAnsi="宋体" w:cs="Tahoma"/>
                <w:color w:val="000000"/>
                <w:szCs w:val="21"/>
              </w:rPr>
              <w:t>文件</w:t>
            </w:r>
            <w:r>
              <w:rPr>
                <w:rFonts w:hint="eastAsia" w:ascii="宋体" w:hAnsi="宋体" w:cs="Tahoma"/>
                <w:color w:val="000000"/>
                <w:szCs w:val="21"/>
              </w:rPr>
              <w:t>或者</w:t>
            </w:r>
            <w:r>
              <w:rPr>
                <w:rFonts w:ascii="宋体" w:hAnsi="宋体" w:cs="Tahoma"/>
                <w:color w:val="000000"/>
                <w:szCs w:val="21"/>
              </w:rPr>
              <w:t>文件夹，</w:t>
            </w:r>
            <w:r>
              <w:rPr>
                <w:rFonts w:hint="eastAsia" w:ascii="宋体" w:hAnsi="宋体" w:cs="Tahoma"/>
                <w:color w:val="000000"/>
                <w:szCs w:val="21"/>
              </w:rPr>
              <w:t>支持排除临时文件块以及交换空间、被删除文件块等无效数据块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3</w:t>
            </w:r>
            <w:r>
              <w:rPr>
                <w:rFonts w:ascii="宋体" w:hAnsi="宋体" w:cs="Tahoma"/>
                <w:color w:val="000000"/>
                <w:szCs w:val="21"/>
              </w:rPr>
              <w:t>3</w:t>
            </w:r>
          </w:p>
        </w:tc>
        <w:tc>
          <w:tcPr>
            <w:tcW w:w="7195" w:type="dxa"/>
            <w:vAlign w:val="center"/>
          </w:tcPr>
          <w:p>
            <w:pPr>
              <w:rPr>
                <w:rFonts w:ascii="宋体" w:hAnsi="宋体" w:cs="Tahoma"/>
                <w:color w:val="000000"/>
                <w:szCs w:val="21"/>
              </w:rPr>
            </w:pPr>
            <w:r>
              <w:rPr>
                <w:rFonts w:hint="eastAsia" w:ascii="宋体" w:hAnsi="宋体" w:cs="Tahoma"/>
                <w:color w:val="000000"/>
                <w:szCs w:val="21"/>
              </w:rPr>
              <w:t>加密</w:t>
            </w:r>
            <w:r>
              <w:rPr>
                <w:rFonts w:ascii="宋体" w:hAnsi="宋体" w:cs="Tahoma"/>
                <w:color w:val="000000"/>
                <w:szCs w:val="21"/>
              </w:rPr>
              <w:t>、</w:t>
            </w:r>
            <w:r>
              <w:rPr>
                <w:rFonts w:hint="eastAsia" w:ascii="宋体" w:hAnsi="宋体" w:cs="Tahoma"/>
                <w:color w:val="000000"/>
                <w:szCs w:val="21"/>
              </w:rPr>
              <w:t>重复数据删除和压缩功能已内嵌在软件中无须额外购买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3</w:t>
            </w:r>
            <w:r>
              <w:rPr>
                <w:rFonts w:ascii="宋体" w:hAnsi="宋体" w:cs="Tahoma"/>
                <w:color w:val="000000"/>
                <w:szCs w:val="21"/>
              </w:rPr>
              <w:t>4</w:t>
            </w:r>
          </w:p>
        </w:tc>
        <w:tc>
          <w:tcPr>
            <w:tcW w:w="7195" w:type="dxa"/>
            <w:vAlign w:val="center"/>
          </w:tcPr>
          <w:p>
            <w:pPr>
              <w:rPr>
                <w:rFonts w:ascii="宋体" w:hAnsi="宋体" w:cs="Tahoma"/>
                <w:color w:val="000000"/>
                <w:szCs w:val="21"/>
              </w:rPr>
            </w:pPr>
            <w:r>
              <w:rPr>
                <w:rFonts w:hint="eastAsia" w:ascii="宋体" w:hAnsi="宋体" w:cs="Tahoma"/>
                <w:color w:val="000000"/>
                <w:szCs w:val="21"/>
              </w:rPr>
              <w:t>支持重复数据删除,可根据不同的网络环境来自定义数据去重的块大小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3</w:t>
            </w:r>
            <w:r>
              <w:rPr>
                <w:rFonts w:ascii="宋体" w:hAnsi="宋体" w:cs="Tahoma"/>
                <w:color w:val="000000"/>
                <w:szCs w:val="21"/>
              </w:rPr>
              <w:t>5</w:t>
            </w:r>
          </w:p>
        </w:tc>
        <w:tc>
          <w:tcPr>
            <w:tcW w:w="7195" w:type="dxa"/>
            <w:vAlign w:val="center"/>
          </w:tcPr>
          <w:p>
            <w:pPr>
              <w:rPr>
                <w:rFonts w:ascii="宋体" w:hAnsi="宋体" w:cs="Tahoma"/>
                <w:color w:val="000000"/>
                <w:szCs w:val="21"/>
              </w:rPr>
            </w:pPr>
            <w:r>
              <w:rPr>
                <w:rFonts w:hint="eastAsia" w:ascii="宋体" w:hAnsi="宋体" w:cs="Tahoma"/>
                <w:color w:val="000000"/>
                <w:szCs w:val="21"/>
              </w:rPr>
              <w:t>可以并行</w:t>
            </w:r>
            <w:r>
              <w:rPr>
                <w:rFonts w:ascii="宋体" w:hAnsi="宋体" w:cs="Tahoma"/>
                <w:color w:val="000000"/>
                <w:szCs w:val="21"/>
              </w:rPr>
              <w:t>和顺序处理备份作业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3</w:t>
            </w:r>
            <w:r>
              <w:rPr>
                <w:rFonts w:ascii="宋体" w:hAnsi="宋体" w:cs="Tahoma"/>
                <w:color w:val="000000"/>
                <w:szCs w:val="21"/>
              </w:rPr>
              <w:t>6</w:t>
            </w:r>
          </w:p>
        </w:tc>
        <w:tc>
          <w:tcPr>
            <w:tcW w:w="7195" w:type="dxa"/>
            <w:vAlign w:val="center"/>
          </w:tcPr>
          <w:p>
            <w:pPr>
              <w:rPr>
                <w:rFonts w:ascii="宋体" w:hAnsi="宋体" w:cs="Tahoma"/>
                <w:color w:val="000000"/>
                <w:szCs w:val="21"/>
              </w:rPr>
            </w:pPr>
            <w:r>
              <w:rPr>
                <w:rFonts w:hint="eastAsia" w:ascii="宋体" w:hAnsi="宋体" w:cs="Tahoma"/>
                <w:color w:val="000000"/>
                <w:szCs w:val="21"/>
              </w:rPr>
              <w:t>支持广域网加速器，提升广域网容灾的性能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3</w:t>
            </w:r>
            <w:r>
              <w:rPr>
                <w:rFonts w:ascii="宋体" w:hAnsi="宋体" w:cs="Tahoma"/>
                <w:color w:val="000000"/>
                <w:szCs w:val="21"/>
              </w:rPr>
              <w:t>7</w:t>
            </w:r>
          </w:p>
        </w:tc>
        <w:tc>
          <w:tcPr>
            <w:tcW w:w="7195" w:type="dxa"/>
            <w:vAlign w:val="center"/>
          </w:tcPr>
          <w:p>
            <w:pPr>
              <w:rPr>
                <w:rFonts w:ascii="宋体" w:hAnsi="宋体" w:cs="Tahoma"/>
                <w:color w:val="000000"/>
                <w:szCs w:val="21"/>
              </w:rPr>
            </w:pPr>
            <w:r>
              <w:rPr>
                <w:rFonts w:hint="eastAsia" w:ascii="宋体" w:hAnsi="宋体" w:cs="Tahoma"/>
                <w:color w:val="000000"/>
                <w:szCs w:val="21"/>
              </w:rPr>
              <w:t>支持横向扩展式备份存储库，通过由软件定义的单一备份存储库来管理多个异构存储设备，可提升备份性能，降低存储硬件开支，降低维护风险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3</w:t>
            </w:r>
            <w:r>
              <w:rPr>
                <w:rFonts w:ascii="宋体" w:hAnsi="宋体" w:cs="Tahoma"/>
                <w:color w:val="000000"/>
                <w:szCs w:val="21"/>
              </w:rPr>
              <w:t>8</w:t>
            </w:r>
          </w:p>
        </w:tc>
        <w:tc>
          <w:tcPr>
            <w:tcW w:w="7195" w:type="dxa"/>
            <w:vAlign w:val="center"/>
          </w:tcPr>
          <w:p>
            <w:pPr>
              <w:rPr>
                <w:rFonts w:ascii="宋体" w:hAnsi="宋体" w:cs="Tahoma"/>
                <w:color w:val="000000"/>
                <w:szCs w:val="21"/>
              </w:rPr>
            </w:pPr>
            <w:r>
              <w:rPr>
                <w:rFonts w:hint="eastAsia" w:ascii="宋体" w:hAnsi="宋体" w:cs="Tahoma"/>
                <w:color w:val="000000"/>
                <w:szCs w:val="21"/>
              </w:rPr>
              <w:t>提供CDP级别的复制容灾功能，内置在产品中无须额外购买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39</w:t>
            </w:r>
          </w:p>
        </w:tc>
        <w:tc>
          <w:tcPr>
            <w:tcW w:w="7195" w:type="dxa"/>
            <w:vAlign w:val="center"/>
          </w:tcPr>
          <w:p>
            <w:pPr>
              <w:rPr>
                <w:rFonts w:ascii="宋体" w:hAnsi="宋体" w:cs="Tahoma"/>
                <w:color w:val="000000"/>
                <w:szCs w:val="21"/>
              </w:rPr>
            </w:pPr>
            <w:r>
              <w:rPr>
                <w:rFonts w:hint="eastAsia" w:ascii="宋体" w:hAnsi="宋体" w:cs="Tahoma"/>
                <w:color w:val="000000"/>
                <w:szCs w:val="21"/>
              </w:rPr>
              <w:t>能够</w:t>
            </w:r>
            <w:r>
              <w:rPr>
                <w:rFonts w:ascii="宋体" w:hAnsi="宋体" w:cs="Tahoma"/>
                <w:color w:val="000000"/>
                <w:szCs w:val="21"/>
              </w:rPr>
              <w:t>从生产中心和容灾中心的</w:t>
            </w:r>
            <w:r>
              <w:rPr>
                <w:rFonts w:hint="eastAsia" w:ascii="宋体" w:hAnsi="宋体" w:cs="Tahoma"/>
                <w:color w:val="000000"/>
                <w:szCs w:val="21"/>
              </w:rPr>
              <w:t>备份文件快速启动虚拟机接替生产，而无需</w:t>
            </w:r>
            <w:r>
              <w:rPr>
                <w:rFonts w:ascii="宋体" w:hAnsi="宋体" w:cs="Tahoma"/>
                <w:color w:val="000000"/>
                <w:szCs w:val="21"/>
              </w:rPr>
              <w:t>将</w:t>
            </w:r>
            <w:r>
              <w:rPr>
                <w:rFonts w:hint="eastAsia" w:ascii="宋体" w:hAnsi="宋体" w:cs="Tahoma"/>
                <w:color w:val="000000"/>
                <w:szCs w:val="21"/>
              </w:rPr>
              <w:t>备份文件先恢复到</w:t>
            </w:r>
            <w:r>
              <w:rPr>
                <w:rFonts w:ascii="宋体" w:hAnsi="宋体" w:cs="Tahoma"/>
                <w:color w:val="000000"/>
                <w:szCs w:val="21"/>
              </w:rPr>
              <w:t>生产存储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4</w:t>
            </w:r>
            <w:r>
              <w:rPr>
                <w:rFonts w:ascii="宋体" w:hAnsi="宋体" w:cs="Tahoma"/>
                <w:color w:val="000000"/>
                <w:szCs w:val="21"/>
              </w:rPr>
              <w:t>0</w:t>
            </w:r>
          </w:p>
        </w:tc>
        <w:tc>
          <w:tcPr>
            <w:tcW w:w="7195" w:type="dxa"/>
            <w:vAlign w:val="center"/>
          </w:tcPr>
          <w:p>
            <w:pPr>
              <w:rPr>
                <w:rFonts w:ascii="宋体" w:hAnsi="宋体" w:cs="Tahoma"/>
                <w:color w:val="000000"/>
                <w:szCs w:val="21"/>
              </w:rPr>
            </w:pPr>
            <w:r>
              <w:rPr>
                <w:rFonts w:hint="eastAsia" w:ascii="宋体" w:hAnsi="宋体" w:cs="Tahoma"/>
                <w:color w:val="000000"/>
                <w:szCs w:val="21"/>
              </w:rPr>
              <w:t>提供一键故障切换协调机制，通过流程式的故障切换机制减低故障切换风险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4</w:t>
            </w:r>
            <w:r>
              <w:rPr>
                <w:rFonts w:ascii="宋体" w:hAnsi="宋体" w:cs="Tahoma"/>
                <w:color w:val="000000"/>
                <w:szCs w:val="21"/>
              </w:rPr>
              <w:t>1</w:t>
            </w:r>
          </w:p>
        </w:tc>
        <w:tc>
          <w:tcPr>
            <w:tcW w:w="7195" w:type="dxa"/>
            <w:vAlign w:val="center"/>
          </w:tcPr>
          <w:p>
            <w:pPr>
              <w:rPr>
                <w:rFonts w:ascii="宋体" w:hAnsi="宋体" w:cs="Tahoma"/>
                <w:color w:val="000000"/>
                <w:szCs w:val="21"/>
              </w:rPr>
            </w:pPr>
            <w:r>
              <w:rPr>
                <w:rFonts w:hint="eastAsia" w:ascii="宋体" w:hAnsi="宋体" w:cs="Tahoma"/>
                <w:color w:val="000000"/>
                <w:szCs w:val="21"/>
              </w:rPr>
              <w:t>自动验证备份映像和</w:t>
            </w:r>
            <w:r>
              <w:rPr>
                <w:rFonts w:ascii="宋体" w:hAnsi="宋体" w:cs="Tahoma"/>
                <w:color w:val="000000"/>
                <w:szCs w:val="21"/>
              </w:rPr>
              <w:t>复制副本以确保</w:t>
            </w:r>
            <w:r>
              <w:rPr>
                <w:rFonts w:hint="eastAsia" w:ascii="宋体" w:hAnsi="宋体" w:cs="Tahoma"/>
                <w:color w:val="000000"/>
                <w:szCs w:val="21"/>
              </w:rPr>
              <w:t>虚拟机和</w:t>
            </w:r>
            <w:r>
              <w:rPr>
                <w:rFonts w:ascii="宋体" w:hAnsi="宋体" w:cs="Tahoma"/>
                <w:color w:val="000000"/>
                <w:szCs w:val="21"/>
              </w:rPr>
              <w:t>应用</w:t>
            </w:r>
            <w:r>
              <w:rPr>
                <w:rFonts w:hint="eastAsia" w:ascii="宋体" w:hAnsi="宋体" w:cs="Tahoma"/>
                <w:color w:val="000000"/>
                <w:szCs w:val="21"/>
              </w:rPr>
              <w:t>程序可</w:t>
            </w:r>
            <w:r>
              <w:rPr>
                <w:rFonts w:ascii="宋体" w:hAnsi="宋体" w:cs="Tahoma"/>
                <w:color w:val="000000"/>
                <w:szCs w:val="21"/>
              </w:rPr>
              <w:t>正常恢复,</w:t>
            </w:r>
            <w:r>
              <w:rPr>
                <w:rFonts w:hint="eastAsia" w:ascii="宋体" w:hAnsi="宋体" w:cs="Tahoma"/>
                <w:color w:val="000000"/>
                <w:szCs w:val="21"/>
              </w:rPr>
              <w:t>无需</w:t>
            </w:r>
            <w:r>
              <w:rPr>
                <w:rFonts w:ascii="宋体" w:hAnsi="宋体" w:cs="Tahoma"/>
                <w:color w:val="000000"/>
                <w:szCs w:val="21"/>
              </w:rPr>
              <w:t>人工干预</w:t>
            </w:r>
            <w:r>
              <w:rPr>
                <w:rFonts w:hint="eastAsia" w:ascii="宋体" w:hAnsi="宋体" w:cs="Tahoma"/>
                <w:color w:val="000000"/>
                <w:szCs w:val="21"/>
              </w:rPr>
              <w:t>。</w:t>
            </w:r>
            <w:r>
              <w:rPr>
                <w:rFonts w:ascii="宋体" w:hAnsi="宋体" w:cs="Tahoma"/>
                <w:color w:val="000000"/>
                <w:szCs w:val="21"/>
              </w:rPr>
              <w:t>自动</w:t>
            </w:r>
            <w:r>
              <w:rPr>
                <w:rFonts w:hint="eastAsia" w:ascii="宋体" w:hAnsi="宋体" w:cs="Tahoma"/>
                <w:color w:val="000000"/>
                <w:szCs w:val="21"/>
              </w:rPr>
              <w:t>检查相应</w:t>
            </w:r>
            <w:r>
              <w:rPr>
                <w:rFonts w:ascii="宋体" w:hAnsi="宋体" w:cs="Tahoma"/>
                <w:color w:val="000000"/>
                <w:szCs w:val="21"/>
              </w:rPr>
              <w:t>虚</w:t>
            </w:r>
            <w:r>
              <w:rPr>
                <w:rFonts w:hint="eastAsia" w:ascii="宋体" w:hAnsi="宋体" w:cs="Tahoma"/>
                <w:color w:val="000000"/>
                <w:szCs w:val="21"/>
              </w:rPr>
              <w:t>拟</w:t>
            </w:r>
            <w:r>
              <w:rPr>
                <w:rFonts w:ascii="宋体" w:hAnsi="宋体" w:cs="Tahoma"/>
                <w:color w:val="000000"/>
                <w:szCs w:val="21"/>
              </w:rPr>
              <w:t>机</w:t>
            </w:r>
            <w:r>
              <w:rPr>
                <w:rFonts w:hint="eastAsia" w:ascii="宋体" w:hAnsi="宋体" w:cs="Tahoma"/>
                <w:color w:val="000000"/>
                <w:szCs w:val="21"/>
              </w:rPr>
              <w:t>，操作系统和应用程序来确保可恢复性。验证报告邮件可配置为自动向管理员发送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4</w:t>
            </w:r>
            <w:r>
              <w:rPr>
                <w:rFonts w:ascii="宋体" w:hAnsi="宋体" w:cs="Tahoma"/>
                <w:color w:val="000000"/>
                <w:szCs w:val="21"/>
              </w:rPr>
              <w:t>2</w:t>
            </w:r>
          </w:p>
        </w:tc>
        <w:tc>
          <w:tcPr>
            <w:tcW w:w="7195" w:type="dxa"/>
            <w:vAlign w:val="center"/>
          </w:tcPr>
          <w:p>
            <w:pPr>
              <w:rPr>
                <w:rFonts w:ascii="宋体" w:hAnsi="宋体" w:cs="Tahoma"/>
                <w:color w:val="000000"/>
                <w:szCs w:val="21"/>
              </w:rPr>
            </w:pPr>
            <w:r>
              <w:rPr>
                <w:rFonts w:hint="eastAsia" w:ascii="宋体" w:hAnsi="宋体" w:cs="Tahoma"/>
                <w:color w:val="000000"/>
                <w:szCs w:val="21"/>
              </w:rPr>
              <w:t>支持在隔离环境内直接从备份或者复制副本运行一个或多个虚拟机，能够在不影响业务运营的情况下进行故障排除、测试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4</w:t>
            </w:r>
            <w:r>
              <w:rPr>
                <w:rFonts w:ascii="宋体" w:hAnsi="宋体" w:cs="Tahoma"/>
                <w:color w:val="000000"/>
                <w:szCs w:val="21"/>
              </w:rPr>
              <w:t>3</w:t>
            </w:r>
          </w:p>
        </w:tc>
        <w:tc>
          <w:tcPr>
            <w:tcW w:w="7195" w:type="dxa"/>
            <w:vAlign w:val="center"/>
          </w:tcPr>
          <w:p>
            <w:pPr>
              <w:rPr>
                <w:rFonts w:ascii="宋体" w:hAnsi="宋体" w:cs="Tahoma"/>
                <w:color w:val="000000"/>
                <w:szCs w:val="21"/>
              </w:rPr>
            </w:pPr>
            <w:r>
              <w:rPr>
                <w:rFonts w:hint="eastAsia" w:ascii="宋体" w:hAnsi="宋体" w:cs="Tahoma"/>
                <w:color w:val="000000"/>
                <w:szCs w:val="21"/>
              </w:rPr>
              <w:t>支持使用存储快照创建完全隔离的生产环境副本，以便快速轻松地进行测试和故障排除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4</w:t>
            </w:r>
            <w:r>
              <w:rPr>
                <w:rFonts w:ascii="宋体" w:hAnsi="宋体" w:cs="Tahoma"/>
                <w:color w:val="000000"/>
                <w:szCs w:val="21"/>
              </w:rPr>
              <w:t>4</w:t>
            </w:r>
          </w:p>
        </w:tc>
        <w:tc>
          <w:tcPr>
            <w:tcW w:w="7195" w:type="dxa"/>
            <w:vAlign w:val="center"/>
          </w:tcPr>
          <w:p>
            <w:pPr>
              <w:rPr>
                <w:rFonts w:ascii="宋体" w:hAnsi="宋体" w:cs="Tahoma"/>
                <w:color w:val="000000"/>
                <w:szCs w:val="21"/>
              </w:rPr>
            </w:pPr>
            <w:r>
              <w:rPr>
                <w:rFonts w:hint="eastAsia" w:ascii="宋体" w:hAnsi="宋体" w:cs="Tahoma"/>
                <w:color w:val="000000"/>
                <w:szCs w:val="21"/>
              </w:rPr>
              <w:t>任务</w:t>
            </w:r>
            <w:r>
              <w:rPr>
                <w:rFonts w:ascii="宋体" w:hAnsi="宋体" w:cs="Tahoma"/>
                <w:color w:val="000000"/>
                <w:szCs w:val="21"/>
              </w:rPr>
              <w:t>自动化</w:t>
            </w:r>
            <w:r>
              <w:rPr>
                <w:rFonts w:hint="eastAsia" w:ascii="宋体" w:hAnsi="宋体" w:cs="Tahoma"/>
                <w:color w:val="000000"/>
                <w:szCs w:val="21"/>
              </w:rPr>
              <w:t>支持</w:t>
            </w:r>
            <w:r>
              <w:rPr>
                <w:rFonts w:ascii="宋体" w:hAnsi="宋体" w:cs="Tahoma"/>
                <w:color w:val="000000"/>
                <w:szCs w:val="21"/>
              </w:rPr>
              <w:t xml:space="preserve">RESTful API </w:t>
            </w:r>
            <w:r>
              <w:rPr>
                <w:rFonts w:hint="eastAsia" w:ascii="宋体" w:hAnsi="宋体" w:cs="Tahoma"/>
                <w:color w:val="000000"/>
                <w:szCs w:val="21"/>
              </w:rPr>
              <w:t>和</w:t>
            </w:r>
            <w:r>
              <w:rPr>
                <w:rFonts w:ascii="宋体" w:hAnsi="宋体" w:cs="Tahoma"/>
                <w:color w:val="000000"/>
                <w:szCs w:val="21"/>
              </w:rPr>
              <w:t xml:space="preserve"> PowerShell</w:t>
            </w:r>
            <w:r>
              <w:rPr>
                <w:rFonts w:hint="eastAsia" w:ascii="宋体" w:hAnsi="宋体" w:cs="Tahoma"/>
                <w:color w:val="000000"/>
                <w:szCs w:val="21"/>
              </w:rPr>
              <w:t>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4</w:t>
            </w:r>
            <w:r>
              <w:rPr>
                <w:rFonts w:ascii="宋体" w:hAnsi="宋体" w:cs="Tahoma"/>
                <w:color w:val="000000"/>
                <w:szCs w:val="21"/>
              </w:rPr>
              <w:t>5</w:t>
            </w:r>
          </w:p>
        </w:tc>
        <w:tc>
          <w:tcPr>
            <w:tcW w:w="7195" w:type="dxa"/>
            <w:vAlign w:val="center"/>
          </w:tcPr>
          <w:p>
            <w:pPr>
              <w:rPr>
                <w:rFonts w:ascii="宋体" w:hAnsi="宋体" w:cs="Tahoma"/>
                <w:color w:val="000000"/>
                <w:szCs w:val="21"/>
              </w:rPr>
            </w:pPr>
            <w:r>
              <w:rPr>
                <w:rFonts w:hint="eastAsia" w:ascii="宋体" w:hAnsi="宋体" w:cs="Tahoma"/>
                <w:color w:val="000000"/>
                <w:szCs w:val="21"/>
              </w:rPr>
              <w:t xml:space="preserve">支持 VMware vSAN深度集成，且获得VMware ready官方认证.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ahoma"/>
                <w:color w:val="000000"/>
                <w:szCs w:val="21"/>
              </w:rPr>
            </w:pPr>
            <w:r>
              <w:rPr>
                <w:rFonts w:hint="eastAsia" w:ascii="宋体" w:hAnsi="宋体" w:cs="Tahoma"/>
                <w:color w:val="000000"/>
                <w:szCs w:val="21"/>
              </w:rPr>
              <w:t>4</w:t>
            </w:r>
            <w:r>
              <w:rPr>
                <w:rFonts w:ascii="宋体" w:hAnsi="宋体" w:cs="Tahoma"/>
                <w:color w:val="000000"/>
                <w:szCs w:val="21"/>
              </w:rPr>
              <w:t>6</w:t>
            </w:r>
          </w:p>
        </w:tc>
        <w:tc>
          <w:tcPr>
            <w:tcW w:w="7195" w:type="dxa"/>
            <w:vAlign w:val="center"/>
          </w:tcPr>
          <w:p>
            <w:pPr>
              <w:rPr>
                <w:rFonts w:ascii="宋体" w:hAnsi="宋体" w:cs="Tahoma"/>
                <w:color w:val="000000"/>
                <w:szCs w:val="21"/>
              </w:rPr>
            </w:pPr>
            <w:r>
              <w:rPr>
                <w:rFonts w:hint="eastAsia" w:ascii="宋体" w:hAnsi="宋体" w:cs="Tahoma"/>
                <w:color w:val="000000"/>
                <w:szCs w:val="21"/>
              </w:rPr>
              <w:t>支持从vSAN智能读取数据，选择最佳备份路径；并支持VMware SPBM策略的自动备份和还原</w:t>
            </w:r>
          </w:p>
        </w:tc>
      </w:tr>
    </w:tbl>
    <w:p>
      <w:pPr>
        <w:pStyle w:val="4"/>
        <w:tabs>
          <w:tab w:val="left" w:pos="432"/>
        </w:tabs>
        <w:rPr>
          <w:sz w:val="24"/>
          <w:szCs w:val="24"/>
        </w:rPr>
      </w:pPr>
    </w:p>
    <w:p>
      <w:pPr>
        <w:pStyle w:val="4"/>
        <w:tabs>
          <w:tab w:val="left" w:pos="432"/>
        </w:tabs>
        <w:rPr>
          <w:sz w:val="24"/>
          <w:szCs w:val="24"/>
        </w:rPr>
      </w:pPr>
      <w:r>
        <w:rPr>
          <w:rFonts w:hint="eastAsia"/>
          <w:sz w:val="24"/>
          <w:szCs w:val="24"/>
        </w:rPr>
        <w:t>7.3.40 CDP连续数据保护</w:t>
      </w:r>
    </w:p>
    <w:tbl>
      <w:tblPr>
        <w:tblStyle w:val="35"/>
        <w:tblW w:w="8571" w:type="dxa"/>
        <w:tblInd w:w="-102"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64"/>
        <w:gridCol w:w="700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564" w:type="dxa"/>
            <w:vAlign w:val="center"/>
          </w:tcPr>
          <w:p>
            <w:pPr>
              <w:widowControl/>
              <w:jc w:val="center"/>
              <w:rPr>
                <w:rFonts w:ascii="宋体" w:hAnsi="宋体" w:cs="Arial"/>
                <w:b/>
                <w:bCs/>
                <w:kern w:val="0"/>
                <w:szCs w:val="21"/>
              </w:rPr>
            </w:pPr>
            <w:r>
              <w:rPr>
                <w:rFonts w:hint="eastAsia" w:ascii="宋体" w:hAnsi="宋体" w:cs="Arial"/>
                <w:b/>
                <w:bCs/>
                <w:kern w:val="0"/>
                <w:szCs w:val="21"/>
              </w:rPr>
              <w:t>指标项</w:t>
            </w:r>
          </w:p>
        </w:tc>
        <w:tc>
          <w:tcPr>
            <w:tcW w:w="7007" w:type="dxa"/>
            <w:vAlign w:val="center"/>
          </w:tcPr>
          <w:p>
            <w:pPr>
              <w:widowControl/>
              <w:jc w:val="center"/>
              <w:rPr>
                <w:rFonts w:ascii="宋体" w:hAnsi="宋体" w:cs="Arial"/>
                <w:b/>
                <w:bCs/>
                <w:kern w:val="0"/>
                <w:szCs w:val="21"/>
              </w:rPr>
            </w:pPr>
            <w:r>
              <w:rPr>
                <w:rFonts w:hint="eastAsia" w:ascii="宋体" w:hAnsi="宋体" w:cs="Arial"/>
                <w:b/>
                <w:bCs/>
                <w:kern w:val="0"/>
                <w:szCs w:val="21"/>
              </w:rPr>
              <w:t>指标要求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463" w:hRule="atLeast"/>
        </w:trPr>
        <w:tc>
          <w:tcPr>
            <w:tcW w:w="1564" w:type="dxa"/>
            <w:vAlign w:val="center"/>
          </w:tcPr>
          <w:p>
            <w:pPr>
              <w:widowControl/>
              <w:spacing w:after="120"/>
              <w:ind w:left="-107" w:leftChars="-51" w:firstLine="1"/>
              <w:jc w:val="center"/>
              <w:rPr>
                <w:rFonts w:ascii="宋体" w:hAnsi="宋体" w:cs="宋体"/>
                <w:kern w:val="0"/>
                <w:szCs w:val="21"/>
              </w:rPr>
            </w:pPr>
            <w:r>
              <w:rPr>
                <w:rFonts w:hint="eastAsia" w:ascii="宋体" w:hAnsi="宋体" w:cs="宋体"/>
                <w:kern w:val="0"/>
                <w:szCs w:val="21"/>
              </w:rPr>
              <w:t>总体要求</w:t>
            </w:r>
          </w:p>
        </w:tc>
        <w:tc>
          <w:tcPr>
            <w:tcW w:w="7007" w:type="dxa"/>
            <w:vAlign w:val="center"/>
          </w:tcPr>
          <w:p>
            <w:pPr>
              <w:spacing w:after="120"/>
              <w:rPr>
                <w:rFonts w:ascii="宋体" w:hAnsi="宋体" w:cs="宋体"/>
                <w:bCs/>
                <w:kern w:val="0"/>
                <w:szCs w:val="21"/>
              </w:rPr>
            </w:pPr>
            <w:r>
              <w:rPr>
                <w:rFonts w:hint="eastAsia" w:ascii="宋体" w:hAnsi="宋体" w:cs="宋体"/>
                <w:bCs/>
                <w:kern w:val="0"/>
                <w:szCs w:val="21"/>
              </w:rPr>
              <w:t>要求</w:t>
            </w:r>
            <w:r>
              <w:rPr>
                <w:rFonts w:ascii="宋体" w:hAnsi="宋体" w:cs="宋体"/>
                <w:bCs/>
                <w:kern w:val="0"/>
                <w:szCs w:val="21"/>
              </w:rPr>
              <w:t>:</w:t>
            </w:r>
            <w:r>
              <w:rPr>
                <w:rFonts w:hint="eastAsia" w:ascii="宋体" w:hAnsi="宋体" w:cs="宋体"/>
                <w:bCs/>
                <w:kern w:val="0"/>
                <w:szCs w:val="21"/>
              </w:rPr>
              <w:t>能够在核心存储内部保存应用程序故障时间点之前任意时刻内应用数据的持续恢复点，或者采用虚拟化存储的方式实现并采用持续快照方式记录所有持续恢复点，要求数据复制完全基于存储</w:t>
            </w:r>
            <w:r>
              <w:rPr>
                <w:rFonts w:ascii="宋体" w:hAnsi="宋体" w:cs="宋体"/>
                <w:bCs/>
                <w:kern w:val="0"/>
                <w:szCs w:val="21"/>
              </w:rPr>
              <w:t>,IP</w:t>
            </w:r>
            <w:r>
              <w:rPr>
                <w:rFonts w:hint="eastAsia" w:ascii="宋体" w:hAnsi="宋体" w:cs="宋体"/>
                <w:bCs/>
                <w:kern w:val="0"/>
                <w:szCs w:val="21"/>
              </w:rPr>
              <w:t>或</w:t>
            </w:r>
            <w:r>
              <w:rPr>
                <w:rFonts w:ascii="宋体" w:hAnsi="宋体" w:cs="宋体"/>
                <w:bCs/>
                <w:kern w:val="0"/>
                <w:szCs w:val="21"/>
              </w:rPr>
              <w:t>SAN</w:t>
            </w:r>
            <w:r>
              <w:rPr>
                <w:rFonts w:hint="eastAsia" w:ascii="宋体" w:hAnsi="宋体" w:cs="宋体"/>
                <w:bCs/>
                <w:kern w:val="0"/>
                <w:szCs w:val="21"/>
              </w:rPr>
              <w:t>网络</w:t>
            </w:r>
            <w:r>
              <w:rPr>
                <w:rFonts w:ascii="宋体" w:hAnsi="宋体" w:cs="宋体"/>
                <w:bCs/>
                <w:kern w:val="0"/>
                <w:szCs w:val="21"/>
              </w:rPr>
              <w:t>,</w:t>
            </w:r>
            <w:r>
              <w:rPr>
                <w:rFonts w:hint="eastAsia" w:ascii="宋体" w:hAnsi="宋体" w:cs="宋体"/>
                <w:bCs/>
                <w:kern w:val="0"/>
                <w:szCs w:val="21"/>
              </w:rPr>
              <w:t>而无需在服务器上附加其它软件模块或者改变当前服务器上卷组的配置，当生产数据故障时，可以通过持续恢复点把生产数据恢复到生产数据故障前的任意时间点。配置数据保护装置，该装置</w:t>
            </w:r>
            <w:r>
              <w:rPr>
                <w:rFonts w:ascii="宋体" w:hAnsi="宋体" w:cs="宋体"/>
                <w:kern w:val="0"/>
                <w:szCs w:val="21"/>
              </w:rPr>
              <w:t>配置2个独立的Active的控制器，每个控制器配置&gt;=2 颗4核Intel Sandy Bridge 处理器，配置&gt;=16GB高速缓存，配置&gt;=2块300GB SAS硬盘，配置4端口8GB HBA卡,6个千兆IP端口，可以通过添加更多控制器，实现性能的线性扩展，当前系统内控制器数量可扩展至八个以上</w:t>
            </w:r>
            <w:r>
              <w:rPr>
                <w:rFonts w:hint="eastAsia" w:ascii="宋体" w:hAnsi="宋体"/>
                <w:kern w:val="0"/>
                <w:szCs w:val="21"/>
              </w:rPr>
              <w:t>，</w:t>
            </w:r>
            <w:r>
              <w:rPr>
                <w:rFonts w:hint="eastAsia" w:ascii="宋体" w:hAnsi="宋体" w:cs="宋体"/>
                <w:bCs/>
                <w:kern w:val="0"/>
                <w:szCs w:val="21"/>
              </w:rPr>
              <w:t>可以捕获并记录每一个写</w:t>
            </w:r>
            <w:r>
              <w:rPr>
                <w:rFonts w:ascii="宋体" w:hAnsi="宋体" w:cs="宋体"/>
                <w:bCs/>
                <w:kern w:val="0"/>
                <w:szCs w:val="21"/>
              </w:rPr>
              <w:t>I/O</w:t>
            </w:r>
            <w:r>
              <w:rPr>
                <w:rFonts w:hint="eastAsia" w:ascii="宋体" w:hAnsi="宋体" w:cs="宋体"/>
                <w:bCs/>
                <w:kern w:val="0"/>
                <w:szCs w:val="21"/>
              </w:rPr>
              <w:t>操作，当数据需要恢复时，用户可从时间点中选择，使应用程序能够基于以前的事务快速地从任一时间点恢复，或者提供尽可能多的恢复时间点。采用</w:t>
            </w:r>
            <w:r>
              <w:rPr>
                <w:rFonts w:ascii="宋体" w:hAnsi="宋体" w:cs="宋体"/>
                <w:bCs/>
                <w:kern w:val="0"/>
                <w:szCs w:val="21"/>
              </w:rPr>
              <w:t>“</w:t>
            </w:r>
            <w:r>
              <w:rPr>
                <w:rFonts w:hint="eastAsia" w:ascii="宋体" w:hAnsi="宋体" w:cs="宋体"/>
                <w:bCs/>
                <w:kern w:val="0"/>
                <w:szCs w:val="21"/>
              </w:rPr>
              <w:t>带外</w:t>
            </w:r>
            <w:r>
              <w:rPr>
                <w:rFonts w:ascii="宋体" w:hAnsi="宋体" w:cs="宋体"/>
                <w:bCs/>
                <w:kern w:val="0"/>
                <w:szCs w:val="21"/>
              </w:rPr>
              <w:t>”</w:t>
            </w:r>
            <w:r>
              <w:rPr>
                <w:rFonts w:hint="eastAsia" w:ascii="宋体" w:hAnsi="宋体" w:cs="宋体"/>
                <w:bCs/>
                <w:kern w:val="0"/>
                <w:szCs w:val="21"/>
              </w:rPr>
              <w:t>基于</w:t>
            </w:r>
            <w:r>
              <w:rPr>
                <w:rFonts w:ascii="宋体" w:hAnsi="宋体" w:cs="宋体"/>
                <w:bCs/>
                <w:kern w:val="0"/>
                <w:szCs w:val="21"/>
              </w:rPr>
              <w:t>SAN</w:t>
            </w:r>
            <w:r>
              <w:rPr>
                <w:rFonts w:hint="eastAsia" w:ascii="宋体" w:hAnsi="宋体" w:cs="宋体"/>
                <w:bCs/>
                <w:kern w:val="0"/>
                <w:szCs w:val="21"/>
              </w:rPr>
              <w:t>网络的应用装置，不在主机</w:t>
            </w:r>
            <w:r>
              <w:rPr>
                <w:rFonts w:ascii="宋体" w:hAnsi="宋体" w:cs="宋体"/>
                <w:bCs/>
                <w:kern w:val="0"/>
                <w:szCs w:val="21"/>
              </w:rPr>
              <w:t xml:space="preserve">I/O </w:t>
            </w:r>
            <w:r>
              <w:rPr>
                <w:rFonts w:hint="eastAsia" w:ascii="宋体" w:hAnsi="宋体" w:cs="宋体"/>
                <w:bCs/>
                <w:kern w:val="0"/>
                <w:szCs w:val="21"/>
              </w:rPr>
              <w:t>路径中进行监控和数据保护，不影响主机性能。</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870" w:hRule="atLeast"/>
        </w:trPr>
        <w:tc>
          <w:tcPr>
            <w:tcW w:w="1564" w:type="dxa"/>
            <w:vAlign w:val="center"/>
          </w:tcPr>
          <w:p>
            <w:pPr>
              <w:widowControl/>
              <w:spacing w:after="120"/>
              <w:ind w:left="-107" w:leftChars="-51" w:firstLine="1"/>
              <w:jc w:val="center"/>
              <w:rPr>
                <w:rFonts w:ascii="宋体" w:hAnsi="宋体" w:cs="宋体"/>
                <w:kern w:val="0"/>
                <w:szCs w:val="21"/>
              </w:rPr>
            </w:pPr>
            <w:r>
              <w:rPr>
                <w:rFonts w:hint="eastAsia" w:ascii="宋体" w:hAnsi="宋体" w:cs="宋体"/>
                <w:kern w:val="0"/>
                <w:szCs w:val="21"/>
              </w:rPr>
              <w:t>保证应用数据的一致性</w:t>
            </w:r>
          </w:p>
        </w:tc>
        <w:tc>
          <w:tcPr>
            <w:tcW w:w="7007" w:type="dxa"/>
            <w:vAlign w:val="center"/>
          </w:tcPr>
          <w:p>
            <w:pPr>
              <w:widowControl/>
              <w:spacing w:after="120"/>
              <w:rPr>
                <w:rFonts w:ascii="宋体" w:hAnsi="宋体" w:cs="宋体"/>
                <w:bCs/>
                <w:kern w:val="0"/>
                <w:szCs w:val="21"/>
              </w:rPr>
            </w:pPr>
            <w:r>
              <w:rPr>
                <w:rFonts w:hint="eastAsia" w:ascii="宋体" w:hAnsi="宋体" w:cs="宋体"/>
                <w:bCs/>
                <w:kern w:val="0"/>
                <w:szCs w:val="21"/>
              </w:rPr>
              <w:t>提供一致性组功能，可以将某个特定应用程序的所有</w:t>
            </w:r>
            <w:r>
              <w:rPr>
                <w:rFonts w:ascii="宋体" w:hAnsi="宋体" w:cs="宋体"/>
                <w:bCs/>
                <w:kern w:val="0"/>
                <w:szCs w:val="21"/>
              </w:rPr>
              <w:t>LUN</w:t>
            </w:r>
            <w:r>
              <w:rPr>
                <w:rFonts w:hint="eastAsia" w:ascii="宋体" w:hAnsi="宋体" w:cs="宋体"/>
                <w:bCs/>
                <w:kern w:val="0"/>
                <w:szCs w:val="21"/>
              </w:rPr>
              <w:t>绑定到一个一致性组中，以确保事务向以前时间点的回滚同时进行，从而确保应用程序的一致恢复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870" w:hRule="atLeast"/>
        </w:trPr>
        <w:tc>
          <w:tcPr>
            <w:tcW w:w="1564" w:type="dxa"/>
            <w:vAlign w:val="center"/>
          </w:tcPr>
          <w:p>
            <w:pPr>
              <w:widowControl/>
              <w:spacing w:after="120"/>
              <w:ind w:left="-107" w:leftChars="-51" w:firstLine="1"/>
              <w:jc w:val="center"/>
              <w:rPr>
                <w:rFonts w:ascii="宋体" w:hAnsi="宋体" w:cs="宋体"/>
                <w:kern w:val="0"/>
                <w:szCs w:val="21"/>
              </w:rPr>
            </w:pPr>
            <w:r>
              <w:rPr>
                <w:rFonts w:hint="eastAsia" w:ascii="宋体" w:hAnsi="宋体" w:cs="宋体"/>
                <w:kern w:val="0"/>
                <w:szCs w:val="21"/>
              </w:rPr>
              <w:t>数据保护方式</w:t>
            </w:r>
          </w:p>
        </w:tc>
        <w:tc>
          <w:tcPr>
            <w:tcW w:w="7007" w:type="dxa"/>
            <w:vAlign w:val="center"/>
          </w:tcPr>
          <w:p>
            <w:pPr>
              <w:widowControl/>
              <w:spacing w:after="120"/>
              <w:rPr>
                <w:rFonts w:ascii="宋体" w:hAnsi="宋体" w:cs="宋体"/>
                <w:bCs/>
                <w:kern w:val="0"/>
                <w:szCs w:val="21"/>
              </w:rPr>
            </w:pPr>
            <w:r>
              <w:rPr>
                <w:rFonts w:hint="eastAsia" w:ascii="宋体" w:hAnsi="宋体" w:cs="宋体"/>
                <w:bCs/>
                <w:kern w:val="0"/>
                <w:szCs w:val="21"/>
              </w:rPr>
              <w:t>对于捕获的写</w:t>
            </w:r>
            <w:r>
              <w:rPr>
                <w:rFonts w:ascii="宋体" w:hAnsi="宋体" w:cs="宋体"/>
                <w:bCs/>
                <w:kern w:val="0"/>
                <w:szCs w:val="21"/>
              </w:rPr>
              <w:t>I/O</w:t>
            </w:r>
            <w:r>
              <w:rPr>
                <w:rFonts w:hint="eastAsia" w:ascii="宋体" w:hAnsi="宋体" w:cs="宋体"/>
                <w:bCs/>
                <w:kern w:val="0"/>
                <w:szCs w:val="21"/>
              </w:rPr>
              <w:t>，既支持复制到本地站点，也支持复制到远程容灾站点，提供对同一数据卷的并行本地和远程保护，为未来做远程数据保护奠定基础，本次配置本地站点复制方式。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570" w:hRule="atLeast"/>
        </w:trPr>
        <w:tc>
          <w:tcPr>
            <w:tcW w:w="1564" w:type="dxa"/>
            <w:vAlign w:val="center"/>
          </w:tcPr>
          <w:p>
            <w:pPr>
              <w:widowControl/>
              <w:spacing w:after="120"/>
              <w:ind w:left="-107" w:leftChars="-51" w:firstLine="1"/>
              <w:jc w:val="center"/>
              <w:rPr>
                <w:rFonts w:ascii="宋体" w:hAnsi="宋体" w:cs="宋体"/>
                <w:kern w:val="0"/>
                <w:szCs w:val="21"/>
              </w:rPr>
            </w:pPr>
            <w:r>
              <w:rPr>
                <w:rFonts w:hint="eastAsia" w:ascii="宋体" w:hAnsi="宋体" w:cs="宋体"/>
                <w:kern w:val="0"/>
                <w:szCs w:val="21"/>
              </w:rPr>
              <w:t>目标端处理功能</w:t>
            </w:r>
          </w:p>
        </w:tc>
        <w:tc>
          <w:tcPr>
            <w:tcW w:w="7007" w:type="dxa"/>
            <w:vAlign w:val="center"/>
          </w:tcPr>
          <w:p>
            <w:pPr>
              <w:widowControl/>
              <w:spacing w:after="120"/>
              <w:rPr>
                <w:rFonts w:ascii="宋体" w:hAnsi="宋体" w:cs="宋体"/>
                <w:bCs/>
                <w:kern w:val="0"/>
                <w:szCs w:val="21"/>
              </w:rPr>
            </w:pPr>
            <w:r>
              <w:rPr>
                <w:rFonts w:hint="eastAsia" w:ascii="宋体" w:hAnsi="宋体" w:cs="宋体"/>
                <w:bCs/>
                <w:kern w:val="0"/>
                <w:szCs w:val="21"/>
              </w:rPr>
              <w:t>支持在执行故障切换之前装载复制的映像以处理和检查一致性的能力</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PrEx>
        <w:trPr>
          <w:trHeight w:val="630" w:hRule="atLeast"/>
        </w:trPr>
        <w:tc>
          <w:tcPr>
            <w:tcW w:w="1564" w:type="dxa"/>
            <w:vAlign w:val="center"/>
          </w:tcPr>
          <w:p>
            <w:pPr>
              <w:widowControl/>
              <w:spacing w:after="120"/>
              <w:ind w:left="-107" w:leftChars="-51" w:firstLine="1"/>
              <w:jc w:val="center"/>
              <w:rPr>
                <w:rFonts w:ascii="宋体" w:hAnsi="宋体" w:cs="宋体"/>
                <w:kern w:val="0"/>
                <w:szCs w:val="21"/>
              </w:rPr>
            </w:pPr>
            <w:r>
              <w:rPr>
                <w:rFonts w:hint="eastAsia" w:ascii="宋体" w:hAnsi="宋体" w:cs="宋体"/>
                <w:kern w:val="0"/>
                <w:szCs w:val="21"/>
              </w:rPr>
              <w:t>支持操作系统</w:t>
            </w:r>
          </w:p>
        </w:tc>
        <w:tc>
          <w:tcPr>
            <w:tcW w:w="7007" w:type="dxa"/>
            <w:vAlign w:val="center"/>
          </w:tcPr>
          <w:p>
            <w:pPr>
              <w:widowControl/>
              <w:spacing w:after="120"/>
              <w:rPr>
                <w:rFonts w:ascii="宋体" w:hAnsi="宋体" w:cs="宋体"/>
                <w:bCs/>
                <w:kern w:val="0"/>
                <w:szCs w:val="21"/>
              </w:rPr>
            </w:pPr>
            <w:r>
              <w:rPr>
                <w:rFonts w:hint="eastAsia" w:ascii="宋体" w:hAnsi="宋体" w:cs="宋体"/>
                <w:bCs/>
                <w:kern w:val="0"/>
                <w:szCs w:val="21"/>
              </w:rPr>
              <w:t>支持各种主流操作系统，包括</w:t>
            </w:r>
            <w:r>
              <w:rPr>
                <w:rFonts w:ascii="宋体" w:hAnsi="宋体" w:cs="宋体"/>
                <w:bCs/>
                <w:kern w:val="0"/>
                <w:szCs w:val="21"/>
              </w:rPr>
              <w:t>AIX</w:t>
            </w:r>
            <w:r>
              <w:rPr>
                <w:rFonts w:hint="eastAsia" w:ascii="宋体" w:hAnsi="宋体" w:cs="宋体"/>
                <w:bCs/>
                <w:kern w:val="0"/>
                <w:szCs w:val="21"/>
              </w:rPr>
              <w:t>，</w:t>
            </w:r>
            <w:r>
              <w:rPr>
                <w:rFonts w:ascii="宋体" w:hAnsi="宋体" w:cs="宋体"/>
                <w:bCs/>
                <w:kern w:val="0"/>
                <w:szCs w:val="21"/>
              </w:rPr>
              <w:t>HP-UX</w:t>
            </w:r>
            <w:r>
              <w:rPr>
                <w:rFonts w:hint="eastAsia" w:ascii="宋体" w:hAnsi="宋体" w:cs="宋体"/>
                <w:bCs/>
                <w:kern w:val="0"/>
                <w:szCs w:val="21"/>
              </w:rPr>
              <w:t>，</w:t>
            </w:r>
            <w:r>
              <w:rPr>
                <w:rFonts w:ascii="宋体" w:hAnsi="宋体" w:cs="宋体"/>
                <w:bCs/>
                <w:kern w:val="0"/>
                <w:szCs w:val="21"/>
              </w:rPr>
              <w:t>Solaris</w:t>
            </w:r>
            <w:r>
              <w:rPr>
                <w:rFonts w:hint="eastAsia" w:ascii="宋体" w:hAnsi="宋体" w:cs="宋体"/>
                <w:bCs/>
                <w:kern w:val="0"/>
                <w:szCs w:val="21"/>
              </w:rPr>
              <w:t>，</w:t>
            </w:r>
            <w:r>
              <w:rPr>
                <w:rFonts w:ascii="宋体" w:hAnsi="宋体" w:cs="宋体"/>
                <w:bCs/>
                <w:kern w:val="0"/>
                <w:szCs w:val="21"/>
              </w:rPr>
              <w:t>RedHat Linux</w:t>
            </w:r>
            <w:r>
              <w:rPr>
                <w:rFonts w:hint="eastAsia" w:ascii="宋体" w:hAnsi="宋体" w:cs="宋体"/>
                <w:bCs/>
                <w:kern w:val="0"/>
                <w:szCs w:val="21"/>
              </w:rPr>
              <w:t>，</w:t>
            </w:r>
            <w:r>
              <w:rPr>
                <w:rFonts w:ascii="宋体" w:hAnsi="宋体" w:cs="宋体"/>
                <w:bCs/>
                <w:kern w:val="0"/>
                <w:szCs w:val="21"/>
              </w:rPr>
              <w:t>SuSE Linux</w:t>
            </w:r>
            <w:r>
              <w:rPr>
                <w:rFonts w:hint="eastAsia" w:ascii="宋体" w:hAnsi="宋体" w:cs="宋体"/>
                <w:bCs/>
                <w:kern w:val="0"/>
                <w:szCs w:val="21"/>
              </w:rPr>
              <w:t>，</w:t>
            </w:r>
            <w:r>
              <w:rPr>
                <w:rFonts w:ascii="宋体" w:hAnsi="宋体" w:cs="宋体"/>
                <w:bCs/>
                <w:kern w:val="0"/>
                <w:szCs w:val="21"/>
              </w:rPr>
              <w:t>Windows</w:t>
            </w:r>
            <w:r>
              <w:rPr>
                <w:rFonts w:hint="eastAsia" w:ascii="宋体" w:hAnsi="宋体" w:cs="宋体"/>
                <w:bCs/>
                <w:kern w:val="0"/>
                <w:szCs w:val="21"/>
              </w:rPr>
              <w:t>，</w:t>
            </w:r>
            <w:r>
              <w:rPr>
                <w:rFonts w:ascii="宋体" w:hAnsi="宋体" w:cs="宋体"/>
                <w:bCs/>
                <w:kern w:val="0"/>
                <w:szCs w:val="21"/>
              </w:rPr>
              <w:t>VMWare ESX</w:t>
            </w:r>
            <w:r>
              <w:rPr>
                <w:rFonts w:hint="eastAsia" w:ascii="宋体" w:hAnsi="宋体" w:cs="宋体"/>
                <w:bCs/>
                <w:kern w:val="0"/>
                <w:szCs w:val="21"/>
              </w:rPr>
              <w:t>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600" w:hRule="atLeast"/>
        </w:trPr>
        <w:tc>
          <w:tcPr>
            <w:tcW w:w="1564" w:type="dxa"/>
            <w:vAlign w:val="center"/>
          </w:tcPr>
          <w:p>
            <w:pPr>
              <w:widowControl/>
              <w:spacing w:after="120"/>
              <w:ind w:left="-107" w:leftChars="-51" w:firstLine="1"/>
              <w:jc w:val="center"/>
              <w:rPr>
                <w:rFonts w:ascii="宋体" w:hAnsi="宋体" w:cs="宋体"/>
                <w:kern w:val="0"/>
                <w:szCs w:val="21"/>
              </w:rPr>
            </w:pPr>
            <w:r>
              <w:rPr>
                <w:rFonts w:hint="eastAsia" w:ascii="宋体" w:hAnsi="宋体" w:cs="宋体"/>
                <w:kern w:val="0"/>
                <w:szCs w:val="21"/>
              </w:rPr>
              <w:t>支持存储类别</w:t>
            </w:r>
          </w:p>
        </w:tc>
        <w:tc>
          <w:tcPr>
            <w:tcW w:w="7007" w:type="dxa"/>
            <w:vAlign w:val="center"/>
          </w:tcPr>
          <w:p>
            <w:pPr>
              <w:widowControl/>
              <w:spacing w:after="120"/>
              <w:rPr>
                <w:rFonts w:ascii="宋体" w:hAnsi="宋体" w:cs="宋体"/>
                <w:bCs/>
                <w:kern w:val="0"/>
                <w:szCs w:val="21"/>
              </w:rPr>
            </w:pPr>
            <w:r>
              <w:rPr>
                <w:rFonts w:hint="eastAsia" w:ascii="宋体" w:hAnsi="宋体" w:cs="宋体"/>
                <w:bCs/>
                <w:kern w:val="0"/>
                <w:szCs w:val="21"/>
              </w:rPr>
              <w:t>支持</w:t>
            </w:r>
            <w:r>
              <w:rPr>
                <w:rFonts w:ascii="宋体" w:hAnsi="宋体" w:cs="宋体"/>
                <w:bCs/>
                <w:kern w:val="0"/>
                <w:szCs w:val="21"/>
              </w:rPr>
              <w:t>EMC</w:t>
            </w:r>
            <w:r>
              <w:rPr>
                <w:rFonts w:hint="eastAsia" w:ascii="宋体" w:hAnsi="宋体" w:cs="宋体"/>
                <w:bCs/>
                <w:kern w:val="0"/>
                <w:szCs w:val="21"/>
              </w:rPr>
              <w:t>，</w:t>
            </w:r>
            <w:r>
              <w:rPr>
                <w:rFonts w:ascii="宋体" w:hAnsi="宋体" w:cs="宋体"/>
                <w:bCs/>
                <w:kern w:val="0"/>
                <w:szCs w:val="21"/>
              </w:rPr>
              <w:t>HDS</w:t>
            </w:r>
            <w:r>
              <w:rPr>
                <w:rFonts w:hint="eastAsia" w:ascii="宋体" w:hAnsi="宋体" w:cs="宋体"/>
                <w:bCs/>
                <w:kern w:val="0"/>
                <w:szCs w:val="21"/>
              </w:rPr>
              <w:t>，</w:t>
            </w:r>
            <w:r>
              <w:rPr>
                <w:rFonts w:ascii="宋体" w:hAnsi="宋体" w:cs="宋体"/>
                <w:bCs/>
                <w:kern w:val="0"/>
                <w:szCs w:val="21"/>
              </w:rPr>
              <w:t xml:space="preserve">HP </w:t>
            </w:r>
            <w:r>
              <w:rPr>
                <w:rFonts w:hint="eastAsia" w:ascii="宋体" w:hAnsi="宋体" w:cs="宋体"/>
                <w:bCs/>
                <w:kern w:val="0"/>
                <w:szCs w:val="21"/>
              </w:rPr>
              <w:t>，</w:t>
            </w:r>
            <w:r>
              <w:rPr>
                <w:rFonts w:ascii="宋体" w:hAnsi="宋体" w:cs="宋体"/>
                <w:bCs/>
                <w:kern w:val="0"/>
                <w:szCs w:val="21"/>
              </w:rPr>
              <w:t>IBM</w:t>
            </w:r>
            <w:r>
              <w:rPr>
                <w:rFonts w:hint="eastAsia" w:ascii="宋体" w:hAnsi="宋体" w:cs="宋体"/>
                <w:bCs/>
                <w:kern w:val="0"/>
                <w:szCs w:val="21"/>
              </w:rPr>
              <w:t>，</w:t>
            </w:r>
            <w:r>
              <w:rPr>
                <w:rFonts w:ascii="宋体" w:hAnsi="宋体" w:cs="宋体"/>
                <w:bCs/>
                <w:kern w:val="0"/>
                <w:szCs w:val="21"/>
              </w:rPr>
              <w:t>LSI</w:t>
            </w:r>
            <w:r>
              <w:rPr>
                <w:rFonts w:hint="eastAsia" w:ascii="宋体" w:hAnsi="宋体" w:cs="宋体"/>
                <w:bCs/>
                <w:kern w:val="0"/>
                <w:szCs w:val="21"/>
              </w:rPr>
              <w:t>，</w:t>
            </w:r>
            <w:r>
              <w:rPr>
                <w:rFonts w:ascii="宋体" w:hAnsi="宋体" w:cs="宋体"/>
                <w:bCs/>
                <w:kern w:val="0"/>
                <w:szCs w:val="21"/>
              </w:rPr>
              <w:t>SUN</w:t>
            </w:r>
            <w:r>
              <w:rPr>
                <w:rFonts w:hint="eastAsia" w:ascii="宋体" w:hAnsi="宋体" w:cs="宋体"/>
                <w:bCs/>
                <w:kern w:val="0"/>
                <w:szCs w:val="21"/>
              </w:rPr>
              <w:t>，</w:t>
            </w:r>
            <w:r>
              <w:rPr>
                <w:rFonts w:ascii="宋体" w:hAnsi="宋体" w:cs="宋体"/>
                <w:bCs/>
                <w:kern w:val="0"/>
                <w:szCs w:val="21"/>
              </w:rPr>
              <w:t>NetApp</w:t>
            </w:r>
            <w:r>
              <w:rPr>
                <w:rFonts w:hint="eastAsia" w:ascii="宋体" w:hAnsi="宋体" w:cs="宋体"/>
                <w:bCs/>
                <w:kern w:val="0"/>
                <w:szCs w:val="21"/>
              </w:rPr>
              <w:t>等多家存储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600" w:hRule="atLeast"/>
        </w:trPr>
        <w:tc>
          <w:tcPr>
            <w:tcW w:w="1564" w:type="dxa"/>
            <w:vAlign w:val="center"/>
          </w:tcPr>
          <w:p>
            <w:pPr>
              <w:widowControl/>
              <w:spacing w:after="120"/>
              <w:ind w:left="-107" w:leftChars="-51" w:firstLine="1"/>
              <w:jc w:val="center"/>
              <w:rPr>
                <w:rFonts w:ascii="宋体" w:hAnsi="宋体" w:cs="宋体"/>
                <w:kern w:val="0"/>
                <w:szCs w:val="21"/>
              </w:rPr>
            </w:pPr>
            <w:r>
              <w:rPr>
                <w:rFonts w:hint="eastAsia" w:ascii="宋体" w:hAnsi="宋体" w:cs="宋体"/>
                <w:kern w:val="0"/>
                <w:szCs w:val="21"/>
              </w:rPr>
              <w:t>集群软件支持</w:t>
            </w:r>
          </w:p>
        </w:tc>
        <w:tc>
          <w:tcPr>
            <w:tcW w:w="7007" w:type="dxa"/>
            <w:vAlign w:val="center"/>
          </w:tcPr>
          <w:p>
            <w:pPr>
              <w:widowControl/>
              <w:spacing w:after="120"/>
              <w:rPr>
                <w:rFonts w:ascii="宋体" w:hAnsi="宋体" w:cs="宋体"/>
                <w:bCs/>
                <w:kern w:val="0"/>
                <w:szCs w:val="21"/>
              </w:rPr>
            </w:pPr>
            <w:r>
              <w:rPr>
                <w:rFonts w:hint="eastAsia" w:ascii="宋体" w:hAnsi="宋体" w:cs="宋体"/>
                <w:bCs/>
                <w:kern w:val="0"/>
                <w:szCs w:val="21"/>
              </w:rPr>
              <w:t>支持</w:t>
            </w:r>
            <w:r>
              <w:rPr>
                <w:rFonts w:ascii="宋体" w:hAnsi="宋体" w:cs="宋体"/>
                <w:bCs/>
                <w:kern w:val="0"/>
                <w:szCs w:val="21"/>
              </w:rPr>
              <w:t>HACMP</w:t>
            </w:r>
            <w:r>
              <w:rPr>
                <w:rFonts w:hint="eastAsia" w:ascii="宋体" w:hAnsi="宋体" w:cs="宋体"/>
                <w:bCs/>
                <w:kern w:val="0"/>
                <w:szCs w:val="21"/>
              </w:rPr>
              <w:t>、</w:t>
            </w:r>
            <w:r>
              <w:rPr>
                <w:rFonts w:ascii="宋体" w:hAnsi="宋体" w:cs="宋体"/>
                <w:bCs/>
                <w:kern w:val="0"/>
                <w:szCs w:val="21"/>
              </w:rPr>
              <w:t>HP Service Guard</w:t>
            </w:r>
            <w:r>
              <w:rPr>
                <w:rFonts w:hint="eastAsia" w:ascii="宋体" w:hAnsi="宋体" w:cs="宋体"/>
                <w:bCs/>
                <w:kern w:val="0"/>
                <w:szCs w:val="21"/>
              </w:rPr>
              <w:t>、</w:t>
            </w:r>
            <w:r>
              <w:rPr>
                <w:rFonts w:ascii="宋体" w:hAnsi="宋体" w:cs="宋体"/>
                <w:bCs/>
                <w:kern w:val="0"/>
                <w:szCs w:val="21"/>
              </w:rPr>
              <w:t>MSCS</w:t>
            </w:r>
            <w:r>
              <w:rPr>
                <w:rFonts w:hint="eastAsia" w:ascii="宋体" w:hAnsi="宋体" w:cs="宋体"/>
                <w:bCs/>
                <w:kern w:val="0"/>
                <w:szCs w:val="21"/>
              </w:rPr>
              <w:t>、</w:t>
            </w:r>
            <w:r>
              <w:rPr>
                <w:rFonts w:ascii="宋体" w:hAnsi="宋体" w:cs="宋体"/>
                <w:bCs/>
                <w:kern w:val="0"/>
                <w:szCs w:val="21"/>
              </w:rPr>
              <w:t>Oracle RAC</w:t>
            </w:r>
            <w:r>
              <w:rPr>
                <w:rFonts w:hint="eastAsia" w:ascii="宋体" w:hAnsi="宋体" w:cs="宋体"/>
                <w:bCs/>
                <w:kern w:val="0"/>
                <w:szCs w:val="21"/>
              </w:rPr>
              <w:t>、</w:t>
            </w:r>
            <w:r>
              <w:rPr>
                <w:rFonts w:ascii="宋体" w:hAnsi="宋体" w:cs="宋体"/>
                <w:bCs/>
                <w:kern w:val="0"/>
                <w:szCs w:val="21"/>
              </w:rPr>
              <w:t>VCS</w:t>
            </w:r>
            <w:r>
              <w:rPr>
                <w:rFonts w:hint="eastAsia" w:ascii="宋体" w:hAnsi="宋体" w:cs="宋体"/>
                <w:bCs/>
                <w:kern w:val="0"/>
                <w:szCs w:val="21"/>
              </w:rPr>
              <w:t>等多种集群软件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630" w:hRule="atLeast"/>
        </w:trPr>
        <w:tc>
          <w:tcPr>
            <w:tcW w:w="1564" w:type="dxa"/>
            <w:vAlign w:val="center"/>
          </w:tcPr>
          <w:p>
            <w:pPr>
              <w:widowControl/>
              <w:spacing w:after="120"/>
              <w:ind w:left="-107" w:leftChars="-51" w:firstLine="1"/>
              <w:jc w:val="center"/>
              <w:rPr>
                <w:rFonts w:ascii="宋体" w:hAnsi="宋体" w:cs="宋体"/>
                <w:kern w:val="0"/>
                <w:szCs w:val="21"/>
              </w:rPr>
            </w:pPr>
            <w:r>
              <w:rPr>
                <w:rFonts w:hint="eastAsia" w:ascii="宋体" w:hAnsi="宋体" w:cs="宋体"/>
                <w:kern w:val="0"/>
                <w:szCs w:val="21"/>
              </w:rPr>
              <w:t>多路径软件支持</w:t>
            </w:r>
          </w:p>
        </w:tc>
        <w:tc>
          <w:tcPr>
            <w:tcW w:w="7007" w:type="dxa"/>
            <w:vAlign w:val="center"/>
          </w:tcPr>
          <w:p>
            <w:pPr>
              <w:widowControl/>
              <w:spacing w:after="120"/>
              <w:rPr>
                <w:rFonts w:ascii="宋体" w:hAnsi="宋体" w:cs="宋体"/>
                <w:bCs/>
                <w:kern w:val="0"/>
                <w:szCs w:val="21"/>
              </w:rPr>
            </w:pPr>
            <w:r>
              <w:rPr>
                <w:rFonts w:hint="eastAsia" w:ascii="宋体" w:hAnsi="宋体" w:cs="宋体"/>
                <w:bCs/>
                <w:kern w:val="0"/>
                <w:szCs w:val="21"/>
              </w:rPr>
              <w:t>支持</w:t>
            </w:r>
            <w:r>
              <w:rPr>
                <w:rFonts w:ascii="宋体" w:hAnsi="宋体" w:cs="宋体"/>
                <w:bCs/>
                <w:kern w:val="0"/>
                <w:szCs w:val="21"/>
              </w:rPr>
              <w:t>DMP</w:t>
            </w:r>
            <w:r>
              <w:rPr>
                <w:rFonts w:hint="eastAsia" w:ascii="宋体" w:hAnsi="宋体" w:cs="宋体"/>
                <w:bCs/>
                <w:kern w:val="0"/>
                <w:szCs w:val="21"/>
              </w:rPr>
              <w:t>、</w:t>
            </w:r>
            <w:r>
              <w:rPr>
                <w:rFonts w:ascii="宋体" w:hAnsi="宋体" w:cs="宋体"/>
                <w:bCs/>
                <w:kern w:val="0"/>
                <w:szCs w:val="21"/>
              </w:rPr>
              <w:t>ESX Native</w:t>
            </w:r>
            <w:r>
              <w:rPr>
                <w:rFonts w:hint="eastAsia" w:ascii="宋体" w:hAnsi="宋体" w:cs="宋体"/>
                <w:bCs/>
                <w:kern w:val="0"/>
                <w:szCs w:val="21"/>
              </w:rPr>
              <w:t>、</w:t>
            </w:r>
            <w:r>
              <w:rPr>
                <w:rFonts w:ascii="宋体" w:hAnsi="宋体" w:cs="宋体"/>
                <w:bCs/>
                <w:kern w:val="0"/>
                <w:szCs w:val="21"/>
              </w:rPr>
              <w:t>HDLM</w:t>
            </w:r>
            <w:r>
              <w:rPr>
                <w:rFonts w:hint="eastAsia" w:ascii="宋体" w:hAnsi="宋体" w:cs="宋体"/>
                <w:bCs/>
                <w:kern w:val="0"/>
                <w:szCs w:val="21"/>
              </w:rPr>
              <w:t>、</w:t>
            </w:r>
            <w:r>
              <w:rPr>
                <w:rFonts w:ascii="宋体" w:hAnsi="宋体" w:cs="宋体"/>
                <w:bCs/>
                <w:kern w:val="0"/>
                <w:szCs w:val="21"/>
              </w:rPr>
              <w:t>HP-MPIO</w:t>
            </w:r>
            <w:r>
              <w:rPr>
                <w:rFonts w:hint="eastAsia" w:ascii="宋体" w:hAnsi="宋体" w:cs="宋体"/>
                <w:bCs/>
                <w:kern w:val="0"/>
                <w:szCs w:val="21"/>
              </w:rPr>
              <w:t>、</w:t>
            </w:r>
            <w:r>
              <w:rPr>
                <w:rFonts w:ascii="宋体" w:hAnsi="宋体" w:cs="宋体"/>
                <w:bCs/>
                <w:kern w:val="0"/>
                <w:szCs w:val="21"/>
              </w:rPr>
              <w:t>MPIO</w:t>
            </w:r>
            <w:r>
              <w:rPr>
                <w:rFonts w:hint="eastAsia" w:ascii="宋体" w:hAnsi="宋体" w:cs="宋体"/>
                <w:bCs/>
                <w:kern w:val="0"/>
                <w:szCs w:val="21"/>
              </w:rPr>
              <w:t>、</w:t>
            </w:r>
            <w:r>
              <w:rPr>
                <w:rFonts w:ascii="宋体" w:hAnsi="宋体" w:cs="宋体"/>
                <w:bCs/>
                <w:kern w:val="0"/>
                <w:szCs w:val="21"/>
              </w:rPr>
              <w:t>PowerPath</w:t>
            </w:r>
            <w:r>
              <w:rPr>
                <w:rFonts w:hint="eastAsia" w:ascii="宋体" w:hAnsi="宋体" w:cs="宋体"/>
                <w:bCs/>
                <w:kern w:val="0"/>
                <w:szCs w:val="21"/>
              </w:rPr>
              <w:t>、</w:t>
            </w:r>
            <w:r>
              <w:rPr>
                <w:rFonts w:ascii="宋体" w:hAnsi="宋体" w:cs="宋体"/>
                <w:bCs/>
                <w:kern w:val="0"/>
                <w:szCs w:val="21"/>
              </w:rPr>
              <w:t>RDAC</w:t>
            </w:r>
            <w:r>
              <w:rPr>
                <w:rFonts w:hint="eastAsia" w:ascii="宋体" w:hAnsi="宋体" w:cs="宋体"/>
                <w:bCs/>
                <w:kern w:val="0"/>
                <w:szCs w:val="21"/>
              </w:rPr>
              <w:t>、</w:t>
            </w:r>
            <w:r>
              <w:rPr>
                <w:rFonts w:ascii="宋体" w:hAnsi="宋体" w:cs="宋体"/>
                <w:bCs/>
                <w:kern w:val="0"/>
                <w:szCs w:val="21"/>
              </w:rPr>
              <w:t>SDD-DSM</w:t>
            </w:r>
            <w:r>
              <w:rPr>
                <w:rFonts w:hint="eastAsia" w:ascii="宋体" w:hAnsi="宋体" w:cs="宋体"/>
                <w:bCs/>
                <w:kern w:val="0"/>
                <w:szCs w:val="21"/>
              </w:rPr>
              <w:t>等多路径软件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630" w:hRule="atLeast"/>
        </w:trPr>
        <w:tc>
          <w:tcPr>
            <w:tcW w:w="1564" w:type="dxa"/>
            <w:vAlign w:val="center"/>
          </w:tcPr>
          <w:p>
            <w:pPr>
              <w:widowControl/>
              <w:spacing w:after="120"/>
              <w:ind w:left="-107" w:leftChars="-51" w:firstLine="1"/>
              <w:jc w:val="center"/>
              <w:rPr>
                <w:rFonts w:ascii="宋体" w:hAnsi="宋体" w:cs="宋体"/>
                <w:kern w:val="0"/>
                <w:szCs w:val="21"/>
              </w:rPr>
            </w:pPr>
            <w:r>
              <w:rPr>
                <w:rFonts w:hint="eastAsia" w:ascii="宋体" w:hAnsi="宋体" w:cs="宋体"/>
                <w:kern w:val="0"/>
                <w:szCs w:val="21"/>
              </w:rPr>
              <w:t>管理界面</w:t>
            </w:r>
          </w:p>
        </w:tc>
        <w:tc>
          <w:tcPr>
            <w:tcW w:w="7007" w:type="dxa"/>
            <w:vAlign w:val="center"/>
          </w:tcPr>
          <w:p>
            <w:pPr>
              <w:widowControl/>
              <w:spacing w:after="120"/>
              <w:rPr>
                <w:rFonts w:ascii="宋体" w:hAnsi="宋体" w:cs="宋体"/>
                <w:bCs/>
                <w:kern w:val="0"/>
                <w:szCs w:val="21"/>
              </w:rPr>
            </w:pPr>
            <w:r>
              <w:rPr>
                <w:rFonts w:hint="eastAsia" w:ascii="宋体" w:hAnsi="宋体" w:cs="宋体"/>
                <w:bCs/>
                <w:kern w:val="0"/>
                <w:szCs w:val="21"/>
              </w:rPr>
              <w:t>提供可在多种主机系统上运行的基于</w:t>
            </w:r>
            <w:r>
              <w:rPr>
                <w:rFonts w:ascii="宋体" w:hAnsi="宋体" w:cs="宋体"/>
                <w:bCs/>
                <w:kern w:val="0"/>
                <w:szCs w:val="21"/>
              </w:rPr>
              <w:t xml:space="preserve"> Java </w:t>
            </w:r>
            <w:r>
              <w:rPr>
                <w:rFonts w:hint="eastAsia" w:ascii="宋体" w:hAnsi="宋体" w:cs="宋体"/>
                <w:bCs/>
                <w:kern w:val="0"/>
                <w:szCs w:val="21"/>
              </w:rPr>
              <w:t>的管理界面，使管理员能够集中管理所有的操作，包括设置复制关系和参数、查看复制状态、恢复到某一时间点，和启动生产故障切换等。</w:t>
            </w:r>
          </w:p>
        </w:tc>
      </w:tr>
    </w:tbl>
    <w:p/>
    <w:p>
      <w:pPr>
        <w:pStyle w:val="4"/>
        <w:tabs>
          <w:tab w:val="left" w:pos="432"/>
        </w:tabs>
        <w:rPr>
          <w:sz w:val="24"/>
          <w:szCs w:val="24"/>
        </w:rPr>
      </w:pPr>
      <w:r>
        <w:rPr>
          <w:rFonts w:hint="eastAsia"/>
          <w:sz w:val="24"/>
          <w:szCs w:val="24"/>
        </w:rPr>
        <w:t>7.3.41 灾备主机</w:t>
      </w:r>
    </w:p>
    <w:tbl>
      <w:tblPr>
        <w:tblStyle w:val="35"/>
        <w:tblW w:w="8522"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25"/>
        <w:gridCol w:w="699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525" w:type="dxa"/>
            <w:vAlign w:val="center"/>
          </w:tcPr>
          <w:p>
            <w:pPr>
              <w:jc w:val="center"/>
              <w:rPr>
                <w:rFonts w:ascii="等线" w:hAnsi="等线" w:eastAsia="等线" w:cs="Tahoma"/>
                <w:b/>
                <w:szCs w:val="21"/>
              </w:rPr>
            </w:pPr>
            <w:r>
              <w:rPr>
                <w:rFonts w:hint="eastAsia" w:ascii="等线" w:hAnsi="等线" w:eastAsia="等线" w:cs="Tahoma"/>
                <w:b/>
                <w:szCs w:val="21"/>
              </w:rPr>
              <w:t>指标项</w:t>
            </w:r>
          </w:p>
        </w:tc>
        <w:tc>
          <w:tcPr>
            <w:tcW w:w="6997" w:type="dxa"/>
            <w:vAlign w:val="center"/>
          </w:tcPr>
          <w:p>
            <w:pPr>
              <w:jc w:val="center"/>
              <w:rPr>
                <w:rFonts w:ascii="等线" w:hAnsi="等线" w:eastAsia="等线" w:cs="Tahoma"/>
                <w:b/>
                <w:szCs w:val="21"/>
              </w:rPr>
            </w:pPr>
            <w:r>
              <w:rPr>
                <w:rFonts w:hint="eastAsia" w:ascii="等线" w:hAnsi="等线" w:eastAsia="等线" w:cs="Microsoft YaHei UI"/>
                <w:b/>
                <w:szCs w:val="21"/>
              </w:rPr>
              <w:t>技术规格要求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525" w:type="dxa"/>
          </w:tcPr>
          <w:p>
            <w:pPr>
              <w:pStyle w:val="42"/>
              <w:ind w:firstLine="0" w:firstLineChars="0"/>
              <w:rPr>
                <w:szCs w:val="21"/>
              </w:rPr>
            </w:pPr>
            <w:r>
              <w:rPr>
                <w:rFonts w:hint="eastAsia"/>
                <w:szCs w:val="21"/>
              </w:rPr>
              <w:t>服务器外型</w:t>
            </w:r>
          </w:p>
        </w:tc>
        <w:tc>
          <w:tcPr>
            <w:tcW w:w="6997" w:type="dxa"/>
          </w:tcPr>
          <w:p>
            <w:pPr>
              <w:pStyle w:val="42"/>
              <w:ind w:firstLine="0" w:firstLineChars="0"/>
              <w:rPr>
                <w:szCs w:val="21"/>
              </w:rPr>
            </w:pPr>
            <w:r>
              <w:rPr>
                <w:rFonts w:hint="eastAsia"/>
                <w:szCs w:val="21"/>
              </w:rPr>
              <w:t>机架式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525" w:type="dxa"/>
          </w:tcPr>
          <w:p>
            <w:pPr>
              <w:pStyle w:val="42"/>
              <w:ind w:firstLine="0" w:firstLineChars="0"/>
              <w:rPr>
                <w:szCs w:val="21"/>
              </w:rPr>
            </w:pPr>
            <w:r>
              <w:rPr>
                <w:rFonts w:hint="eastAsia"/>
                <w:szCs w:val="21"/>
              </w:rPr>
              <w:t>服务器高度</w:t>
            </w:r>
          </w:p>
        </w:tc>
        <w:tc>
          <w:tcPr>
            <w:tcW w:w="6997" w:type="dxa"/>
          </w:tcPr>
          <w:p>
            <w:pPr>
              <w:pStyle w:val="42"/>
              <w:ind w:firstLine="0" w:firstLineChars="0"/>
              <w:rPr>
                <w:szCs w:val="21"/>
              </w:rPr>
            </w:pPr>
            <w:r>
              <w:rPr>
                <w:rFonts w:hint="eastAsia"/>
                <w:szCs w:val="21"/>
              </w:rPr>
              <w:t>≤</w:t>
            </w:r>
            <w:r>
              <w:rPr>
                <w:szCs w:val="21"/>
              </w:rPr>
              <w:t>4U</w:t>
            </w:r>
            <w:r>
              <w:rPr>
                <w:rFonts w:hint="eastAsia"/>
                <w:szCs w:val="21"/>
              </w:rPr>
              <w:t>，标配原厂滑动导轨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0" w:hRule="atLeast"/>
          <w:jc w:val="center"/>
        </w:trPr>
        <w:tc>
          <w:tcPr>
            <w:tcW w:w="1525" w:type="dxa"/>
          </w:tcPr>
          <w:p>
            <w:pPr>
              <w:pStyle w:val="42"/>
              <w:ind w:firstLine="0" w:firstLineChars="0"/>
              <w:rPr>
                <w:szCs w:val="21"/>
              </w:rPr>
            </w:pPr>
            <w:r>
              <w:rPr>
                <w:szCs w:val="21"/>
              </w:rPr>
              <w:t>CPU</w:t>
            </w:r>
            <w:r>
              <w:rPr>
                <w:rFonts w:hint="eastAsia"/>
                <w:szCs w:val="21"/>
              </w:rPr>
              <w:t>型号</w:t>
            </w:r>
          </w:p>
        </w:tc>
        <w:tc>
          <w:tcPr>
            <w:tcW w:w="6997" w:type="dxa"/>
          </w:tcPr>
          <w:p>
            <w:pPr>
              <w:pStyle w:val="42"/>
              <w:ind w:firstLine="0" w:firstLineChars="0"/>
              <w:rPr>
                <w:szCs w:val="21"/>
              </w:rPr>
            </w:pPr>
            <w:r>
              <w:rPr>
                <w:szCs w:val="21"/>
              </w:rPr>
              <w:t xml:space="preserve">Intel Xeon E7-4830v4 </w:t>
            </w:r>
            <w:r>
              <w:rPr>
                <w:rFonts w:hint="eastAsia"/>
                <w:szCs w:val="21"/>
              </w:rPr>
              <w:t>处理器</w:t>
            </w:r>
            <w:r>
              <w:rPr>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525" w:type="dxa"/>
          </w:tcPr>
          <w:p>
            <w:pPr>
              <w:pStyle w:val="42"/>
              <w:ind w:firstLine="0" w:firstLineChars="0"/>
              <w:rPr>
                <w:szCs w:val="21"/>
              </w:rPr>
            </w:pPr>
            <w:r>
              <w:rPr>
                <w:szCs w:val="21"/>
              </w:rPr>
              <w:t>CPU</w:t>
            </w:r>
            <w:r>
              <w:rPr>
                <w:rFonts w:hint="eastAsia"/>
                <w:szCs w:val="21"/>
              </w:rPr>
              <w:t>实配数量</w:t>
            </w:r>
          </w:p>
        </w:tc>
        <w:tc>
          <w:tcPr>
            <w:tcW w:w="6997" w:type="dxa"/>
          </w:tcPr>
          <w:p>
            <w:pPr>
              <w:pStyle w:val="42"/>
              <w:ind w:firstLine="0" w:firstLineChars="0"/>
              <w:rPr>
                <w:szCs w:val="21"/>
              </w:rPr>
            </w:pPr>
            <w:r>
              <w:rPr>
                <w:rFonts w:hint="eastAsia"/>
                <w:szCs w:val="21"/>
              </w:rPr>
              <w:t>≥</w:t>
            </w:r>
            <w:r>
              <w:rPr>
                <w:szCs w:val="21"/>
              </w:rPr>
              <w:t>4</w:t>
            </w:r>
            <w:r>
              <w:rPr>
                <w:rFonts w:hint="eastAsia"/>
                <w:szCs w:val="21"/>
              </w:rPr>
              <w:t>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trHeight w:val="70" w:hRule="atLeast"/>
          <w:jc w:val="center"/>
        </w:trPr>
        <w:tc>
          <w:tcPr>
            <w:tcW w:w="1525" w:type="dxa"/>
          </w:tcPr>
          <w:p>
            <w:pPr>
              <w:pStyle w:val="42"/>
              <w:ind w:firstLine="0" w:firstLineChars="0"/>
              <w:rPr>
                <w:szCs w:val="21"/>
              </w:rPr>
            </w:pPr>
            <w:r>
              <w:rPr>
                <w:rFonts w:hint="eastAsia"/>
                <w:szCs w:val="21"/>
              </w:rPr>
              <w:t>内存功能</w:t>
            </w:r>
          </w:p>
        </w:tc>
        <w:tc>
          <w:tcPr>
            <w:tcW w:w="6997" w:type="dxa"/>
          </w:tcPr>
          <w:p>
            <w:pPr>
              <w:pStyle w:val="42"/>
              <w:ind w:firstLine="0" w:firstLineChars="0"/>
              <w:rPr>
                <w:szCs w:val="21"/>
              </w:rPr>
            </w:pPr>
            <w:r>
              <w:rPr>
                <w:rFonts w:hint="eastAsia"/>
                <w:szCs w:val="21"/>
              </w:rPr>
              <w:t>高级</w:t>
            </w:r>
            <w:r>
              <w:rPr>
                <w:szCs w:val="21"/>
              </w:rPr>
              <w:t>ECC</w:t>
            </w:r>
            <w:r>
              <w:rPr>
                <w:rFonts w:hint="eastAsia"/>
                <w:szCs w:val="21"/>
              </w:rPr>
              <w:t>、在线备用内存、内存镜像、故障内存隔离、DDDC/SDDC等</w:t>
            </w:r>
            <w:r>
              <w:rPr>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525" w:type="dxa"/>
          </w:tcPr>
          <w:p>
            <w:pPr>
              <w:pStyle w:val="42"/>
              <w:ind w:firstLine="0" w:firstLineChars="0"/>
              <w:rPr>
                <w:szCs w:val="21"/>
              </w:rPr>
            </w:pPr>
            <w:r>
              <w:rPr>
                <w:rFonts w:hint="eastAsia"/>
                <w:szCs w:val="21"/>
              </w:rPr>
              <w:t>内存实配规格</w:t>
            </w:r>
          </w:p>
        </w:tc>
        <w:tc>
          <w:tcPr>
            <w:tcW w:w="6997" w:type="dxa"/>
          </w:tcPr>
          <w:p>
            <w:pPr>
              <w:pStyle w:val="42"/>
              <w:ind w:firstLine="0" w:firstLineChars="0"/>
              <w:rPr>
                <w:szCs w:val="21"/>
              </w:rPr>
            </w:pPr>
            <w:r>
              <w:rPr>
                <w:rFonts w:hint="eastAsia"/>
                <w:szCs w:val="21"/>
              </w:rPr>
              <w:t>≥32</w:t>
            </w:r>
            <w:r>
              <w:rPr>
                <w:szCs w:val="21"/>
              </w:rPr>
              <w:t>GB*8 DDR4 2400MHz</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525" w:type="dxa"/>
          </w:tcPr>
          <w:p>
            <w:pPr>
              <w:pStyle w:val="42"/>
              <w:ind w:firstLine="0" w:firstLineChars="0"/>
              <w:rPr>
                <w:szCs w:val="21"/>
              </w:rPr>
            </w:pPr>
            <w:r>
              <w:rPr>
                <w:rFonts w:hint="eastAsia"/>
                <w:szCs w:val="21"/>
              </w:rPr>
              <w:t>插槽数量</w:t>
            </w:r>
          </w:p>
        </w:tc>
        <w:tc>
          <w:tcPr>
            <w:tcW w:w="6997" w:type="dxa"/>
          </w:tcPr>
          <w:p>
            <w:pPr>
              <w:pStyle w:val="42"/>
              <w:ind w:firstLine="0" w:firstLineChars="0"/>
              <w:rPr>
                <w:szCs w:val="21"/>
              </w:rPr>
            </w:pPr>
            <w:r>
              <w:rPr>
                <w:rFonts w:hint="eastAsia"/>
                <w:szCs w:val="21"/>
              </w:rPr>
              <w:t>可扩展≥</w:t>
            </w:r>
            <w:r>
              <w:rPr>
                <w:szCs w:val="21"/>
              </w:rPr>
              <w:t>96</w:t>
            </w:r>
            <w:r>
              <w:rPr>
                <w:rFonts w:hint="eastAsia"/>
                <w:szCs w:val="21"/>
              </w:rPr>
              <w:t>个内存插槽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70" w:hRule="atLeast"/>
          <w:jc w:val="center"/>
        </w:trPr>
        <w:tc>
          <w:tcPr>
            <w:tcW w:w="1525" w:type="dxa"/>
          </w:tcPr>
          <w:p>
            <w:pPr>
              <w:pStyle w:val="42"/>
              <w:ind w:firstLine="0" w:firstLineChars="0"/>
              <w:rPr>
                <w:szCs w:val="21"/>
              </w:rPr>
            </w:pPr>
            <w:r>
              <w:rPr>
                <w:rFonts w:hint="eastAsia"/>
                <w:szCs w:val="21"/>
              </w:rPr>
              <w:t>内存可扩展数量</w:t>
            </w:r>
          </w:p>
        </w:tc>
        <w:tc>
          <w:tcPr>
            <w:tcW w:w="6997" w:type="dxa"/>
          </w:tcPr>
          <w:p>
            <w:pPr>
              <w:pStyle w:val="42"/>
              <w:ind w:firstLine="0" w:firstLineChars="0"/>
              <w:rPr>
                <w:szCs w:val="21"/>
              </w:rPr>
            </w:pPr>
            <w:r>
              <w:rPr>
                <w:rFonts w:hint="eastAsia"/>
                <w:szCs w:val="21"/>
              </w:rPr>
              <w:t>最大容量支持≥</w:t>
            </w:r>
            <w:r>
              <w:rPr>
                <w:szCs w:val="21"/>
              </w:rPr>
              <w:t>6T</w:t>
            </w:r>
            <w:r>
              <w:rPr>
                <w:rFonts w:hint="eastAsia"/>
                <w:szCs w:val="21"/>
              </w:rPr>
              <w:t>容量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43" w:hRule="atLeast"/>
          <w:jc w:val="center"/>
        </w:trPr>
        <w:tc>
          <w:tcPr>
            <w:tcW w:w="1525" w:type="dxa"/>
          </w:tcPr>
          <w:p>
            <w:pPr>
              <w:pStyle w:val="42"/>
              <w:ind w:firstLine="0" w:firstLineChars="0"/>
              <w:rPr>
                <w:szCs w:val="21"/>
              </w:rPr>
            </w:pPr>
            <w:r>
              <w:rPr>
                <w:rFonts w:hint="eastAsia"/>
                <w:szCs w:val="21"/>
              </w:rPr>
              <w:t>实配硬盘及</w:t>
            </w:r>
            <w:r>
              <w:rPr>
                <w:szCs w:val="21"/>
              </w:rPr>
              <w:t>托架</w:t>
            </w:r>
          </w:p>
        </w:tc>
        <w:tc>
          <w:tcPr>
            <w:tcW w:w="6997" w:type="dxa"/>
          </w:tcPr>
          <w:p>
            <w:pPr>
              <w:pStyle w:val="42"/>
              <w:ind w:firstLine="0" w:firstLineChars="0"/>
              <w:rPr>
                <w:szCs w:val="21"/>
              </w:rPr>
            </w:pPr>
            <w:r>
              <w:rPr>
                <w:rFonts w:hint="eastAsia"/>
                <w:szCs w:val="21"/>
              </w:rPr>
              <w:t>≥2*</w:t>
            </w:r>
            <w:r>
              <w:rPr>
                <w:szCs w:val="21"/>
              </w:rPr>
              <w:t>600G</w:t>
            </w:r>
            <w:r>
              <w:rPr>
                <w:rFonts w:hint="eastAsia"/>
                <w:szCs w:val="21"/>
              </w:rPr>
              <w:t xml:space="preserve">B SAS </w:t>
            </w:r>
            <w:r>
              <w:rPr>
                <w:szCs w:val="21"/>
              </w:rPr>
              <w:t>1</w:t>
            </w:r>
            <w:r>
              <w:rPr>
                <w:rFonts w:hint="eastAsia"/>
                <w:szCs w:val="21"/>
              </w:rPr>
              <w:t>5</w:t>
            </w:r>
            <w:r>
              <w:rPr>
                <w:szCs w:val="21"/>
              </w:rPr>
              <w:t>k 2.5</w:t>
            </w:r>
            <w:r>
              <w:rPr>
                <w:rFonts w:hint="eastAsia"/>
                <w:szCs w:val="21"/>
              </w:rPr>
              <w:t>寸硬盘，</w:t>
            </w:r>
            <w:r>
              <w:rPr>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43" w:hRule="atLeast"/>
          <w:jc w:val="center"/>
        </w:trPr>
        <w:tc>
          <w:tcPr>
            <w:tcW w:w="1525" w:type="dxa"/>
          </w:tcPr>
          <w:p>
            <w:pPr>
              <w:pStyle w:val="42"/>
              <w:ind w:firstLine="0" w:firstLineChars="0"/>
              <w:rPr>
                <w:szCs w:val="21"/>
              </w:rPr>
            </w:pPr>
            <w:r>
              <w:rPr>
                <w:rFonts w:hint="eastAsia"/>
                <w:szCs w:val="21"/>
              </w:rPr>
              <w:t>硬盘</w:t>
            </w:r>
            <w:r>
              <w:rPr>
                <w:szCs w:val="21"/>
              </w:rPr>
              <w:t>扩展能力</w:t>
            </w:r>
          </w:p>
        </w:tc>
        <w:tc>
          <w:tcPr>
            <w:tcW w:w="6997" w:type="dxa"/>
          </w:tcPr>
          <w:p>
            <w:pPr>
              <w:pStyle w:val="42"/>
              <w:ind w:firstLine="0" w:firstLineChars="0"/>
              <w:rPr>
                <w:szCs w:val="21"/>
              </w:rPr>
            </w:pPr>
            <w:r>
              <w:rPr>
                <w:rFonts w:hint="eastAsia"/>
                <w:szCs w:val="21"/>
              </w:rPr>
              <w:t>≥最大支持</w:t>
            </w:r>
            <w:r>
              <w:rPr>
                <w:szCs w:val="21"/>
              </w:rPr>
              <w:t>10</w:t>
            </w:r>
            <w:r>
              <w:rPr>
                <w:rFonts w:hint="eastAsia"/>
                <w:szCs w:val="21"/>
              </w:rPr>
              <w:t>个2.</w:t>
            </w:r>
            <w:r>
              <w:rPr>
                <w:szCs w:val="21"/>
              </w:rPr>
              <w:t>5</w:t>
            </w:r>
            <w:r>
              <w:rPr>
                <w:rFonts w:hint="eastAsia"/>
                <w:szCs w:val="21"/>
              </w:rPr>
              <w:t>寸硬盘</w:t>
            </w:r>
            <w:r>
              <w:rPr>
                <w:szCs w:val="21"/>
              </w:rPr>
              <w:t>槽位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trHeight w:val="734" w:hRule="atLeast"/>
          <w:jc w:val="center"/>
        </w:trPr>
        <w:tc>
          <w:tcPr>
            <w:tcW w:w="1525" w:type="dxa"/>
            <w:vMerge w:val="restart"/>
          </w:tcPr>
          <w:p>
            <w:pPr>
              <w:pStyle w:val="42"/>
              <w:ind w:firstLine="0" w:firstLineChars="0"/>
              <w:rPr>
                <w:szCs w:val="21"/>
              </w:rPr>
            </w:pPr>
            <w:r>
              <w:rPr>
                <w:rFonts w:hint="eastAsia"/>
                <w:szCs w:val="21"/>
              </w:rPr>
              <w:t>阵列控制器</w:t>
            </w:r>
          </w:p>
        </w:tc>
        <w:tc>
          <w:tcPr>
            <w:tcW w:w="6997" w:type="dxa"/>
          </w:tcPr>
          <w:p>
            <w:pPr>
              <w:pStyle w:val="42"/>
              <w:ind w:firstLine="0" w:firstLineChars="0"/>
              <w:rPr>
                <w:szCs w:val="21"/>
              </w:rPr>
            </w:pPr>
            <w:r>
              <w:rPr>
                <w:rFonts w:hint="eastAsia"/>
                <w:szCs w:val="21"/>
              </w:rPr>
              <w:t>≥</w:t>
            </w:r>
            <w:r>
              <w:rPr>
                <w:szCs w:val="21"/>
              </w:rPr>
              <w:t>1</w:t>
            </w:r>
            <w:r>
              <w:rPr>
                <w:rFonts w:hint="eastAsia"/>
                <w:szCs w:val="21"/>
              </w:rPr>
              <w:t>个</w:t>
            </w:r>
            <w:r>
              <w:rPr>
                <w:szCs w:val="21"/>
              </w:rPr>
              <w:t>阵列卡专用插槽</w:t>
            </w:r>
            <w:r>
              <w:rPr>
                <w:rFonts w:hint="eastAsia"/>
                <w:szCs w:val="21"/>
              </w:rPr>
              <w:t>（</w:t>
            </w:r>
            <w:r>
              <w:rPr>
                <w:szCs w:val="21"/>
              </w:rPr>
              <w:t>不占用PCIE扩展槽），</w:t>
            </w:r>
            <w:r>
              <w:rPr>
                <w:rFonts w:hint="eastAsia"/>
                <w:szCs w:val="21"/>
              </w:rPr>
              <w:t>配置12</w:t>
            </w:r>
            <w:r>
              <w:rPr>
                <w:szCs w:val="21"/>
              </w:rPr>
              <w:t>Gbps SAS</w:t>
            </w:r>
            <w:r>
              <w:rPr>
                <w:rFonts w:hint="eastAsia"/>
                <w:szCs w:val="21"/>
              </w:rPr>
              <w:t>磁盘阵列控制器，</w:t>
            </w:r>
            <w:r>
              <w:rPr>
                <w:szCs w:val="21"/>
              </w:rPr>
              <w:t>支持Raid0/1/10/5</w:t>
            </w:r>
            <w:r>
              <w:rPr>
                <w:rFonts w:hint="eastAsia"/>
                <w:szCs w:val="21"/>
              </w:rPr>
              <w:t>/6，调整缓存读写比例等</w:t>
            </w:r>
            <w:r>
              <w:rPr>
                <w:szCs w:val="21"/>
              </w:rPr>
              <w:t>功能。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3" w:hRule="atLeast"/>
          <w:jc w:val="center"/>
        </w:trPr>
        <w:tc>
          <w:tcPr>
            <w:tcW w:w="1525" w:type="dxa"/>
            <w:vMerge w:val="continue"/>
          </w:tcPr>
          <w:p>
            <w:pPr>
              <w:pStyle w:val="42"/>
              <w:ind w:firstLine="0" w:firstLineChars="0"/>
              <w:rPr>
                <w:szCs w:val="21"/>
              </w:rPr>
            </w:pPr>
          </w:p>
        </w:tc>
        <w:tc>
          <w:tcPr>
            <w:tcW w:w="6997" w:type="dxa"/>
          </w:tcPr>
          <w:p>
            <w:pPr>
              <w:pStyle w:val="42"/>
              <w:ind w:firstLine="0" w:firstLineChars="0"/>
              <w:rPr>
                <w:szCs w:val="21"/>
              </w:rPr>
            </w:pPr>
            <w:r>
              <w:rPr>
                <w:rFonts w:hint="eastAsia"/>
                <w:szCs w:val="21"/>
              </w:rPr>
              <w:t>实配≥</w:t>
            </w:r>
            <w:r>
              <w:rPr>
                <w:rFonts w:hint="eastAsia"/>
                <w:szCs w:val="21"/>
                <w:lang w:val="en-US" w:eastAsia="zh-CN"/>
              </w:rPr>
              <w:t>2</w:t>
            </w:r>
            <w:r>
              <w:rPr>
                <w:szCs w:val="21"/>
              </w:rPr>
              <w:t>GB</w:t>
            </w:r>
            <w:r>
              <w:rPr>
                <w:rFonts w:hint="eastAsia"/>
                <w:szCs w:val="21"/>
              </w:rPr>
              <w:t>缓存，支持</w:t>
            </w:r>
            <w:r>
              <w:rPr>
                <w:szCs w:val="21"/>
              </w:rPr>
              <w:t>缓存数据保护，且</w:t>
            </w:r>
            <w:r>
              <w:rPr>
                <w:rFonts w:hint="eastAsia"/>
                <w:szCs w:val="21"/>
              </w:rPr>
              <w:t>后备保护不受时间限制；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525" w:type="dxa"/>
            <w:vMerge w:val="continue"/>
          </w:tcPr>
          <w:p>
            <w:pPr>
              <w:pStyle w:val="42"/>
              <w:ind w:firstLine="0" w:firstLineChars="0"/>
              <w:rPr>
                <w:szCs w:val="21"/>
              </w:rPr>
            </w:pPr>
          </w:p>
        </w:tc>
        <w:tc>
          <w:tcPr>
            <w:tcW w:w="6997" w:type="dxa"/>
          </w:tcPr>
          <w:p>
            <w:pPr>
              <w:pStyle w:val="9"/>
              <w:rPr>
                <w:szCs w:val="21"/>
              </w:rPr>
            </w:pPr>
            <w:r>
              <w:rPr>
                <w:rFonts w:hint="eastAsia"/>
              </w:rPr>
              <w:t>支持Raid 1/10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43" w:hRule="atLeast"/>
          <w:jc w:val="center"/>
        </w:trPr>
        <w:tc>
          <w:tcPr>
            <w:tcW w:w="1525" w:type="dxa"/>
          </w:tcPr>
          <w:p>
            <w:pPr>
              <w:pStyle w:val="42"/>
              <w:ind w:firstLine="0" w:firstLineChars="0"/>
              <w:rPr>
                <w:szCs w:val="21"/>
              </w:rPr>
            </w:pPr>
            <w:r>
              <w:rPr>
                <w:szCs w:val="21"/>
              </w:rPr>
              <w:t>PCI I/O</w:t>
            </w:r>
            <w:r>
              <w:rPr>
                <w:rFonts w:hint="eastAsia"/>
                <w:szCs w:val="21"/>
              </w:rPr>
              <w:t>插槽</w:t>
            </w:r>
          </w:p>
        </w:tc>
        <w:tc>
          <w:tcPr>
            <w:tcW w:w="6997" w:type="dxa"/>
          </w:tcPr>
          <w:p>
            <w:pPr>
              <w:pStyle w:val="42"/>
              <w:ind w:firstLine="0" w:firstLineChars="0"/>
              <w:rPr>
                <w:szCs w:val="21"/>
              </w:rPr>
            </w:pPr>
            <w:r>
              <w:rPr>
                <w:rFonts w:hint="eastAsia"/>
                <w:szCs w:val="21"/>
              </w:rPr>
              <w:t>≥</w:t>
            </w:r>
            <w:r>
              <w:rPr>
                <w:szCs w:val="21"/>
              </w:rPr>
              <w:t>9</w:t>
            </w:r>
            <w:r>
              <w:rPr>
                <w:rFonts w:hint="eastAsia"/>
                <w:szCs w:val="21"/>
              </w:rPr>
              <w:t>个</w:t>
            </w:r>
            <w:r>
              <w:rPr>
                <w:szCs w:val="21"/>
              </w:rPr>
              <w:t>PCI-e 3.0</w:t>
            </w:r>
            <w:r>
              <w:rPr>
                <w:rFonts w:hint="eastAsia"/>
                <w:szCs w:val="21"/>
              </w:rPr>
              <w:t>全高/全长插槽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1" w:hRule="atLeast"/>
          <w:jc w:val="center"/>
        </w:trPr>
        <w:tc>
          <w:tcPr>
            <w:tcW w:w="1525" w:type="dxa"/>
          </w:tcPr>
          <w:p>
            <w:pPr>
              <w:pStyle w:val="42"/>
              <w:ind w:firstLine="0" w:firstLineChars="0"/>
              <w:rPr>
                <w:szCs w:val="21"/>
              </w:rPr>
            </w:pPr>
            <w:r>
              <w:rPr>
                <w:rFonts w:hint="eastAsia"/>
                <w:szCs w:val="21"/>
              </w:rPr>
              <w:t>网卡</w:t>
            </w:r>
          </w:p>
        </w:tc>
        <w:tc>
          <w:tcPr>
            <w:tcW w:w="6997" w:type="dxa"/>
          </w:tcPr>
          <w:p>
            <w:pPr>
              <w:pStyle w:val="42"/>
              <w:ind w:firstLine="0" w:firstLineChars="0"/>
              <w:rPr>
                <w:szCs w:val="21"/>
              </w:rPr>
            </w:pPr>
            <w:r>
              <w:rPr>
                <w:rFonts w:hint="eastAsia"/>
                <w:szCs w:val="21"/>
              </w:rPr>
              <w:t>标配1个</w:t>
            </w:r>
            <w:r>
              <w:rPr>
                <w:szCs w:val="21"/>
              </w:rPr>
              <w:t>网卡专用插槽</w:t>
            </w:r>
            <w:r>
              <w:rPr>
                <w:rFonts w:hint="eastAsia"/>
                <w:szCs w:val="21"/>
              </w:rPr>
              <w:t>（</w:t>
            </w:r>
            <w:r>
              <w:rPr>
                <w:szCs w:val="21"/>
              </w:rPr>
              <w:t>不占用PCIE扩展槽），可选配千兆或万兆网卡。本次配置</w:t>
            </w:r>
            <w:r>
              <w:rPr>
                <w:rFonts w:hint="eastAsia"/>
                <w:szCs w:val="21"/>
              </w:rPr>
              <w:t>≥</w:t>
            </w:r>
            <w:r>
              <w:rPr>
                <w:szCs w:val="21"/>
              </w:rPr>
              <w:t>4</w:t>
            </w:r>
            <w:r>
              <w:rPr>
                <w:rFonts w:hint="eastAsia"/>
                <w:szCs w:val="21"/>
              </w:rPr>
              <w:t>个</w:t>
            </w:r>
            <w:r>
              <w:rPr>
                <w:szCs w:val="21"/>
              </w:rPr>
              <w:t xml:space="preserve">10/100/1000M-BaseT </w:t>
            </w:r>
            <w:r>
              <w:rPr>
                <w:rFonts w:hint="eastAsia"/>
                <w:szCs w:val="21"/>
              </w:rPr>
              <w:t>多功能以太网接口，2个双口万兆光口网卡（含4个SFP+光模块），2块单口16G FC HBA卡(含2个SFP模块)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525" w:type="dxa"/>
          </w:tcPr>
          <w:p>
            <w:pPr>
              <w:pStyle w:val="42"/>
              <w:ind w:firstLine="0" w:firstLineChars="0"/>
              <w:rPr>
                <w:szCs w:val="21"/>
              </w:rPr>
            </w:pPr>
            <w:r>
              <w:rPr>
                <w:rFonts w:hint="eastAsia"/>
                <w:szCs w:val="21"/>
              </w:rPr>
              <w:t>冗余电源</w:t>
            </w:r>
          </w:p>
        </w:tc>
        <w:tc>
          <w:tcPr>
            <w:tcW w:w="6997" w:type="dxa"/>
          </w:tcPr>
          <w:p>
            <w:pPr>
              <w:pStyle w:val="42"/>
              <w:ind w:firstLine="0" w:firstLineChars="0"/>
              <w:rPr>
                <w:szCs w:val="21"/>
              </w:rPr>
            </w:pPr>
            <w:r>
              <w:rPr>
                <w:szCs w:val="21"/>
              </w:rPr>
              <w:t>4</w:t>
            </w:r>
            <w:r>
              <w:rPr>
                <w:rFonts w:hint="eastAsia"/>
                <w:szCs w:val="21"/>
              </w:rPr>
              <w:t>个≥1200W铂金版热插拔冗余电源（2</w:t>
            </w:r>
            <w:r>
              <w:rPr>
                <w:szCs w:val="21"/>
              </w:rPr>
              <w:t>+2</w:t>
            </w:r>
            <w:r>
              <w:rPr>
                <w:rFonts w:hint="eastAsia"/>
                <w:szCs w:val="21"/>
              </w:rPr>
              <w:t>冗余</w:t>
            </w:r>
            <w:r>
              <w:rPr>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trHeight w:val="300" w:hRule="atLeast"/>
          <w:jc w:val="center"/>
        </w:trPr>
        <w:tc>
          <w:tcPr>
            <w:tcW w:w="1525" w:type="dxa"/>
          </w:tcPr>
          <w:p>
            <w:pPr>
              <w:pStyle w:val="42"/>
              <w:ind w:firstLine="0" w:firstLineChars="0"/>
              <w:rPr>
                <w:szCs w:val="21"/>
              </w:rPr>
            </w:pPr>
            <w:r>
              <w:rPr>
                <w:rFonts w:hint="eastAsia"/>
                <w:szCs w:val="21"/>
              </w:rPr>
              <w:t>冗余风扇</w:t>
            </w:r>
          </w:p>
        </w:tc>
        <w:tc>
          <w:tcPr>
            <w:tcW w:w="6997" w:type="dxa"/>
          </w:tcPr>
          <w:p>
            <w:pPr>
              <w:pStyle w:val="42"/>
              <w:ind w:firstLine="0" w:firstLineChars="0"/>
              <w:rPr>
                <w:szCs w:val="21"/>
              </w:rPr>
            </w:pPr>
            <w:r>
              <w:rPr>
                <w:rFonts w:hint="eastAsia"/>
                <w:szCs w:val="21"/>
              </w:rPr>
              <w:t>热插拔冗余风扇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675" w:hRule="atLeast"/>
          <w:jc w:val="center"/>
        </w:trPr>
        <w:tc>
          <w:tcPr>
            <w:tcW w:w="1525" w:type="dxa"/>
          </w:tcPr>
          <w:p>
            <w:pPr>
              <w:pStyle w:val="42"/>
              <w:ind w:firstLine="0" w:firstLineChars="0"/>
              <w:rPr>
                <w:szCs w:val="21"/>
              </w:rPr>
            </w:pPr>
            <w:r>
              <w:rPr>
                <w:rFonts w:hint="eastAsia"/>
                <w:szCs w:val="21"/>
              </w:rPr>
              <w:t>远程管理卡</w:t>
            </w:r>
          </w:p>
        </w:tc>
        <w:tc>
          <w:tcPr>
            <w:tcW w:w="6997" w:type="dxa"/>
          </w:tcPr>
          <w:p>
            <w:pPr>
              <w:pStyle w:val="42"/>
              <w:ind w:firstLine="0" w:firstLineChars="0"/>
              <w:rPr>
                <w:szCs w:val="21"/>
              </w:rPr>
            </w:pPr>
            <w:r>
              <w:rPr>
                <w:rFonts w:hint="eastAsia"/>
                <w:szCs w:val="21"/>
              </w:rPr>
              <w:t>配置≥</w:t>
            </w:r>
            <w:r>
              <w:rPr>
                <w:szCs w:val="21"/>
              </w:rPr>
              <w:t>1Gb</w:t>
            </w:r>
            <w:r>
              <w:rPr>
                <w:rFonts w:hint="eastAsia"/>
                <w:szCs w:val="21"/>
              </w:rPr>
              <w:t>独立的远程管理控制端口，配置虚拟KVM</w:t>
            </w:r>
            <w:r>
              <w:rPr>
                <w:szCs w:val="21"/>
              </w:rPr>
              <w:t xml:space="preserve">功能, </w:t>
            </w:r>
            <w:r>
              <w:rPr>
                <w:rFonts w:hint="eastAsia"/>
                <w:szCs w:val="21"/>
              </w:rPr>
              <w:t>可实现与操作系统无关的远程对服务器的完全控制，包括远程的开机、关机、重启、更新</w:t>
            </w:r>
            <w:r>
              <w:rPr>
                <w:szCs w:val="21"/>
              </w:rPr>
              <w:t>Firmware</w:t>
            </w:r>
            <w:r>
              <w:rPr>
                <w:rFonts w:hint="eastAsia"/>
                <w:szCs w:val="21"/>
              </w:rPr>
              <w:t>、虚拟软驱、虚拟光驱、</w:t>
            </w:r>
            <w:r>
              <w:rPr>
                <w:szCs w:val="21"/>
              </w:rPr>
              <w:t>虚拟文件夹</w:t>
            </w:r>
            <w:r>
              <w:rPr>
                <w:rFonts w:hint="eastAsia"/>
                <w:szCs w:val="21"/>
              </w:rPr>
              <w:t>等操作，提供服务器健康日记、服务器控制台录屏</w:t>
            </w:r>
            <w:r>
              <w:rPr>
                <w:szCs w:val="21"/>
              </w:rPr>
              <w:t>/</w:t>
            </w:r>
            <w:r>
              <w:rPr>
                <w:rFonts w:hint="eastAsia"/>
                <w:szCs w:val="21"/>
              </w:rPr>
              <w:t>回放功能，能够提供电源监控，可支持动态功率封顶，提供国家强制性产品认证证书</w:t>
            </w:r>
            <w:r>
              <w:rPr>
                <w:rFonts w:hint="eastAsia"/>
                <w:szCs w:val="21"/>
                <w:lang w:eastAsia="zh-CN"/>
              </w:rPr>
              <w:t>，</w:t>
            </w:r>
            <w:r>
              <w:rPr>
                <w:rFonts w:hint="eastAsia"/>
                <w:szCs w:val="21"/>
              </w:rPr>
              <w:t>，并配置支持上述功能的授权。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2" w:hRule="atLeast"/>
          <w:jc w:val="center"/>
        </w:trPr>
        <w:tc>
          <w:tcPr>
            <w:tcW w:w="1525" w:type="dxa"/>
          </w:tcPr>
          <w:p>
            <w:pPr>
              <w:pStyle w:val="42"/>
              <w:ind w:firstLine="0" w:firstLineChars="0"/>
              <w:rPr>
                <w:szCs w:val="21"/>
              </w:rPr>
            </w:pPr>
            <w:r>
              <w:rPr>
                <w:rFonts w:hint="eastAsia"/>
                <w:szCs w:val="21"/>
              </w:rPr>
              <w:t>售后服务</w:t>
            </w:r>
          </w:p>
        </w:tc>
        <w:tc>
          <w:tcPr>
            <w:tcW w:w="6997" w:type="dxa"/>
          </w:tcPr>
          <w:p>
            <w:pPr>
              <w:pStyle w:val="42"/>
              <w:ind w:firstLine="0" w:firstLineChars="0"/>
              <w:rPr>
                <w:szCs w:val="21"/>
              </w:rPr>
            </w:pPr>
            <w:r>
              <w:rPr>
                <w:rFonts w:hint="eastAsia"/>
                <w:szCs w:val="21"/>
              </w:rPr>
              <w:t>提供原厂商</w:t>
            </w:r>
            <w:r>
              <w:rPr>
                <w:szCs w:val="21"/>
              </w:rPr>
              <w:t>3</w:t>
            </w:r>
            <w:r>
              <w:rPr>
                <w:rFonts w:hint="eastAsia"/>
                <w:szCs w:val="21"/>
              </w:rPr>
              <w:t>年</w:t>
            </w:r>
            <w:r>
              <w:rPr>
                <w:szCs w:val="21"/>
              </w:rPr>
              <w:t>7x24</w:t>
            </w:r>
            <w:r>
              <w:rPr>
                <w:rFonts w:hint="eastAsia"/>
                <w:szCs w:val="21"/>
              </w:rPr>
              <w:t>技术</w:t>
            </w:r>
            <w:r>
              <w:rPr>
                <w:szCs w:val="21"/>
              </w:rPr>
              <w:t>支持服务</w:t>
            </w:r>
          </w:p>
        </w:tc>
      </w:tr>
    </w:tbl>
    <w:p>
      <w:pPr>
        <w:pStyle w:val="4"/>
        <w:rPr>
          <w:sz w:val="24"/>
          <w:szCs w:val="24"/>
        </w:rPr>
      </w:pPr>
      <w:r>
        <w:rPr>
          <w:rFonts w:hint="eastAsia"/>
          <w:sz w:val="24"/>
          <w:szCs w:val="24"/>
        </w:rPr>
        <w:t xml:space="preserve">7.3.42 </w:t>
      </w:r>
      <w:r>
        <w:rPr>
          <w:sz w:val="24"/>
          <w:szCs w:val="24"/>
        </w:rPr>
        <w:t>K</w:t>
      </w:r>
      <w:r>
        <w:rPr>
          <w:rFonts w:hint="eastAsia"/>
          <w:sz w:val="24"/>
          <w:szCs w:val="24"/>
        </w:rPr>
        <w:t>vm切换器</w:t>
      </w:r>
    </w:p>
    <w:tbl>
      <w:tblPr>
        <w:tblStyle w:val="35"/>
        <w:tblW w:w="8286"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83"/>
        <w:gridCol w:w="680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483" w:type="dxa"/>
            <w:vAlign w:val="center"/>
          </w:tcPr>
          <w:p>
            <w:pPr>
              <w:widowControl/>
              <w:jc w:val="center"/>
              <w:rPr>
                <w:rFonts w:ascii="宋体" w:hAnsi="宋体" w:cs="Arial"/>
                <w:b/>
                <w:bCs/>
                <w:kern w:val="0"/>
                <w:szCs w:val="21"/>
              </w:rPr>
            </w:pPr>
            <w:r>
              <w:rPr>
                <w:rFonts w:hint="eastAsia" w:ascii="宋体" w:hAnsi="宋体" w:cs="Arial"/>
                <w:b/>
                <w:bCs/>
                <w:kern w:val="0"/>
                <w:szCs w:val="21"/>
              </w:rPr>
              <w:t>指标项</w:t>
            </w:r>
          </w:p>
        </w:tc>
        <w:tc>
          <w:tcPr>
            <w:tcW w:w="6803" w:type="dxa"/>
            <w:vAlign w:val="center"/>
          </w:tcPr>
          <w:p>
            <w:pPr>
              <w:widowControl/>
              <w:jc w:val="center"/>
              <w:rPr>
                <w:rFonts w:ascii="宋体" w:hAnsi="宋体" w:cs="Arial"/>
                <w:b/>
                <w:bCs/>
                <w:kern w:val="0"/>
                <w:szCs w:val="21"/>
              </w:rPr>
            </w:pPr>
            <w:r>
              <w:rPr>
                <w:rFonts w:hint="eastAsia" w:ascii="宋体" w:hAnsi="宋体" w:cs="Arial"/>
                <w:b/>
                <w:bCs/>
                <w:kern w:val="0"/>
                <w:szCs w:val="21"/>
              </w:rPr>
              <w:t>指标要求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5" w:hRule="atLeast"/>
          <w:jc w:val="center"/>
        </w:trPr>
        <w:tc>
          <w:tcPr>
            <w:tcW w:w="1483" w:type="dxa"/>
            <w:vAlign w:val="center"/>
          </w:tcPr>
          <w:p>
            <w:pPr>
              <w:pStyle w:val="42"/>
              <w:ind w:firstLine="0" w:firstLineChars="0"/>
              <w:jc w:val="center"/>
              <w:rPr>
                <w:szCs w:val="21"/>
              </w:rPr>
            </w:pPr>
            <w:r>
              <w:rPr>
                <w:rFonts w:hint="eastAsia"/>
                <w:szCs w:val="21"/>
              </w:rPr>
              <w:t>KVM</w:t>
            </w:r>
          </w:p>
        </w:tc>
        <w:tc>
          <w:tcPr>
            <w:tcW w:w="6803" w:type="dxa"/>
          </w:tcPr>
          <w:p>
            <w:pPr>
              <w:pStyle w:val="42"/>
              <w:ind w:firstLine="0" w:firstLineChars="0"/>
              <w:rPr>
                <w:szCs w:val="21"/>
              </w:rPr>
            </w:pPr>
            <w:r>
              <w:rPr>
                <w:rFonts w:hint="eastAsia"/>
                <w:szCs w:val="21"/>
              </w:rPr>
              <w:t>16端口Cat 5高密度KVM多电脑切换器，配置16个转换模块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483" w:type="dxa"/>
            <w:vAlign w:val="center"/>
          </w:tcPr>
          <w:p>
            <w:pPr>
              <w:pStyle w:val="42"/>
              <w:ind w:firstLine="0" w:firstLineChars="0"/>
              <w:jc w:val="center"/>
              <w:rPr>
                <w:szCs w:val="21"/>
              </w:rPr>
            </w:pPr>
            <w:r>
              <w:rPr>
                <w:szCs w:val="21"/>
              </w:rPr>
              <w:t>L</w:t>
            </w:r>
            <w:r>
              <w:rPr>
                <w:rFonts w:hint="eastAsia"/>
                <w:szCs w:val="21"/>
              </w:rPr>
              <w:t>cd套件</w:t>
            </w:r>
          </w:p>
        </w:tc>
        <w:tc>
          <w:tcPr>
            <w:tcW w:w="6803" w:type="dxa"/>
          </w:tcPr>
          <w:p>
            <w:pPr>
              <w:pStyle w:val="42"/>
              <w:ind w:firstLine="0" w:firstLineChars="0"/>
              <w:rPr>
                <w:szCs w:val="21"/>
              </w:rPr>
            </w:pPr>
            <w:r>
              <w:rPr>
                <w:rFonts w:ascii="Arial" w:hAnsi="Arial" w:cs="Arial"/>
                <w:color w:val="000000"/>
                <w:szCs w:val="21"/>
              </w:rPr>
              <w:t>整合</w:t>
            </w:r>
            <w:r>
              <w:rPr>
                <w:rFonts w:hint="eastAsia" w:ascii="Arial" w:hAnsi="Arial" w:cs="Arial"/>
                <w:color w:val="000000"/>
                <w:szCs w:val="21"/>
              </w:rPr>
              <w:t>17寸</w:t>
            </w:r>
            <w:r>
              <w:rPr>
                <w:rFonts w:ascii="Arial" w:hAnsi="Arial" w:cs="Arial"/>
                <w:color w:val="000000"/>
                <w:szCs w:val="21"/>
              </w:rPr>
              <w:t>LCD、超薄键盘，Touch Pad鼠标触摸板，集成在1U高度单元内</w:t>
            </w:r>
          </w:p>
        </w:tc>
      </w:tr>
    </w:tbl>
    <w:p>
      <w:pPr>
        <w:pStyle w:val="118"/>
        <w:ind w:left="0" w:firstLine="0"/>
        <w:rPr>
          <w:sz w:val="24"/>
          <w:szCs w:val="24"/>
        </w:rPr>
      </w:pPr>
      <w:r>
        <w:rPr>
          <w:rFonts w:hint="eastAsia"/>
          <w:sz w:val="24"/>
          <w:szCs w:val="24"/>
        </w:rPr>
        <w:t xml:space="preserve">8 </w:t>
      </w:r>
      <w:r>
        <w:rPr>
          <w:sz w:val="24"/>
          <w:szCs w:val="24"/>
        </w:rPr>
        <w:t>项目</w:t>
      </w:r>
      <w:r>
        <w:rPr>
          <w:rFonts w:hint="eastAsia"/>
          <w:sz w:val="24"/>
          <w:szCs w:val="24"/>
        </w:rPr>
        <w:t>建设</w:t>
      </w:r>
      <w:r>
        <w:rPr>
          <w:sz w:val="24"/>
          <w:szCs w:val="24"/>
        </w:rPr>
        <w:t>要求</w:t>
      </w:r>
    </w:p>
    <w:p>
      <w:pPr>
        <w:pStyle w:val="3"/>
        <w:rPr>
          <w:b w:val="0"/>
          <w:sz w:val="24"/>
        </w:rPr>
      </w:pPr>
      <w:r>
        <w:rPr>
          <w:rFonts w:hint="eastAsia"/>
          <w:b w:val="0"/>
          <w:sz w:val="24"/>
        </w:rPr>
        <w:t xml:space="preserve">8.1 </w:t>
      </w:r>
      <w:r>
        <w:rPr>
          <w:b w:val="0"/>
          <w:sz w:val="24"/>
        </w:rPr>
        <w:t>项目实施进度要求</w:t>
      </w:r>
    </w:p>
    <w:p>
      <w:pPr>
        <w:pStyle w:val="117"/>
        <w:ind w:firstLine="420" w:firstLineChars="0"/>
      </w:pPr>
      <w:r>
        <w:t>合同签订后，总工期不得超过</w:t>
      </w:r>
      <w:r>
        <w:rPr>
          <w:rFonts w:hint="eastAsia"/>
        </w:rPr>
        <w:t>2</w:t>
      </w:r>
      <w:r>
        <w:t>个月。</w:t>
      </w:r>
    </w:p>
    <w:p>
      <w:pPr>
        <w:pStyle w:val="3"/>
        <w:rPr>
          <w:b w:val="0"/>
          <w:sz w:val="24"/>
        </w:rPr>
      </w:pPr>
      <w:r>
        <w:rPr>
          <w:rFonts w:hint="eastAsia"/>
          <w:b w:val="0"/>
          <w:sz w:val="24"/>
        </w:rPr>
        <w:t xml:space="preserve">8.2 </w:t>
      </w:r>
      <w:r>
        <w:rPr>
          <w:b w:val="0"/>
          <w:sz w:val="24"/>
        </w:rPr>
        <w:t>项目培训要求</w:t>
      </w:r>
    </w:p>
    <w:p>
      <w:pPr>
        <w:pStyle w:val="117"/>
        <w:ind w:firstLine="420" w:firstLineChars="0"/>
      </w:pPr>
      <w:r>
        <w:t>对系统使用人员、系统运行维护管理人员等不同对象的培训计划；</w:t>
      </w:r>
    </w:p>
    <w:p>
      <w:pPr>
        <w:pStyle w:val="117"/>
        <w:ind w:firstLine="420" w:firstLineChars="0"/>
      </w:pPr>
      <w:r>
        <w:t>培训课程安排、培训方式及时间；地点场所由采购人提供；</w:t>
      </w:r>
    </w:p>
    <w:p>
      <w:pPr>
        <w:pStyle w:val="117"/>
        <w:ind w:firstLine="420" w:firstLineChars="0"/>
      </w:pPr>
      <w:r>
        <w:t>提供系统日常维护系统培训：主要面向医院信息管理技术人员（至少2名）进行现场培训，使其具备独立进行系统日常维护、故障的诊断与处理等方面的培训。</w:t>
      </w:r>
    </w:p>
    <w:p>
      <w:pPr>
        <w:pStyle w:val="3"/>
        <w:rPr>
          <w:b w:val="0"/>
          <w:sz w:val="24"/>
        </w:rPr>
      </w:pPr>
      <w:r>
        <w:rPr>
          <w:rFonts w:hint="eastAsia"/>
          <w:b w:val="0"/>
          <w:sz w:val="24"/>
        </w:rPr>
        <w:t xml:space="preserve">8.3 </w:t>
      </w:r>
      <w:r>
        <w:rPr>
          <w:b w:val="0"/>
          <w:sz w:val="24"/>
        </w:rPr>
        <w:t>项目验收要求</w:t>
      </w:r>
    </w:p>
    <w:p>
      <w:pPr>
        <w:widowControl/>
        <w:spacing w:line="440" w:lineRule="exact"/>
        <w:ind w:left="368" w:leftChars="175"/>
        <w:jc w:val="left"/>
        <w:rPr>
          <w:rFonts w:ascii="Arial" w:hAnsi="Arial" w:cs="Arial"/>
          <w:kern w:val="0"/>
          <w:szCs w:val="21"/>
        </w:rPr>
      </w:pPr>
      <w:r>
        <w:rPr>
          <w:rFonts w:ascii="Arial" w:hAnsi="宋体" w:cs="Arial"/>
          <w:kern w:val="0"/>
          <w:szCs w:val="21"/>
        </w:rPr>
        <w:t>项目的工作内容及成果文档的提交应覆盖以下内容，电子文档是成果不可分割的部分</w:t>
      </w:r>
    </w:p>
    <w:p>
      <w:pPr>
        <w:widowControl/>
        <w:numPr>
          <w:ilvl w:val="0"/>
          <w:numId w:val="13"/>
        </w:numPr>
        <w:spacing w:line="440" w:lineRule="exact"/>
        <w:ind w:left="368" w:leftChars="175"/>
        <w:jc w:val="left"/>
        <w:rPr>
          <w:rFonts w:ascii="Arial" w:hAnsi="Arial" w:cs="Arial"/>
          <w:kern w:val="0"/>
          <w:szCs w:val="21"/>
        </w:rPr>
      </w:pPr>
      <w:r>
        <w:rPr>
          <w:rFonts w:ascii="Arial" w:hAnsi="宋体" w:cs="Arial"/>
          <w:kern w:val="0"/>
          <w:szCs w:val="21"/>
        </w:rPr>
        <w:t>系统的体系架构及描述；</w:t>
      </w:r>
    </w:p>
    <w:p>
      <w:pPr>
        <w:widowControl/>
        <w:numPr>
          <w:ilvl w:val="0"/>
          <w:numId w:val="13"/>
        </w:numPr>
        <w:spacing w:line="440" w:lineRule="exact"/>
        <w:ind w:left="368" w:leftChars="175"/>
        <w:jc w:val="left"/>
        <w:rPr>
          <w:rFonts w:ascii="Arial" w:hAnsi="Arial" w:cs="Arial"/>
          <w:kern w:val="0"/>
          <w:szCs w:val="21"/>
        </w:rPr>
      </w:pPr>
      <w:r>
        <w:rPr>
          <w:rFonts w:ascii="Arial" w:hAnsi="宋体" w:cs="Arial"/>
          <w:kern w:val="0"/>
          <w:szCs w:val="21"/>
        </w:rPr>
        <w:t>提供所有本项目软件系统相关的源码，以便后续的自行更新维护；</w:t>
      </w:r>
    </w:p>
    <w:p>
      <w:pPr>
        <w:widowControl/>
        <w:numPr>
          <w:ilvl w:val="0"/>
          <w:numId w:val="13"/>
        </w:numPr>
        <w:spacing w:line="440" w:lineRule="exact"/>
        <w:ind w:left="368" w:leftChars="175"/>
        <w:jc w:val="left"/>
        <w:rPr>
          <w:rFonts w:ascii="Arial" w:hAnsi="Arial" w:cs="Arial"/>
          <w:kern w:val="0"/>
          <w:szCs w:val="21"/>
        </w:rPr>
      </w:pPr>
      <w:r>
        <w:rPr>
          <w:rFonts w:ascii="Arial" w:hAnsi="宋体" w:cs="Arial"/>
          <w:kern w:val="0"/>
          <w:szCs w:val="21"/>
        </w:rPr>
        <w:t>提供的其它技术手册，包括：</w:t>
      </w:r>
    </w:p>
    <w:p>
      <w:pPr>
        <w:widowControl/>
        <w:spacing w:line="440" w:lineRule="exact"/>
        <w:ind w:left="735" w:leftChars="350"/>
        <w:jc w:val="left"/>
        <w:rPr>
          <w:rFonts w:ascii="Arial" w:hAnsi="宋体" w:cs="Arial"/>
          <w:kern w:val="0"/>
          <w:szCs w:val="21"/>
        </w:rPr>
      </w:pPr>
      <w:r>
        <w:rPr>
          <w:rFonts w:ascii="Arial" w:hAnsi="宋体" w:cs="Arial"/>
          <w:kern w:val="0"/>
          <w:szCs w:val="21"/>
        </w:rPr>
        <w:t>需求分析报告（含软件功能需求与数据要求）；</w:t>
      </w:r>
    </w:p>
    <w:p>
      <w:pPr>
        <w:widowControl/>
        <w:spacing w:line="440" w:lineRule="exact"/>
        <w:ind w:left="735" w:leftChars="350"/>
        <w:jc w:val="left"/>
        <w:rPr>
          <w:rFonts w:ascii="Arial" w:hAnsi="宋体" w:cs="Arial"/>
          <w:kern w:val="0"/>
          <w:szCs w:val="21"/>
        </w:rPr>
      </w:pPr>
      <w:r>
        <w:rPr>
          <w:rFonts w:ascii="Arial" w:hAnsi="宋体" w:cs="Arial"/>
          <w:kern w:val="0"/>
          <w:szCs w:val="21"/>
        </w:rPr>
        <w:t>系统实施确认书；</w:t>
      </w:r>
    </w:p>
    <w:p>
      <w:pPr>
        <w:widowControl/>
        <w:spacing w:line="440" w:lineRule="exact"/>
        <w:ind w:left="735" w:leftChars="350"/>
        <w:jc w:val="left"/>
        <w:rPr>
          <w:rFonts w:ascii="Arial" w:hAnsi="宋体" w:cs="Arial"/>
          <w:kern w:val="0"/>
          <w:szCs w:val="21"/>
        </w:rPr>
      </w:pPr>
      <w:r>
        <w:rPr>
          <w:rFonts w:ascii="Arial" w:hAnsi="宋体" w:cs="Arial"/>
          <w:kern w:val="0"/>
          <w:szCs w:val="21"/>
        </w:rPr>
        <w:t>软件培训资料；</w:t>
      </w:r>
    </w:p>
    <w:p>
      <w:pPr>
        <w:widowControl/>
        <w:spacing w:line="440" w:lineRule="exact"/>
        <w:ind w:left="735" w:leftChars="350"/>
        <w:jc w:val="left"/>
        <w:rPr>
          <w:rFonts w:ascii="Arial" w:hAnsi="宋体" w:cs="Arial"/>
          <w:kern w:val="0"/>
          <w:szCs w:val="21"/>
        </w:rPr>
      </w:pPr>
      <w:r>
        <w:rPr>
          <w:rFonts w:ascii="Arial" w:hAnsi="宋体" w:cs="Arial"/>
          <w:kern w:val="0"/>
          <w:szCs w:val="21"/>
        </w:rPr>
        <w:t>程序安装维护手册；</w:t>
      </w:r>
    </w:p>
    <w:p>
      <w:pPr>
        <w:widowControl/>
        <w:spacing w:line="440" w:lineRule="exact"/>
        <w:ind w:left="735" w:leftChars="350"/>
        <w:jc w:val="left"/>
        <w:rPr>
          <w:rFonts w:ascii="Arial" w:hAnsi="宋体" w:cs="Arial"/>
          <w:kern w:val="0"/>
          <w:szCs w:val="21"/>
        </w:rPr>
      </w:pPr>
      <w:r>
        <w:rPr>
          <w:rFonts w:ascii="Arial" w:hAnsi="宋体" w:cs="Arial"/>
          <w:kern w:val="0"/>
          <w:szCs w:val="21"/>
        </w:rPr>
        <w:t>软件使用操作手册；</w:t>
      </w:r>
    </w:p>
    <w:p>
      <w:pPr>
        <w:widowControl/>
        <w:spacing w:line="440" w:lineRule="exact"/>
        <w:ind w:left="735" w:leftChars="350"/>
        <w:jc w:val="left"/>
        <w:rPr>
          <w:rFonts w:ascii="Arial" w:hAnsi="宋体" w:cs="Arial"/>
          <w:kern w:val="0"/>
          <w:szCs w:val="21"/>
        </w:rPr>
      </w:pPr>
      <w:r>
        <w:rPr>
          <w:rFonts w:ascii="Arial" w:hAnsi="宋体" w:cs="Arial"/>
          <w:kern w:val="0"/>
          <w:szCs w:val="21"/>
        </w:rPr>
        <w:t>项目验收报告。</w:t>
      </w:r>
    </w:p>
    <w:p>
      <w:pPr>
        <w:pStyle w:val="3"/>
        <w:rPr>
          <w:b w:val="0"/>
          <w:sz w:val="24"/>
        </w:rPr>
      </w:pPr>
      <w:r>
        <w:rPr>
          <w:rFonts w:hint="eastAsia"/>
          <w:b w:val="0"/>
          <w:sz w:val="24"/>
        </w:rPr>
        <w:t xml:space="preserve">8.4 </w:t>
      </w:r>
      <w:r>
        <w:rPr>
          <w:b w:val="0"/>
          <w:sz w:val="24"/>
        </w:rPr>
        <w:t>项目售后服务要求</w:t>
      </w:r>
    </w:p>
    <w:p>
      <w:pPr>
        <w:widowControl/>
        <w:numPr>
          <w:ilvl w:val="0"/>
          <w:numId w:val="14"/>
        </w:numPr>
        <w:tabs>
          <w:tab w:val="left" w:pos="420"/>
        </w:tabs>
        <w:spacing w:line="440" w:lineRule="exact"/>
        <w:ind w:firstLine="420" w:firstLineChars="200"/>
        <w:jc w:val="left"/>
        <w:rPr>
          <w:rFonts w:ascii="Arial" w:hAnsi="Arial" w:cs="Arial"/>
          <w:kern w:val="0"/>
          <w:szCs w:val="21"/>
        </w:rPr>
      </w:pPr>
      <w:r>
        <w:rPr>
          <w:rFonts w:ascii="Arial" w:hAnsi="宋体" w:cs="Arial"/>
          <w:kern w:val="0"/>
          <w:szCs w:val="21"/>
        </w:rPr>
        <w:t>投标人必须根据本次招标文件所制定的目标和范围，提出相应的售后服务方案。</w:t>
      </w:r>
    </w:p>
    <w:p>
      <w:pPr>
        <w:widowControl/>
        <w:numPr>
          <w:ilvl w:val="0"/>
          <w:numId w:val="14"/>
        </w:numPr>
        <w:tabs>
          <w:tab w:val="left" w:pos="420"/>
        </w:tabs>
        <w:spacing w:line="440" w:lineRule="exact"/>
        <w:ind w:firstLine="420" w:firstLineChars="200"/>
        <w:jc w:val="left"/>
        <w:rPr>
          <w:rFonts w:ascii="Arial" w:hAnsi="宋体" w:cs="Arial"/>
          <w:kern w:val="0"/>
          <w:szCs w:val="21"/>
        </w:rPr>
      </w:pPr>
      <w:r>
        <w:rPr>
          <w:rFonts w:hint="eastAsia"/>
        </w:rPr>
        <w:t>中标后签订合同前，投标人</w:t>
      </w:r>
      <w:r>
        <w:rPr>
          <w:rFonts w:hint="eastAsia" w:ascii="Arial" w:hAnsi="宋体" w:cs="Arial"/>
          <w:kern w:val="0"/>
          <w:szCs w:val="21"/>
        </w:rPr>
        <w:t>必须提供原厂商针对本项目的</w:t>
      </w:r>
      <w:r>
        <w:rPr>
          <w:rFonts w:ascii="Arial" w:hAnsi="宋体" w:cs="Arial"/>
          <w:kern w:val="0"/>
          <w:szCs w:val="21"/>
        </w:rPr>
        <w:t>3</w:t>
      </w:r>
      <w:r>
        <w:rPr>
          <w:rFonts w:hint="eastAsia" w:ascii="Arial" w:hAnsi="宋体" w:cs="Arial"/>
          <w:kern w:val="0"/>
          <w:szCs w:val="21"/>
        </w:rPr>
        <w:t>年原厂服务承诺函原件，产品厂商要求在台州或温州地区设有产品备件库。（招标文件里单独标明的除外）</w:t>
      </w:r>
    </w:p>
    <w:p>
      <w:pPr>
        <w:widowControl/>
        <w:numPr>
          <w:ilvl w:val="0"/>
          <w:numId w:val="14"/>
        </w:numPr>
        <w:tabs>
          <w:tab w:val="left" w:pos="420"/>
        </w:tabs>
        <w:spacing w:line="440" w:lineRule="exact"/>
        <w:ind w:firstLine="420" w:firstLineChars="200"/>
        <w:jc w:val="left"/>
        <w:rPr>
          <w:rFonts w:ascii="Arial" w:hAnsi="Arial" w:cs="Arial"/>
          <w:kern w:val="0"/>
          <w:szCs w:val="21"/>
        </w:rPr>
      </w:pPr>
      <w:r>
        <w:rPr>
          <w:rFonts w:ascii="Arial" w:hAnsi="宋体" w:cs="Arial"/>
          <w:kern w:val="0"/>
          <w:szCs w:val="21"/>
        </w:rPr>
        <w:t>为了保证本次项目顺利成功，要求投标人承诺项目验收后提供三年供应商及原厂的质保，</w:t>
      </w:r>
      <w:r>
        <w:rPr>
          <w:rFonts w:ascii="Arial" w:hAnsi="Arial" w:cs="Arial"/>
          <w:kern w:val="0"/>
          <w:szCs w:val="21"/>
        </w:rPr>
        <w:t>7*24</w:t>
      </w:r>
      <w:r>
        <w:rPr>
          <w:rFonts w:ascii="Arial" w:hAnsi="宋体" w:cs="Arial"/>
          <w:kern w:val="0"/>
          <w:szCs w:val="21"/>
        </w:rPr>
        <w:t>小时售后技术服务，包括免费升级、功能完善、故障排除、性能调优、技术咨询等</w:t>
      </w:r>
      <w:r>
        <w:rPr>
          <w:rFonts w:hint="eastAsia" w:ascii="Arial" w:hAnsi="宋体" w:cs="Arial"/>
          <w:kern w:val="0"/>
          <w:szCs w:val="21"/>
        </w:rPr>
        <w:t>。（招标文件里单独标明的除外）</w:t>
      </w:r>
    </w:p>
    <w:p>
      <w:pPr>
        <w:widowControl/>
        <w:numPr>
          <w:ilvl w:val="0"/>
          <w:numId w:val="14"/>
        </w:numPr>
        <w:tabs>
          <w:tab w:val="left" w:pos="420"/>
        </w:tabs>
        <w:spacing w:line="440" w:lineRule="exact"/>
        <w:ind w:firstLine="420" w:firstLineChars="200"/>
        <w:jc w:val="left"/>
        <w:rPr>
          <w:rFonts w:ascii="Arial" w:hAnsi="Arial" w:cs="Arial"/>
          <w:kern w:val="0"/>
          <w:szCs w:val="21"/>
        </w:rPr>
      </w:pPr>
      <w:r>
        <w:rPr>
          <w:rFonts w:ascii="Arial" w:hAnsi="宋体" w:cs="Arial"/>
          <w:kern w:val="0"/>
          <w:szCs w:val="21"/>
        </w:rPr>
        <w:t>投标人须保证所提供产品具有合法的版权或使用权，本项目采购的产品，如在本项目范围内使用过程中出现版权或使用权纠纷，应由中标人负责，采购人和采购机构不承担任何责任。</w:t>
      </w:r>
    </w:p>
    <w:p>
      <w:pPr>
        <w:widowControl/>
        <w:numPr>
          <w:ilvl w:val="0"/>
          <w:numId w:val="14"/>
        </w:numPr>
        <w:tabs>
          <w:tab w:val="left" w:pos="420"/>
        </w:tabs>
        <w:spacing w:line="440" w:lineRule="exact"/>
        <w:ind w:firstLine="420" w:firstLineChars="200"/>
        <w:jc w:val="left"/>
      </w:pPr>
      <w:r>
        <w:rPr>
          <w:rFonts w:ascii="Arial" w:hAnsi="宋体" w:cs="Arial"/>
          <w:kern w:val="0"/>
          <w:szCs w:val="21"/>
        </w:rPr>
        <w:t>投标人应为用户提供系统培训，使其能对系统熟练的操作和日常的维护以及能对一般系统故障进行处置。</w:t>
      </w:r>
    </w:p>
    <w:p>
      <w:pPr>
        <w:tabs>
          <w:tab w:val="left" w:pos="8280"/>
        </w:tabs>
        <w:autoSpaceDE w:val="0"/>
        <w:autoSpaceDN w:val="0"/>
        <w:adjustRightInd w:val="0"/>
        <w:spacing w:line="360" w:lineRule="auto"/>
        <w:ind w:right="25"/>
        <w:rPr>
          <w:rFonts w:asciiTheme="minorEastAsia" w:hAnsiTheme="minorEastAsia" w:eastAsiaTheme="minorEastAsia"/>
          <w:b/>
          <w:sz w:val="28"/>
        </w:rPr>
      </w:pPr>
    </w:p>
    <w:p>
      <w:pPr>
        <w:numPr>
          <w:ilvl w:val="0"/>
          <w:numId w:val="4"/>
        </w:numPr>
        <w:tabs>
          <w:tab w:val="left" w:pos="8280"/>
        </w:tabs>
        <w:autoSpaceDE w:val="0"/>
        <w:autoSpaceDN w:val="0"/>
        <w:adjustRightInd w:val="0"/>
        <w:spacing w:line="360" w:lineRule="auto"/>
        <w:ind w:right="25"/>
        <w:rPr>
          <w:rFonts w:asciiTheme="minorEastAsia" w:hAnsiTheme="minorEastAsia" w:eastAsiaTheme="minorEastAsia"/>
          <w:b/>
          <w:sz w:val="24"/>
        </w:rPr>
      </w:pPr>
      <w:r>
        <w:rPr>
          <w:rFonts w:hint="eastAsia" w:asciiTheme="minorEastAsia" w:hAnsiTheme="minorEastAsia" w:eastAsiaTheme="minorEastAsia"/>
          <w:b/>
          <w:sz w:val="24"/>
        </w:rPr>
        <w:t>商务需求</w:t>
      </w:r>
    </w:p>
    <w:p>
      <w:pPr>
        <w:pStyle w:val="117"/>
        <w:spacing w:line="360" w:lineRule="auto"/>
        <w:ind w:firstLine="0" w:firstLineChars="0"/>
        <w:rPr>
          <w:color w:val="FF0000"/>
        </w:rPr>
      </w:pPr>
      <w:r>
        <w:rPr>
          <w:rFonts w:hint="eastAsia" w:asciiTheme="minorEastAsia" w:hAnsiTheme="minorEastAsia" w:eastAsiaTheme="minorEastAsia"/>
          <w:b/>
          <w:sz w:val="24"/>
        </w:rPr>
        <w:t>1、质保期：</w:t>
      </w:r>
      <w:r>
        <w:rPr>
          <w:rFonts w:hint="eastAsia" w:asciiTheme="minorEastAsia" w:hAnsiTheme="minorEastAsia" w:eastAsiaTheme="minorEastAsia"/>
          <w:sz w:val="24"/>
        </w:rPr>
        <w:t>货物通过最终验收之日起三年（36个月）（招标文件第二部分技术参数另有规定的除外），货物上标明的质量保证期超过以上规定期限的，以标明的质量保证期为准。在质量保证期内，供应商对由于产品设计、工艺、材料、配套件的缺陷而造成的任何产品质量问题或故障负责。</w:t>
      </w:r>
    </w:p>
    <w:p>
      <w:pPr>
        <w:pStyle w:val="18"/>
        <w:snapToGrid w:val="0"/>
        <w:spacing w:line="360" w:lineRule="auto"/>
        <w:outlineLvl w:val="0"/>
        <w:rPr>
          <w:rFonts w:asciiTheme="minorEastAsia" w:hAnsiTheme="minorEastAsia" w:eastAsiaTheme="minorEastAsia"/>
          <w:kern w:val="0"/>
          <w:sz w:val="24"/>
        </w:rPr>
      </w:pPr>
      <w:r>
        <w:rPr>
          <w:rFonts w:hint="eastAsia" w:asciiTheme="minorEastAsia" w:hAnsiTheme="minorEastAsia" w:eastAsiaTheme="minorEastAsia"/>
          <w:b/>
          <w:kern w:val="0"/>
          <w:sz w:val="24"/>
        </w:rPr>
        <w:t>2、交货时间及地点：</w:t>
      </w:r>
      <w:r>
        <w:rPr>
          <w:rFonts w:hint="eastAsia" w:asciiTheme="minorEastAsia" w:hAnsiTheme="minorEastAsia" w:eastAsiaTheme="minorEastAsia"/>
          <w:kern w:val="0"/>
          <w:sz w:val="24"/>
        </w:rPr>
        <w:t>同前面“招标项目一览表”内所填的相关内容。</w:t>
      </w:r>
    </w:p>
    <w:p>
      <w:pPr>
        <w:pStyle w:val="18"/>
        <w:snapToGrid w:val="0"/>
        <w:spacing w:line="360" w:lineRule="auto"/>
        <w:outlineLvl w:val="0"/>
        <w:rPr>
          <w:rFonts w:asciiTheme="minorEastAsia" w:hAnsiTheme="minorEastAsia" w:eastAsiaTheme="minorEastAsia"/>
          <w:b/>
          <w:sz w:val="24"/>
        </w:rPr>
      </w:pPr>
      <w:r>
        <w:rPr>
          <w:rFonts w:hint="eastAsia" w:asciiTheme="minorEastAsia" w:hAnsiTheme="minorEastAsia" w:eastAsiaTheme="minorEastAsia"/>
          <w:b/>
          <w:kern w:val="0"/>
          <w:sz w:val="24"/>
        </w:rPr>
        <w:t>3、</w:t>
      </w:r>
      <w:r>
        <w:rPr>
          <w:rFonts w:hint="eastAsia" w:asciiTheme="minorEastAsia" w:hAnsiTheme="minorEastAsia" w:eastAsiaTheme="minorEastAsia"/>
          <w:b/>
          <w:sz w:val="24"/>
        </w:rPr>
        <w:t>付款条件：</w:t>
      </w:r>
      <w:r>
        <w:rPr>
          <w:rFonts w:hint="eastAsia" w:cs="Times New Roman" w:asciiTheme="minorEastAsia" w:hAnsiTheme="minorEastAsia" w:eastAsiaTheme="minorEastAsia"/>
          <w:sz w:val="24"/>
        </w:rPr>
        <w:t>在合同签订前卖方提供合同总金额5%的履约保证金，如卖方在签约前未在规定的时间内提交履约保证金则买方有权拒签合同；设备安装调试验收合格后，买方向乙方支付100%的合同价款，履约保证金转为质量保证金，质量保证金待质量保证期满后无质量问题无息一次性退还；卖方开具可抵扣专用增值税发票。</w:t>
      </w:r>
    </w:p>
    <w:p>
      <w:pPr>
        <w:autoSpaceDE w:val="0"/>
        <w:autoSpaceDN w:val="0"/>
        <w:adjustRightInd w:val="0"/>
        <w:spacing w:line="360" w:lineRule="auto"/>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四、相关说明</w:t>
      </w:r>
    </w:p>
    <w:p>
      <w:pPr>
        <w:autoSpaceDE w:val="0"/>
        <w:autoSpaceDN w:val="0"/>
        <w:adjustRightInd w:val="0"/>
        <w:snapToGrid w:val="0"/>
        <w:spacing w:line="360" w:lineRule="auto"/>
        <w:rPr>
          <w:rFonts w:asciiTheme="minorEastAsia" w:hAnsiTheme="minorEastAsia" w:eastAsiaTheme="minorEastAsia"/>
          <w:sz w:val="24"/>
        </w:rPr>
      </w:pPr>
      <w:r>
        <w:rPr>
          <w:rFonts w:hint="eastAsia" w:asciiTheme="minorEastAsia" w:hAnsiTheme="minorEastAsia" w:eastAsiaTheme="minorEastAsia"/>
          <w:b/>
          <w:color w:val="000000"/>
          <w:sz w:val="24"/>
        </w:rPr>
        <w:t>1、</w:t>
      </w:r>
      <w:r>
        <w:rPr>
          <w:rFonts w:hint="eastAsia" w:asciiTheme="minorEastAsia" w:hAnsiTheme="minorEastAsia" w:eastAsiaTheme="minorEastAsia"/>
          <w:b/>
          <w:sz w:val="24"/>
        </w:rPr>
        <w:t>投标文件份数：</w:t>
      </w:r>
      <w:r>
        <w:rPr>
          <w:rFonts w:hint="eastAsia" w:asciiTheme="minorEastAsia" w:hAnsiTheme="minorEastAsia" w:eastAsiaTheme="minorEastAsia"/>
          <w:sz w:val="24"/>
        </w:rPr>
        <w:t>资格资信证明文件、技术文件各需正本</w:t>
      </w:r>
      <w:r>
        <w:rPr>
          <w:rFonts w:hint="eastAsia" w:cs="Arial" w:asciiTheme="minorEastAsia" w:hAnsiTheme="minorEastAsia" w:eastAsiaTheme="minorEastAsia"/>
          <w:color w:val="FF00FF"/>
          <w:sz w:val="24"/>
        </w:rPr>
        <w:t>1</w:t>
      </w:r>
      <w:r>
        <w:rPr>
          <w:rFonts w:hint="eastAsia" w:asciiTheme="minorEastAsia" w:hAnsiTheme="minorEastAsia" w:eastAsiaTheme="minorEastAsia"/>
          <w:sz w:val="24"/>
        </w:rPr>
        <w:t>份，副本</w:t>
      </w:r>
      <w:r>
        <w:rPr>
          <w:rFonts w:hint="eastAsia" w:cs="Arial" w:asciiTheme="minorEastAsia" w:hAnsiTheme="minorEastAsia" w:eastAsiaTheme="minorEastAsia"/>
          <w:color w:val="FF00FF"/>
          <w:sz w:val="24"/>
        </w:rPr>
        <w:t>7</w:t>
      </w:r>
      <w:r>
        <w:rPr>
          <w:rFonts w:hint="eastAsia" w:asciiTheme="minorEastAsia" w:hAnsiTheme="minorEastAsia" w:eastAsiaTheme="minorEastAsia"/>
          <w:sz w:val="24"/>
        </w:rPr>
        <w:t>份；报价文件</w:t>
      </w:r>
      <w:r>
        <w:rPr>
          <w:rFonts w:hint="eastAsia" w:cs="Arial" w:asciiTheme="minorEastAsia" w:hAnsiTheme="minorEastAsia" w:eastAsiaTheme="minorEastAsia"/>
          <w:color w:val="FF00FF"/>
          <w:sz w:val="24"/>
        </w:rPr>
        <w:t>1</w:t>
      </w:r>
      <w:r>
        <w:rPr>
          <w:rFonts w:hint="eastAsia" w:asciiTheme="minorEastAsia" w:hAnsiTheme="minorEastAsia" w:eastAsiaTheme="minorEastAsia"/>
          <w:sz w:val="24"/>
        </w:rPr>
        <w:t>份。报价文件、资格资信证明文件、技术文件各自密封（正本分别单独密封于一袋，所需副本可统一密封于一袋或多袋）。除报价文件外其余一律不准出现数字报价。如有不同标段，请按标段号分别装订，密封要求同上。</w:t>
      </w:r>
    </w:p>
    <w:p>
      <w:pPr>
        <w:autoSpaceDE w:val="0"/>
        <w:autoSpaceDN w:val="0"/>
        <w:adjustRightInd w:val="0"/>
        <w:snapToGrid w:val="0"/>
        <w:spacing w:line="360" w:lineRule="auto"/>
        <w:rPr>
          <w:rFonts w:asciiTheme="minorEastAsia" w:hAnsiTheme="minorEastAsia" w:eastAsiaTheme="minorEastAsia"/>
          <w:color w:val="FF0000"/>
          <w:sz w:val="24"/>
        </w:rPr>
      </w:pPr>
      <w:r>
        <w:rPr>
          <w:rFonts w:hint="eastAsia" w:asciiTheme="minorEastAsia" w:hAnsiTheme="minorEastAsia" w:eastAsiaTheme="minorEastAsia"/>
          <w:color w:val="FF0000"/>
          <w:sz w:val="24"/>
        </w:rPr>
        <w:t>2、电子文件与纸质文件有出入的，以纸质文件为准。</w:t>
      </w:r>
    </w:p>
    <w:p>
      <w:pPr>
        <w:autoSpaceDE w:val="0"/>
        <w:autoSpaceDN w:val="0"/>
        <w:adjustRightInd w:val="0"/>
        <w:snapToGrid w:val="0"/>
        <w:spacing w:line="360" w:lineRule="auto"/>
        <w:rPr>
          <w:rFonts w:asciiTheme="majorEastAsia" w:hAnsiTheme="majorEastAsia" w:eastAsiaTheme="majorEastAsia"/>
          <w:b/>
          <w:sz w:val="36"/>
          <w:szCs w:val="36"/>
        </w:rPr>
      </w:pPr>
      <w:r>
        <w:rPr>
          <w:rFonts w:hint="eastAsia" w:asciiTheme="majorEastAsia" w:hAnsiTheme="majorEastAsia" w:eastAsiaTheme="majorEastAsia"/>
          <w:b/>
          <w:sz w:val="36"/>
          <w:szCs w:val="36"/>
        </w:rPr>
        <w:br w:type="page"/>
      </w:r>
    </w:p>
    <w:p>
      <w:pPr>
        <w:snapToGrid w:val="0"/>
        <w:spacing w:line="360" w:lineRule="auto"/>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第三部分  投标人须知</w:t>
      </w:r>
    </w:p>
    <w:p>
      <w:pPr>
        <w:pStyle w:val="18"/>
        <w:snapToGrid w:val="0"/>
        <w:spacing w:before="120" w:after="120"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一 、总  则</w:t>
      </w:r>
    </w:p>
    <w:p>
      <w:pPr>
        <w:snapToGrid w:val="0"/>
        <w:spacing w:line="360" w:lineRule="auto"/>
        <w:ind w:firstLine="472" w:firstLineChars="196"/>
        <w:jc w:val="left"/>
        <w:outlineLvl w:val="1"/>
        <w:rPr>
          <w:rFonts w:asciiTheme="minorEastAsia" w:hAnsiTheme="minorEastAsia" w:eastAsiaTheme="minorEastAsia"/>
          <w:b/>
          <w:color w:val="000000"/>
          <w:sz w:val="24"/>
          <w:szCs w:val="20"/>
        </w:rPr>
      </w:pPr>
      <w:r>
        <w:rPr>
          <w:rFonts w:hint="eastAsia" w:asciiTheme="minorEastAsia" w:hAnsiTheme="minorEastAsia" w:eastAsiaTheme="minorEastAsia"/>
          <w:b/>
          <w:color w:val="000000"/>
          <w:sz w:val="24"/>
        </w:rPr>
        <w:t>（一）</w:t>
      </w:r>
      <w:r>
        <w:rPr>
          <w:rFonts w:asciiTheme="minorEastAsia" w:hAnsiTheme="minorEastAsia" w:eastAsiaTheme="minorEastAsia"/>
          <w:b/>
          <w:color w:val="000000"/>
          <w:sz w:val="24"/>
        </w:rPr>
        <w:t xml:space="preserve"> 适用范围</w:t>
      </w:r>
    </w:p>
    <w:p>
      <w:pPr>
        <w:snapToGrid w:val="0"/>
        <w:spacing w:line="360" w:lineRule="auto"/>
        <w:ind w:firstLine="480" w:firstLineChars="200"/>
        <w:jc w:val="left"/>
        <w:rPr>
          <w:rFonts w:asciiTheme="minorEastAsia" w:hAnsiTheme="minorEastAsia" w:eastAsiaTheme="minorEastAsia"/>
          <w:color w:val="000000"/>
          <w:sz w:val="24"/>
          <w:szCs w:val="20"/>
        </w:rPr>
      </w:pPr>
      <w:r>
        <w:rPr>
          <w:rFonts w:hint="eastAsia" w:asciiTheme="minorEastAsia" w:hAnsiTheme="minorEastAsia" w:eastAsiaTheme="minorEastAsia"/>
          <w:color w:val="000000"/>
          <w:sz w:val="24"/>
        </w:rPr>
        <w:t>本招标文件适用于</w:t>
      </w:r>
      <w:r>
        <w:rPr>
          <w:rFonts w:hint="eastAsia" w:asciiTheme="minorEastAsia" w:hAnsiTheme="minorEastAsia" w:eastAsiaTheme="minorEastAsia"/>
          <w:bCs/>
          <w:color w:val="000000"/>
          <w:sz w:val="24"/>
          <w:szCs w:val="48"/>
        </w:rPr>
        <w:t>本次</w:t>
      </w:r>
      <w:r>
        <w:rPr>
          <w:rFonts w:hint="eastAsia" w:asciiTheme="minorEastAsia" w:hAnsiTheme="minorEastAsia" w:eastAsiaTheme="minorEastAsia"/>
          <w:color w:val="000000"/>
          <w:sz w:val="24"/>
        </w:rPr>
        <w:t>项目的招标、投标、评标、定标、验收、合同履约、付款等行为（法律、法规另有规定的，从其规定）。</w:t>
      </w:r>
    </w:p>
    <w:p>
      <w:pPr>
        <w:snapToGrid w:val="0"/>
        <w:spacing w:beforeLines="50" w:line="360" w:lineRule="auto"/>
        <w:ind w:firstLine="354" w:firstLineChars="147"/>
        <w:jc w:val="left"/>
        <w:outlineLvl w:val="1"/>
        <w:rPr>
          <w:rFonts w:asciiTheme="minorEastAsia" w:hAnsiTheme="minorEastAsia" w:eastAsiaTheme="minorEastAsia"/>
          <w:b/>
          <w:color w:val="000000"/>
          <w:sz w:val="24"/>
          <w:szCs w:val="20"/>
        </w:rPr>
      </w:pPr>
      <w:r>
        <w:rPr>
          <w:rFonts w:hint="eastAsia" w:asciiTheme="minorEastAsia" w:hAnsiTheme="minorEastAsia" w:eastAsiaTheme="minorEastAsia"/>
          <w:b/>
          <w:color w:val="000000"/>
          <w:sz w:val="24"/>
        </w:rPr>
        <w:t>（二）定义</w:t>
      </w:r>
    </w:p>
    <w:p>
      <w:pPr>
        <w:pStyle w:val="4"/>
        <w:keepNext w:val="0"/>
        <w:keepLines w:val="0"/>
        <w:tabs>
          <w:tab w:val="left" w:pos="0"/>
          <w:tab w:val="left" w:pos="851"/>
        </w:tabs>
        <w:autoSpaceDE w:val="0"/>
        <w:autoSpaceDN w:val="0"/>
        <w:adjustRightInd w:val="0"/>
        <w:snapToGrid w:val="0"/>
        <w:spacing w:before="0" w:after="0" w:line="360" w:lineRule="auto"/>
        <w:ind w:firstLine="566" w:firstLineChars="236"/>
        <w:jc w:val="left"/>
        <w:rPr>
          <w:rFonts w:asciiTheme="minorEastAsia" w:hAnsiTheme="minorEastAsia" w:eastAsiaTheme="minorEastAsia"/>
          <w:b w:val="0"/>
          <w:bCs w:val="0"/>
          <w:color w:val="000000"/>
          <w:sz w:val="24"/>
          <w:szCs w:val="24"/>
        </w:rPr>
      </w:pPr>
      <w:r>
        <w:rPr>
          <w:rFonts w:hint="eastAsia" w:asciiTheme="minorEastAsia" w:hAnsiTheme="minorEastAsia" w:eastAsiaTheme="minorEastAsia"/>
          <w:b w:val="0"/>
          <w:color w:val="000000"/>
          <w:sz w:val="24"/>
        </w:rPr>
        <w:t>1、</w:t>
      </w:r>
      <w:r>
        <w:rPr>
          <w:rFonts w:hint="eastAsia" w:asciiTheme="minorEastAsia" w:hAnsiTheme="minorEastAsia" w:eastAsiaTheme="minorEastAsia"/>
          <w:b w:val="0"/>
          <w:bCs w:val="0"/>
          <w:color w:val="000000"/>
          <w:sz w:val="24"/>
          <w:szCs w:val="24"/>
        </w:rPr>
        <w:t>招标人：是指组织本次招标的台州市政府采购中心。</w:t>
      </w:r>
    </w:p>
    <w:p>
      <w:pPr>
        <w:snapToGrid w:val="0"/>
        <w:spacing w:line="360" w:lineRule="auto"/>
        <w:ind w:firstLine="566" w:firstLineChars="236"/>
        <w:rPr>
          <w:rFonts w:asciiTheme="minorEastAsia" w:hAnsiTheme="minorEastAsia" w:eastAsiaTheme="minorEastAsia"/>
          <w:color w:val="000000"/>
          <w:sz w:val="24"/>
        </w:rPr>
      </w:pPr>
      <w:r>
        <w:rPr>
          <w:rFonts w:hint="eastAsia" w:asciiTheme="minorEastAsia" w:hAnsiTheme="minorEastAsia" w:eastAsiaTheme="minorEastAsia"/>
          <w:color w:val="000000"/>
          <w:sz w:val="24"/>
        </w:rPr>
        <w:t>2、采购人：是指委托招标人采购本次项目的国家机关、事业单位和团体组织。</w:t>
      </w:r>
    </w:p>
    <w:p>
      <w:pPr>
        <w:snapToGrid w:val="0"/>
        <w:spacing w:line="360" w:lineRule="auto"/>
        <w:ind w:left="424" w:leftChars="202" w:firstLine="141" w:firstLineChars="59"/>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3、</w:t>
      </w:r>
      <w:r>
        <w:rPr>
          <w:rFonts w:asciiTheme="minorEastAsia" w:hAnsiTheme="minorEastAsia" w:eastAsiaTheme="minorEastAsia"/>
          <w:color w:val="000000"/>
          <w:sz w:val="24"/>
        </w:rPr>
        <w:t>投标人</w:t>
      </w:r>
      <w:r>
        <w:rPr>
          <w:rFonts w:hint="eastAsia" w:asciiTheme="minorEastAsia" w:hAnsiTheme="minorEastAsia" w:eastAsiaTheme="minorEastAsia"/>
          <w:color w:val="000000"/>
          <w:sz w:val="24"/>
        </w:rPr>
        <w:t>：是</w:t>
      </w:r>
      <w:r>
        <w:rPr>
          <w:rFonts w:asciiTheme="minorEastAsia" w:hAnsiTheme="minorEastAsia" w:eastAsiaTheme="minorEastAsia"/>
          <w:color w:val="000000"/>
          <w:sz w:val="24"/>
        </w:rPr>
        <w:t>指向招标人提交投标文件的单位或个人。</w:t>
      </w:r>
    </w:p>
    <w:p>
      <w:pPr>
        <w:snapToGrid w:val="0"/>
        <w:spacing w:line="360" w:lineRule="auto"/>
        <w:ind w:left="424" w:leftChars="202" w:firstLine="143"/>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4、</w:t>
      </w:r>
      <w:r>
        <w:rPr>
          <w:rFonts w:asciiTheme="minorEastAsia" w:hAnsiTheme="minorEastAsia" w:eastAsiaTheme="minorEastAsia"/>
          <w:color w:val="000000"/>
          <w:sz w:val="24"/>
        </w:rPr>
        <w:t>货物</w:t>
      </w: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是指各种形态和种类的物品，包括原材料、燃料、设备、产品等。</w:t>
      </w:r>
    </w:p>
    <w:p>
      <w:pPr>
        <w:snapToGrid w:val="0"/>
        <w:spacing w:line="360" w:lineRule="auto"/>
        <w:ind w:firstLine="566" w:firstLineChars="236"/>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5、</w:t>
      </w:r>
      <w:r>
        <w:rPr>
          <w:rFonts w:asciiTheme="minorEastAsia" w:hAnsiTheme="minorEastAsia" w:eastAsiaTheme="minorEastAsia"/>
          <w:color w:val="000000"/>
          <w:sz w:val="24"/>
        </w:rPr>
        <w:t>产品</w:t>
      </w:r>
      <w:r>
        <w:rPr>
          <w:rFonts w:hint="eastAsia" w:asciiTheme="minorEastAsia" w:hAnsiTheme="minorEastAsia" w:eastAsiaTheme="minorEastAsia"/>
          <w:color w:val="000000"/>
          <w:sz w:val="24"/>
        </w:rPr>
        <w:t>：是</w:t>
      </w:r>
      <w:r>
        <w:rPr>
          <w:rFonts w:asciiTheme="minorEastAsia" w:hAnsiTheme="minorEastAsia" w:eastAsiaTheme="minorEastAsia"/>
          <w:color w:val="000000"/>
          <w:sz w:val="24"/>
        </w:rPr>
        <w:t>指供方按招标文件规定，须向采购人提供的一切设备、保险、税金、备品备件、工具、手册及其它有关技术资料和材料。</w:t>
      </w:r>
    </w:p>
    <w:p>
      <w:pPr>
        <w:snapToGrid w:val="0"/>
        <w:spacing w:line="360" w:lineRule="auto"/>
        <w:ind w:firstLine="566" w:firstLineChars="236"/>
        <w:jc w:val="left"/>
        <w:rPr>
          <w:rFonts w:asciiTheme="minorEastAsia" w:hAnsiTheme="minorEastAsia" w:eastAsiaTheme="minorEastAsia"/>
          <w:b/>
          <w:sz w:val="24"/>
        </w:rPr>
      </w:pPr>
      <w:r>
        <w:rPr>
          <w:rFonts w:hint="eastAsia" w:asciiTheme="minorEastAsia" w:hAnsiTheme="minorEastAsia" w:eastAsiaTheme="minorEastAsia"/>
          <w:sz w:val="24"/>
        </w:rPr>
        <w:t>6、</w:t>
      </w:r>
      <w:r>
        <w:rPr>
          <w:rFonts w:asciiTheme="minorEastAsia" w:hAnsiTheme="minorEastAsia" w:eastAsiaTheme="minorEastAsia"/>
          <w:sz w:val="24"/>
        </w:rPr>
        <w:t>服务</w:t>
      </w:r>
      <w:r>
        <w:rPr>
          <w:rFonts w:hint="eastAsia" w:asciiTheme="minorEastAsia" w:hAnsiTheme="minorEastAsia" w:eastAsiaTheme="minorEastAsia"/>
          <w:sz w:val="24"/>
        </w:rPr>
        <w:t>：</w:t>
      </w:r>
      <w:r>
        <w:rPr>
          <w:rFonts w:asciiTheme="minorEastAsia" w:hAnsiTheme="minorEastAsia" w:eastAsiaTheme="minorEastAsia"/>
          <w:sz w:val="24"/>
        </w:rPr>
        <w:t>是指除货物和工程以外的政府采购对象，包括各类专业服务、信息网络开发服务、金融保险服务、运输服务，以及维修与维护服务等。</w:t>
      </w:r>
    </w:p>
    <w:p>
      <w:pPr>
        <w:snapToGrid w:val="0"/>
        <w:spacing w:line="360" w:lineRule="auto"/>
        <w:ind w:firstLine="566" w:firstLineChars="236"/>
        <w:jc w:val="left"/>
        <w:rPr>
          <w:rFonts w:asciiTheme="minorEastAsia" w:hAnsiTheme="minorEastAsia" w:eastAsiaTheme="minorEastAsia"/>
          <w:sz w:val="24"/>
        </w:rPr>
      </w:pPr>
      <w:r>
        <w:rPr>
          <w:rFonts w:hint="eastAsia" w:asciiTheme="minorEastAsia" w:hAnsiTheme="minorEastAsia" w:eastAsiaTheme="minorEastAsia"/>
          <w:sz w:val="24"/>
        </w:rPr>
        <w:t>7、</w:t>
      </w:r>
      <w:r>
        <w:rPr>
          <w:rFonts w:asciiTheme="minorEastAsia" w:hAnsiTheme="minorEastAsia" w:eastAsiaTheme="minorEastAsia"/>
          <w:sz w:val="24"/>
        </w:rPr>
        <w:t>项目</w:t>
      </w:r>
      <w:r>
        <w:rPr>
          <w:rFonts w:hint="eastAsia" w:asciiTheme="minorEastAsia" w:hAnsiTheme="minorEastAsia" w:eastAsiaTheme="minorEastAsia"/>
          <w:sz w:val="24"/>
        </w:rPr>
        <w:t>：是</w:t>
      </w:r>
      <w:r>
        <w:rPr>
          <w:rFonts w:asciiTheme="minorEastAsia" w:hAnsiTheme="minorEastAsia" w:eastAsiaTheme="minorEastAsia"/>
          <w:sz w:val="24"/>
        </w:rPr>
        <w:t>指投标人按招标文件规定向采购人提供的产品和服务。</w:t>
      </w:r>
    </w:p>
    <w:p>
      <w:pPr>
        <w:snapToGrid w:val="0"/>
        <w:spacing w:line="360" w:lineRule="auto"/>
        <w:ind w:firstLine="566" w:firstLineChars="236"/>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8、</w:t>
      </w:r>
      <w:r>
        <w:rPr>
          <w:rFonts w:asciiTheme="minorEastAsia" w:hAnsiTheme="minorEastAsia" w:eastAsiaTheme="minorEastAsia"/>
          <w:color w:val="000000"/>
          <w:sz w:val="24"/>
        </w:rPr>
        <w:t>“书面形式”包括信函、传真等。</w:t>
      </w:r>
    </w:p>
    <w:p>
      <w:pPr>
        <w:snapToGrid w:val="0"/>
        <w:spacing w:line="360" w:lineRule="auto"/>
        <w:ind w:firstLine="566" w:firstLineChars="236"/>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9、</w:t>
      </w:r>
      <w:r>
        <w:rPr>
          <w:rFonts w:asciiTheme="minorEastAsia" w:hAnsiTheme="minorEastAsia" w:eastAsiaTheme="minorEastAsia"/>
          <w:color w:val="000000"/>
          <w:sz w:val="24"/>
        </w:rPr>
        <w:t>“▲”系指实质性要求条款。</w:t>
      </w:r>
    </w:p>
    <w:p>
      <w:pPr>
        <w:snapToGrid w:val="0"/>
        <w:spacing w:beforeLines="50" w:line="360" w:lineRule="auto"/>
        <w:ind w:firstLine="472" w:firstLineChars="196"/>
        <w:jc w:val="left"/>
        <w:outlineLvl w:val="1"/>
        <w:rPr>
          <w:rFonts w:asciiTheme="minorEastAsia" w:hAnsiTheme="minorEastAsia" w:eastAsiaTheme="minorEastAsia"/>
          <w:b/>
          <w:color w:val="000000"/>
          <w:sz w:val="24"/>
          <w:szCs w:val="20"/>
        </w:rPr>
      </w:pPr>
      <w:r>
        <w:rPr>
          <w:rFonts w:hint="eastAsia" w:asciiTheme="minorEastAsia" w:hAnsiTheme="minorEastAsia" w:eastAsiaTheme="minorEastAsia"/>
          <w:b/>
          <w:color w:val="000000"/>
          <w:sz w:val="24"/>
        </w:rPr>
        <w:t>（三）投标费用</w:t>
      </w:r>
    </w:p>
    <w:p>
      <w:pPr>
        <w:snapToGrid w:val="0"/>
        <w:spacing w:line="360" w:lineRule="auto"/>
        <w:ind w:firstLine="480" w:firstLineChars="200"/>
        <w:jc w:val="left"/>
        <w:rPr>
          <w:rFonts w:asciiTheme="minorEastAsia" w:hAnsiTheme="minorEastAsia" w:eastAsiaTheme="minorEastAsia"/>
          <w:sz w:val="24"/>
          <w:szCs w:val="20"/>
        </w:rPr>
      </w:pPr>
      <w:r>
        <w:rPr>
          <w:rFonts w:hint="eastAsia" w:asciiTheme="minorEastAsia" w:hAnsiTheme="minorEastAsia" w:eastAsiaTheme="minorEastAsia"/>
          <w:sz w:val="24"/>
        </w:rPr>
        <w:t>不论投标结果如何，投标人均应自行承担所有与投标有关的全部费用（招标文件有相反规定除外）。</w:t>
      </w:r>
    </w:p>
    <w:p>
      <w:pPr>
        <w:pStyle w:val="18"/>
        <w:snapToGrid w:val="0"/>
        <w:spacing w:line="360" w:lineRule="auto"/>
        <w:ind w:left="2" w:leftChars="1"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（四）特别说明</w:t>
      </w:r>
    </w:p>
    <w:p>
      <w:pPr>
        <w:pStyle w:val="18"/>
        <w:snapToGrid w:val="0"/>
        <w:spacing w:line="360" w:lineRule="auto"/>
        <w:ind w:left="2" w:leftChars="1"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投标人投标所使用的资格、信誉、荣誉、业绩与企业认证必须为本法人所拥有。投标人投标所使用的采购项目实施人员必须为本法人员工（或必须为本法人或控股公司正式员工）。</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投标人应仔细阅读招标文件的所有内容，按照招标文件的要求提交投标文件，并对所提供的全部资料的真实性承担法律责任。</w:t>
      </w:r>
    </w:p>
    <w:p>
      <w:pPr>
        <w:pStyle w:val="42"/>
        <w:snapToGrid w:val="0"/>
        <w:spacing w:line="360" w:lineRule="auto"/>
        <w:ind w:firstLineChars="0"/>
        <w:rPr>
          <w:rFonts w:asciiTheme="minorEastAsia" w:hAnsiTheme="minorEastAsia" w:eastAsiaTheme="minorEastAsia"/>
        </w:rPr>
      </w:pPr>
      <w:r>
        <w:rPr>
          <w:rFonts w:hint="eastAsia" w:asciiTheme="minorEastAsia" w:hAnsiTheme="minorEastAsia" w:eastAsiaTheme="minorEastAsia"/>
          <w:sz w:val="24"/>
        </w:rPr>
        <w:t>3、投标供应商所标产品除招标文件中明确规定要求“提供官网截图或相应检测报告的证明材料”以外，所有技术参数描述均以投标文件为准。</w:t>
      </w:r>
      <w:r>
        <w:rPr>
          <w:rFonts w:hint="eastAsia" w:asciiTheme="minorEastAsia" w:hAnsiTheme="minorEastAsia" w:eastAsiaTheme="minorEastAsia"/>
          <w:b/>
          <w:sz w:val="24"/>
        </w:rPr>
        <w:t>投标供应商对所投产品技术参数的真实性承担法律责任。</w:t>
      </w:r>
      <w:r>
        <w:rPr>
          <w:rFonts w:hint="eastAsia" w:asciiTheme="minorEastAsia" w:hAnsiTheme="minorEastAsia" w:eastAsiaTheme="minorEastAsia"/>
          <w:sz w:val="24"/>
        </w:rPr>
        <w:t>项目招标结束后、质疑期限内，如有质疑供应商认为中标供应商所投产品、投标文件技术参数与招标需求存在重大偏离、错误、甚至造假的情况，应提供具体有效的证明材料。</w:t>
      </w:r>
      <w:r>
        <w:rPr>
          <w:rFonts w:hint="eastAsia" w:asciiTheme="minorEastAsia" w:hAnsiTheme="minorEastAsia" w:eastAsiaTheme="minorEastAsia"/>
        </w:rPr>
        <w:tab/>
      </w:r>
    </w:p>
    <w:p>
      <w:pPr>
        <w:pStyle w:val="42"/>
        <w:snapToGrid w:val="0"/>
        <w:spacing w:line="360" w:lineRule="auto"/>
        <w:ind w:firstLineChars="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投标人在投标活动中提供任何虚假材料,其投标无效，并报监管部门查处；中标后发现的,中标人须依照根据《中华人民共和国政府采购法》第七十七条第一款第一项之规定</w:t>
      </w:r>
      <w:r>
        <w:rPr>
          <w:rFonts w:hint="eastAsia" w:asciiTheme="minorEastAsia" w:hAnsiTheme="minorEastAsia" w:eastAsiaTheme="minorEastAsia"/>
          <w:sz w:val="24"/>
        </w:rPr>
        <w:t>，</w:t>
      </w:r>
      <w:r>
        <w:rPr>
          <w:rFonts w:asciiTheme="minorEastAsia" w:hAnsiTheme="minorEastAsia" w:eastAsiaTheme="minorEastAsia"/>
          <w:sz w:val="24"/>
        </w:rPr>
        <w:t>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r>
        <w:rPr>
          <w:rFonts w:hint="eastAsia" w:asciiTheme="minorEastAsia" w:hAnsiTheme="minorEastAsia" w:eastAsiaTheme="minorEastAsia"/>
          <w:sz w:val="24"/>
        </w:rPr>
        <w:t>。</w:t>
      </w:r>
    </w:p>
    <w:p>
      <w:pPr>
        <w:pStyle w:val="4"/>
        <w:keepNext w:val="0"/>
        <w:keepLines w:val="0"/>
        <w:tabs>
          <w:tab w:val="left" w:pos="851"/>
        </w:tabs>
        <w:autoSpaceDE w:val="0"/>
        <w:autoSpaceDN w:val="0"/>
        <w:adjustRightInd w:val="0"/>
        <w:snapToGrid w:val="0"/>
        <w:spacing w:before="0" w:after="0" w:line="360" w:lineRule="auto"/>
        <w:ind w:firstLine="360" w:firstLineChars="150"/>
        <w:rPr>
          <w:rFonts w:asciiTheme="minorEastAsia" w:hAnsiTheme="minorEastAsia" w:eastAsiaTheme="minorEastAsia"/>
          <w:b w:val="0"/>
          <w:bCs w:val="0"/>
          <w:sz w:val="24"/>
          <w:szCs w:val="24"/>
        </w:rPr>
      </w:pPr>
      <w:r>
        <w:rPr>
          <w:rFonts w:hint="eastAsia" w:asciiTheme="minorEastAsia" w:hAnsiTheme="minorEastAsia" w:eastAsiaTheme="minorEastAsia"/>
          <w:b w:val="0"/>
          <w:bCs w:val="0"/>
          <w:sz w:val="24"/>
          <w:szCs w:val="24"/>
        </w:rPr>
        <w:t>5、投标人不得相互串通投标报价，不得妨碍其他投标人的公平竞争，不得损害采购人或其他投标人的合法权益，投标人不得以向采购人、评标委员会成员行贿或者采取其他不正当手段谋取中标。</w:t>
      </w:r>
    </w:p>
    <w:p>
      <w:pPr>
        <w:pStyle w:val="4"/>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sz w:val="24"/>
          <w:szCs w:val="24"/>
        </w:rPr>
      </w:pPr>
      <w:r>
        <w:rPr>
          <w:rFonts w:hint="eastAsia" w:asciiTheme="minorEastAsia" w:hAnsiTheme="minorEastAsia" w:eastAsiaTheme="minorEastAsia"/>
          <w:b w:val="0"/>
          <w:bCs w:val="0"/>
          <w:sz w:val="24"/>
          <w:szCs w:val="24"/>
        </w:rPr>
        <w:t>6、为采购项目提供整体设计、规范编制或者项目管理、监理、检测等服务的供应商，不得再参加该采购项目的其他采购活动。</w:t>
      </w:r>
    </w:p>
    <w:p>
      <w:pPr>
        <w:pStyle w:val="18"/>
        <w:snapToGrid w:val="0"/>
        <w:spacing w:line="360" w:lineRule="auto"/>
        <w:ind w:left="2" w:leftChars="1" w:firstLine="480" w:firstLineChars="200"/>
        <w:rPr>
          <w:rFonts w:asciiTheme="minorEastAsia" w:hAnsiTheme="minorEastAsia" w:eastAsiaTheme="minorEastAsia"/>
          <w:sz w:val="24"/>
        </w:rPr>
      </w:pPr>
      <w:r>
        <w:rPr>
          <w:rFonts w:hint="eastAsia" w:asciiTheme="minorEastAsia" w:hAnsiTheme="minorEastAsia" w:eastAsiaTheme="minorEastAsia"/>
          <w:sz w:val="24"/>
        </w:rPr>
        <w:t>7、关于小微企业投标</w:t>
      </w:r>
    </w:p>
    <w:p>
      <w:pPr>
        <w:pStyle w:val="18"/>
        <w:snapToGrid w:val="0"/>
        <w:spacing w:line="360" w:lineRule="auto"/>
        <w:ind w:left="2" w:leftChars="1" w:firstLine="480" w:firstLineChars="200"/>
        <w:rPr>
          <w:rFonts w:asciiTheme="minorEastAsia" w:hAnsiTheme="minorEastAsia" w:eastAsiaTheme="minorEastAsia"/>
          <w:sz w:val="24"/>
        </w:rPr>
      </w:pPr>
      <w:r>
        <w:rPr>
          <w:rFonts w:hint="eastAsia" w:asciiTheme="minorEastAsia" w:hAnsiTheme="minorEastAsia" w:eastAsiaTheme="minorEastAsia"/>
          <w:sz w:val="24"/>
        </w:rPr>
        <w:t>小微企业投标是指符合《中小企业划型标准规定》的投标人，通过投标提供本企业制造的货物、承担的工程或者服务，或者提供其他小微企业制造的货物。本项所指货物不包括使用大、中型企业注册商标的货物。小微企业投标应提供《小微企业声明函》；提供其他小微企业制造的货物的，应同时提供制造商的《小微企业声明函（制造商）》。</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1800"/>
        <w:jc w:val="left"/>
        <w:rPr>
          <w:rFonts w:asciiTheme="minorEastAsia" w:hAnsiTheme="minorEastAsia" w:eastAsiaTheme="minorEastAsia"/>
          <w:b/>
          <w:kern w:val="0"/>
          <w:sz w:val="28"/>
          <w:szCs w:val="28"/>
        </w:rPr>
      </w:pPr>
      <w:r>
        <w:rPr>
          <w:rFonts w:hint="eastAsia" w:asciiTheme="minorEastAsia" w:hAnsiTheme="minorEastAsia" w:eastAsiaTheme="minorEastAsia"/>
          <w:b/>
          <w:kern w:val="0"/>
          <w:sz w:val="28"/>
          <w:szCs w:val="28"/>
        </w:rPr>
        <w:t>二、招标文件</w:t>
      </w:r>
    </w:p>
    <w:p>
      <w:pPr>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（一）招标文件：招标文件由招标文件总目录所列内容组成。</w:t>
      </w:r>
    </w:p>
    <w:p>
      <w:pPr>
        <w:autoSpaceDE w:val="0"/>
        <w:autoSpaceDN w:val="0"/>
        <w:adjustRightInd w:val="0"/>
        <w:spacing w:line="360" w:lineRule="auto"/>
        <w:ind w:firstLine="360" w:firstLineChars="150"/>
        <w:rPr>
          <w:rFonts w:asciiTheme="minorEastAsia" w:hAnsiTheme="minorEastAsia" w:eastAsiaTheme="minorEastAsia"/>
          <w:kern w:val="0"/>
          <w:sz w:val="24"/>
        </w:rPr>
      </w:pPr>
      <w:r>
        <w:rPr>
          <w:rFonts w:hint="eastAsia" w:asciiTheme="minorEastAsia" w:hAnsiTheme="minorEastAsia" w:eastAsiaTheme="minorEastAsia"/>
          <w:kern w:val="0"/>
          <w:sz w:val="24"/>
        </w:rPr>
        <w:t>（二）招标文件的澄清或修改</w:t>
      </w:r>
    </w:p>
    <w:p>
      <w:pPr>
        <w:autoSpaceDE w:val="0"/>
        <w:autoSpaceDN w:val="0"/>
        <w:adjustRightInd w:val="0"/>
        <w:spacing w:line="360" w:lineRule="auto"/>
        <w:ind w:firstLine="480"/>
        <w:rPr>
          <w:rFonts w:asciiTheme="minorEastAsia" w:hAnsiTheme="minorEastAsia" w:eastAsiaTheme="minorEastAsia"/>
          <w:kern w:val="0"/>
          <w:sz w:val="24"/>
        </w:rPr>
      </w:pPr>
      <w:r>
        <w:rPr>
          <w:rFonts w:asciiTheme="minorEastAsia" w:hAnsiTheme="minorEastAsia" w:eastAsiaTheme="minorEastAsia"/>
          <w:kern w:val="0"/>
          <w:sz w:val="24"/>
        </w:rPr>
        <w:t>1</w:t>
      </w:r>
      <w:r>
        <w:rPr>
          <w:rFonts w:hint="eastAsia" w:asciiTheme="minorEastAsia" w:hAnsiTheme="minorEastAsia" w:eastAsiaTheme="minorEastAsia"/>
          <w:kern w:val="0"/>
          <w:sz w:val="24"/>
        </w:rPr>
        <w:t>、在提交投标文件截止时间十五日前，招标人可视采购具体情况对已发出的招标文件进行必要的澄清或修改，并以书面形式通知所有招标文件的收受人，投标人在收到该通知后应立即以传真的形式予以确认。招标文件的修改书将构成招标文件的一部分，对投标人有约束力。</w:t>
      </w:r>
    </w:p>
    <w:p>
      <w:pPr>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2、招标人可视采购具体情况，酌情延长投标截止时间和开标时间，招标人会在提交投标文件截止时间三日前，将变更时间书面通知所有招标文件收受人。如有误期，其投标将被拒绝。</w:t>
      </w:r>
    </w:p>
    <w:p>
      <w:pPr>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3、</w:t>
      </w:r>
      <w:r>
        <w:rPr>
          <w:rFonts w:asciiTheme="minorEastAsia" w:hAnsiTheme="minorEastAsia" w:eastAsiaTheme="minorEastAsia"/>
          <w:kern w:val="0"/>
          <w:sz w:val="24"/>
        </w:rPr>
        <w:t>投标人在规定的时间内未对招标文件提出疑问、质疑或要求澄清的，将视其为无异议。对招标文件中描述有歧义或前后不一致的地方，评标委员会有权进行评判，但对同一条款的评判应适用于每个投标人</w:t>
      </w:r>
      <w:r>
        <w:rPr>
          <w:rFonts w:hint="eastAsia" w:asciiTheme="minorEastAsia" w:hAnsiTheme="minorEastAsia" w:eastAsiaTheme="minorEastAsia"/>
          <w:kern w:val="0"/>
          <w:sz w:val="24"/>
        </w:rPr>
        <w:t>。</w:t>
      </w:r>
    </w:p>
    <w:p>
      <w:pPr>
        <w:tabs>
          <w:tab w:val="left" w:pos="1418"/>
        </w:tabs>
        <w:autoSpaceDE w:val="0"/>
        <w:autoSpaceDN w:val="0"/>
        <w:adjustRightInd w:val="0"/>
        <w:spacing w:line="360" w:lineRule="auto"/>
        <w:rPr>
          <w:rFonts w:asciiTheme="minorEastAsia" w:hAnsiTheme="minorEastAsia" w:eastAsiaTheme="minorEastAsia"/>
          <w:b/>
          <w:kern w:val="0"/>
          <w:sz w:val="28"/>
          <w:szCs w:val="28"/>
        </w:rPr>
      </w:pPr>
      <w:r>
        <w:rPr>
          <w:rFonts w:hint="eastAsia" w:asciiTheme="minorEastAsia" w:hAnsiTheme="minorEastAsia" w:eastAsiaTheme="minorEastAsia"/>
          <w:b/>
          <w:kern w:val="0"/>
          <w:sz w:val="28"/>
          <w:szCs w:val="28"/>
        </w:rPr>
        <w:t xml:space="preserve"> 三、投标文件</w:t>
      </w:r>
    </w:p>
    <w:p>
      <w:pPr>
        <w:autoSpaceDE w:val="0"/>
        <w:autoSpaceDN w:val="0"/>
        <w:adjustRightInd w:val="0"/>
        <w:spacing w:line="360" w:lineRule="auto"/>
        <w:jc w:val="left"/>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（一）</w:t>
      </w:r>
      <w:r>
        <w:rPr>
          <w:rFonts w:asciiTheme="minorEastAsia" w:hAnsiTheme="minorEastAsia" w:eastAsiaTheme="minorEastAsia"/>
          <w:kern w:val="0"/>
          <w:sz w:val="24"/>
        </w:rPr>
        <w:tab/>
      </w:r>
      <w:r>
        <w:rPr>
          <w:rFonts w:hint="eastAsia" w:asciiTheme="minorEastAsia" w:hAnsiTheme="minorEastAsia" w:eastAsiaTheme="minorEastAsia"/>
          <w:kern w:val="0"/>
          <w:sz w:val="24"/>
        </w:rPr>
        <w:t>投标文件的要求</w:t>
      </w:r>
    </w:p>
    <w:p>
      <w:pPr>
        <w:autoSpaceDE w:val="0"/>
        <w:autoSpaceDN w:val="0"/>
        <w:adjustRightInd w:val="0"/>
        <w:spacing w:line="360" w:lineRule="auto"/>
        <w:rPr>
          <w:rFonts w:asciiTheme="minorEastAsia" w:hAnsiTheme="minorEastAsia" w:eastAsiaTheme="minorEastAsia"/>
          <w:kern w:val="0"/>
          <w:sz w:val="24"/>
        </w:rPr>
      </w:pPr>
      <w:r>
        <w:rPr>
          <w:rFonts w:asciiTheme="minorEastAsia" w:hAnsiTheme="minorEastAsia" w:eastAsiaTheme="minorEastAsia"/>
          <w:kern w:val="0"/>
          <w:sz w:val="24"/>
        </w:rPr>
        <w:t>1</w:t>
      </w:r>
      <w:r>
        <w:rPr>
          <w:rFonts w:hint="eastAsia" w:asciiTheme="minorEastAsia" w:hAnsiTheme="minorEastAsia" w:eastAsiaTheme="minorEastAsia"/>
          <w:kern w:val="0"/>
          <w:sz w:val="24"/>
        </w:rPr>
        <w:t>、投标人应仔细阅读招标文件的所有内容，按照要求详细编制投标文件，并保证投标文件的正确性和真实性。</w:t>
      </w:r>
    </w:p>
    <w:p>
      <w:pPr>
        <w:autoSpaceDE w:val="0"/>
        <w:autoSpaceDN w:val="0"/>
        <w:adjustRightInd w:val="0"/>
        <w:spacing w:line="360" w:lineRule="auto"/>
        <w:rPr>
          <w:rFonts w:asciiTheme="minorEastAsia" w:hAnsiTheme="minorEastAsia" w:eastAsiaTheme="minorEastAsia"/>
          <w:color w:val="FF00FF"/>
          <w:kern w:val="0"/>
          <w:sz w:val="24"/>
        </w:rPr>
      </w:pPr>
      <w:r>
        <w:rPr>
          <w:rFonts w:asciiTheme="minorEastAsia" w:hAnsiTheme="minorEastAsia" w:eastAsiaTheme="minorEastAsia"/>
          <w:kern w:val="0"/>
          <w:sz w:val="24"/>
        </w:rPr>
        <w:t>2</w:t>
      </w:r>
      <w:r>
        <w:rPr>
          <w:rFonts w:hint="eastAsia" w:asciiTheme="minorEastAsia" w:hAnsiTheme="minorEastAsia" w:eastAsiaTheme="minorEastAsia"/>
          <w:kern w:val="0"/>
          <w:sz w:val="24"/>
        </w:rPr>
        <w:t>、不按招标文件的要求提供的投标文件将被拒绝。</w:t>
      </w:r>
    </w:p>
    <w:p>
      <w:pPr>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（二）投标文件的组成</w:t>
      </w:r>
    </w:p>
    <w:p>
      <w:pPr>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投标人接到招标文件后，按照招标人的要求提供：资格资信证明文件、技术文件和报价文件。</w:t>
      </w:r>
    </w:p>
    <w:p>
      <w:pPr>
        <w:autoSpaceDE w:val="0"/>
        <w:autoSpaceDN w:val="0"/>
        <w:adjustRightInd w:val="0"/>
        <w:spacing w:line="360" w:lineRule="auto"/>
        <w:ind w:firstLine="426" w:firstLineChars="177"/>
        <w:rPr>
          <w:rFonts w:asciiTheme="minorEastAsia" w:hAnsiTheme="minorEastAsia" w:eastAsiaTheme="minorEastAsia"/>
          <w:kern w:val="0"/>
          <w:sz w:val="24"/>
        </w:rPr>
      </w:pPr>
      <w:r>
        <w:rPr>
          <w:rFonts w:hint="eastAsia" w:asciiTheme="minorEastAsia" w:hAnsiTheme="minorEastAsia" w:eastAsiaTheme="minorEastAsia"/>
          <w:b/>
          <w:sz w:val="24"/>
        </w:rPr>
        <w:t>1、资格、</w:t>
      </w:r>
      <w:r>
        <w:rPr>
          <w:rFonts w:asciiTheme="minorEastAsia" w:hAnsiTheme="minorEastAsia" w:eastAsiaTheme="minorEastAsia"/>
          <w:b/>
          <w:sz w:val="24"/>
        </w:rPr>
        <w:t>资信</w:t>
      </w:r>
      <w:r>
        <w:rPr>
          <w:rFonts w:hint="eastAsia" w:asciiTheme="minorEastAsia" w:hAnsiTheme="minorEastAsia" w:eastAsiaTheme="minorEastAsia"/>
          <w:b/>
          <w:sz w:val="24"/>
        </w:rPr>
        <w:t>证明</w:t>
      </w:r>
      <w:r>
        <w:rPr>
          <w:rFonts w:asciiTheme="minorEastAsia" w:hAnsiTheme="minorEastAsia" w:eastAsiaTheme="minorEastAsia"/>
          <w:b/>
          <w:sz w:val="24"/>
        </w:rPr>
        <w:t>文件</w:t>
      </w:r>
      <w:r>
        <w:rPr>
          <w:rFonts w:hint="eastAsia" w:asciiTheme="minorEastAsia" w:hAnsiTheme="minorEastAsia" w:eastAsiaTheme="minorEastAsia"/>
          <w:kern w:val="0"/>
          <w:sz w:val="24"/>
        </w:rPr>
        <w:t>（附件1）</w:t>
      </w:r>
    </w:p>
    <w:p>
      <w:pPr>
        <w:autoSpaceDE w:val="0"/>
        <w:autoSpaceDN w:val="0"/>
        <w:adjustRightInd w:val="0"/>
        <w:spacing w:line="360" w:lineRule="auto"/>
        <w:ind w:firstLine="424" w:firstLineChars="177"/>
        <w:rPr>
          <w:rFonts w:asciiTheme="minorEastAsia" w:hAnsiTheme="minorEastAsia" w:eastAsiaTheme="minorEastAsia"/>
          <w:kern w:val="0"/>
          <w:sz w:val="24"/>
        </w:rPr>
      </w:pPr>
      <w:r>
        <w:rPr>
          <w:rFonts w:hint="eastAsia" w:asciiTheme="minorEastAsia" w:hAnsiTheme="minorEastAsia" w:eastAsiaTheme="minorEastAsia"/>
          <w:kern w:val="0"/>
          <w:sz w:val="24"/>
        </w:rPr>
        <w:t>（1）声明书 (须包含</w:t>
      </w:r>
      <w:r>
        <w:rPr>
          <w:rFonts w:asciiTheme="minorEastAsia" w:hAnsiTheme="minorEastAsia" w:eastAsiaTheme="minorEastAsia"/>
          <w:kern w:val="0"/>
          <w:sz w:val="24"/>
        </w:rPr>
        <w:t>参加政府采购活动前3年内在经营活动中没有重大违法记录的</w:t>
      </w:r>
      <w:r>
        <w:rPr>
          <w:rFonts w:hint="eastAsia" w:asciiTheme="minorEastAsia" w:hAnsiTheme="minorEastAsia" w:eastAsiaTheme="minorEastAsia"/>
          <w:kern w:val="0"/>
          <w:sz w:val="24"/>
        </w:rPr>
        <w:t>内容，见附件2)；</w:t>
      </w:r>
    </w:p>
    <w:p>
      <w:pPr>
        <w:autoSpaceDE w:val="0"/>
        <w:autoSpaceDN w:val="0"/>
        <w:adjustRightInd w:val="0"/>
        <w:spacing w:line="360" w:lineRule="auto"/>
        <w:ind w:firstLine="424" w:firstLineChars="177"/>
        <w:rPr>
          <w:rFonts w:asciiTheme="minorEastAsia" w:hAnsiTheme="minorEastAsia" w:eastAsiaTheme="minorEastAsia"/>
          <w:kern w:val="0"/>
          <w:sz w:val="24"/>
        </w:rPr>
      </w:pPr>
      <w:r>
        <w:rPr>
          <w:rFonts w:hint="eastAsia" w:asciiTheme="minorEastAsia" w:hAnsiTheme="minorEastAsia" w:eastAsiaTheme="minorEastAsia"/>
          <w:kern w:val="0"/>
          <w:sz w:val="24"/>
        </w:rPr>
        <w:t>（2）法定代表人授权书</w:t>
      </w:r>
      <w:r>
        <w:rPr>
          <w:rFonts w:asciiTheme="minorEastAsia" w:hAnsiTheme="minorEastAsia" w:eastAsiaTheme="minorEastAsia"/>
          <w:kern w:val="0"/>
          <w:sz w:val="24"/>
        </w:rPr>
        <w:t>（法定代表人亲自办理投标事宜的，则无需提交本证明书</w:t>
      </w:r>
      <w:r>
        <w:rPr>
          <w:rFonts w:hint="eastAsia" w:asciiTheme="minorEastAsia" w:hAnsiTheme="minorEastAsia" w:eastAsiaTheme="minorEastAsia"/>
          <w:kern w:val="0"/>
          <w:sz w:val="24"/>
        </w:rPr>
        <w:t>，见附件3)；</w:t>
      </w:r>
    </w:p>
    <w:p>
      <w:pPr>
        <w:autoSpaceDE w:val="0"/>
        <w:autoSpaceDN w:val="0"/>
        <w:adjustRightInd w:val="0"/>
        <w:spacing w:line="360" w:lineRule="auto"/>
        <w:ind w:firstLine="424" w:firstLineChars="177"/>
        <w:rPr>
          <w:rFonts w:asciiTheme="minorEastAsia" w:hAnsiTheme="minorEastAsia" w:eastAsiaTheme="minorEastAsia"/>
          <w:kern w:val="0"/>
          <w:sz w:val="24"/>
        </w:rPr>
      </w:pPr>
      <w:r>
        <w:rPr>
          <w:rFonts w:hint="eastAsia" w:asciiTheme="minorEastAsia" w:hAnsiTheme="minorEastAsia" w:eastAsiaTheme="minorEastAsia"/>
          <w:kern w:val="0"/>
          <w:sz w:val="24"/>
        </w:rPr>
        <w:t>（3）营业执照、税务登记、组织机构代码证、社会保险登记证；</w:t>
      </w:r>
    </w:p>
    <w:p>
      <w:pPr>
        <w:autoSpaceDE w:val="0"/>
        <w:autoSpaceDN w:val="0"/>
        <w:adjustRightInd w:val="0"/>
        <w:spacing w:line="360" w:lineRule="auto"/>
        <w:ind w:firstLine="424" w:firstLineChars="177"/>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（4）上年度企业资产负债表及损益表； </w:t>
      </w:r>
    </w:p>
    <w:p>
      <w:pPr>
        <w:autoSpaceDE w:val="0"/>
        <w:autoSpaceDN w:val="0"/>
        <w:adjustRightInd w:val="0"/>
        <w:spacing w:line="360" w:lineRule="auto"/>
        <w:ind w:firstLine="424" w:firstLineChars="177"/>
        <w:rPr>
          <w:rFonts w:asciiTheme="minorEastAsia" w:hAnsiTheme="minorEastAsia" w:eastAsiaTheme="minorEastAsia"/>
          <w:kern w:val="0"/>
          <w:sz w:val="24"/>
        </w:rPr>
      </w:pPr>
      <w:r>
        <w:rPr>
          <w:rFonts w:hint="eastAsia" w:asciiTheme="minorEastAsia" w:hAnsiTheme="minorEastAsia" w:eastAsiaTheme="minorEastAsia"/>
          <w:kern w:val="0"/>
          <w:sz w:val="24"/>
        </w:rPr>
        <w:t>（5）本项目要求的特定资质证书（对应第一部分第四条第（二）款）（见附件5）；</w:t>
      </w:r>
    </w:p>
    <w:p>
      <w:pPr>
        <w:autoSpaceDE w:val="0"/>
        <w:autoSpaceDN w:val="0"/>
        <w:adjustRightInd w:val="0"/>
        <w:spacing w:line="360" w:lineRule="auto"/>
        <w:ind w:firstLine="424" w:firstLineChars="177"/>
        <w:rPr>
          <w:rFonts w:asciiTheme="minorEastAsia" w:hAnsiTheme="minorEastAsia" w:eastAsiaTheme="minorEastAsia"/>
          <w:kern w:val="0"/>
          <w:sz w:val="24"/>
        </w:rPr>
      </w:pPr>
      <w:r>
        <w:rPr>
          <w:rFonts w:hint="eastAsia" w:asciiTheme="minorEastAsia" w:hAnsiTheme="minorEastAsia" w:eastAsiaTheme="minorEastAsia"/>
          <w:kern w:val="0"/>
          <w:sz w:val="24"/>
        </w:rPr>
        <w:t>（6）投标人情况介绍（如主要产品、技术力量、生产规模等等所有有必要介绍的情况，见附件4）；</w:t>
      </w:r>
    </w:p>
    <w:p>
      <w:pPr>
        <w:autoSpaceDE w:val="0"/>
        <w:autoSpaceDN w:val="0"/>
        <w:adjustRightInd w:val="0"/>
        <w:spacing w:line="360" w:lineRule="auto"/>
        <w:ind w:firstLine="424" w:firstLineChars="177"/>
        <w:rPr>
          <w:rFonts w:asciiTheme="minorEastAsia" w:hAnsiTheme="minorEastAsia" w:eastAsiaTheme="minorEastAsia"/>
          <w:kern w:val="0"/>
          <w:sz w:val="24"/>
        </w:rPr>
      </w:pPr>
      <w:r>
        <w:rPr>
          <w:rFonts w:hint="eastAsia" w:asciiTheme="minorEastAsia" w:hAnsiTheme="minorEastAsia" w:eastAsiaTheme="minorEastAsia"/>
          <w:kern w:val="0"/>
          <w:sz w:val="24"/>
        </w:rPr>
        <w:t>（7）</w:t>
      </w:r>
      <w:r>
        <w:rPr>
          <w:rFonts w:asciiTheme="minorEastAsia" w:hAnsiTheme="minorEastAsia" w:eastAsiaTheme="minorEastAsia"/>
          <w:kern w:val="0"/>
          <w:sz w:val="24"/>
        </w:rPr>
        <w:t>投标人通过的</w:t>
      </w:r>
      <w:r>
        <w:rPr>
          <w:rFonts w:hint="eastAsia" w:asciiTheme="minorEastAsia" w:hAnsiTheme="minorEastAsia" w:eastAsiaTheme="minorEastAsia"/>
          <w:kern w:val="0"/>
          <w:sz w:val="24"/>
        </w:rPr>
        <w:t>质量管理和</w:t>
      </w:r>
      <w:r>
        <w:rPr>
          <w:rFonts w:asciiTheme="minorEastAsia" w:hAnsiTheme="minorEastAsia" w:eastAsiaTheme="minorEastAsia"/>
          <w:kern w:val="0"/>
          <w:sz w:val="24"/>
        </w:rPr>
        <w:t>质量</w:t>
      </w:r>
      <w:r>
        <w:rPr>
          <w:rFonts w:hint="eastAsia" w:asciiTheme="minorEastAsia" w:hAnsiTheme="minorEastAsia" w:eastAsiaTheme="minorEastAsia"/>
          <w:kern w:val="0"/>
          <w:sz w:val="24"/>
        </w:rPr>
        <w:t>保证</w:t>
      </w:r>
      <w:r>
        <w:rPr>
          <w:rFonts w:asciiTheme="minorEastAsia" w:hAnsiTheme="minorEastAsia" w:eastAsiaTheme="minorEastAsia"/>
          <w:kern w:val="0"/>
          <w:sz w:val="24"/>
        </w:rPr>
        <w:t>体系、环保体系、</w:t>
      </w:r>
      <w:r>
        <w:rPr>
          <w:rFonts w:hint="eastAsia" w:asciiTheme="minorEastAsia" w:hAnsiTheme="minorEastAsia" w:eastAsiaTheme="minorEastAsia"/>
          <w:sz w:val="24"/>
        </w:rPr>
        <w:t>自主创新</w:t>
      </w:r>
      <w:r>
        <w:rPr>
          <w:rFonts w:asciiTheme="minorEastAsia" w:hAnsiTheme="minorEastAsia" w:eastAsiaTheme="minorEastAsia"/>
          <w:sz w:val="24"/>
        </w:rPr>
        <w:t>或其他体系等</w:t>
      </w:r>
      <w:r>
        <w:rPr>
          <w:rFonts w:asciiTheme="minorEastAsia" w:hAnsiTheme="minorEastAsia" w:eastAsiaTheme="minorEastAsia"/>
          <w:kern w:val="0"/>
          <w:sz w:val="24"/>
        </w:rPr>
        <w:t>的认证证书</w:t>
      </w:r>
      <w:r>
        <w:rPr>
          <w:rFonts w:hint="eastAsia" w:asciiTheme="minorEastAsia" w:hAnsiTheme="minorEastAsia" w:eastAsiaTheme="minorEastAsia"/>
          <w:kern w:val="0"/>
          <w:sz w:val="24"/>
        </w:rPr>
        <w:t>或文件；（见附件5）；</w:t>
      </w:r>
    </w:p>
    <w:p>
      <w:pPr>
        <w:autoSpaceDE w:val="0"/>
        <w:autoSpaceDN w:val="0"/>
        <w:adjustRightInd w:val="0"/>
        <w:spacing w:line="360" w:lineRule="auto"/>
        <w:ind w:firstLine="424" w:firstLineChars="177"/>
        <w:rPr>
          <w:rFonts w:asciiTheme="minorEastAsia" w:hAnsiTheme="minorEastAsia" w:eastAsiaTheme="minorEastAsia"/>
          <w:kern w:val="0"/>
          <w:sz w:val="24"/>
        </w:rPr>
      </w:pPr>
      <w:r>
        <w:rPr>
          <w:rFonts w:hint="eastAsia" w:asciiTheme="minorEastAsia" w:hAnsiTheme="minorEastAsia" w:eastAsiaTheme="minorEastAsia"/>
          <w:kern w:val="0"/>
          <w:sz w:val="24"/>
        </w:rPr>
        <w:t>（8）资信及商务需求响应表（见附件6）；</w:t>
      </w:r>
    </w:p>
    <w:p>
      <w:pPr>
        <w:autoSpaceDE w:val="0"/>
        <w:autoSpaceDN w:val="0"/>
        <w:adjustRightInd w:val="0"/>
        <w:spacing w:line="360" w:lineRule="auto"/>
        <w:ind w:firstLine="424" w:firstLineChars="177"/>
        <w:rPr>
          <w:rFonts w:asciiTheme="minorEastAsia" w:hAnsiTheme="minorEastAsia" w:eastAsiaTheme="minorEastAsia"/>
          <w:kern w:val="0"/>
          <w:sz w:val="24"/>
        </w:rPr>
      </w:pPr>
      <w:r>
        <w:rPr>
          <w:rFonts w:hint="eastAsia" w:asciiTheme="minorEastAsia" w:hAnsiTheme="minorEastAsia" w:eastAsiaTheme="minorEastAsia"/>
          <w:kern w:val="0"/>
          <w:sz w:val="24"/>
        </w:rPr>
        <w:t>（9）近三年来类似项目的成功案例（投标人类似项目实施情况一览表、合同复印件及其相应的发票、用户验收报告等；见附件7）；</w:t>
      </w:r>
    </w:p>
    <w:p>
      <w:pPr>
        <w:autoSpaceDE w:val="0"/>
        <w:autoSpaceDN w:val="0"/>
        <w:adjustRightInd w:val="0"/>
        <w:spacing w:line="360" w:lineRule="auto"/>
        <w:ind w:firstLine="424" w:firstLineChars="177"/>
        <w:rPr>
          <w:rFonts w:asciiTheme="minorEastAsia" w:hAnsiTheme="minorEastAsia" w:eastAsiaTheme="minorEastAsia"/>
          <w:kern w:val="0"/>
          <w:sz w:val="24"/>
        </w:rPr>
      </w:pPr>
      <w:r>
        <w:rPr>
          <w:rFonts w:hint="eastAsia" w:asciiTheme="minorEastAsia" w:hAnsiTheme="minorEastAsia" w:eastAsiaTheme="minorEastAsia"/>
          <w:kern w:val="0"/>
          <w:sz w:val="24"/>
        </w:rPr>
        <w:t>（10）产品代理资格证明和制造商授权证（一般不需，视情选用）；</w:t>
      </w:r>
    </w:p>
    <w:p>
      <w:pPr>
        <w:autoSpaceDE w:val="0"/>
        <w:autoSpaceDN w:val="0"/>
        <w:adjustRightInd w:val="0"/>
        <w:spacing w:line="360" w:lineRule="auto"/>
        <w:ind w:firstLine="424" w:firstLineChars="177"/>
        <w:rPr>
          <w:rFonts w:asciiTheme="minorEastAsia" w:hAnsiTheme="minorEastAsia" w:eastAsiaTheme="minorEastAsia"/>
          <w:kern w:val="0"/>
          <w:sz w:val="24"/>
        </w:rPr>
      </w:pPr>
      <w:r>
        <w:rPr>
          <w:rFonts w:hint="eastAsia" w:asciiTheme="minorEastAsia" w:hAnsiTheme="minorEastAsia" w:eastAsiaTheme="minorEastAsia"/>
          <w:kern w:val="0"/>
          <w:sz w:val="24"/>
        </w:rPr>
        <w:t>（11）</w:t>
      </w:r>
      <w:r>
        <w:rPr>
          <w:rFonts w:asciiTheme="minorEastAsia" w:hAnsiTheme="minorEastAsia" w:eastAsiaTheme="minorEastAsia"/>
          <w:kern w:val="0"/>
          <w:sz w:val="24"/>
        </w:rPr>
        <w:t>投标人认为</w:t>
      </w:r>
      <w:r>
        <w:rPr>
          <w:rFonts w:hint="eastAsia" w:asciiTheme="minorEastAsia" w:hAnsiTheme="minorEastAsia" w:eastAsiaTheme="minorEastAsia"/>
          <w:kern w:val="0"/>
          <w:sz w:val="24"/>
        </w:rPr>
        <w:t>可以证明其能力或业绩的其他材料；</w:t>
      </w:r>
    </w:p>
    <w:p>
      <w:pPr>
        <w:tabs>
          <w:tab w:val="left" w:pos="1898"/>
        </w:tabs>
        <w:autoSpaceDE w:val="0"/>
        <w:autoSpaceDN w:val="0"/>
        <w:adjustRightIn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说明：所有按上述要求提供的资格、资信证明文件应均为有效期内的，若提供的文件是扫描件或是复印件的必须加盖单位公章，方能做入投标文件。</w:t>
      </w:r>
    </w:p>
    <w:p>
      <w:pPr>
        <w:autoSpaceDE w:val="0"/>
        <w:autoSpaceDN w:val="0"/>
        <w:adjustRightInd w:val="0"/>
        <w:spacing w:line="360" w:lineRule="auto"/>
        <w:ind w:firstLine="480"/>
        <w:rPr>
          <w:rFonts w:asciiTheme="minorEastAsia" w:hAnsiTheme="minorEastAsia" w:eastAsiaTheme="minorEastAsia"/>
          <w:b/>
          <w:kern w:val="0"/>
          <w:sz w:val="24"/>
        </w:rPr>
      </w:pPr>
      <w:r>
        <w:rPr>
          <w:rFonts w:asciiTheme="minorEastAsia" w:hAnsiTheme="minorEastAsia" w:eastAsiaTheme="minorEastAsia"/>
          <w:b/>
          <w:kern w:val="0"/>
          <w:sz w:val="24"/>
        </w:rPr>
        <w:t>2</w:t>
      </w:r>
      <w:r>
        <w:rPr>
          <w:rFonts w:hint="eastAsia" w:asciiTheme="minorEastAsia" w:hAnsiTheme="minorEastAsia" w:eastAsiaTheme="minorEastAsia"/>
          <w:b/>
          <w:kern w:val="0"/>
          <w:sz w:val="24"/>
        </w:rPr>
        <w:t>、技术文件</w:t>
      </w:r>
      <w:r>
        <w:rPr>
          <w:rFonts w:hint="eastAsia" w:asciiTheme="minorEastAsia" w:hAnsiTheme="minorEastAsia" w:eastAsiaTheme="minorEastAsia"/>
          <w:kern w:val="0"/>
          <w:sz w:val="24"/>
        </w:rPr>
        <w:t>（附件8）</w:t>
      </w:r>
    </w:p>
    <w:p>
      <w:pPr>
        <w:snapToGrid w:val="0"/>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（1）对本项目的具体响应方案（对应第二部分）：</w:t>
      </w:r>
    </w:p>
    <w:p>
      <w:pPr>
        <w:snapToGrid w:val="0"/>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①功能说明、性能指标及设备选型说明（质量、性能、价格、外观、体积等方面进行比较和选择的理由及过程）；</w:t>
      </w:r>
    </w:p>
    <w:p>
      <w:pPr>
        <w:snapToGrid w:val="0"/>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②提供产品出厂标准、质量检测报告。</w:t>
      </w:r>
    </w:p>
    <w:p>
      <w:pPr>
        <w:snapToGrid w:val="0"/>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）设备配置清单（</w:t>
      </w:r>
      <w:r>
        <w:rPr>
          <w:rFonts w:hint="eastAsia" w:asciiTheme="minorEastAsia" w:hAnsiTheme="minorEastAsia" w:eastAsiaTheme="minorEastAsia"/>
          <w:sz w:val="24"/>
        </w:rPr>
        <w:t>均</w:t>
      </w:r>
      <w:r>
        <w:rPr>
          <w:rFonts w:asciiTheme="minorEastAsia" w:hAnsiTheme="minorEastAsia" w:eastAsiaTheme="minorEastAsia"/>
          <w:sz w:val="24"/>
        </w:rPr>
        <w:t>不含报价）</w:t>
      </w:r>
      <w:r>
        <w:rPr>
          <w:rFonts w:hint="eastAsia" w:asciiTheme="minorEastAsia" w:hAnsiTheme="minorEastAsia" w:eastAsiaTheme="minorEastAsia"/>
          <w:kern w:val="0"/>
          <w:sz w:val="24"/>
        </w:rPr>
        <w:t>（附件9）</w:t>
      </w:r>
      <w:r>
        <w:rPr>
          <w:rFonts w:asciiTheme="minorEastAsia" w:hAnsiTheme="minorEastAsia" w:eastAsiaTheme="minorEastAsia"/>
          <w:sz w:val="24"/>
        </w:rPr>
        <w:t>；</w:t>
      </w:r>
    </w:p>
    <w:p>
      <w:pPr>
        <w:snapToGrid w:val="0"/>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w:t>
      </w:r>
      <w:r>
        <w:rPr>
          <w:rFonts w:hint="eastAsia" w:asciiTheme="minorEastAsia" w:hAnsiTheme="minorEastAsia" w:eastAsiaTheme="minorEastAsia"/>
          <w:sz w:val="24"/>
        </w:rPr>
        <w:t xml:space="preserve">主要货物用材响应表(类似家具类货物采用) </w:t>
      </w:r>
      <w:r>
        <w:rPr>
          <w:rFonts w:hint="eastAsia" w:asciiTheme="minorEastAsia" w:hAnsiTheme="minorEastAsia" w:eastAsiaTheme="minorEastAsia"/>
          <w:kern w:val="0"/>
          <w:sz w:val="24"/>
        </w:rPr>
        <w:t>（附件10）；</w:t>
      </w:r>
    </w:p>
    <w:p>
      <w:pPr>
        <w:snapToGrid w:val="0"/>
        <w:spacing w:line="360" w:lineRule="auto"/>
        <w:ind w:firstLine="480" w:firstLineChars="200"/>
        <w:jc w:val="left"/>
        <w:rPr>
          <w:rFonts w:asciiTheme="minorEastAsia" w:hAnsiTheme="minorEastAsia" w:eastAsiaTheme="minorEastAsia"/>
          <w:sz w:val="24"/>
          <w:szCs w:val="20"/>
        </w:rPr>
      </w:pPr>
      <w:r>
        <w:rPr>
          <w:rFonts w:hint="eastAsia" w:asciiTheme="minorEastAsia" w:hAnsiTheme="minorEastAsia" w:eastAsiaTheme="minorEastAsia"/>
          <w:sz w:val="24"/>
        </w:rPr>
        <w:t>（4）</w:t>
      </w:r>
      <w:r>
        <w:rPr>
          <w:rFonts w:asciiTheme="minorEastAsia" w:hAnsiTheme="minorEastAsia" w:eastAsiaTheme="minorEastAsia"/>
          <w:sz w:val="24"/>
        </w:rPr>
        <w:t>技术</w:t>
      </w:r>
      <w:r>
        <w:rPr>
          <w:rFonts w:hint="eastAsia" w:asciiTheme="minorEastAsia" w:hAnsiTheme="minorEastAsia" w:eastAsiaTheme="minorEastAsia"/>
          <w:sz w:val="24"/>
        </w:rPr>
        <w:t>需求</w:t>
      </w:r>
      <w:r>
        <w:rPr>
          <w:rFonts w:asciiTheme="minorEastAsia" w:hAnsiTheme="minorEastAsia" w:eastAsiaTheme="minorEastAsia"/>
          <w:sz w:val="24"/>
        </w:rPr>
        <w:t>响应表</w:t>
      </w:r>
      <w:r>
        <w:rPr>
          <w:rFonts w:hint="eastAsia" w:asciiTheme="minorEastAsia" w:hAnsiTheme="minorEastAsia" w:eastAsiaTheme="minorEastAsia"/>
          <w:sz w:val="24"/>
        </w:rPr>
        <w:t>（填制时对应第二部分）</w:t>
      </w:r>
      <w:r>
        <w:rPr>
          <w:rFonts w:hint="eastAsia" w:asciiTheme="minorEastAsia" w:hAnsiTheme="minorEastAsia" w:eastAsiaTheme="minorEastAsia"/>
          <w:kern w:val="0"/>
          <w:sz w:val="24"/>
        </w:rPr>
        <w:t>（附件11）</w:t>
      </w:r>
      <w:r>
        <w:rPr>
          <w:rFonts w:asciiTheme="minorEastAsia" w:hAnsiTheme="minorEastAsia" w:eastAsiaTheme="minorEastAsia"/>
          <w:sz w:val="24"/>
        </w:rPr>
        <w:t>；</w:t>
      </w:r>
    </w:p>
    <w:p>
      <w:pPr>
        <w:snapToGrid w:val="0"/>
        <w:spacing w:line="360" w:lineRule="auto"/>
        <w:ind w:firstLine="480" w:firstLineChars="200"/>
        <w:jc w:val="left"/>
        <w:rPr>
          <w:rFonts w:asciiTheme="minorEastAsia" w:hAnsiTheme="minorEastAsia" w:eastAsiaTheme="minorEastAsia"/>
          <w:sz w:val="24"/>
          <w:szCs w:val="20"/>
        </w:rPr>
      </w:pPr>
      <w:r>
        <w:rPr>
          <w:rFonts w:hint="eastAsia" w:asciiTheme="minorEastAsia" w:hAnsiTheme="minorEastAsia" w:eastAsiaTheme="minorEastAsia"/>
          <w:sz w:val="24"/>
        </w:rPr>
        <w:t>（5</w:t>
      </w:r>
      <w:r>
        <w:rPr>
          <w:rFonts w:asciiTheme="minorEastAsia" w:hAnsiTheme="minorEastAsia" w:eastAsiaTheme="minorEastAsia"/>
          <w:sz w:val="24"/>
        </w:rPr>
        <w:t xml:space="preserve">）保证工程质量的技术力量及技术措施； </w:t>
      </w:r>
    </w:p>
    <w:p>
      <w:pPr>
        <w:snapToGrid w:val="0"/>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（6</w:t>
      </w:r>
      <w:r>
        <w:rPr>
          <w:rFonts w:asciiTheme="minorEastAsia" w:hAnsiTheme="minorEastAsia" w:eastAsiaTheme="minorEastAsia"/>
          <w:sz w:val="24"/>
        </w:rPr>
        <w:t>）保证工期的施工组织方案及人力资源安排；</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sz w:val="24"/>
        </w:rPr>
        <w:t>（7</w:t>
      </w:r>
      <w:r>
        <w:rPr>
          <w:rFonts w:asciiTheme="minorEastAsia" w:hAnsiTheme="minorEastAsia" w:eastAsiaTheme="minorEastAsia"/>
          <w:sz w:val="24"/>
        </w:rPr>
        <w:t>）</w:t>
      </w:r>
      <w:r>
        <w:rPr>
          <w:rFonts w:hint="eastAsia" w:asciiTheme="minorEastAsia" w:hAnsiTheme="minorEastAsia" w:eastAsiaTheme="minorEastAsia"/>
          <w:kern w:val="0"/>
          <w:sz w:val="24"/>
        </w:rPr>
        <w:t>项目实施人员一览表</w:t>
      </w:r>
      <w:r>
        <w:rPr>
          <w:rFonts w:hint="eastAsia" w:asciiTheme="minorEastAsia" w:hAnsiTheme="minorEastAsia" w:eastAsiaTheme="minorEastAsia"/>
          <w:sz w:val="24"/>
        </w:rPr>
        <w:t>（</w:t>
      </w:r>
      <w:r>
        <w:rPr>
          <w:rFonts w:hint="eastAsia" w:asciiTheme="minorEastAsia" w:hAnsiTheme="minorEastAsia" w:eastAsiaTheme="minorEastAsia"/>
          <w:kern w:val="0"/>
          <w:sz w:val="24"/>
        </w:rPr>
        <w:t>根据项目实施的内容、标准和实际情况拟配置各人员的具体情况见附件12 ）；</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（8）项目负责人资格情况表（附件13）</w:t>
      </w:r>
      <w:r>
        <w:rPr>
          <w:rFonts w:asciiTheme="minorEastAsia" w:hAnsiTheme="minorEastAsia" w:eastAsiaTheme="minorEastAsia"/>
          <w:kern w:val="0"/>
          <w:sz w:val="24"/>
        </w:rPr>
        <w:t>；</w:t>
      </w:r>
    </w:p>
    <w:p>
      <w:pPr>
        <w:snapToGrid w:val="0"/>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（9</w:t>
      </w:r>
      <w:r>
        <w:rPr>
          <w:rFonts w:asciiTheme="minorEastAsia" w:hAnsiTheme="minorEastAsia" w:eastAsiaTheme="minorEastAsia"/>
          <w:sz w:val="24"/>
        </w:rPr>
        <w:t>）技术服务</w:t>
      </w:r>
      <w:r>
        <w:rPr>
          <w:rFonts w:hint="eastAsia" w:asciiTheme="minorEastAsia" w:hAnsiTheme="minorEastAsia" w:eastAsiaTheme="minorEastAsia"/>
          <w:sz w:val="24"/>
        </w:rPr>
        <w:t>（含服务方式、服务网点等）</w:t>
      </w:r>
      <w:r>
        <w:rPr>
          <w:rFonts w:asciiTheme="minorEastAsia" w:hAnsiTheme="minorEastAsia" w:eastAsiaTheme="minorEastAsia"/>
          <w:sz w:val="24"/>
        </w:rPr>
        <w:t>、技术培训、售后服务的内容和措施</w:t>
      </w:r>
      <w:r>
        <w:rPr>
          <w:rFonts w:hint="eastAsia" w:asciiTheme="minorEastAsia" w:hAnsiTheme="minorEastAsia" w:eastAsiaTheme="minorEastAsia"/>
          <w:kern w:val="0"/>
          <w:sz w:val="24"/>
        </w:rPr>
        <w:t>（附件14）</w:t>
      </w:r>
      <w:r>
        <w:rPr>
          <w:rFonts w:asciiTheme="minorEastAsia" w:hAnsiTheme="minorEastAsia" w:eastAsiaTheme="minorEastAsia"/>
          <w:sz w:val="24"/>
        </w:rPr>
        <w:t>；</w:t>
      </w:r>
    </w:p>
    <w:p>
      <w:pPr>
        <w:snapToGrid w:val="0"/>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（10</w:t>
      </w:r>
      <w:r>
        <w:rPr>
          <w:rFonts w:asciiTheme="minorEastAsia" w:hAnsiTheme="minorEastAsia" w:eastAsiaTheme="minorEastAsia"/>
          <w:kern w:val="0"/>
          <w:sz w:val="24"/>
        </w:rPr>
        <w:t>安装、调试及验收方案</w:t>
      </w:r>
      <w:r>
        <w:rPr>
          <w:rFonts w:hint="eastAsia" w:asciiTheme="minorEastAsia" w:hAnsiTheme="minorEastAsia" w:eastAsiaTheme="minorEastAsia"/>
          <w:kern w:val="0"/>
          <w:sz w:val="24"/>
        </w:rPr>
        <w:t>（包括项目验收标准和验收方法等）</w:t>
      </w:r>
      <w:r>
        <w:rPr>
          <w:rFonts w:hint="eastAsia" w:asciiTheme="minorEastAsia" w:hAnsiTheme="minorEastAsia" w:eastAsiaTheme="minorEastAsia"/>
          <w:sz w:val="24"/>
        </w:rPr>
        <w:t>和措施；</w:t>
      </w:r>
    </w:p>
    <w:p>
      <w:pPr>
        <w:snapToGrid w:val="0"/>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（11</w:t>
      </w:r>
      <w:r>
        <w:rPr>
          <w:rFonts w:asciiTheme="minorEastAsia" w:hAnsiTheme="minorEastAsia" w:eastAsiaTheme="minorEastAsia"/>
          <w:sz w:val="24"/>
        </w:rPr>
        <w:t>）</w:t>
      </w:r>
      <w:r>
        <w:rPr>
          <w:rFonts w:hint="eastAsia" w:asciiTheme="minorEastAsia" w:hAnsiTheme="minorEastAsia" w:eastAsiaTheme="minorEastAsia"/>
          <w:sz w:val="24"/>
        </w:rPr>
        <w:t>投标人</w:t>
      </w:r>
      <w:r>
        <w:rPr>
          <w:rFonts w:asciiTheme="minorEastAsia" w:hAnsiTheme="minorEastAsia" w:eastAsiaTheme="minorEastAsia"/>
          <w:sz w:val="24"/>
        </w:rPr>
        <w:t>需要说明的其他</w:t>
      </w:r>
      <w:r>
        <w:rPr>
          <w:rFonts w:hint="eastAsia" w:asciiTheme="minorEastAsia" w:hAnsiTheme="minorEastAsia" w:eastAsiaTheme="minorEastAsia"/>
          <w:sz w:val="24"/>
        </w:rPr>
        <w:t>内容</w:t>
      </w:r>
      <w:r>
        <w:rPr>
          <w:rFonts w:asciiTheme="minorEastAsia" w:hAnsiTheme="minorEastAsia" w:eastAsiaTheme="minorEastAsia"/>
          <w:sz w:val="24"/>
        </w:rPr>
        <w:t>（格式</w:t>
      </w:r>
      <w:r>
        <w:rPr>
          <w:rFonts w:hint="eastAsia" w:asciiTheme="minorEastAsia" w:hAnsiTheme="minorEastAsia" w:eastAsiaTheme="minorEastAsia"/>
          <w:sz w:val="24"/>
        </w:rPr>
        <w:t>自拟</w:t>
      </w:r>
      <w:r>
        <w:rPr>
          <w:rFonts w:asciiTheme="minorEastAsia" w:hAnsiTheme="minorEastAsia" w:eastAsiaTheme="minorEastAsia"/>
          <w:sz w:val="24"/>
        </w:rPr>
        <w:t>）。</w:t>
      </w:r>
    </w:p>
    <w:p>
      <w:pPr>
        <w:autoSpaceDE w:val="0"/>
        <w:autoSpaceDN w:val="0"/>
        <w:adjustRightInd w:val="0"/>
        <w:spacing w:line="360" w:lineRule="auto"/>
        <w:ind w:left="426" w:firstLine="65" w:firstLineChars="27"/>
        <w:rPr>
          <w:rFonts w:asciiTheme="minorEastAsia" w:hAnsiTheme="minorEastAsia" w:eastAsiaTheme="minorEastAsia"/>
          <w:b/>
          <w:kern w:val="0"/>
          <w:sz w:val="24"/>
        </w:rPr>
      </w:pPr>
      <w:r>
        <w:rPr>
          <w:rFonts w:hint="eastAsia" w:asciiTheme="minorEastAsia" w:hAnsiTheme="minorEastAsia" w:eastAsiaTheme="minorEastAsia"/>
          <w:b/>
          <w:kern w:val="0"/>
          <w:sz w:val="24"/>
        </w:rPr>
        <w:t>3、报价文件</w:t>
      </w:r>
      <w:r>
        <w:rPr>
          <w:rFonts w:hint="eastAsia" w:asciiTheme="minorEastAsia" w:hAnsiTheme="minorEastAsia" w:eastAsiaTheme="minorEastAsia"/>
          <w:kern w:val="0"/>
          <w:sz w:val="24"/>
        </w:rPr>
        <w:t>（附件15）</w:t>
      </w:r>
    </w:p>
    <w:p>
      <w:pPr>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此报价为投标人一次性报出唯一的最终价格，包含其它一切所要涉及到的费用，有选择的报价将被拒绝。</w:t>
      </w:r>
    </w:p>
    <w:p>
      <w:pPr>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（1）开标一览表（附件16）；</w:t>
      </w:r>
    </w:p>
    <w:p>
      <w:pPr>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（2）报价明细表（附件17)；</w:t>
      </w:r>
    </w:p>
    <w:p>
      <w:pPr>
        <w:autoSpaceDE w:val="0"/>
        <w:autoSpaceDN w:val="0"/>
        <w:adjustRightInd w:val="0"/>
        <w:spacing w:line="360" w:lineRule="auto"/>
        <w:ind w:firstLine="480" w:firstLineChars="200"/>
        <w:rPr>
          <w:rFonts w:asciiTheme="minorEastAsia" w:hAnsiTheme="minorEastAsia" w:eastAsiaTheme="minorEastAsia"/>
          <w:kern w:val="0"/>
          <w:sz w:val="24"/>
          <w:lang w:val="en-GB"/>
        </w:rPr>
      </w:pPr>
      <w:r>
        <w:rPr>
          <w:rFonts w:hint="eastAsia" w:asciiTheme="minorEastAsia" w:hAnsiTheme="minorEastAsia" w:eastAsiaTheme="minorEastAsia"/>
          <w:kern w:val="0"/>
          <w:sz w:val="24"/>
        </w:rPr>
        <w:t>（3）</w:t>
      </w:r>
      <w:r>
        <w:rPr>
          <w:rFonts w:hint="eastAsia" w:asciiTheme="minorEastAsia" w:hAnsiTheme="minorEastAsia" w:eastAsiaTheme="minorEastAsia"/>
          <w:sz w:val="24"/>
        </w:rPr>
        <w:t>针对报价投标人认为其他需要说明的；</w:t>
      </w:r>
      <w:r>
        <w:rPr>
          <w:rFonts w:hint="eastAsia" w:asciiTheme="minorEastAsia" w:hAnsiTheme="minorEastAsia" w:eastAsiaTheme="minorEastAsia"/>
          <w:kern w:val="0"/>
          <w:sz w:val="24"/>
        </w:rPr>
        <w:t>（格式自拟）；</w:t>
      </w:r>
    </w:p>
    <w:p>
      <w:pPr>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（4）微</w:t>
      </w:r>
      <w:r>
        <w:rPr>
          <w:rFonts w:asciiTheme="minorEastAsia" w:hAnsiTheme="minorEastAsia" w:eastAsiaTheme="minorEastAsia"/>
          <w:kern w:val="0"/>
          <w:sz w:val="24"/>
        </w:rPr>
        <w:t>小企业声明函（非</w:t>
      </w:r>
      <w:r>
        <w:rPr>
          <w:rFonts w:hint="eastAsia" w:asciiTheme="minorEastAsia" w:hAnsiTheme="minorEastAsia" w:eastAsiaTheme="minorEastAsia"/>
          <w:kern w:val="0"/>
          <w:sz w:val="24"/>
        </w:rPr>
        <w:t>微</w:t>
      </w:r>
      <w:r>
        <w:rPr>
          <w:rFonts w:asciiTheme="minorEastAsia" w:hAnsiTheme="minorEastAsia" w:eastAsiaTheme="minorEastAsia"/>
          <w:kern w:val="0"/>
          <w:sz w:val="24"/>
        </w:rPr>
        <w:t>小企业</w:t>
      </w:r>
      <w:r>
        <w:rPr>
          <w:rFonts w:hint="eastAsia" w:asciiTheme="minorEastAsia" w:hAnsiTheme="minorEastAsia" w:eastAsiaTheme="minorEastAsia"/>
          <w:kern w:val="0"/>
          <w:sz w:val="24"/>
        </w:rPr>
        <w:t>无需</w:t>
      </w:r>
      <w:r>
        <w:rPr>
          <w:rFonts w:asciiTheme="minorEastAsia" w:hAnsiTheme="minorEastAsia" w:eastAsiaTheme="minorEastAsia"/>
          <w:kern w:val="0"/>
          <w:sz w:val="24"/>
        </w:rPr>
        <w:t>提供</w:t>
      </w:r>
      <w:r>
        <w:rPr>
          <w:rFonts w:hint="eastAsia" w:asciiTheme="minorEastAsia" w:hAnsiTheme="minorEastAsia" w:eastAsiaTheme="minorEastAsia"/>
          <w:kern w:val="0"/>
          <w:sz w:val="24"/>
        </w:rPr>
        <w:t>，见附件18</w:t>
      </w:r>
      <w:r>
        <w:rPr>
          <w:rFonts w:asciiTheme="minorEastAsia" w:hAnsiTheme="minorEastAsia" w:eastAsiaTheme="minorEastAsia"/>
          <w:kern w:val="0"/>
          <w:sz w:val="24"/>
        </w:rPr>
        <w:t>）</w:t>
      </w:r>
      <w:r>
        <w:rPr>
          <w:rFonts w:hint="eastAsia" w:asciiTheme="minorEastAsia" w:hAnsiTheme="minorEastAsia" w:eastAsiaTheme="minorEastAsia"/>
          <w:kern w:val="0"/>
          <w:sz w:val="24"/>
        </w:rPr>
        <w:t>；</w:t>
      </w:r>
    </w:p>
    <w:p>
      <w:pPr>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sz w:val="24"/>
        </w:rPr>
        <w:t>（5）产品适用政府采购政策情况表</w:t>
      </w:r>
      <w:r>
        <w:rPr>
          <w:rFonts w:hint="eastAsia" w:asciiTheme="minorEastAsia" w:hAnsiTheme="minorEastAsia" w:eastAsiaTheme="minorEastAsia"/>
          <w:kern w:val="0"/>
          <w:sz w:val="24"/>
        </w:rPr>
        <w:t>（附件19</w:t>
      </w:r>
      <w:r>
        <w:rPr>
          <w:rFonts w:asciiTheme="minorEastAsia" w:hAnsiTheme="minorEastAsia" w:eastAsiaTheme="minorEastAsia"/>
          <w:kern w:val="0"/>
          <w:sz w:val="24"/>
        </w:rPr>
        <w:t>）</w:t>
      </w:r>
      <w:r>
        <w:rPr>
          <w:rFonts w:hint="eastAsia" w:asciiTheme="minorEastAsia" w:hAnsiTheme="minorEastAsia" w:eastAsiaTheme="minorEastAsia"/>
          <w:kern w:val="0"/>
          <w:sz w:val="24"/>
        </w:rPr>
        <w:t>。</w:t>
      </w:r>
    </w:p>
    <w:p>
      <w:pPr>
        <w:tabs>
          <w:tab w:val="center" w:pos="4396"/>
        </w:tabs>
        <w:autoSpaceDE w:val="0"/>
        <w:autoSpaceDN w:val="0"/>
        <w:adjustRightInd w:val="0"/>
        <w:spacing w:line="360" w:lineRule="auto"/>
        <w:ind w:firstLine="480"/>
        <w:rPr>
          <w:rFonts w:asciiTheme="minorEastAsia" w:hAnsiTheme="minorEastAsia" w:eastAsiaTheme="minorEastAsia"/>
          <w:b/>
          <w:sz w:val="24"/>
        </w:rPr>
      </w:pPr>
      <w:r>
        <w:rPr>
          <w:rFonts w:hint="eastAsia" w:asciiTheme="minorEastAsia" w:hAnsiTheme="minorEastAsia" w:eastAsiaTheme="minorEastAsia"/>
          <w:b/>
          <w:sz w:val="24"/>
        </w:rPr>
        <w:t>投标文件制作说明：</w:t>
      </w:r>
      <w:r>
        <w:rPr>
          <w:rFonts w:asciiTheme="minorEastAsia" w:hAnsiTheme="minorEastAsia" w:eastAsiaTheme="minorEastAsia"/>
          <w:b/>
          <w:sz w:val="24"/>
        </w:rPr>
        <w:tab/>
      </w:r>
    </w:p>
    <w:p>
      <w:pPr>
        <w:autoSpaceDE w:val="0"/>
        <w:autoSpaceDN w:val="0"/>
        <w:adjustRightIn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1、请投标人严格按照上述内容及项目招标需求制作投标文件，所有证书类文件提供的复印件</w:t>
      </w:r>
      <w:r>
        <w:rPr>
          <w:rFonts w:hint="eastAsia" w:asciiTheme="minorEastAsia" w:hAnsiTheme="minorEastAsia" w:eastAsiaTheme="minorEastAsia"/>
          <w:kern w:val="0"/>
          <w:sz w:val="24"/>
        </w:rPr>
        <w:t>必须全部加盖单位公章且</w:t>
      </w:r>
      <w:r>
        <w:rPr>
          <w:rFonts w:hint="eastAsia" w:asciiTheme="minorEastAsia" w:hAnsiTheme="minorEastAsia" w:eastAsiaTheme="minorEastAsia"/>
          <w:sz w:val="24"/>
        </w:rPr>
        <w:t>必须在有效期内的。</w:t>
      </w:r>
    </w:p>
    <w:p>
      <w:pPr>
        <w:autoSpaceDE w:val="0"/>
        <w:autoSpaceDN w:val="0"/>
        <w:adjustRightIn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2、与本次投标无关的内容请不要制作在内，确保投标文件有针对性、简洁明了，同时节约纸张；投标文件统一以A4纸大小</w:t>
      </w:r>
      <w:r>
        <w:rPr>
          <w:rFonts w:hint="eastAsia" w:asciiTheme="minorEastAsia" w:hAnsiTheme="minorEastAsia" w:eastAsiaTheme="minorEastAsia"/>
          <w:color w:val="FF0000"/>
          <w:sz w:val="24"/>
        </w:rPr>
        <w:t>双面</w:t>
      </w:r>
      <w:r>
        <w:rPr>
          <w:rFonts w:hint="eastAsia" w:asciiTheme="minorEastAsia" w:hAnsiTheme="minorEastAsia" w:eastAsiaTheme="minorEastAsia"/>
          <w:sz w:val="24"/>
        </w:rPr>
        <w:t>打印并装订。</w:t>
      </w:r>
    </w:p>
    <w:p>
      <w:pPr>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sz w:val="24"/>
        </w:rPr>
        <w:t>3、</w:t>
      </w:r>
      <w:r>
        <w:rPr>
          <w:rFonts w:hint="eastAsia" w:asciiTheme="minorEastAsia" w:hAnsiTheme="minorEastAsia" w:eastAsiaTheme="minorEastAsia"/>
          <w:kern w:val="0"/>
          <w:sz w:val="24"/>
        </w:rPr>
        <w:t>不按招标文件要求制作投标文件的将视情扣分</w:t>
      </w:r>
      <w:r>
        <w:rPr>
          <w:rFonts w:hint="eastAsia" w:asciiTheme="minorEastAsia" w:hAnsiTheme="minorEastAsia" w:eastAsiaTheme="minorEastAsia"/>
          <w:sz w:val="24"/>
        </w:rPr>
        <w:t>。</w:t>
      </w:r>
    </w:p>
    <w:p>
      <w:pPr>
        <w:autoSpaceDE w:val="0"/>
        <w:autoSpaceDN w:val="0"/>
        <w:adjustRightIn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开标前集中采购机构不安排资格预审，投标人的资格审查</w:t>
      </w:r>
      <w:r>
        <w:rPr>
          <w:rFonts w:hint="eastAsia" w:asciiTheme="minorEastAsia" w:hAnsiTheme="minorEastAsia" w:eastAsiaTheme="minorEastAsia"/>
          <w:sz w:val="24"/>
        </w:rPr>
        <w:t>在开标后</w:t>
      </w:r>
      <w:r>
        <w:rPr>
          <w:rFonts w:asciiTheme="minorEastAsia" w:hAnsiTheme="minorEastAsia" w:eastAsiaTheme="minorEastAsia"/>
          <w:sz w:val="24"/>
        </w:rPr>
        <w:t>由</w:t>
      </w:r>
      <w:r>
        <w:rPr>
          <w:rFonts w:hint="eastAsia" w:asciiTheme="minorEastAsia" w:hAnsiTheme="minorEastAsia" w:eastAsiaTheme="minorEastAsia"/>
          <w:sz w:val="24"/>
        </w:rPr>
        <w:t>采购人或采购代理机构负责</w:t>
      </w:r>
      <w:r>
        <w:rPr>
          <w:rFonts w:asciiTheme="minorEastAsia" w:hAnsiTheme="minorEastAsia" w:eastAsiaTheme="minorEastAsia"/>
          <w:sz w:val="24"/>
        </w:rPr>
        <w:t>，若投标人不按采购文件的要求提供资格审查材料，其风险由投标人自行承担。</w:t>
      </w:r>
    </w:p>
    <w:p>
      <w:pPr>
        <w:snapToGrid w:val="0"/>
        <w:spacing w:line="360" w:lineRule="auto"/>
        <w:ind w:firstLine="472" w:firstLineChars="196"/>
        <w:jc w:val="left"/>
        <w:outlineLvl w:val="0"/>
        <w:rPr>
          <w:rFonts w:asciiTheme="minorEastAsia" w:hAnsiTheme="minorEastAsia" w:eastAsiaTheme="minorEastAsia"/>
          <w:b/>
          <w:color w:val="000000"/>
          <w:sz w:val="24"/>
        </w:rPr>
      </w:pPr>
      <w:r>
        <w:rPr>
          <w:rFonts w:hint="eastAsia" w:asciiTheme="minorEastAsia" w:hAnsiTheme="minorEastAsia" w:eastAsiaTheme="minorEastAsia"/>
          <w:b/>
          <w:sz w:val="24"/>
        </w:rPr>
        <w:t>（三）</w:t>
      </w:r>
      <w:r>
        <w:rPr>
          <w:rFonts w:hint="eastAsia" w:asciiTheme="minorEastAsia" w:hAnsiTheme="minorEastAsia" w:eastAsiaTheme="minorEastAsia"/>
          <w:b/>
          <w:color w:val="000000"/>
          <w:sz w:val="24"/>
        </w:rPr>
        <w:t>投标文件的语言及计量</w:t>
      </w:r>
    </w:p>
    <w:p>
      <w:pPr>
        <w:snapToGrid w:val="0"/>
        <w:spacing w:line="360" w:lineRule="auto"/>
        <w:ind w:firstLine="480" w:firstLineChars="200"/>
        <w:jc w:val="left"/>
        <w:rPr>
          <w:rFonts w:asciiTheme="minorEastAsia" w:hAnsiTheme="minorEastAsia" w:eastAsiaTheme="minorEastAsia"/>
          <w:color w:val="000000"/>
          <w:sz w:val="24"/>
        </w:rPr>
      </w:pPr>
      <w:r>
        <w:rPr>
          <w:rFonts w:asciiTheme="minorEastAsia" w:hAnsiTheme="minorEastAsia" w:eastAsiaTheme="minorEastAsia"/>
          <w:color w:val="000000"/>
          <w:sz w:val="24"/>
        </w:rPr>
        <w:t>1</w:t>
      </w: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投标文件以及投标人与招标人就有关投标事宜的所有来往函电，均应以中文汉语书写。除签名、盖章、专用名称等特殊情形外，以中文汉语以外的文字表述的投标文件视同未提供。</w:t>
      </w:r>
    </w:p>
    <w:p>
      <w:pPr>
        <w:snapToGrid w:val="0"/>
        <w:spacing w:line="360" w:lineRule="auto"/>
        <w:ind w:firstLine="480" w:firstLineChars="200"/>
        <w:jc w:val="left"/>
        <w:rPr>
          <w:rFonts w:asciiTheme="minorEastAsia" w:hAnsiTheme="minorEastAsia" w:eastAsiaTheme="minorEastAsia"/>
          <w:color w:val="000000"/>
          <w:sz w:val="24"/>
        </w:rPr>
      </w:pPr>
      <w:r>
        <w:rPr>
          <w:rFonts w:asciiTheme="minorEastAsia" w:hAnsiTheme="minorEastAsia" w:eastAsiaTheme="minorEastAsia"/>
          <w:color w:val="000000"/>
          <w:sz w:val="24"/>
        </w:rPr>
        <w:t>2</w:t>
      </w: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投标计量单位，招标文件已有明确规定的，使用招标文件规定的计量单位；招标文件没有规定的，应采用中华人民共和国法定计量单位（货币单位：人民币元），否则视同未响应。</w:t>
      </w:r>
    </w:p>
    <w:p>
      <w:pPr>
        <w:snapToGrid w:val="0"/>
        <w:spacing w:line="360" w:lineRule="auto"/>
        <w:ind w:firstLine="354" w:firstLineChars="147"/>
        <w:jc w:val="left"/>
        <w:rPr>
          <w:rFonts w:asciiTheme="minorEastAsia" w:hAnsiTheme="minorEastAsia" w:eastAsiaTheme="minorEastAsia"/>
          <w:color w:val="000000"/>
          <w:sz w:val="24"/>
        </w:rPr>
      </w:pPr>
      <w:r>
        <w:rPr>
          <w:rFonts w:hint="eastAsia" w:asciiTheme="minorEastAsia" w:hAnsiTheme="minorEastAsia" w:eastAsiaTheme="minorEastAsia"/>
          <w:b/>
          <w:color w:val="000000"/>
          <w:sz w:val="24"/>
        </w:rPr>
        <w:t>（四）投标报价</w:t>
      </w:r>
    </w:p>
    <w:p>
      <w:pPr>
        <w:pStyle w:val="18"/>
        <w:snapToGrid w:val="0"/>
        <w:spacing w:line="360" w:lineRule="auto"/>
        <w:ind w:firstLine="480" w:firstLineChars="200"/>
        <w:jc w:val="left"/>
        <w:rPr>
          <w:rFonts w:asciiTheme="minorEastAsia" w:hAnsiTheme="minorEastAsia" w:eastAsiaTheme="minorEastAsia"/>
          <w:color w:val="000000"/>
          <w:sz w:val="24"/>
        </w:rPr>
      </w:pPr>
      <w:r>
        <w:rPr>
          <w:rFonts w:asciiTheme="minorEastAsia" w:hAnsiTheme="minorEastAsia" w:eastAsiaTheme="minorEastAsia"/>
          <w:color w:val="000000"/>
          <w:sz w:val="24"/>
        </w:rPr>
        <w:t>1</w:t>
      </w: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投标报价应按招标文件中相关附表格式填写。</w:t>
      </w:r>
    </w:p>
    <w:p>
      <w:pPr>
        <w:tabs>
          <w:tab w:val="left" w:pos="1898"/>
        </w:tabs>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color w:val="000000"/>
          <w:sz w:val="24"/>
        </w:rPr>
        <w:t>2、</w:t>
      </w:r>
      <w:r>
        <w:rPr>
          <w:rFonts w:hint="eastAsia" w:asciiTheme="minorEastAsia" w:hAnsiTheme="minorEastAsia" w:eastAsiaTheme="minorEastAsia"/>
          <w:kern w:val="0"/>
          <w:sz w:val="24"/>
        </w:rPr>
        <w:t>相关报价单需打印或用不退色的墨水填写， 投标报价单不得涂改和增删，如有错漏必须修改，修改处须由同一签署人签字或盖章。由于字迹模糊或表达不清引起的后果由投标人负责。</w:t>
      </w:r>
    </w:p>
    <w:p>
      <w:pPr>
        <w:tabs>
          <w:tab w:val="left" w:pos="1418"/>
        </w:tabs>
        <w:autoSpaceDE w:val="0"/>
        <w:autoSpaceDN w:val="0"/>
        <w:adjustRightInd w:val="0"/>
        <w:spacing w:line="360" w:lineRule="auto"/>
        <w:ind w:firstLine="354" w:firstLineChars="147"/>
        <w:rPr>
          <w:rFonts w:asciiTheme="minorEastAsia" w:hAnsiTheme="minorEastAsia" w:eastAsiaTheme="minorEastAsia"/>
          <w:b/>
          <w:kern w:val="0"/>
          <w:sz w:val="24"/>
        </w:rPr>
      </w:pPr>
      <w:r>
        <w:rPr>
          <w:rFonts w:hint="eastAsia" w:asciiTheme="minorEastAsia" w:hAnsiTheme="minorEastAsia" w:eastAsiaTheme="minorEastAsia"/>
          <w:b/>
          <w:kern w:val="0"/>
          <w:sz w:val="24"/>
        </w:rPr>
        <w:t>（五）投标保证金</w:t>
      </w:r>
    </w:p>
    <w:p>
      <w:pPr>
        <w:tabs>
          <w:tab w:val="left" w:pos="1418"/>
        </w:tabs>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1、中标供应商的投标保证金在合同签订后五个工作日内凭合同退还，或转为中标人的履约保证金。</w:t>
      </w:r>
    </w:p>
    <w:p>
      <w:pPr>
        <w:snapToGrid w:val="0"/>
        <w:spacing w:line="360" w:lineRule="auto"/>
        <w:ind w:left="424" w:leftChars="202" w:firstLine="52" w:firstLineChars="22"/>
        <w:jc w:val="left"/>
        <w:rPr>
          <w:rFonts w:asciiTheme="minorEastAsia" w:hAnsiTheme="minorEastAsia" w:eastAsiaTheme="minorEastAsia"/>
          <w:kern w:val="0"/>
          <w:sz w:val="24"/>
        </w:rPr>
      </w:pPr>
      <w:r>
        <w:rPr>
          <w:rFonts w:hint="eastAsia" w:asciiTheme="minorEastAsia" w:hAnsiTheme="minorEastAsia" w:eastAsiaTheme="minorEastAsia"/>
          <w:color w:val="000000"/>
          <w:sz w:val="24"/>
        </w:rPr>
        <w:t>2、未中标供应商的投标保证金将在中标通知书发出后五个工作日内由项目负责人负责通知财务退还（财务联系电话：0576-88685133、传真：</w:t>
      </w:r>
      <w:r>
        <w:rPr>
          <w:rFonts w:hint="eastAsia" w:asciiTheme="minorEastAsia" w:hAnsiTheme="minorEastAsia" w:eastAsiaTheme="minorEastAsia"/>
          <w:kern w:val="0"/>
          <w:sz w:val="24"/>
        </w:rPr>
        <w:t xml:space="preserve">0576-88685133）。    </w:t>
      </w:r>
    </w:p>
    <w:p>
      <w:pPr>
        <w:snapToGrid w:val="0"/>
        <w:spacing w:line="360" w:lineRule="auto"/>
        <w:ind w:left="424" w:leftChars="202" w:firstLine="53" w:firstLineChars="22"/>
        <w:jc w:val="left"/>
        <w:rPr>
          <w:rFonts w:asciiTheme="minorEastAsia" w:hAnsiTheme="minorEastAsia" w:eastAsiaTheme="minorEastAsia"/>
          <w:b/>
          <w:bCs/>
          <w:color w:val="000000"/>
          <w:sz w:val="24"/>
          <w:szCs w:val="20"/>
        </w:rPr>
      </w:pPr>
      <w:r>
        <w:rPr>
          <w:rFonts w:hint="eastAsia" w:asciiTheme="minorEastAsia" w:hAnsiTheme="minorEastAsia" w:eastAsiaTheme="minorEastAsia"/>
          <w:b/>
          <w:bCs/>
          <w:color w:val="000000"/>
          <w:sz w:val="24"/>
        </w:rPr>
        <w:t>3、投标人有</w:t>
      </w:r>
      <w:r>
        <w:rPr>
          <w:rFonts w:asciiTheme="minorEastAsia" w:hAnsiTheme="minorEastAsia" w:eastAsiaTheme="minorEastAsia"/>
          <w:b/>
          <w:bCs/>
          <w:color w:val="000000"/>
          <w:sz w:val="24"/>
        </w:rPr>
        <w:t>下列情</w:t>
      </w:r>
      <w:r>
        <w:rPr>
          <w:rFonts w:hint="eastAsia" w:asciiTheme="minorEastAsia" w:hAnsiTheme="minorEastAsia" w:eastAsiaTheme="minorEastAsia"/>
          <w:b/>
          <w:bCs/>
          <w:color w:val="000000"/>
          <w:sz w:val="24"/>
        </w:rPr>
        <w:t>形之一的</w:t>
      </w:r>
      <w:r>
        <w:rPr>
          <w:rFonts w:asciiTheme="minorEastAsia" w:hAnsiTheme="minorEastAsia" w:eastAsiaTheme="minorEastAsia"/>
          <w:b/>
          <w:bCs/>
          <w:color w:val="000000"/>
          <w:sz w:val="24"/>
        </w:rPr>
        <w:t>，投标保证金将不予退还：</w:t>
      </w:r>
    </w:p>
    <w:p>
      <w:pPr>
        <w:snapToGrid w:val="0"/>
        <w:spacing w:line="360" w:lineRule="auto"/>
        <w:ind w:firstLine="470" w:firstLineChars="196"/>
        <w:jc w:val="left"/>
        <w:rPr>
          <w:rFonts w:asciiTheme="minorEastAsia" w:hAnsiTheme="minorEastAsia" w:eastAsiaTheme="minorEastAsia"/>
          <w:color w:val="000000"/>
          <w:sz w:val="24"/>
          <w:szCs w:val="20"/>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1）</w:t>
      </w:r>
      <w:r>
        <w:rPr>
          <w:rFonts w:hint="eastAsia" w:asciiTheme="minorEastAsia" w:hAnsiTheme="minorEastAsia" w:eastAsiaTheme="minorEastAsia"/>
          <w:color w:val="000000"/>
          <w:sz w:val="24"/>
        </w:rPr>
        <w:t>投标人在投标有效期内撤回投标文件的；</w:t>
      </w:r>
    </w:p>
    <w:p>
      <w:pPr>
        <w:snapToGrid w:val="0"/>
        <w:spacing w:line="360" w:lineRule="auto"/>
        <w:ind w:firstLine="470" w:firstLineChars="196"/>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2）</w:t>
      </w:r>
      <w:r>
        <w:rPr>
          <w:rFonts w:asciiTheme="minorEastAsia" w:hAnsiTheme="minorEastAsia" w:eastAsiaTheme="minorEastAsia"/>
          <w:sz w:val="24"/>
        </w:rPr>
        <w:t>投标人在投标过程中弄虚作假，提供虚假材料</w:t>
      </w:r>
      <w:r>
        <w:rPr>
          <w:rFonts w:hint="eastAsia" w:asciiTheme="minorEastAsia" w:hAnsiTheme="minorEastAsia" w:eastAsiaTheme="minorEastAsia"/>
          <w:sz w:val="24"/>
        </w:rPr>
        <w:t>的</w:t>
      </w:r>
      <w:r>
        <w:rPr>
          <w:rFonts w:asciiTheme="minorEastAsia" w:hAnsiTheme="minorEastAsia" w:eastAsiaTheme="minorEastAsia"/>
          <w:sz w:val="24"/>
        </w:rPr>
        <w:t>；</w:t>
      </w:r>
    </w:p>
    <w:p>
      <w:pPr>
        <w:snapToGrid w:val="0"/>
        <w:spacing w:line="360" w:lineRule="auto"/>
        <w:ind w:firstLine="470" w:firstLineChars="196"/>
        <w:jc w:val="left"/>
        <w:rPr>
          <w:rFonts w:asciiTheme="minorEastAsia" w:hAnsiTheme="minorEastAsia" w:eastAsiaTheme="minorEastAsia"/>
          <w:sz w:val="24"/>
        </w:rPr>
      </w:pPr>
      <w:r>
        <w:rPr>
          <w:rFonts w:asciiTheme="minorEastAsia" w:hAnsiTheme="minorEastAsia" w:eastAsiaTheme="minorEastAsia"/>
          <w:color w:val="000000"/>
          <w:sz w:val="24"/>
        </w:rPr>
        <w:t>（3）</w:t>
      </w:r>
      <w:r>
        <w:rPr>
          <w:rFonts w:hint="eastAsia" w:asciiTheme="minorEastAsia" w:hAnsiTheme="minorEastAsia" w:eastAsiaTheme="minorEastAsia"/>
          <w:sz w:val="24"/>
        </w:rPr>
        <w:t>中标人无正当理由不与采购人签订合同的；</w:t>
      </w:r>
    </w:p>
    <w:p>
      <w:pPr>
        <w:snapToGrid w:val="0"/>
        <w:spacing w:line="360" w:lineRule="auto"/>
        <w:ind w:firstLine="470" w:firstLineChars="196"/>
        <w:rPr>
          <w:rFonts w:asciiTheme="minorEastAsia" w:hAnsiTheme="minorEastAsia" w:eastAsiaTheme="minorEastAsia"/>
          <w:sz w:val="24"/>
          <w:szCs w:val="20"/>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4）</w:t>
      </w:r>
      <w:r>
        <w:rPr>
          <w:rFonts w:hint="eastAsia" w:asciiTheme="minorEastAsia" w:hAnsiTheme="minorEastAsia" w:eastAsiaTheme="minorEastAsia"/>
          <w:bCs/>
          <w:color w:val="000000"/>
          <w:sz w:val="24"/>
        </w:rPr>
        <w:t>将中标项目转让给他人或者在投标文件中未说明且未经招标人同意，将中标项目分包给他人的；</w:t>
      </w:r>
    </w:p>
    <w:p>
      <w:pPr>
        <w:snapToGrid w:val="0"/>
        <w:spacing w:line="360" w:lineRule="auto"/>
        <w:ind w:firstLine="470" w:firstLineChars="196"/>
        <w:rPr>
          <w:rFonts w:asciiTheme="minorEastAsia" w:hAnsiTheme="minorEastAsia" w:eastAsiaTheme="minorEastAsia"/>
          <w:b/>
          <w:color w:val="000000"/>
          <w:sz w:val="24"/>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5）</w:t>
      </w:r>
      <w:r>
        <w:rPr>
          <w:rFonts w:hint="eastAsia" w:asciiTheme="minorEastAsia" w:hAnsiTheme="minorEastAsia" w:eastAsiaTheme="minorEastAsia"/>
          <w:sz w:val="24"/>
        </w:rPr>
        <w:t>其他严重扰乱招投标程序的。</w:t>
      </w:r>
    </w:p>
    <w:p>
      <w:pPr>
        <w:tabs>
          <w:tab w:val="left" w:pos="1898"/>
        </w:tabs>
        <w:autoSpaceDE w:val="0"/>
        <w:autoSpaceDN w:val="0"/>
        <w:adjustRightInd w:val="0"/>
        <w:spacing w:line="360" w:lineRule="auto"/>
        <w:rPr>
          <w:rFonts w:asciiTheme="minorEastAsia" w:hAnsiTheme="minorEastAsia" w:eastAsiaTheme="minorEastAsia"/>
          <w:b/>
          <w:kern w:val="0"/>
          <w:sz w:val="24"/>
        </w:rPr>
      </w:pPr>
      <w:r>
        <w:rPr>
          <w:rFonts w:hint="eastAsia" w:asciiTheme="minorEastAsia" w:hAnsiTheme="minorEastAsia" w:eastAsiaTheme="minorEastAsia"/>
          <w:b/>
          <w:kern w:val="0"/>
          <w:sz w:val="24"/>
        </w:rPr>
        <w:t>（六）投标文件的有效期</w:t>
      </w:r>
    </w:p>
    <w:p>
      <w:pPr>
        <w:pStyle w:val="10"/>
        <w:widowControl w:val="0"/>
        <w:snapToGrid w:val="0"/>
        <w:spacing w:afterLines="0" w:line="360" w:lineRule="auto"/>
        <w:ind w:left="0" w:firstLine="480" w:firstLineChars="200"/>
        <w:rPr>
          <w:rFonts w:asciiTheme="minorEastAsia" w:hAnsiTheme="minorEastAsia" w:eastAsiaTheme="minorEastAsia"/>
          <w:color w:val="000000"/>
          <w:szCs w:val="24"/>
        </w:rPr>
      </w:pPr>
      <w:r>
        <w:rPr>
          <w:rFonts w:asciiTheme="minorEastAsia" w:hAnsiTheme="minorEastAsia" w:eastAsiaTheme="minorEastAsia"/>
          <w:color w:val="000000"/>
          <w:szCs w:val="24"/>
        </w:rPr>
        <w:t>1</w:t>
      </w:r>
      <w:r>
        <w:rPr>
          <w:rFonts w:hint="eastAsia" w:asciiTheme="minorEastAsia" w:hAnsiTheme="minorEastAsia" w:eastAsiaTheme="minorEastAsia"/>
          <w:color w:val="000000"/>
          <w:szCs w:val="24"/>
        </w:rPr>
        <w:t>.</w:t>
      </w:r>
      <w:r>
        <w:rPr>
          <w:rFonts w:asciiTheme="minorEastAsia" w:hAnsiTheme="minorEastAsia" w:eastAsiaTheme="minorEastAsia"/>
          <w:color w:val="000000"/>
          <w:szCs w:val="24"/>
        </w:rPr>
        <w:t>自投标截止日起</w:t>
      </w:r>
      <w:r>
        <w:rPr>
          <w:rFonts w:hint="eastAsia" w:asciiTheme="minorEastAsia" w:hAnsiTheme="minorEastAsia" w:eastAsiaTheme="minorEastAsia"/>
          <w:color w:val="000000"/>
          <w:szCs w:val="24"/>
          <w:u w:val="single"/>
        </w:rPr>
        <w:t>90</w:t>
      </w:r>
      <w:r>
        <w:rPr>
          <w:rFonts w:asciiTheme="minorEastAsia" w:hAnsiTheme="minorEastAsia" w:eastAsiaTheme="minorEastAsia"/>
          <w:color w:val="000000"/>
          <w:szCs w:val="24"/>
        </w:rPr>
        <w:t>天投标</w:t>
      </w:r>
      <w:r>
        <w:rPr>
          <w:rFonts w:hint="eastAsia" w:asciiTheme="minorEastAsia" w:hAnsiTheme="minorEastAsia" w:eastAsiaTheme="minorEastAsia"/>
          <w:color w:val="000000"/>
          <w:szCs w:val="24"/>
        </w:rPr>
        <w:t>文件</w:t>
      </w:r>
      <w:r>
        <w:rPr>
          <w:rFonts w:asciiTheme="minorEastAsia" w:hAnsiTheme="minorEastAsia" w:eastAsiaTheme="minorEastAsia"/>
          <w:color w:val="000000"/>
          <w:szCs w:val="24"/>
        </w:rPr>
        <w:t>应保持有效。有效期</w:t>
      </w:r>
      <w:r>
        <w:rPr>
          <w:rFonts w:hint="eastAsia" w:asciiTheme="minorEastAsia" w:hAnsiTheme="minorEastAsia" w:eastAsiaTheme="minorEastAsia"/>
          <w:color w:val="000000"/>
          <w:szCs w:val="24"/>
        </w:rPr>
        <w:t>不足</w:t>
      </w:r>
      <w:r>
        <w:rPr>
          <w:rFonts w:asciiTheme="minorEastAsia" w:hAnsiTheme="minorEastAsia" w:eastAsiaTheme="minorEastAsia"/>
          <w:color w:val="000000"/>
          <w:szCs w:val="24"/>
        </w:rPr>
        <w:t>的投标</w:t>
      </w:r>
      <w:r>
        <w:rPr>
          <w:rFonts w:hint="eastAsia" w:asciiTheme="minorEastAsia" w:hAnsiTheme="minorEastAsia" w:eastAsiaTheme="minorEastAsia"/>
          <w:color w:val="000000"/>
          <w:szCs w:val="24"/>
        </w:rPr>
        <w:t>文件</w:t>
      </w:r>
      <w:r>
        <w:rPr>
          <w:rFonts w:asciiTheme="minorEastAsia" w:hAnsiTheme="minorEastAsia" w:eastAsiaTheme="minorEastAsia"/>
          <w:color w:val="000000"/>
          <w:szCs w:val="24"/>
        </w:rPr>
        <w:t>将被拒绝。</w:t>
      </w:r>
    </w:p>
    <w:p>
      <w:pPr>
        <w:pStyle w:val="10"/>
        <w:widowControl w:val="0"/>
        <w:snapToGrid w:val="0"/>
        <w:spacing w:afterLines="0" w:line="360" w:lineRule="auto"/>
        <w:ind w:left="0" w:firstLine="480" w:firstLineChars="200"/>
        <w:rPr>
          <w:rFonts w:asciiTheme="minorEastAsia" w:hAnsiTheme="minorEastAsia" w:eastAsiaTheme="minorEastAsia"/>
          <w:color w:val="000000"/>
          <w:szCs w:val="24"/>
        </w:rPr>
      </w:pPr>
      <w:r>
        <w:rPr>
          <w:rFonts w:asciiTheme="minorEastAsia" w:hAnsiTheme="minorEastAsia" w:eastAsiaTheme="minorEastAsia"/>
          <w:color w:val="000000"/>
          <w:szCs w:val="24"/>
        </w:rPr>
        <w:t>2</w:t>
      </w:r>
      <w:r>
        <w:rPr>
          <w:rFonts w:hint="eastAsia" w:asciiTheme="minorEastAsia" w:hAnsiTheme="minorEastAsia" w:eastAsiaTheme="minorEastAsia"/>
          <w:color w:val="000000"/>
          <w:szCs w:val="24"/>
        </w:rPr>
        <w:t>.</w:t>
      </w:r>
      <w:r>
        <w:rPr>
          <w:rFonts w:asciiTheme="minorEastAsia" w:hAnsiTheme="minorEastAsia" w:eastAsiaTheme="minorEastAsia"/>
          <w:color w:val="000000"/>
          <w:szCs w:val="24"/>
        </w:rPr>
        <w:t>在特殊情况下，招标人可与投标人协商延长投标书的有效期，这种要求和答复均以书面形式进行。</w:t>
      </w:r>
    </w:p>
    <w:p>
      <w:pPr>
        <w:snapToGrid w:val="0"/>
        <w:spacing w:line="360" w:lineRule="auto"/>
        <w:ind w:firstLine="480" w:firstLineChars="200"/>
        <w:jc w:val="left"/>
        <w:outlineLvl w:val="0"/>
        <w:rPr>
          <w:rFonts w:asciiTheme="minorEastAsia" w:hAnsiTheme="minorEastAsia" w:eastAsiaTheme="minorEastAsia"/>
          <w:b/>
          <w:color w:val="000000"/>
          <w:sz w:val="24"/>
          <w:szCs w:val="20"/>
        </w:rPr>
      </w:pPr>
      <w:r>
        <w:rPr>
          <w:rFonts w:asciiTheme="minorEastAsia" w:hAnsiTheme="minorEastAsia" w:eastAsiaTheme="minorEastAsia"/>
          <w:color w:val="000000"/>
          <w:sz w:val="24"/>
        </w:rPr>
        <w:t>3</w:t>
      </w: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投标人可拒绝接受延期要求而不会导致投标保证金被没收。同意延长有效期的投标人需要相应延长投标保证金的有效期，但不能修改投标文件。</w:t>
      </w:r>
    </w:p>
    <w:p>
      <w:pPr>
        <w:snapToGrid w:val="0"/>
        <w:spacing w:line="360" w:lineRule="auto"/>
        <w:ind w:firstLine="480" w:firstLineChars="200"/>
        <w:jc w:val="left"/>
        <w:outlineLvl w:val="0"/>
        <w:rPr>
          <w:rFonts w:asciiTheme="minorEastAsia" w:hAnsiTheme="minorEastAsia" w:eastAsiaTheme="minorEastAsia"/>
          <w:b/>
          <w:color w:val="000000"/>
          <w:sz w:val="24"/>
        </w:rPr>
      </w:pPr>
      <w:r>
        <w:rPr>
          <w:rFonts w:asciiTheme="minorEastAsia" w:hAnsiTheme="minorEastAsia" w:eastAsiaTheme="minorEastAsia"/>
          <w:color w:val="000000"/>
          <w:sz w:val="24"/>
        </w:rPr>
        <w:t>4</w:t>
      </w: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中标人的投标文件自开标之日起至合同履行完毕均应保持有效。</w:t>
      </w:r>
    </w:p>
    <w:p>
      <w:pPr>
        <w:tabs>
          <w:tab w:val="left" w:pos="1418"/>
        </w:tabs>
        <w:autoSpaceDE w:val="0"/>
        <w:autoSpaceDN w:val="0"/>
        <w:adjustRightInd w:val="0"/>
        <w:spacing w:line="360" w:lineRule="auto"/>
        <w:rPr>
          <w:rFonts w:asciiTheme="minorEastAsia" w:hAnsiTheme="minorEastAsia" w:eastAsiaTheme="minorEastAsia"/>
          <w:b/>
          <w:kern w:val="0"/>
          <w:sz w:val="28"/>
          <w:szCs w:val="28"/>
        </w:rPr>
      </w:pPr>
      <w:r>
        <w:rPr>
          <w:rFonts w:hint="eastAsia" w:asciiTheme="minorEastAsia" w:hAnsiTheme="minorEastAsia" w:eastAsiaTheme="minorEastAsia"/>
          <w:b/>
          <w:kern w:val="0"/>
          <w:sz w:val="28"/>
          <w:szCs w:val="28"/>
        </w:rPr>
        <w:t xml:space="preserve">    四、投标文件的递交</w:t>
      </w:r>
    </w:p>
    <w:p>
      <w:pPr>
        <w:autoSpaceDE w:val="0"/>
        <w:autoSpaceDN w:val="0"/>
        <w:adjustRightInd w:val="0"/>
        <w:spacing w:line="360" w:lineRule="auto"/>
        <w:ind w:firstLine="360" w:firstLineChars="150"/>
        <w:rPr>
          <w:rFonts w:asciiTheme="minorEastAsia" w:hAnsiTheme="minorEastAsia" w:eastAsiaTheme="minorEastAsia"/>
          <w:kern w:val="0"/>
          <w:sz w:val="24"/>
        </w:rPr>
      </w:pPr>
      <w:r>
        <w:rPr>
          <w:rFonts w:hint="eastAsia" w:asciiTheme="minorEastAsia" w:hAnsiTheme="minorEastAsia" w:eastAsiaTheme="minorEastAsia"/>
          <w:kern w:val="0"/>
          <w:sz w:val="24"/>
        </w:rPr>
        <w:t>（一）投标文件的密封及标记</w:t>
      </w:r>
    </w:p>
    <w:p>
      <w:pPr>
        <w:autoSpaceDE w:val="0"/>
        <w:autoSpaceDN w:val="0"/>
        <w:adjustRightInd w:val="0"/>
        <w:spacing w:line="360" w:lineRule="auto"/>
        <w:rPr>
          <w:rFonts w:asciiTheme="minorEastAsia" w:hAnsiTheme="minorEastAsia" w:eastAsiaTheme="minorEastAsia"/>
          <w:sz w:val="24"/>
        </w:rPr>
      </w:pPr>
      <w:r>
        <w:rPr>
          <w:rFonts w:hint="eastAsia" w:asciiTheme="minorEastAsia" w:hAnsiTheme="minorEastAsia" w:eastAsiaTheme="minorEastAsia"/>
          <w:sz w:val="24"/>
        </w:rPr>
        <w:t xml:space="preserve">    1、所有投标资料按投标文件的组成所列内容及顺序装订成册。</w:t>
      </w:r>
      <w:r>
        <w:rPr>
          <w:rFonts w:hint="eastAsia" w:asciiTheme="minorEastAsia" w:hAnsiTheme="minorEastAsia" w:eastAsiaTheme="minorEastAsia"/>
          <w:kern w:val="0"/>
          <w:sz w:val="24"/>
        </w:rPr>
        <w:t>资格资信证明文件、技术文件和报价文件</w:t>
      </w:r>
      <w:r>
        <w:rPr>
          <w:rFonts w:hint="eastAsia" w:asciiTheme="minorEastAsia" w:hAnsiTheme="minorEastAsia" w:eastAsiaTheme="minorEastAsia"/>
          <w:sz w:val="24"/>
        </w:rPr>
        <w:t>各自密封（份数及装订要求详见第二部分第四条）；</w:t>
      </w:r>
    </w:p>
    <w:p>
      <w:pPr>
        <w:snapToGrid w:val="0"/>
        <w:spacing w:line="360" w:lineRule="auto"/>
        <w:ind w:firstLine="576" w:firstLineChars="240"/>
        <w:jc w:val="left"/>
        <w:rPr>
          <w:rFonts w:asciiTheme="minorEastAsia" w:hAnsiTheme="minorEastAsia" w:eastAsiaTheme="minorEastAsia"/>
          <w:kern w:val="0"/>
          <w:sz w:val="24"/>
        </w:rPr>
      </w:pPr>
      <w:r>
        <w:rPr>
          <w:rFonts w:hint="eastAsia" w:asciiTheme="minorEastAsia" w:hAnsiTheme="minorEastAsia" w:eastAsiaTheme="minorEastAsia"/>
          <w:kern w:val="0"/>
          <w:sz w:val="24"/>
        </w:rPr>
        <w:t>2、请在密封袋封面上加盖“正本”或“副本”字样，封口处应有投标单位公章或投标全权代表签字。封皮上写明项目编号、标项、招标项目名称、投标人名称，并注明“投标文件名称（资格资信证明文件、技术文件和报价文件）”、“开标时启封”字样；</w:t>
      </w:r>
    </w:p>
    <w:p>
      <w:pPr>
        <w:snapToGrid w:val="0"/>
        <w:spacing w:line="360" w:lineRule="auto"/>
        <w:ind w:firstLine="504" w:firstLineChars="240"/>
        <w:jc w:val="left"/>
        <w:rPr>
          <w:rFonts w:asciiTheme="minorEastAsia" w:hAnsiTheme="minorEastAsia" w:eastAsiaTheme="minorEastAsia"/>
          <w:kern w:val="0"/>
          <w:sz w:val="24"/>
        </w:rPr>
      </w:pPr>
      <w:r>
        <w:rPr>
          <w:rFonts w:asciiTheme="minorEastAsia" w:hAnsiTheme="minorEastAsia" w:eastAsiaTheme="minorEastAsia"/>
        </w:rPr>
        <w:t xml:space="preserve"> 3、如果投标人未按上述要求密封及加写标记，招标人对投标文件的误投和提前启封不负责任。</w:t>
      </w:r>
    </w:p>
    <w:p>
      <w:pPr>
        <w:tabs>
          <w:tab w:val="left" w:pos="1898"/>
        </w:tabs>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（二）投标截止时间</w:t>
      </w:r>
    </w:p>
    <w:p>
      <w:pPr>
        <w:tabs>
          <w:tab w:val="left" w:pos="1418"/>
        </w:tabs>
        <w:autoSpaceDE w:val="0"/>
        <w:autoSpaceDN w:val="0"/>
        <w:adjustRightInd w:val="0"/>
        <w:spacing w:line="360" w:lineRule="auto"/>
        <w:rPr>
          <w:rFonts w:asciiTheme="minorEastAsia" w:hAnsiTheme="minorEastAsia" w:eastAsiaTheme="minorEastAsia"/>
          <w:kern w:val="0"/>
          <w:sz w:val="24"/>
        </w:rPr>
      </w:pPr>
      <w:r>
        <w:rPr>
          <w:rFonts w:asciiTheme="minorEastAsia" w:hAnsiTheme="minorEastAsia" w:eastAsiaTheme="minorEastAsia"/>
          <w:kern w:val="0"/>
          <w:sz w:val="24"/>
        </w:rPr>
        <w:t>1</w:t>
      </w:r>
      <w:r>
        <w:rPr>
          <w:rFonts w:hint="eastAsia" w:asciiTheme="minorEastAsia" w:hAnsiTheme="minorEastAsia" w:eastAsiaTheme="minorEastAsia"/>
          <w:kern w:val="0"/>
          <w:sz w:val="24"/>
        </w:rPr>
        <w:t>、投标文件必须在规定的投标截止时间前派人送达指定的投标地点。</w:t>
      </w:r>
    </w:p>
    <w:p>
      <w:pPr>
        <w:tabs>
          <w:tab w:val="left" w:pos="1418"/>
        </w:tabs>
        <w:autoSpaceDE w:val="0"/>
        <w:autoSpaceDN w:val="0"/>
        <w:adjustRightInd w:val="0"/>
        <w:spacing w:line="360" w:lineRule="auto"/>
        <w:rPr>
          <w:rFonts w:asciiTheme="minorEastAsia" w:hAnsiTheme="minorEastAsia" w:eastAsiaTheme="minorEastAsia"/>
          <w:kern w:val="0"/>
          <w:sz w:val="24"/>
        </w:rPr>
      </w:pPr>
      <w:r>
        <w:rPr>
          <w:rFonts w:asciiTheme="minorEastAsia" w:hAnsiTheme="minorEastAsia" w:eastAsiaTheme="minorEastAsia"/>
          <w:kern w:val="0"/>
          <w:sz w:val="24"/>
        </w:rPr>
        <w:t xml:space="preserve"> 2</w:t>
      </w:r>
      <w:r>
        <w:rPr>
          <w:rFonts w:hint="eastAsia" w:asciiTheme="minorEastAsia" w:hAnsiTheme="minorEastAsia" w:eastAsiaTheme="minorEastAsia"/>
          <w:kern w:val="0"/>
          <w:sz w:val="24"/>
        </w:rPr>
        <w:t>、如有特殊情况，招标人延长截止时间和开标时间，招标人和投标人的权利和义务将受到新的截止时间和开标时间的约束。</w:t>
      </w:r>
    </w:p>
    <w:p>
      <w:pPr>
        <w:tabs>
          <w:tab w:val="left" w:pos="1898"/>
        </w:tabs>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（三）投标文件的补充、修改和撤回。</w:t>
      </w:r>
    </w:p>
    <w:p>
      <w:pPr>
        <w:tabs>
          <w:tab w:val="left" w:pos="960"/>
          <w:tab w:val="left" w:pos="1418"/>
        </w:tabs>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1、投标人如需对上交的投标文件进行补充、修改或撤回的，必须在投标</w:t>
      </w:r>
    </w:p>
    <w:p>
      <w:pPr>
        <w:tabs>
          <w:tab w:val="left" w:pos="1418"/>
        </w:tabs>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截止时间以前书面通知招标人（邮寄或送达）。</w:t>
      </w:r>
    </w:p>
    <w:p>
      <w:pPr>
        <w:tabs>
          <w:tab w:val="left" w:pos="1418"/>
        </w:tabs>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2、投标修改文件必须密封，在密封袋上写明项目编号、标项、招标项目名称、投标人名称、并注明“修改文件”、“开标时启封”字样，其作为投标文件的组成部份。</w:t>
      </w:r>
    </w:p>
    <w:p>
      <w:pPr>
        <w:tabs>
          <w:tab w:val="left" w:pos="1418"/>
        </w:tabs>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3、投标人在投标截止时间前撤回已提交的投标文件的，项目负责人应当通知财务自收到投标人书面撤回通知之日起5个工作日内，退还已收取的投标保证金，但因投标人自身原因导致无法及时退还的除外。</w:t>
      </w:r>
    </w:p>
    <w:p>
      <w:pPr>
        <w:tabs>
          <w:tab w:val="left" w:pos="1418"/>
        </w:tabs>
        <w:autoSpaceDE w:val="0"/>
        <w:autoSpaceDN w:val="0"/>
        <w:adjustRightInd w:val="0"/>
        <w:spacing w:line="360" w:lineRule="auto"/>
        <w:rPr>
          <w:rFonts w:asciiTheme="minorEastAsia" w:hAnsiTheme="minorEastAsia" w:eastAsiaTheme="minorEastAsia"/>
          <w:b/>
          <w:kern w:val="0"/>
          <w:sz w:val="28"/>
          <w:szCs w:val="28"/>
        </w:rPr>
      </w:pPr>
      <w:r>
        <w:rPr>
          <w:rFonts w:hint="eastAsia" w:asciiTheme="minorEastAsia" w:hAnsiTheme="minorEastAsia" w:eastAsiaTheme="minorEastAsia"/>
          <w:b/>
          <w:kern w:val="0"/>
          <w:sz w:val="28"/>
          <w:szCs w:val="28"/>
        </w:rPr>
        <w:t>五、开标</w:t>
      </w:r>
    </w:p>
    <w:p>
      <w:pPr>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（一）开标</w:t>
      </w:r>
    </w:p>
    <w:p>
      <w:pPr>
        <w:autoSpaceDE w:val="0"/>
        <w:autoSpaceDN w:val="0"/>
        <w:adjustRightInd w:val="0"/>
        <w:spacing w:line="360" w:lineRule="auto"/>
        <w:ind w:left="480"/>
        <w:rPr>
          <w:rFonts w:asciiTheme="minorEastAsia" w:hAnsiTheme="minorEastAsia" w:eastAsiaTheme="minorEastAsia"/>
          <w:kern w:val="0"/>
          <w:sz w:val="24"/>
        </w:rPr>
      </w:pPr>
      <w:r>
        <w:rPr>
          <w:rFonts w:hint="eastAsia" w:asciiTheme="minorEastAsia" w:hAnsiTheme="minorEastAsia" w:eastAsiaTheme="minorEastAsia"/>
          <w:kern w:val="0"/>
          <w:sz w:val="24"/>
        </w:rPr>
        <w:t>1、招标人在“招标公告”规定的时间和地点公开开标，投标人的法定代表</w:t>
      </w:r>
    </w:p>
    <w:p>
      <w:pPr>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人或其授权代表应参加开标会并签到。</w:t>
      </w:r>
      <w:r>
        <w:rPr>
          <w:rFonts w:asciiTheme="minorEastAsia" w:hAnsiTheme="minorEastAsia" w:eastAsiaTheme="minorEastAsia"/>
          <w:bCs/>
          <w:sz w:val="24"/>
        </w:rPr>
        <w:t>投标人的法定代表人或其授权代表未按时签到的，视同放弃开标监督权利、认可开标结果。</w:t>
      </w:r>
      <w:r>
        <w:rPr>
          <w:rFonts w:hint="eastAsia" w:asciiTheme="minorEastAsia" w:hAnsiTheme="minorEastAsia" w:eastAsiaTheme="minorEastAsia"/>
          <w:bCs/>
          <w:sz w:val="24"/>
        </w:rPr>
        <w:t>评标委员会成员不得参加开标活动。</w:t>
      </w:r>
      <w:r>
        <w:rPr>
          <w:rFonts w:hint="eastAsia" w:asciiTheme="minorEastAsia" w:hAnsiTheme="minorEastAsia" w:eastAsiaTheme="minorEastAsia"/>
          <w:kern w:val="0"/>
          <w:sz w:val="24"/>
        </w:rPr>
        <w:t>（本次招标</w:t>
      </w:r>
      <w:r>
        <w:rPr>
          <w:rFonts w:cs="Arial" w:asciiTheme="minorEastAsia" w:hAnsiTheme="minorEastAsia" w:eastAsiaTheme="minorEastAsia"/>
          <w:sz w:val="24"/>
        </w:rPr>
        <w:t>采用先评审商务资格</w:t>
      </w:r>
      <w:r>
        <w:rPr>
          <w:rFonts w:hint="eastAsia" w:cs="Arial" w:asciiTheme="minorEastAsia" w:hAnsiTheme="minorEastAsia" w:eastAsiaTheme="minorEastAsia"/>
          <w:sz w:val="24"/>
        </w:rPr>
        <w:t>和</w:t>
      </w:r>
      <w:r>
        <w:rPr>
          <w:rFonts w:cs="Arial" w:asciiTheme="minorEastAsia" w:hAnsiTheme="minorEastAsia" w:eastAsiaTheme="minorEastAsia"/>
          <w:sz w:val="24"/>
        </w:rPr>
        <w:t>技术服务方案</w:t>
      </w:r>
      <w:r>
        <w:rPr>
          <w:rFonts w:hint="eastAsia" w:cs="Arial" w:asciiTheme="minorEastAsia" w:hAnsiTheme="minorEastAsia" w:eastAsiaTheme="minorEastAsia"/>
          <w:sz w:val="24"/>
        </w:rPr>
        <w:t>，</w:t>
      </w:r>
      <w:r>
        <w:rPr>
          <w:rFonts w:cs="Arial" w:asciiTheme="minorEastAsia" w:hAnsiTheme="minorEastAsia" w:eastAsiaTheme="minorEastAsia"/>
          <w:sz w:val="24"/>
        </w:rPr>
        <w:t>后公开并评审商务报价的办法</w:t>
      </w:r>
      <w:r>
        <w:rPr>
          <w:rFonts w:hint="eastAsia" w:asciiTheme="minorEastAsia" w:hAnsiTheme="minorEastAsia" w:eastAsiaTheme="minorEastAsia"/>
          <w:kern w:val="0"/>
          <w:sz w:val="24"/>
        </w:rPr>
        <w:t>实施）。</w:t>
      </w:r>
    </w:p>
    <w:p>
      <w:pPr>
        <w:autoSpaceDE w:val="0"/>
        <w:autoSpaceDN w:val="0"/>
        <w:adjustRightInd w:val="0"/>
        <w:spacing w:line="360" w:lineRule="auto"/>
        <w:ind w:firstLine="354" w:firstLineChars="147"/>
        <w:rPr>
          <w:rFonts w:asciiTheme="minorEastAsia" w:hAnsiTheme="minorEastAsia" w:eastAsiaTheme="minorEastAsia"/>
          <w:b/>
          <w:color w:val="33CCCC"/>
          <w:kern w:val="0"/>
          <w:sz w:val="24"/>
        </w:rPr>
      </w:pPr>
      <w:r>
        <w:rPr>
          <w:rFonts w:asciiTheme="minorEastAsia" w:hAnsiTheme="minorEastAsia" w:eastAsiaTheme="minorEastAsia"/>
          <w:b/>
          <w:sz w:val="24"/>
        </w:rPr>
        <w:t xml:space="preserve">（二） </w:t>
      </w:r>
      <w:r>
        <w:rPr>
          <w:rFonts w:asciiTheme="minorEastAsia" w:hAnsiTheme="minorEastAsia" w:eastAsiaTheme="minorEastAsia"/>
          <w:b/>
          <w:color w:val="FF0000"/>
          <w:sz w:val="24"/>
        </w:rPr>
        <w:t>开</w:t>
      </w:r>
      <w:r>
        <w:rPr>
          <w:rFonts w:hint="eastAsia" w:asciiTheme="minorEastAsia" w:hAnsiTheme="minorEastAsia" w:eastAsiaTheme="minorEastAsia"/>
          <w:b/>
          <w:color w:val="FF0000"/>
          <w:sz w:val="24"/>
        </w:rPr>
        <w:t>标、评标及定</w:t>
      </w:r>
      <w:r>
        <w:rPr>
          <w:rFonts w:asciiTheme="minorEastAsia" w:hAnsiTheme="minorEastAsia" w:eastAsiaTheme="minorEastAsia"/>
          <w:b/>
          <w:color w:val="FF0000"/>
          <w:sz w:val="24"/>
        </w:rPr>
        <w:t>标程序</w:t>
      </w:r>
      <w:r>
        <w:rPr>
          <w:rFonts w:asciiTheme="minorEastAsia" w:hAnsiTheme="minorEastAsia" w:eastAsiaTheme="minorEastAsia"/>
          <w:b/>
          <w:sz w:val="24"/>
        </w:rPr>
        <w:t>：</w:t>
      </w:r>
      <w:r>
        <w:rPr>
          <w:rFonts w:hint="eastAsia" w:asciiTheme="minorEastAsia" w:hAnsiTheme="minorEastAsia" w:eastAsiaTheme="minorEastAsia"/>
          <w:b/>
          <w:color w:val="33CCCC"/>
          <w:kern w:val="0"/>
          <w:sz w:val="24"/>
        </w:rPr>
        <w:t>（综合评分法使用）</w:t>
      </w:r>
    </w:p>
    <w:p>
      <w:pPr>
        <w:pStyle w:val="18"/>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1、开标会由招标项目负责人主持，主持人宣布开标会议开始；</w:t>
      </w:r>
    </w:p>
    <w:p>
      <w:pPr>
        <w:pStyle w:val="18"/>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2、主持人介绍参加开标会的人员名单； </w:t>
      </w:r>
    </w:p>
    <w:p>
      <w:pPr>
        <w:pStyle w:val="18"/>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3、主持人宣布评标期间的有关事项，告知应当回避的情形,提请有关人员回避；</w:t>
      </w:r>
    </w:p>
    <w:p>
      <w:pPr>
        <w:pStyle w:val="18"/>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4、投标人或其当场推荐的代表，检查投标文件密封的完整性；</w:t>
      </w:r>
    </w:p>
    <w:p>
      <w:pPr>
        <w:pStyle w:val="18"/>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5、按投标人签到的先后顺序当场拆封</w:t>
      </w:r>
      <w:r>
        <w:rPr>
          <w:rFonts w:hint="eastAsia" w:asciiTheme="minorEastAsia" w:hAnsiTheme="minorEastAsia" w:eastAsiaTheme="minorEastAsia"/>
          <w:kern w:val="0"/>
          <w:sz w:val="24"/>
        </w:rPr>
        <w:t>资格资信证明文件、技术文件</w:t>
      </w:r>
      <w:r>
        <w:rPr>
          <w:rFonts w:hint="eastAsia" w:asciiTheme="minorEastAsia" w:hAnsiTheme="minorEastAsia" w:eastAsiaTheme="minorEastAsia"/>
          <w:sz w:val="24"/>
        </w:rPr>
        <w:t>后，评标委员会先对</w:t>
      </w:r>
      <w:r>
        <w:rPr>
          <w:rFonts w:hint="eastAsia" w:asciiTheme="minorEastAsia" w:hAnsiTheme="minorEastAsia" w:eastAsiaTheme="minorEastAsia"/>
          <w:kern w:val="0"/>
          <w:sz w:val="24"/>
        </w:rPr>
        <w:t>资格资信证明文件、技术文件</w:t>
      </w:r>
      <w:r>
        <w:rPr>
          <w:rFonts w:hint="eastAsia" w:asciiTheme="minorEastAsia" w:hAnsiTheme="minorEastAsia" w:eastAsiaTheme="minorEastAsia"/>
          <w:sz w:val="24"/>
        </w:rPr>
        <w:t>进行评审及必要的询标，结束后公布无效投标的投标人名单、投标无效的原因；</w:t>
      </w:r>
    </w:p>
    <w:p>
      <w:pPr>
        <w:pStyle w:val="18"/>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6、由主持人按投标人签到顺序当场拆封报价文件，并现场宣读《开标一览表》中的投标报价、报价内容（投标设备名称、规格型号或者服务项目名称），以及招标人认为有必要宣读的其他内容；</w:t>
      </w:r>
    </w:p>
    <w:p>
      <w:pPr>
        <w:pStyle w:val="18"/>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7、招标人做开标记录, 投标人代表对开标记录进行当场校核及勘误，并签字确认。同时由记录人、监督人当场签字确认。投标人代表未到场签字确认或者拒绝签字确认的，不影响评标过程；</w:t>
      </w:r>
    </w:p>
    <w:p>
      <w:pPr>
        <w:pStyle w:val="18"/>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8、采购人或采购代理机构进行资质后审；</w:t>
      </w:r>
    </w:p>
    <w:p>
      <w:pPr>
        <w:pStyle w:val="18"/>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9、评标委员会对资格资信证明文件进行评审及必要的询标，计算价格分及总得分；</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9、</w:t>
      </w:r>
      <w:r>
        <w:rPr>
          <w:rFonts w:asciiTheme="minorEastAsia" w:hAnsiTheme="minorEastAsia" w:eastAsiaTheme="minorEastAsia"/>
          <w:sz w:val="24"/>
        </w:rPr>
        <w:t>评标委员会完成评标后,按评标原则</w:t>
      </w:r>
      <w:r>
        <w:rPr>
          <w:rFonts w:hint="eastAsia" w:asciiTheme="minorEastAsia" w:hAnsiTheme="minorEastAsia" w:eastAsiaTheme="minorEastAsia"/>
          <w:sz w:val="24"/>
        </w:rPr>
        <w:t>确定中标候选人，</w:t>
      </w:r>
      <w:r>
        <w:rPr>
          <w:rFonts w:hint="eastAsia" w:asciiTheme="minorEastAsia" w:hAnsiTheme="minorEastAsia" w:eastAsiaTheme="minorEastAsia"/>
          <w:kern w:val="0"/>
          <w:sz w:val="24"/>
        </w:rPr>
        <w:t>以及根据采购人委托直接确定中标人；</w:t>
      </w:r>
      <w:r>
        <w:rPr>
          <w:rFonts w:asciiTheme="minorEastAsia" w:hAnsiTheme="minorEastAsia" w:eastAsiaTheme="minorEastAsia"/>
          <w:kern w:val="0"/>
          <w:sz w:val="24"/>
        </w:rPr>
        <w:t>同时</w:t>
      </w:r>
      <w:r>
        <w:rPr>
          <w:rFonts w:hint="eastAsia" w:asciiTheme="minorEastAsia" w:hAnsiTheme="minorEastAsia" w:eastAsiaTheme="minorEastAsia"/>
          <w:sz w:val="24"/>
        </w:rPr>
        <w:t>编写评审报告；</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10、宣布评标结果，开标会议结束。</w:t>
      </w:r>
    </w:p>
    <w:p>
      <w:pPr>
        <w:pStyle w:val="18"/>
        <w:snapToGrid w:val="0"/>
        <w:spacing w:line="360" w:lineRule="auto"/>
        <w:ind w:left="842" w:leftChars="267" w:hanging="281" w:hangingChars="100"/>
        <w:outlineLvl w:val="1"/>
        <w:rPr>
          <w:rFonts w:asciiTheme="minorEastAsia" w:hAnsiTheme="minorEastAsia" w:eastAsiaTheme="minorEastAsia"/>
          <w:b/>
          <w:sz w:val="28"/>
          <w:szCs w:val="28"/>
        </w:rPr>
      </w:pPr>
      <w:r>
        <w:rPr>
          <w:rFonts w:hint="eastAsia" w:asciiTheme="minorEastAsia" w:hAnsiTheme="minorEastAsia" w:eastAsiaTheme="minorEastAsia"/>
          <w:b/>
          <w:sz w:val="28"/>
          <w:szCs w:val="28"/>
        </w:rPr>
        <w:t>六、评标</w:t>
      </w:r>
    </w:p>
    <w:p>
      <w:pPr>
        <w:pStyle w:val="18"/>
        <w:snapToGrid w:val="0"/>
        <w:spacing w:line="360" w:lineRule="auto"/>
        <w:ind w:left="720" w:leftChars="228" w:hanging="241" w:hangingChars="100"/>
        <w:rPr>
          <w:rFonts w:asciiTheme="minorEastAsia" w:hAnsiTheme="minorEastAsia" w:eastAsiaTheme="minorEastAsia"/>
          <w:b/>
          <w:sz w:val="24"/>
        </w:rPr>
      </w:pPr>
      <w:r>
        <w:rPr>
          <w:rFonts w:asciiTheme="minorEastAsia" w:hAnsiTheme="minorEastAsia" w:eastAsiaTheme="minorEastAsia"/>
          <w:b/>
          <w:sz w:val="24"/>
        </w:rPr>
        <w:t>（一）组建评标委员会</w:t>
      </w:r>
    </w:p>
    <w:p>
      <w:pPr>
        <w:pStyle w:val="18"/>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本项目评标委员会由政府采购评审专家</w:t>
      </w:r>
      <w:r>
        <w:rPr>
          <w:rFonts w:hint="eastAsia" w:asciiTheme="minorEastAsia" w:hAnsiTheme="minorEastAsia" w:eastAsiaTheme="minorEastAsia"/>
          <w:sz w:val="24"/>
        </w:rPr>
        <w:t>和采购单位评审代表</w:t>
      </w:r>
      <w:r>
        <w:rPr>
          <w:rFonts w:asciiTheme="minorEastAsia" w:hAnsiTheme="minorEastAsia" w:eastAsiaTheme="minorEastAsia"/>
          <w:sz w:val="24"/>
        </w:rPr>
        <w:t>组成。</w:t>
      </w:r>
    </w:p>
    <w:p>
      <w:pPr>
        <w:pStyle w:val="18"/>
        <w:snapToGrid w:val="0"/>
        <w:spacing w:line="360" w:lineRule="auto"/>
        <w:ind w:left="720" w:leftChars="228" w:hanging="241" w:hangingChars="100"/>
        <w:rPr>
          <w:rFonts w:asciiTheme="minorEastAsia" w:hAnsiTheme="minorEastAsia" w:eastAsiaTheme="minorEastAsia"/>
          <w:b/>
          <w:color w:val="000000"/>
          <w:sz w:val="24"/>
        </w:rPr>
      </w:pPr>
      <w:r>
        <w:rPr>
          <w:rFonts w:asciiTheme="minorEastAsia" w:hAnsiTheme="minorEastAsia" w:eastAsiaTheme="minorEastAsia"/>
          <w:b/>
          <w:sz w:val="24"/>
        </w:rPr>
        <w:t>（</w:t>
      </w:r>
      <w:r>
        <w:rPr>
          <w:rFonts w:hint="eastAsia" w:asciiTheme="minorEastAsia" w:hAnsiTheme="minorEastAsia" w:eastAsiaTheme="minorEastAsia"/>
          <w:b/>
          <w:sz w:val="24"/>
        </w:rPr>
        <w:t>二</w:t>
      </w:r>
      <w:r>
        <w:rPr>
          <w:rFonts w:asciiTheme="minorEastAsia" w:hAnsiTheme="minorEastAsia" w:eastAsiaTheme="minorEastAsia"/>
          <w:b/>
          <w:sz w:val="24"/>
        </w:rPr>
        <w:t>）</w:t>
      </w:r>
      <w:r>
        <w:rPr>
          <w:rFonts w:asciiTheme="minorEastAsia" w:hAnsiTheme="minorEastAsia" w:eastAsiaTheme="minorEastAsia"/>
          <w:b/>
          <w:bCs/>
          <w:sz w:val="24"/>
        </w:rPr>
        <w:t>评标程序</w:t>
      </w:r>
    </w:p>
    <w:p>
      <w:pPr>
        <w:snapToGrid w:val="0"/>
        <w:spacing w:line="360" w:lineRule="auto"/>
        <w:ind w:firstLine="472" w:firstLineChars="196"/>
        <w:rPr>
          <w:rFonts w:asciiTheme="minorEastAsia" w:hAnsiTheme="minorEastAsia" w:eastAsiaTheme="minorEastAsia"/>
          <w:b/>
          <w:bCs/>
          <w:color w:val="000000"/>
          <w:sz w:val="24"/>
        </w:rPr>
      </w:pPr>
      <w:r>
        <w:rPr>
          <w:rFonts w:hint="eastAsia" w:asciiTheme="minorEastAsia" w:hAnsiTheme="minorEastAsia" w:eastAsiaTheme="minorEastAsia"/>
          <w:b/>
          <w:bCs/>
          <w:color w:val="000000"/>
          <w:sz w:val="24"/>
        </w:rPr>
        <w:t>1、资格</w:t>
      </w:r>
      <w:r>
        <w:rPr>
          <w:rFonts w:asciiTheme="minorEastAsia" w:hAnsiTheme="minorEastAsia" w:eastAsiaTheme="minorEastAsia"/>
          <w:b/>
          <w:bCs/>
          <w:color w:val="000000"/>
          <w:sz w:val="24"/>
        </w:rPr>
        <w:t>审查</w:t>
      </w:r>
    </w:p>
    <w:p>
      <w:pPr>
        <w:pStyle w:val="29"/>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公开招标采购项目开标结束后，采购人或者采购代理机构应当依法对投标人的资格进行审查。</w:t>
      </w:r>
    </w:p>
    <w:p>
      <w:pPr>
        <w:pStyle w:val="29"/>
        <w:spacing w:before="0" w:beforeAutospacing="0" w:after="0" w:afterAutospacing="0" w:line="360" w:lineRule="auto"/>
        <w:ind w:firstLine="472" w:firstLineChars="196"/>
        <w:jc w:val="both"/>
        <w:rPr>
          <w:rFonts w:hint="default" w:asciiTheme="minorEastAsia" w:hAnsiTheme="minorEastAsia" w:eastAsiaTheme="minorEastAsia"/>
          <w:b/>
          <w:bCs/>
        </w:rPr>
      </w:pPr>
      <w:r>
        <w:rPr>
          <w:rFonts w:asciiTheme="minorEastAsia" w:hAnsiTheme="minorEastAsia" w:eastAsiaTheme="minorEastAsia"/>
          <w:b/>
          <w:bCs/>
        </w:rPr>
        <w:t>2、实质审查与比较</w:t>
      </w:r>
    </w:p>
    <w:p>
      <w:pPr>
        <w:pStyle w:val="29"/>
        <w:spacing w:before="0" w:beforeAutospacing="0" w:after="0" w:afterAutospacing="0" w:line="360" w:lineRule="auto"/>
        <w:ind w:firstLine="360" w:firstLineChars="150"/>
        <w:jc w:val="both"/>
        <w:rPr>
          <w:rFonts w:hint="default" w:asciiTheme="minorEastAsia" w:hAnsiTheme="minorEastAsia" w:eastAsiaTheme="minorEastAsia"/>
        </w:rPr>
      </w:pPr>
      <w:r>
        <w:rPr>
          <w:rFonts w:asciiTheme="minorEastAsia" w:hAnsiTheme="minorEastAsia" w:eastAsiaTheme="minorEastAsia"/>
        </w:rPr>
        <w:t>（1）评标委员会应当对符合资格的投标人的投标文件进行</w:t>
      </w:r>
      <w:r>
        <w:rPr>
          <w:rFonts w:asciiTheme="minorEastAsia" w:hAnsiTheme="minorEastAsia" w:eastAsiaTheme="minorEastAsia"/>
          <w:color w:val="FF0000"/>
        </w:rPr>
        <w:t>符合性审查，</w:t>
      </w:r>
      <w:r>
        <w:rPr>
          <w:rFonts w:asciiTheme="minorEastAsia" w:hAnsiTheme="minorEastAsia" w:eastAsiaTheme="minorEastAsia"/>
        </w:rPr>
        <w:t>以确定其是否满足招标文件的实质性要求。</w:t>
      </w:r>
    </w:p>
    <w:p>
      <w:pPr>
        <w:pStyle w:val="29"/>
        <w:spacing w:before="0" w:beforeAutospacing="0" w:after="0" w:afterAutospacing="0" w:line="360" w:lineRule="auto"/>
        <w:ind w:firstLine="360" w:firstLineChars="150"/>
        <w:jc w:val="both"/>
        <w:rPr>
          <w:rFonts w:hint="default" w:asciiTheme="minorEastAsia" w:hAnsiTheme="minorEastAsia" w:eastAsiaTheme="minorEastAsia"/>
        </w:rPr>
      </w:pPr>
      <w:r>
        <w:rPr>
          <w:rFonts w:asciiTheme="minorEastAsia" w:hAnsiTheme="minorEastAsia" w:eastAsiaTheme="minorEastAsia"/>
        </w:rPr>
        <w:t>（2）对于投标文件中含义不明确、同类问题表述不一致或者有明显文字和计算错误的内容，评标委员会应当以书面形式要求投标人作出必要的澄清、说明或者补正。</w:t>
      </w:r>
    </w:p>
    <w:p>
      <w:pPr>
        <w:pStyle w:val="29"/>
        <w:spacing w:before="0" w:beforeAutospacing="0" w:after="0" w:afterAutospacing="0" w:line="360" w:lineRule="auto"/>
        <w:ind w:firstLine="360" w:firstLineChars="150"/>
        <w:jc w:val="both"/>
        <w:rPr>
          <w:rFonts w:hint="default" w:asciiTheme="minorEastAsia" w:hAnsiTheme="minorEastAsia" w:eastAsiaTheme="minorEastAsia"/>
        </w:rPr>
      </w:pPr>
      <w:r>
        <w:rPr>
          <w:rFonts w:asciiTheme="minorEastAsia" w:hAnsiTheme="minorEastAsia" w:eastAsiaTheme="minorEastAsia"/>
        </w:rPr>
        <w:t>（3）评标委员会应当按照招标文件中规定的评标方法和标准，对符合性审查合格的投标文件进行商务和技术评估，综合比较与评价。</w:t>
      </w:r>
    </w:p>
    <w:p>
      <w:pPr>
        <w:snapToGrid w:val="0"/>
        <w:spacing w:line="360" w:lineRule="auto"/>
        <w:ind w:firstLine="360" w:firstLineChars="150"/>
        <w:rPr>
          <w:rFonts w:asciiTheme="minorEastAsia" w:hAnsiTheme="minorEastAsia" w:eastAsiaTheme="minorEastAsia"/>
          <w:kern w:val="0"/>
          <w:sz w:val="24"/>
        </w:rPr>
      </w:pPr>
      <w:r>
        <w:rPr>
          <w:rFonts w:hint="eastAsia" w:asciiTheme="minorEastAsia" w:hAnsiTheme="minorEastAsia" w:eastAsiaTheme="minorEastAsia"/>
          <w:kern w:val="0"/>
          <w:sz w:val="24"/>
        </w:rPr>
        <w:t>（4）评标时，评标委员会各成员应当独立对每个投标人的投标文件进行评价，并汇总每个投标人的得分。</w:t>
      </w:r>
    </w:p>
    <w:p>
      <w:pPr>
        <w:snapToGrid w:val="0"/>
        <w:spacing w:line="360" w:lineRule="auto"/>
        <w:ind w:firstLine="360" w:firstLineChars="150"/>
        <w:rPr>
          <w:rFonts w:asciiTheme="minorEastAsia" w:hAnsiTheme="minorEastAsia" w:eastAsiaTheme="minorEastAsia"/>
          <w:kern w:val="0"/>
          <w:sz w:val="24"/>
        </w:rPr>
      </w:pPr>
      <w:r>
        <w:rPr>
          <w:rFonts w:hint="eastAsia" w:asciiTheme="minorEastAsia" w:hAnsiTheme="minorEastAsia" w:eastAsiaTheme="minorEastAsia"/>
          <w:color w:val="000000"/>
          <w:sz w:val="24"/>
        </w:rPr>
        <w:t>（5）</w:t>
      </w:r>
      <w:r>
        <w:rPr>
          <w:rFonts w:asciiTheme="minorEastAsia" w:hAnsiTheme="minorEastAsia" w:eastAsiaTheme="minorEastAsia"/>
          <w:sz w:val="24"/>
        </w:rPr>
        <w:t>评标委员会完成评标后,按评标原则</w:t>
      </w:r>
      <w:r>
        <w:rPr>
          <w:rFonts w:hint="eastAsia" w:asciiTheme="minorEastAsia" w:hAnsiTheme="minorEastAsia" w:eastAsiaTheme="minorEastAsia"/>
          <w:sz w:val="24"/>
        </w:rPr>
        <w:t>确定中标候选人，</w:t>
      </w:r>
      <w:r>
        <w:rPr>
          <w:rFonts w:hint="eastAsia" w:asciiTheme="minorEastAsia" w:hAnsiTheme="minorEastAsia" w:eastAsiaTheme="minorEastAsia"/>
          <w:kern w:val="0"/>
          <w:sz w:val="24"/>
        </w:rPr>
        <w:t>以及根据采购人委托直接确定中标人。</w:t>
      </w:r>
      <w:r>
        <w:rPr>
          <w:rFonts w:asciiTheme="minorEastAsia" w:hAnsiTheme="minorEastAsia" w:eastAsiaTheme="minorEastAsia"/>
          <w:kern w:val="0"/>
          <w:sz w:val="24"/>
        </w:rPr>
        <w:t>同时</w:t>
      </w:r>
      <w:r>
        <w:rPr>
          <w:rFonts w:hint="eastAsia" w:asciiTheme="minorEastAsia" w:hAnsiTheme="minorEastAsia" w:eastAsiaTheme="minorEastAsia"/>
          <w:kern w:val="0"/>
          <w:sz w:val="24"/>
        </w:rPr>
        <w:t>编写</w:t>
      </w:r>
      <w:r>
        <w:rPr>
          <w:rFonts w:asciiTheme="minorEastAsia" w:hAnsiTheme="minorEastAsia" w:eastAsiaTheme="minorEastAsia"/>
          <w:kern w:val="0"/>
          <w:sz w:val="24"/>
        </w:rPr>
        <w:t>评</w:t>
      </w:r>
      <w:r>
        <w:rPr>
          <w:rFonts w:hint="eastAsia" w:asciiTheme="minorEastAsia" w:hAnsiTheme="minorEastAsia" w:eastAsiaTheme="minorEastAsia"/>
          <w:kern w:val="0"/>
          <w:sz w:val="24"/>
        </w:rPr>
        <w:t>标</w:t>
      </w:r>
      <w:r>
        <w:rPr>
          <w:rFonts w:asciiTheme="minorEastAsia" w:hAnsiTheme="minorEastAsia" w:eastAsiaTheme="minorEastAsia"/>
          <w:kern w:val="0"/>
          <w:sz w:val="24"/>
        </w:rPr>
        <w:t>报告。</w:t>
      </w:r>
    </w:p>
    <w:p>
      <w:pPr>
        <w:snapToGrid w:val="0"/>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3、评价</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（1）采购人对项目采购情况进行评价；</w:t>
      </w:r>
    </w:p>
    <w:p>
      <w:pPr>
        <w:snapToGrid w:val="0"/>
        <w:spacing w:line="360" w:lineRule="auto"/>
        <w:ind w:firstLine="480" w:firstLineChars="200"/>
        <w:rPr>
          <w:rFonts w:asciiTheme="minorEastAsia" w:hAnsiTheme="minorEastAsia" w:eastAsiaTheme="minorEastAsia"/>
          <w:b/>
          <w:kern w:val="0"/>
          <w:sz w:val="24"/>
        </w:rPr>
      </w:pPr>
      <w:r>
        <w:rPr>
          <w:rFonts w:hint="eastAsia" w:asciiTheme="minorEastAsia" w:hAnsiTheme="minorEastAsia" w:eastAsiaTheme="minorEastAsia"/>
          <w:sz w:val="24"/>
        </w:rPr>
        <w:t>（2）招标人对评标委员会评审专家进行评价。</w:t>
      </w:r>
    </w:p>
    <w:p>
      <w:pPr>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（三）澄清问题的形式</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color w:val="000000"/>
          <w:sz w:val="24"/>
        </w:rPr>
        <w:t>投标人的澄清、说明或者补正应当采用书面形式，</w:t>
      </w:r>
      <w:r>
        <w:rPr>
          <w:rFonts w:hint="eastAsia" w:asciiTheme="minorEastAsia" w:hAnsiTheme="minorEastAsia" w:eastAsiaTheme="minorEastAsia"/>
          <w:color w:val="FF0000"/>
          <w:sz w:val="24"/>
        </w:rPr>
        <w:t>并加盖公章，或者由法定代理人或其授权的代表签字，</w:t>
      </w:r>
      <w:r>
        <w:rPr>
          <w:rFonts w:hint="eastAsia" w:asciiTheme="minorEastAsia" w:hAnsiTheme="minorEastAsia" w:eastAsiaTheme="minorEastAsia"/>
          <w:color w:val="000000"/>
          <w:sz w:val="24"/>
        </w:rPr>
        <w:t>并不得超出投标文件的范围或者改变投标文件的实质性内容。</w:t>
      </w:r>
    </w:p>
    <w:p>
      <w:pPr>
        <w:pStyle w:val="18"/>
        <w:snapToGrid w:val="0"/>
        <w:spacing w:line="360" w:lineRule="auto"/>
        <w:ind w:left="720" w:leftChars="228" w:hanging="241" w:hangingChars="100"/>
        <w:rPr>
          <w:rFonts w:asciiTheme="minorEastAsia" w:hAnsiTheme="minorEastAsia" w:eastAsiaTheme="minorEastAsia"/>
          <w:b/>
          <w:sz w:val="24"/>
        </w:rPr>
      </w:pPr>
      <w:r>
        <w:rPr>
          <w:rFonts w:hint="eastAsia" w:asciiTheme="minorEastAsia" w:hAnsiTheme="minorEastAsia" w:eastAsiaTheme="minorEastAsia"/>
          <w:b/>
          <w:sz w:val="24"/>
        </w:rPr>
        <w:t>（四）错误修正</w:t>
      </w:r>
    </w:p>
    <w:p>
      <w:pPr>
        <w:pStyle w:val="29"/>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投标文件报价出现前后不一致的，除招标文件另有规定外，按照下列规定修正：</w:t>
      </w:r>
    </w:p>
    <w:p>
      <w:pPr>
        <w:pStyle w:val="29"/>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1、投标文件中开标一览表（报价表）内容与投标文件中相应内容不一致的，以开标一览表（报价表）为准；</w:t>
      </w:r>
    </w:p>
    <w:p>
      <w:pPr>
        <w:pStyle w:val="29"/>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2、大写金额和小写金额不一致的，以大写金额为准；</w:t>
      </w:r>
    </w:p>
    <w:p>
      <w:pPr>
        <w:pStyle w:val="29"/>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3、单价金额小数点或者百分比有明显错位的，以开标一览表的总价为准，并修改单价；</w:t>
      </w:r>
    </w:p>
    <w:p>
      <w:pPr>
        <w:pStyle w:val="29"/>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4、总价金额与按单价汇总金额不一致的，以单价金额计算结果为准。</w:t>
      </w:r>
    </w:p>
    <w:p>
      <w:pPr>
        <w:pStyle w:val="29"/>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同时出现两种以上不一致的，按照前款规定的顺序修正。修正应当采用书面形式，并加盖公章，或者由法定代表人或其授权的代表签字。修正后的报价经投标人确认后产生约束力，投标人不确认的，其投标无效。</w:t>
      </w:r>
    </w:p>
    <w:p>
      <w:pPr>
        <w:pStyle w:val="29"/>
        <w:spacing w:before="0" w:beforeAutospacing="0" w:after="0" w:afterAutospacing="0" w:line="360" w:lineRule="auto"/>
        <w:ind w:firstLine="361" w:firstLineChars="150"/>
        <w:jc w:val="both"/>
        <w:rPr>
          <w:rFonts w:hint="default" w:asciiTheme="minorEastAsia" w:hAnsiTheme="minorEastAsia" w:eastAsiaTheme="minorEastAsia"/>
          <w:b/>
        </w:rPr>
      </w:pPr>
      <w:r>
        <w:rPr>
          <w:rFonts w:asciiTheme="minorEastAsia" w:hAnsiTheme="minorEastAsia" w:eastAsiaTheme="minorEastAsia"/>
          <w:b/>
          <w:bCs/>
        </w:rPr>
        <w:t>（五）</w:t>
      </w:r>
      <w:r>
        <w:rPr>
          <w:rFonts w:asciiTheme="minorEastAsia" w:hAnsiTheme="minorEastAsia" w:eastAsiaTheme="minorEastAsia"/>
          <w:b/>
        </w:rPr>
        <w:t>投标人存在下列情况之一的，投标无效:</w:t>
      </w:r>
    </w:p>
    <w:p>
      <w:pPr>
        <w:pStyle w:val="29"/>
        <w:spacing w:before="0" w:beforeAutospacing="0" w:after="0" w:afterAutospacing="0" w:line="360" w:lineRule="auto"/>
        <w:ind w:firstLine="465"/>
        <w:jc w:val="both"/>
        <w:rPr>
          <w:rFonts w:hint="default" w:asciiTheme="minorEastAsia" w:hAnsiTheme="minorEastAsia" w:eastAsiaTheme="minorEastAsia"/>
        </w:rPr>
      </w:pPr>
      <w:r>
        <w:rPr>
          <w:rFonts w:asciiTheme="minorEastAsia" w:hAnsiTheme="minorEastAsia" w:eastAsiaTheme="minorEastAsia"/>
        </w:rPr>
        <w:t>1、未按照招标文件的规定提交投标保证金的。</w:t>
      </w:r>
    </w:p>
    <w:p>
      <w:pPr>
        <w:pStyle w:val="29"/>
        <w:spacing w:before="0" w:beforeAutospacing="0" w:after="0" w:afterAutospacing="0" w:line="360" w:lineRule="auto"/>
        <w:ind w:firstLine="465"/>
        <w:jc w:val="both"/>
        <w:rPr>
          <w:rFonts w:hint="default" w:asciiTheme="minorEastAsia" w:hAnsiTheme="minorEastAsia" w:eastAsiaTheme="minorEastAsia"/>
        </w:rPr>
      </w:pPr>
      <w:r>
        <w:rPr>
          <w:rFonts w:asciiTheme="minorEastAsia" w:hAnsiTheme="minorEastAsia" w:eastAsiaTheme="minorEastAsia"/>
        </w:rPr>
        <w:t>2、投标文件未按招标文件要求密封、签署、盖章的（所有盖章均加盖投标单位公章，其它印章均作无效）。</w:t>
      </w:r>
    </w:p>
    <w:p>
      <w:pPr>
        <w:pStyle w:val="29"/>
        <w:tabs>
          <w:tab w:val="left" w:pos="7380"/>
        </w:tabs>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3、不具备招标文件中规定的资格要求的。</w:t>
      </w:r>
      <w:r>
        <w:rPr>
          <w:rFonts w:hint="default" w:asciiTheme="minorEastAsia" w:hAnsiTheme="minorEastAsia" w:eastAsiaTheme="minorEastAsia"/>
        </w:rPr>
        <w:tab/>
      </w:r>
    </w:p>
    <w:p>
      <w:pPr>
        <w:pStyle w:val="29"/>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4、报价超过招标文件中规定的预算金额或者最高限价的。</w:t>
      </w:r>
    </w:p>
    <w:p>
      <w:pPr>
        <w:pStyle w:val="29"/>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5、投标文件含有采购人不能接受的附加条件的。</w:t>
      </w:r>
    </w:p>
    <w:p>
      <w:pPr>
        <w:snapToGrid w:val="0"/>
        <w:spacing w:line="360" w:lineRule="auto"/>
        <w:ind w:firstLine="470" w:firstLineChars="196"/>
        <w:rPr>
          <w:rFonts w:asciiTheme="minorEastAsia" w:hAnsiTheme="minorEastAsia" w:eastAsiaTheme="minorEastAsia"/>
          <w:bCs/>
          <w:kern w:val="0"/>
          <w:sz w:val="24"/>
        </w:rPr>
      </w:pPr>
      <w:r>
        <w:rPr>
          <w:rFonts w:hint="eastAsia" w:asciiTheme="minorEastAsia" w:hAnsiTheme="minorEastAsia" w:eastAsiaTheme="minorEastAsia"/>
          <w:kern w:val="0"/>
          <w:sz w:val="24"/>
        </w:rPr>
        <w:t>6</w:t>
      </w:r>
      <w:r>
        <w:rPr>
          <w:rFonts w:hint="eastAsia" w:asciiTheme="minorEastAsia" w:hAnsiTheme="minorEastAsia" w:eastAsiaTheme="minorEastAsia"/>
          <w:sz w:val="24"/>
        </w:rPr>
        <w:t>、投标代表人未能出具身份证明或与法定代表人授权委托人身份不符的；</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7、资格资信证明文件或技术文件里出现数字报价的。</w:t>
      </w:r>
    </w:p>
    <w:p>
      <w:pPr>
        <w:pStyle w:val="29"/>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8、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9、投标报价高于市场平均价格，评标委员会认为有背《中华人民共和国政府采购法》第十七条的。  </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10、商务需求不响应的。</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11、</w:t>
      </w:r>
      <w:r>
        <w:rPr>
          <w:rFonts w:asciiTheme="minorEastAsia" w:hAnsiTheme="minorEastAsia" w:eastAsiaTheme="minorEastAsia"/>
          <w:kern w:val="0"/>
          <w:sz w:val="24"/>
        </w:rPr>
        <w:t>主要性能参数指标负偏离</w:t>
      </w:r>
      <w:r>
        <w:rPr>
          <w:rFonts w:hint="eastAsia" w:asciiTheme="minorEastAsia" w:hAnsiTheme="minorEastAsia" w:eastAsiaTheme="minorEastAsia"/>
          <w:color w:val="FF0000"/>
          <w:kern w:val="0"/>
          <w:sz w:val="24"/>
          <w:u w:val="single"/>
        </w:rPr>
        <w:t xml:space="preserve"> 15 </w:t>
      </w:r>
      <w:r>
        <w:rPr>
          <w:rFonts w:asciiTheme="minorEastAsia" w:hAnsiTheme="minorEastAsia" w:eastAsiaTheme="minorEastAsia"/>
          <w:kern w:val="0"/>
          <w:sz w:val="24"/>
        </w:rPr>
        <w:t>项（含）以上的</w:t>
      </w:r>
      <w:r>
        <w:rPr>
          <w:rFonts w:hint="eastAsia" w:asciiTheme="minorEastAsia" w:hAnsiTheme="minorEastAsia" w:eastAsiaTheme="minorEastAsia"/>
          <w:kern w:val="0"/>
          <w:sz w:val="24"/>
        </w:rPr>
        <w:t>。</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12、投标文件提供虚假材料的。 </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asciiTheme="minorEastAsia" w:hAnsiTheme="minorEastAsia" w:eastAsiaTheme="minorEastAsia"/>
          <w:kern w:val="0"/>
          <w:sz w:val="24"/>
        </w:rPr>
        <w:t>1</w:t>
      </w:r>
      <w:r>
        <w:rPr>
          <w:rFonts w:hint="eastAsia" w:asciiTheme="minorEastAsia" w:hAnsiTheme="minorEastAsia" w:eastAsiaTheme="minorEastAsia"/>
          <w:kern w:val="0"/>
          <w:sz w:val="24"/>
        </w:rPr>
        <w:t>3</w:t>
      </w:r>
      <w:r>
        <w:rPr>
          <w:rFonts w:asciiTheme="minorEastAsia" w:hAnsiTheme="minorEastAsia" w:eastAsiaTheme="minorEastAsia"/>
          <w:kern w:val="0"/>
          <w:sz w:val="24"/>
        </w:rPr>
        <w:t>、不符合中华人民共和国财政部令第87号《政府采购货物和服务招标投标管理办法》第三十七条情形之一的，视为投标人串通投标，其投标无效</w:t>
      </w:r>
      <w:r>
        <w:rPr>
          <w:rFonts w:hint="eastAsia" w:asciiTheme="minorEastAsia" w:hAnsiTheme="minorEastAsia" w:eastAsiaTheme="minorEastAsia"/>
          <w:kern w:val="0"/>
          <w:sz w:val="24"/>
        </w:rPr>
        <w:t>，并移送采购监管部门</w:t>
      </w:r>
      <w:r>
        <w:rPr>
          <w:rFonts w:asciiTheme="minorEastAsia" w:hAnsiTheme="minorEastAsia" w:eastAsiaTheme="minorEastAsia"/>
          <w:kern w:val="0"/>
          <w:sz w:val="24"/>
        </w:rPr>
        <w:t>：</w:t>
      </w:r>
    </w:p>
    <w:p>
      <w:pPr>
        <w:pStyle w:val="29"/>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（1）不同投标人的投标文件由同一单位或者个人编制；</w:t>
      </w:r>
    </w:p>
    <w:p>
      <w:pPr>
        <w:pStyle w:val="29"/>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（2）不同投标人委托同一单位或者个人办理投标事宜；</w:t>
      </w:r>
    </w:p>
    <w:p>
      <w:pPr>
        <w:pStyle w:val="29"/>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（3）不同投标人的投标文件载明的项目管理成员或者联系人员为同一人；</w:t>
      </w:r>
    </w:p>
    <w:p>
      <w:pPr>
        <w:pStyle w:val="29"/>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（4）不同投标人的投标文件异常一致或者投标报价呈规律性差异；</w:t>
      </w:r>
    </w:p>
    <w:p>
      <w:pPr>
        <w:pStyle w:val="29"/>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（5）不同投标人的投标文件相互混装；</w:t>
      </w:r>
    </w:p>
    <w:p>
      <w:pPr>
        <w:pStyle w:val="29"/>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（6）不同投标人的投标保证金从同一单位或者个人的账户转出。</w:t>
      </w:r>
    </w:p>
    <w:p>
      <w:pPr>
        <w:autoSpaceDE w:val="0"/>
        <w:autoSpaceDN w:val="0"/>
        <w:adjustRightInd w:val="0"/>
        <w:spacing w:line="360" w:lineRule="auto"/>
        <w:ind w:firstLine="480" w:firstLineChars="200"/>
        <w:rPr>
          <w:rFonts w:asciiTheme="minorEastAsia" w:hAnsiTheme="minorEastAsia" w:eastAsiaTheme="minorEastAsia"/>
          <w:color w:val="000000"/>
          <w:kern w:val="0"/>
          <w:sz w:val="24"/>
        </w:rPr>
      </w:pPr>
      <w:r>
        <w:rPr>
          <w:rFonts w:hint="eastAsia" w:asciiTheme="minorEastAsia" w:hAnsiTheme="minorEastAsia" w:eastAsiaTheme="minorEastAsia"/>
          <w:color w:val="000000"/>
          <w:kern w:val="0"/>
          <w:sz w:val="24"/>
        </w:rPr>
        <w:t>14、不符合法律、法规和招标文件中规定的其他实质性要求的（招标文件</w:t>
      </w:r>
    </w:p>
    <w:p>
      <w:pPr>
        <w:tabs>
          <w:tab w:val="right" w:pos="8306"/>
        </w:tabs>
        <w:autoSpaceDE w:val="0"/>
        <w:autoSpaceDN w:val="0"/>
        <w:adjustRightInd w:val="0"/>
        <w:spacing w:line="360" w:lineRule="auto"/>
        <w:rPr>
          <w:rFonts w:asciiTheme="minorEastAsia" w:hAnsiTheme="minorEastAsia" w:eastAsiaTheme="minorEastAsia"/>
          <w:color w:val="000000"/>
          <w:kern w:val="0"/>
          <w:sz w:val="24"/>
        </w:rPr>
      </w:pPr>
      <w:r>
        <w:rPr>
          <w:rFonts w:hint="eastAsia" w:asciiTheme="minorEastAsia" w:hAnsiTheme="minorEastAsia" w:eastAsiaTheme="minorEastAsia"/>
          <w:color w:val="000000"/>
          <w:kern w:val="0"/>
          <w:sz w:val="24"/>
        </w:rPr>
        <w:t>中打“▲”内容及被拒绝的条款）。</w:t>
      </w:r>
      <w:r>
        <w:rPr>
          <w:rFonts w:asciiTheme="minorEastAsia" w:hAnsiTheme="minorEastAsia" w:eastAsiaTheme="minorEastAsia"/>
          <w:color w:val="000000"/>
          <w:kern w:val="0"/>
          <w:sz w:val="24"/>
        </w:rPr>
        <w:tab/>
      </w:r>
    </w:p>
    <w:p>
      <w:pPr>
        <w:autoSpaceDE w:val="0"/>
        <w:autoSpaceDN w:val="0"/>
        <w:adjustRightInd w:val="0"/>
        <w:spacing w:line="360" w:lineRule="auto"/>
        <w:ind w:left="480"/>
        <w:rPr>
          <w:rFonts w:asciiTheme="minorEastAsia" w:hAnsiTheme="minorEastAsia" w:eastAsiaTheme="minorEastAsia"/>
          <w:kern w:val="0"/>
          <w:sz w:val="24"/>
        </w:rPr>
      </w:pPr>
      <w:r>
        <w:rPr>
          <w:rFonts w:hint="eastAsia" w:asciiTheme="minorEastAsia" w:hAnsiTheme="minorEastAsia" w:eastAsiaTheme="minorEastAsia"/>
          <w:b/>
          <w:kern w:val="0"/>
          <w:sz w:val="24"/>
        </w:rPr>
        <w:t>（六）有下列情况之一的，本次招标作为废标处理：</w:t>
      </w:r>
    </w:p>
    <w:p>
      <w:pPr>
        <w:pStyle w:val="29"/>
        <w:spacing w:before="0" w:beforeAutospacing="0" w:after="0" w:afterAutospacing="0" w:line="360" w:lineRule="auto"/>
        <w:ind w:firstLine="600" w:firstLineChars="250"/>
        <w:jc w:val="both"/>
        <w:rPr>
          <w:rFonts w:hint="default" w:asciiTheme="minorEastAsia" w:hAnsiTheme="minorEastAsia" w:eastAsiaTheme="minorEastAsia"/>
        </w:rPr>
      </w:pPr>
      <w:r>
        <w:rPr>
          <w:rFonts w:asciiTheme="minorEastAsia" w:hAnsiTheme="minorEastAsia" w:eastAsiaTheme="minorEastAsia"/>
        </w:rPr>
        <w:t>1、出现影响采购公正的违法、违规行为的；</w:t>
      </w:r>
    </w:p>
    <w:p>
      <w:pPr>
        <w:pStyle w:val="29"/>
        <w:spacing w:before="0" w:beforeAutospacing="0" w:after="0" w:afterAutospacing="0" w:line="360" w:lineRule="auto"/>
        <w:ind w:firstLine="600" w:firstLineChars="250"/>
        <w:jc w:val="both"/>
        <w:rPr>
          <w:rFonts w:hint="default" w:asciiTheme="minorEastAsia" w:hAnsiTheme="minorEastAsia" w:eastAsiaTheme="minorEastAsia"/>
        </w:rPr>
      </w:pPr>
      <w:r>
        <w:rPr>
          <w:rFonts w:asciiTheme="minorEastAsia" w:hAnsiTheme="minorEastAsia" w:eastAsiaTheme="minorEastAsia"/>
        </w:rPr>
        <w:t xml:space="preserve">2、评标委员会发现招标文件存在歧义、重大缺陷导致评标工作无法进行，或者招标文件内容违反国家有关强制性规定的； </w:t>
      </w:r>
    </w:p>
    <w:p>
      <w:pPr>
        <w:pStyle w:val="29"/>
        <w:spacing w:before="0" w:beforeAutospacing="0" w:after="0" w:afterAutospacing="0" w:line="360" w:lineRule="auto"/>
        <w:ind w:firstLine="600" w:firstLineChars="250"/>
        <w:jc w:val="both"/>
        <w:rPr>
          <w:rFonts w:hint="default" w:asciiTheme="minorEastAsia" w:hAnsiTheme="minorEastAsia" w:eastAsiaTheme="minorEastAsia"/>
        </w:rPr>
      </w:pPr>
      <w:r>
        <w:rPr>
          <w:rFonts w:asciiTheme="minorEastAsia" w:hAnsiTheme="minorEastAsia" w:eastAsiaTheme="minorEastAsia"/>
        </w:rPr>
        <w:t>3、投标人技术性能得分均低于技术性能分值60%，被评标委员会认定为不具有履行合同所必需的设备和专业技术能力的；</w:t>
      </w:r>
    </w:p>
    <w:p>
      <w:pPr>
        <w:pStyle w:val="29"/>
        <w:spacing w:before="0" w:beforeAutospacing="0" w:after="0" w:afterAutospacing="0" w:line="360" w:lineRule="auto"/>
        <w:ind w:firstLine="600" w:firstLineChars="250"/>
        <w:jc w:val="both"/>
        <w:rPr>
          <w:rFonts w:hint="default" w:asciiTheme="minorEastAsia" w:hAnsiTheme="minorEastAsia" w:eastAsiaTheme="minorEastAsia"/>
        </w:rPr>
      </w:pPr>
      <w:r>
        <w:rPr>
          <w:rFonts w:asciiTheme="minorEastAsia" w:hAnsiTheme="minorEastAsia" w:eastAsiaTheme="minorEastAsia"/>
        </w:rPr>
        <w:t>4、因重大变故，采购任务取消的；</w:t>
      </w:r>
    </w:p>
    <w:p>
      <w:pPr>
        <w:pStyle w:val="29"/>
        <w:spacing w:before="0" w:beforeAutospacing="0" w:after="0" w:afterAutospacing="0" w:line="360" w:lineRule="auto"/>
        <w:ind w:firstLine="600" w:firstLineChars="250"/>
        <w:jc w:val="both"/>
        <w:rPr>
          <w:rFonts w:hint="default" w:asciiTheme="minorEastAsia" w:hAnsiTheme="minorEastAsia" w:eastAsiaTheme="minorEastAsia"/>
        </w:rPr>
      </w:pPr>
      <w:r>
        <w:rPr>
          <w:rFonts w:asciiTheme="minorEastAsia" w:hAnsiTheme="minorEastAsia" w:eastAsiaTheme="minorEastAsia"/>
        </w:rPr>
        <w:t>5、法律、法规和招标文件规定的其他导致评标结果无效的。</w:t>
      </w:r>
    </w:p>
    <w:p>
      <w:pPr>
        <w:pStyle w:val="18"/>
        <w:tabs>
          <w:tab w:val="left" w:pos="630"/>
        </w:tabs>
        <w:snapToGrid w:val="0"/>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color w:val="000000"/>
          <w:sz w:val="24"/>
        </w:rPr>
        <w:t>（</w:t>
      </w:r>
      <w:r>
        <w:rPr>
          <w:rFonts w:hint="eastAsia" w:asciiTheme="minorEastAsia" w:hAnsiTheme="minorEastAsia" w:eastAsiaTheme="minorEastAsia"/>
          <w:b/>
          <w:color w:val="000000"/>
          <w:sz w:val="24"/>
        </w:rPr>
        <w:t>七</w:t>
      </w:r>
      <w:r>
        <w:rPr>
          <w:rFonts w:asciiTheme="minorEastAsia" w:hAnsiTheme="minorEastAsia" w:eastAsiaTheme="minorEastAsia"/>
          <w:b/>
          <w:color w:val="000000"/>
          <w:sz w:val="24"/>
        </w:rPr>
        <w:t>）</w:t>
      </w:r>
      <w:r>
        <w:rPr>
          <w:rFonts w:asciiTheme="minorEastAsia" w:hAnsiTheme="minorEastAsia" w:eastAsiaTheme="minorEastAsia"/>
          <w:b/>
          <w:sz w:val="24"/>
        </w:rPr>
        <w:t>评标原则和评标办法</w:t>
      </w:r>
    </w:p>
    <w:p>
      <w:pPr>
        <w:pStyle w:val="18"/>
        <w:snapToGrid w:val="0"/>
        <w:spacing w:line="360" w:lineRule="auto"/>
        <w:ind w:firstLine="600" w:firstLineChars="25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18"/>
        <w:snapToGrid w:val="0"/>
        <w:spacing w:line="360" w:lineRule="auto"/>
        <w:ind w:firstLine="600" w:firstLineChars="25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评标办法。具体评标内容及评分标准等详见《第四</w:t>
      </w:r>
      <w:r>
        <w:rPr>
          <w:rFonts w:hint="eastAsia" w:asciiTheme="minorEastAsia" w:hAnsiTheme="minorEastAsia" w:eastAsiaTheme="minorEastAsia"/>
          <w:sz w:val="24"/>
        </w:rPr>
        <w:t>部分</w:t>
      </w:r>
      <w:r>
        <w:rPr>
          <w:rFonts w:asciiTheme="minorEastAsia" w:hAnsiTheme="minorEastAsia" w:eastAsiaTheme="minorEastAsia"/>
          <w:sz w:val="24"/>
        </w:rPr>
        <w:t>：评标</w:t>
      </w:r>
      <w:r>
        <w:rPr>
          <w:rFonts w:hint="eastAsia" w:asciiTheme="minorEastAsia" w:hAnsiTheme="minorEastAsia" w:eastAsiaTheme="minorEastAsia"/>
          <w:sz w:val="24"/>
        </w:rPr>
        <w:t>方</w:t>
      </w:r>
      <w:r>
        <w:rPr>
          <w:rFonts w:asciiTheme="minorEastAsia" w:hAnsiTheme="minorEastAsia" w:eastAsiaTheme="minorEastAsia"/>
          <w:sz w:val="24"/>
        </w:rPr>
        <w:t>法及评分标准》。</w:t>
      </w:r>
    </w:p>
    <w:p>
      <w:pPr>
        <w:pStyle w:val="18"/>
        <w:snapToGrid w:val="0"/>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w:t>
      </w:r>
      <w:r>
        <w:rPr>
          <w:rFonts w:hint="eastAsia" w:asciiTheme="minorEastAsia" w:hAnsiTheme="minorEastAsia" w:eastAsiaTheme="minorEastAsia"/>
          <w:b/>
          <w:sz w:val="24"/>
        </w:rPr>
        <w:t>八</w:t>
      </w:r>
      <w:r>
        <w:rPr>
          <w:rFonts w:asciiTheme="minorEastAsia" w:hAnsiTheme="minorEastAsia" w:eastAsiaTheme="minorEastAsia"/>
          <w:b/>
          <w:sz w:val="24"/>
        </w:rPr>
        <w:t>）评标过程的监控</w:t>
      </w:r>
    </w:p>
    <w:p>
      <w:pPr>
        <w:pStyle w:val="29"/>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本项目评标过程实行全程录音、录像监控（或请政府采购监管部门将同时进行现场监督），投标人在评标过程中所进行的试图影响评标结果的不公正活动，可能导致其投标被拒绝。</w:t>
      </w:r>
    </w:p>
    <w:p>
      <w:pPr>
        <w:pStyle w:val="29"/>
        <w:spacing w:before="0" w:beforeAutospacing="0" w:after="0" w:afterAutospacing="0" w:line="360" w:lineRule="auto"/>
        <w:jc w:val="both"/>
        <w:rPr>
          <w:rFonts w:hint="default" w:asciiTheme="minorEastAsia" w:hAnsiTheme="minorEastAsia" w:eastAsiaTheme="minorEastAsia"/>
          <w:b/>
          <w:sz w:val="28"/>
          <w:szCs w:val="28"/>
        </w:rPr>
      </w:pPr>
      <w:r>
        <w:rPr>
          <w:rFonts w:asciiTheme="minorEastAsia" w:hAnsiTheme="minorEastAsia" w:eastAsiaTheme="minorEastAsia"/>
          <w:b/>
          <w:sz w:val="28"/>
          <w:szCs w:val="28"/>
        </w:rPr>
        <w:t>七、定标</w:t>
      </w:r>
    </w:p>
    <w:p>
      <w:pPr>
        <w:pStyle w:val="29"/>
        <w:spacing w:before="0" w:beforeAutospacing="0" w:after="0" w:afterAutospacing="0" w:line="360" w:lineRule="auto"/>
        <w:ind w:firstLine="600" w:firstLineChars="250"/>
        <w:jc w:val="both"/>
        <w:rPr>
          <w:rFonts w:hint="default" w:asciiTheme="minorEastAsia" w:hAnsiTheme="minorEastAsia" w:eastAsiaTheme="minorEastAsia"/>
        </w:rPr>
      </w:pPr>
      <w:r>
        <w:rPr>
          <w:rFonts w:asciiTheme="minorEastAsia" w:hAnsiTheme="minorEastAsia" w:eastAsiaTheme="minorEastAsia"/>
        </w:rPr>
        <w:t>评标委员会根据采购单位的委托协议，推荐或确定中标供应商。</w:t>
      </w:r>
    </w:p>
    <w:p>
      <w:pPr>
        <w:pStyle w:val="29"/>
        <w:spacing w:before="0" w:beforeAutospacing="0" w:after="0" w:afterAutospacing="0" w:line="360" w:lineRule="auto"/>
        <w:jc w:val="both"/>
        <w:rPr>
          <w:rFonts w:hint="default" w:asciiTheme="minorEastAsia" w:hAnsiTheme="minorEastAsia" w:eastAsiaTheme="minorEastAsia"/>
          <w:b/>
          <w:sz w:val="28"/>
          <w:szCs w:val="28"/>
        </w:rPr>
      </w:pPr>
      <w:r>
        <w:rPr>
          <w:rFonts w:asciiTheme="minorEastAsia" w:hAnsiTheme="minorEastAsia" w:eastAsiaTheme="minorEastAsia"/>
          <w:b/>
          <w:sz w:val="28"/>
          <w:szCs w:val="28"/>
        </w:rPr>
        <w:t>八、合同授予</w:t>
      </w:r>
    </w:p>
    <w:p>
      <w:pPr>
        <w:pStyle w:val="29"/>
        <w:spacing w:before="0" w:beforeAutospacing="0" w:after="0" w:afterAutospacing="0" w:line="360" w:lineRule="auto"/>
        <w:ind w:firstLine="600" w:firstLineChars="250"/>
        <w:jc w:val="both"/>
        <w:rPr>
          <w:rFonts w:hint="default" w:asciiTheme="minorEastAsia" w:hAnsiTheme="minorEastAsia" w:eastAsiaTheme="minorEastAsia"/>
        </w:rPr>
      </w:pPr>
      <w:r>
        <w:rPr>
          <w:rFonts w:asciiTheme="minorEastAsia" w:hAnsiTheme="minorEastAsia" w:eastAsiaTheme="minorEastAsia"/>
        </w:rPr>
        <w:t>1、中标结果将自中标人确定之日起2个工作日内在省级以上财政部门指定的媒体及相关网站公告。</w:t>
      </w:r>
    </w:p>
    <w:p>
      <w:pPr>
        <w:pStyle w:val="29"/>
        <w:spacing w:before="0" w:beforeAutospacing="0" w:after="0" w:afterAutospacing="0" w:line="360" w:lineRule="auto"/>
        <w:ind w:firstLine="600" w:firstLineChars="250"/>
        <w:jc w:val="both"/>
        <w:rPr>
          <w:rFonts w:hint="default" w:asciiTheme="minorEastAsia" w:hAnsiTheme="minorEastAsia" w:eastAsiaTheme="minorEastAsia"/>
        </w:rPr>
      </w:pPr>
      <w:r>
        <w:rPr>
          <w:rFonts w:asciiTheme="minorEastAsia" w:hAnsiTheme="minorEastAsia" w:eastAsiaTheme="minorEastAsia"/>
        </w:rPr>
        <w:t>2、采购人应当在《中标通知书》中要求的时间内，按照招标文件和中标人投标文件的规定，与中标人签订书面合同。所签订的合同不得对招标文件确定的事项和中标人投标文件作实质性修改。</w:t>
      </w:r>
    </w:p>
    <w:p>
      <w:pPr>
        <w:pStyle w:val="29"/>
        <w:spacing w:before="0" w:beforeAutospacing="0" w:after="0" w:afterAutospacing="0" w:line="360" w:lineRule="auto"/>
        <w:ind w:firstLine="465"/>
        <w:jc w:val="both"/>
        <w:rPr>
          <w:rFonts w:hint="default" w:asciiTheme="minorEastAsia" w:hAnsiTheme="minorEastAsia" w:eastAsiaTheme="minorEastAsia"/>
        </w:rPr>
      </w:pPr>
      <w:r>
        <w:rPr>
          <w:rFonts w:asciiTheme="minorEastAsia" w:hAnsiTheme="minorEastAsia" w:eastAsiaTheme="minorEastAsia"/>
        </w:rPr>
        <w:t>采购人不得向中标人提出任何不合理的要求作为签订合同的条件。</w:t>
      </w:r>
    </w:p>
    <w:p>
      <w:pPr>
        <w:pStyle w:val="29"/>
        <w:spacing w:before="0" w:beforeAutospacing="0" w:after="0" w:afterAutospacing="0" w:line="360" w:lineRule="auto"/>
        <w:ind w:firstLine="465"/>
        <w:jc w:val="both"/>
        <w:rPr>
          <w:rFonts w:hint="default" w:asciiTheme="minorEastAsia" w:hAnsiTheme="minorEastAsia" w:eastAsiaTheme="minorEastAsia"/>
        </w:rPr>
      </w:pPr>
      <w:r>
        <w:rPr>
          <w:rFonts w:asciiTheme="minorEastAsia" w:hAnsiTheme="minorEastAsia" w:eastAsiaTheme="minorEastAsia"/>
        </w:rPr>
        <w:t>3、中标供应商拖延、拒签合同的,投标保证金将不予退还并取消中标资格。</w:t>
      </w:r>
    </w:p>
    <w:p>
      <w:pPr>
        <w:pStyle w:val="18"/>
        <w:snapToGrid w:val="0"/>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sz w:val="24"/>
        </w:rPr>
        <w:t>4、</w:t>
      </w:r>
      <w:r>
        <w:rPr>
          <w:rFonts w:hint="eastAsia" w:asciiTheme="minorEastAsia" w:hAnsiTheme="minorEastAsia" w:eastAsiaTheme="minorEastAsia"/>
          <w:kern w:val="0"/>
          <w:sz w:val="24"/>
        </w:rPr>
        <w:t>如需合同履约保证金的请合同双方在签定合同时商定，</w:t>
      </w:r>
      <w:r>
        <w:rPr>
          <w:rFonts w:cs="宋体" w:asciiTheme="minorEastAsia" w:hAnsiTheme="minorEastAsia" w:eastAsiaTheme="minorEastAsia"/>
          <w:color w:val="000000"/>
          <w:kern w:val="0"/>
          <w:sz w:val="24"/>
        </w:rPr>
        <w:t>但履约保证金的数额不得超过政府采购合同金额的10%</w:t>
      </w:r>
      <w:r>
        <w:rPr>
          <w:rFonts w:hint="eastAsia" w:asciiTheme="minorEastAsia" w:hAnsiTheme="minorEastAsia" w:eastAsiaTheme="minorEastAsia"/>
          <w:color w:val="000000"/>
          <w:kern w:val="0"/>
          <w:sz w:val="24"/>
        </w:rPr>
        <w:t>。</w:t>
      </w:r>
    </w:p>
    <w:p>
      <w:pPr>
        <w:autoSpaceDE w:val="0"/>
        <w:autoSpaceDN w:val="0"/>
        <w:adjustRightInd w:val="0"/>
        <w:spacing w:line="360" w:lineRule="auto"/>
        <w:jc w:val="center"/>
        <w:rPr>
          <w:rFonts w:asciiTheme="minorEastAsia" w:hAnsiTheme="minorEastAsia" w:eastAsiaTheme="minorEastAsia"/>
          <w:sz w:val="36"/>
          <w:szCs w:val="36"/>
        </w:rPr>
      </w:pPr>
    </w:p>
    <w:p>
      <w:pPr>
        <w:autoSpaceDE w:val="0"/>
        <w:autoSpaceDN w:val="0"/>
        <w:adjustRightInd w:val="0"/>
        <w:spacing w:line="360" w:lineRule="auto"/>
        <w:jc w:val="center"/>
        <w:rPr>
          <w:rFonts w:asciiTheme="minorEastAsia" w:hAnsiTheme="minorEastAsia" w:eastAsiaTheme="minorEastAsia"/>
          <w:sz w:val="36"/>
          <w:szCs w:val="36"/>
        </w:rPr>
      </w:pPr>
    </w:p>
    <w:p>
      <w:pPr>
        <w:autoSpaceDE w:val="0"/>
        <w:autoSpaceDN w:val="0"/>
        <w:adjustRightInd w:val="0"/>
        <w:spacing w:line="360" w:lineRule="auto"/>
        <w:jc w:val="center"/>
        <w:rPr>
          <w:rFonts w:asciiTheme="minorEastAsia" w:hAnsiTheme="minorEastAsia" w:eastAsiaTheme="minorEastAsia"/>
          <w:sz w:val="36"/>
          <w:szCs w:val="36"/>
        </w:rPr>
      </w:pPr>
    </w:p>
    <w:p>
      <w:pPr>
        <w:autoSpaceDE w:val="0"/>
        <w:autoSpaceDN w:val="0"/>
        <w:adjustRightInd w:val="0"/>
        <w:spacing w:line="360" w:lineRule="auto"/>
        <w:jc w:val="center"/>
        <w:rPr>
          <w:rFonts w:asciiTheme="minorEastAsia" w:hAnsiTheme="minorEastAsia" w:eastAsiaTheme="minorEastAsia"/>
          <w:sz w:val="36"/>
          <w:szCs w:val="36"/>
        </w:rPr>
      </w:pPr>
    </w:p>
    <w:p>
      <w:pPr>
        <w:autoSpaceDE w:val="0"/>
        <w:autoSpaceDN w:val="0"/>
        <w:adjustRightInd w:val="0"/>
        <w:spacing w:line="360" w:lineRule="auto"/>
        <w:jc w:val="center"/>
        <w:rPr>
          <w:rFonts w:asciiTheme="minorEastAsia" w:hAnsiTheme="minorEastAsia" w:eastAsiaTheme="minorEastAsia"/>
          <w:sz w:val="36"/>
          <w:szCs w:val="36"/>
        </w:rPr>
      </w:pPr>
    </w:p>
    <w:p>
      <w:pPr>
        <w:autoSpaceDE w:val="0"/>
        <w:autoSpaceDN w:val="0"/>
        <w:adjustRightInd w:val="0"/>
        <w:spacing w:line="360" w:lineRule="auto"/>
        <w:jc w:val="center"/>
        <w:rPr>
          <w:rFonts w:asciiTheme="minorEastAsia" w:hAnsiTheme="minorEastAsia" w:eastAsiaTheme="minorEastAsia"/>
          <w:sz w:val="36"/>
          <w:szCs w:val="36"/>
        </w:rPr>
      </w:pPr>
    </w:p>
    <w:p>
      <w:pPr>
        <w:autoSpaceDE w:val="0"/>
        <w:autoSpaceDN w:val="0"/>
        <w:adjustRightInd w:val="0"/>
        <w:spacing w:line="360" w:lineRule="auto"/>
        <w:jc w:val="center"/>
        <w:rPr>
          <w:rFonts w:asciiTheme="minorEastAsia" w:hAnsiTheme="minorEastAsia" w:eastAsiaTheme="minorEastAsia"/>
          <w:sz w:val="36"/>
          <w:szCs w:val="36"/>
        </w:rPr>
      </w:pPr>
    </w:p>
    <w:p>
      <w:pPr>
        <w:autoSpaceDE w:val="0"/>
        <w:autoSpaceDN w:val="0"/>
        <w:adjustRightInd w:val="0"/>
        <w:spacing w:line="360" w:lineRule="auto"/>
        <w:jc w:val="center"/>
        <w:rPr>
          <w:rFonts w:asciiTheme="minorEastAsia" w:hAnsiTheme="minorEastAsia" w:eastAsiaTheme="minorEastAsia"/>
          <w:sz w:val="36"/>
          <w:szCs w:val="36"/>
        </w:rPr>
      </w:pPr>
    </w:p>
    <w:p>
      <w:pPr>
        <w:autoSpaceDE w:val="0"/>
        <w:autoSpaceDN w:val="0"/>
        <w:adjustRightInd w:val="0"/>
        <w:spacing w:line="360" w:lineRule="auto"/>
        <w:jc w:val="center"/>
        <w:rPr>
          <w:rFonts w:asciiTheme="minorEastAsia" w:hAnsiTheme="minorEastAsia" w:eastAsiaTheme="minorEastAsia"/>
          <w:sz w:val="36"/>
          <w:szCs w:val="36"/>
        </w:rPr>
      </w:pPr>
    </w:p>
    <w:p>
      <w:pPr>
        <w:autoSpaceDE w:val="0"/>
        <w:autoSpaceDN w:val="0"/>
        <w:adjustRightInd w:val="0"/>
        <w:spacing w:line="360" w:lineRule="auto"/>
        <w:jc w:val="center"/>
        <w:rPr>
          <w:rFonts w:asciiTheme="minorEastAsia" w:hAnsiTheme="minorEastAsia" w:eastAsiaTheme="minorEastAsia"/>
          <w:sz w:val="36"/>
          <w:szCs w:val="36"/>
        </w:rPr>
      </w:pPr>
    </w:p>
    <w:p>
      <w:pPr>
        <w:autoSpaceDE w:val="0"/>
        <w:autoSpaceDN w:val="0"/>
        <w:adjustRightInd w:val="0"/>
        <w:spacing w:line="360" w:lineRule="auto"/>
        <w:jc w:val="center"/>
        <w:rPr>
          <w:rFonts w:asciiTheme="minorEastAsia" w:hAnsiTheme="minorEastAsia" w:eastAsiaTheme="minorEastAsia"/>
          <w:sz w:val="36"/>
          <w:szCs w:val="36"/>
        </w:rPr>
      </w:pPr>
    </w:p>
    <w:p>
      <w:pPr>
        <w:autoSpaceDE w:val="0"/>
        <w:autoSpaceDN w:val="0"/>
        <w:adjustRightInd w:val="0"/>
        <w:spacing w:line="360" w:lineRule="auto"/>
        <w:rPr>
          <w:rFonts w:asciiTheme="majorEastAsia" w:hAnsiTheme="majorEastAsia" w:eastAsiaTheme="majorEastAsia"/>
          <w:b/>
          <w:sz w:val="36"/>
          <w:szCs w:val="36"/>
        </w:rPr>
      </w:pPr>
    </w:p>
    <w:p>
      <w:pPr>
        <w:autoSpaceDE w:val="0"/>
        <w:autoSpaceDN w:val="0"/>
        <w:adjustRightInd w:val="0"/>
        <w:spacing w:line="360" w:lineRule="auto"/>
        <w:jc w:val="center"/>
        <w:rPr>
          <w:rFonts w:asciiTheme="majorEastAsia" w:hAnsiTheme="majorEastAsia" w:eastAsiaTheme="majorEastAsia"/>
          <w:b/>
          <w:kern w:val="0"/>
          <w:sz w:val="10"/>
        </w:rPr>
      </w:pPr>
      <w:r>
        <w:rPr>
          <w:rFonts w:hint="eastAsia" w:asciiTheme="majorEastAsia" w:hAnsiTheme="majorEastAsia" w:eastAsiaTheme="majorEastAsia"/>
          <w:b/>
          <w:sz w:val="36"/>
          <w:szCs w:val="36"/>
        </w:rPr>
        <w:t>第</w:t>
      </w:r>
      <w:r>
        <w:rPr>
          <w:rFonts w:hint="eastAsia" w:asciiTheme="majorEastAsia" w:hAnsiTheme="majorEastAsia" w:eastAsiaTheme="majorEastAsia"/>
          <w:b/>
          <w:kern w:val="0"/>
          <w:sz w:val="36"/>
        </w:rPr>
        <w:t>四</w:t>
      </w:r>
      <w:r>
        <w:rPr>
          <w:rFonts w:hint="eastAsia" w:asciiTheme="majorEastAsia" w:hAnsiTheme="majorEastAsia" w:eastAsiaTheme="majorEastAsia"/>
          <w:b/>
          <w:sz w:val="36"/>
          <w:szCs w:val="36"/>
        </w:rPr>
        <w:t>部分</w:t>
      </w:r>
      <w:r>
        <w:rPr>
          <w:rFonts w:hint="eastAsia" w:asciiTheme="majorEastAsia" w:hAnsiTheme="majorEastAsia" w:eastAsiaTheme="majorEastAsia"/>
          <w:b/>
          <w:kern w:val="0"/>
          <w:sz w:val="36"/>
        </w:rPr>
        <w:t>　评标方法、评标标准</w:t>
      </w:r>
    </w:p>
    <w:p>
      <w:pPr>
        <w:autoSpaceDE w:val="0"/>
        <w:autoSpaceDN w:val="0"/>
        <w:spacing w:line="360" w:lineRule="auto"/>
        <w:ind w:firstLine="480" w:firstLineChars="200"/>
        <w:rPr>
          <w:rFonts w:asciiTheme="minorEastAsia" w:hAnsiTheme="minorEastAsia" w:eastAsiaTheme="minorEastAsia"/>
          <w:kern w:val="0"/>
          <w:sz w:val="24"/>
        </w:rPr>
      </w:pPr>
    </w:p>
    <w:p>
      <w:pPr>
        <w:autoSpaceDE w:val="0"/>
        <w:autoSpaceDN w:val="0"/>
        <w:spacing w:line="360" w:lineRule="auto"/>
        <w:ind w:firstLine="480" w:firstLineChars="200"/>
        <w:rPr>
          <w:rFonts w:asciiTheme="minorEastAsia" w:hAnsiTheme="minorEastAsia" w:eastAsiaTheme="minorEastAsia"/>
          <w:b/>
          <w:i/>
          <w:kern w:val="0"/>
          <w:sz w:val="24"/>
        </w:rPr>
      </w:pPr>
      <w:r>
        <w:rPr>
          <w:rFonts w:hint="eastAsia" w:asciiTheme="minorEastAsia" w:hAnsiTheme="minorEastAsia" w:eastAsiaTheme="minorEastAsia"/>
          <w:kern w:val="0"/>
          <w:sz w:val="24"/>
        </w:rPr>
        <w:t>一、招标人将组织评标委员会，对投标人提供的投标文件进行综合评审。</w:t>
      </w:r>
    </w:p>
    <w:p>
      <w:pPr>
        <w:autoSpaceDE w:val="0"/>
        <w:autoSpaceDN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二、评标委员会按抽签序号听取投标单位的情况介绍，对有关问题进行询标。</w:t>
      </w:r>
    </w:p>
    <w:p>
      <w:pPr>
        <w:autoSpaceDE w:val="0"/>
        <w:autoSpaceDN w:val="0"/>
        <w:adjustRightInd w:val="0"/>
        <w:spacing w:line="360" w:lineRule="auto"/>
        <w:ind w:left="359" w:leftChars="171" w:firstLine="120" w:firstLineChars="50"/>
        <w:jc w:val="left"/>
        <w:rPr>
          <w:rFonts w:asciiTheme="minorEastAsia" w:hAnsiTheme="minorEastAsia" w:eastAsiaTheme="minorEastAsia"/>
          <w:kern w:val="0"/>
          <w:sz w:val="24"/>
        </w:rPr>
      </w:pPr>
      <w:r>
        <w:rPr>
          <w:rFonts w:hint="eastAsia" w:asciiTheme="minorEastAsia" w:hAnsiTheme="minorEastAsia" w:eastAsiaTheme="minorEastAsia"/>
          <w:kern w:val="0"/>
          <w:sz w:val="24"/>
        </w:rPr>
        <w:t>三、本次招标项目的评标方法为</w:t>
      </w:r>
      <w:r>
        <w:rPr>
          <w:rFonts w:hint="eastAsia" w:asciiTheme="minorEastAsia" w:hAnsiTheme="minorEastAsia" w:eastAsiaTheme="minorEastAsia"/>
          <w:b/>
          <w:kern w:val="0"/>
          <w:sz w:val="24"/>
        </w:rPr>
        <w:t>综合评分法</w:t>
      </w:r>
      <w:r>
        <w:rPr>
          <w:rFonts w:hint="eastAsia" w:asciiTheme="minorEastAsia" w:hAnsiTheme="minorEastAsia" w:eastAsiaTheme="minorEastAsia"/>
          <w:kern w:val="0"/>
          <w:sz w:val="24"/>
        </w:rPr>
        <w:t>，总计100分。评标标准按以下5项内容及分值进行评审。</w:t>
      </w:r>
    </w:p>
    <w:p>
      <w:pPr>
        <w:autoSpaceDE w:val="0"/>
        <w:autoSpaceDN w:val="0"/>
        <w:adjustRightInd w:val="0"/>
        <w:spacing w:line="360" w:lineRule="auto"/>
        <w:ind w:left="480"/>
        <w:jc w:val="left"/>
        <w:rPr>
          <w:rFonts w:asciiTheme="minorEastAsia" w:hAnsiTheme="minorEastAsia" w:eastAsiaTheme="minorEastAsia"/>
          <w:kern w:val="0"/>
          <w:sz w:val="24"/>
        </w:rPr>
      </w:pPr>
    </w:p>
    <w:tbl>
      <w:tblPr>
        <w:tblStyle w:val="36"/>
        <w:tblW w:w="5734" w:type="dxa"/>
        <w:jc w:val="center"/>
        <w:tblInd w:w="-21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7"/>
        <w:gridCol w:w="2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57" w:type="dxa"/>
            <w:shd w:val="clear" w:color="auto" w:fill="BEBEBE"/>
            <w:vAlign w:val="center"/>
          </w:tcPr>
          <w:p>
            <w:pPr>
              <w:autoSpaceDE w:val="0"/>
              <w:autoSpaceDN w:val="0"/>
              <w:adjustRightInd w:val="0"/>
              <w:spacing w:line="480" w:lineRule="auto"/>
              <w:jc w:val="center"/>
              <w:rPr>
                <w:rFonts w:asciiTheme="minorEastAsia" w:hAnsiTheme="minorEastAsia" w:eastAsiaTheme="minorEastAsia"/>
                <w:kern w:val="0"/>
                <w:sz w:val="24"/>
              </w:rPr>
            </w:pPr>
          </w:p>
        </w:tc>
        <w:tc>
          <w:tcPr>
            <w:tcW w:w="2777" w:type="dxa"/>
            <w:shd w:val="clear" w:color="auto" w:fill="BEBEBE"/>
            <w:vAlign w:val="center"/>
          </w:tcPr>
          <w:p>
            <w:pPr>
              <w:autoSpaceDE w:val="0"/>
              <w:autoSpaceDN w:val="0"/>
              <w:adjustRightInd w:val="0"/>
              <w:spacing w:line="480" w:lineRule="auto"/>
              <w:jc w:val="center"/>
              <w:rPr>
                <w:rFonts w:ascii="宋体"/>
                <w:b/>
                <w:bCs/>
                <w:kern w:val="0"/>
                <w:sz w:val="24"/>
                <w:shd w:val="clear" w:color="auto" w:fill="BEBEBE"/>
              </w:rPr>
            </w:pPr>
            <w:r>
              <w:rPr>
                <w:rFonts w:hint="eastAsia" w:ascii="宋体"/>
                <w:b/>
                <w:bCs/>
                <w:kern w:val="0"/>
                <w:sz w:val="24"/>
                <w:shd w:val="clear" w:color="auto" w:fill="BEBEBE"/>
              </w:rPr>
              <w:t>第1标段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57" w:type="dxa"/>
            <w:shd w:val="clear" w:color="auto" w:fill="BEBEBE"/>
            <w:vAlign w:val="center"/>
          </w:tcPr>
          <w:p>
            <w:pPr>
              <w:autoSpaceDE w:val="0"/>
              <w:autoSpaceDN w:val="0"/>
              <w:adjustRightInd w:val="0"/>
              <w:rPr>
                <w:rFonts w:asciiTheme="minorEastAsia" w:hAnsiTheme="minorEastAsia" w:eastAsiaTheme="minorEastAsia"/>
                <w:kern w:val="0"/>
                <w:sz w:val="24"/>
              </w:rPr>
            </w:pPr>
            <w:r>
              <w:rPr>
                <w:rFonts w:hint="eastAsia" w:ascii="宋体"/>
                <w:b/>
                <w:bCs/>
                <w:kern w:val="0"/>
                <w:sz w:val="24"/>
              </w:rPr>
              <w:t>技术性能</w:t>
            </w:r>
          </w:p>
        </w:tc>
        <w:tc>
          <w:tcPr>
            <w:tcW w:w="2777" w:type="dxa"/>
            <w:vAlign w:val="center"/>
          </w:tcPr>
          <w:p>
            <w:pPr>
              <w:autoSpaceDE w:val="0"/>
              <w:autoSpaceDN w:val="0"/>
              <w:adjustRightInd w:val="0"/>
              <w:spacing w:line="480" w:lineRule="auto"/>
              <w:jc w:val="center"/>
              <w:rPr>
                <w:rFonts w:ascii="宋体" w:eastAsiaTheme="minorEastAsia"/>
                <w:kern w:val="0"/>
                <w:sz w:val="24"/>
              </w:rPr>
            </w:pPr>
            <w:r>
              <w:rPr>
                <w:rFonts w:hint="eastAsia" w:ascii="宋体" w:eastAsiaTheme="minorEastAsia"/>
                <w:kern w:val="0"/>
                <w:sz w:val="24"/>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57" w:type="dxa"/>
            <w:shd w:val="clear" w:color="auto" w:fill="BEBEBE"/>
            <w:vAlign w:val="center"/>
          </w:tcPr>
          <w:p>
            <w:pPr>
              <w:autoSpaceDE w:val="0"/>
              <w:autoSpaceDN w:val="0"/>
              <w:adjustRightInd w:val="0"/>
              <w:rPr>
                <w:rFonts w:asciiTheme="minorEastAsia" w:hAnsiTheme="minorEastAsia" w:eastAsiaTheme="minorEastAsia"/>
                <w:kern w:val="0"/>
                <w:sz w:val="24"/>
              </w:rPr>
            </w:pPr>
            <w:r>
              <w:rPr>
                <w:rFonts w:hint="eastAsia" w:ascii="宋体"/>
                <w:b/>
                <w:bCs/>
                <w:kern w:val="0"/>
                <w:sz w:val="24"/>
              </w:rPr>
              <w:t>实力信誉及业绩</w:t>
            </w:r>
          </w:p>
        </w:tc>
        <w:tc>
          <w:tcPr>
            <w:tcW w:w="2777" w:type="dxa"/>
            <w:vAlign w:val="center"/>
          </w:tcPr>
          <w:p>
            <w:pPr>
              <w:autoSpaceDE w:val="0"/>
              <w:autoSpaceDN w:val="0"/>
              <w:adjustRightInd w:val="0"/>
              <w:spacing w:line="480" w:lineRule="auto"/>
              <w:jc w:val="center"/>
              <w:rPr>
                <w:rFonts w:ascii="宋体" w:eastAsiaTheme="minorEastAsia"/>
                <w:kern w:val="0"/>
                <w:sz w:val="24"/>
              </w:rPr>
            </w:pPr>
            <w:r>
              <w:rPr>
                <w:rFonts w:hint="eastAsia" w:ascii="宋体" w:eastAsiaTheme="minorEastAsia"/>
                <w:kern w:val="0"/>
                <w:sz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957" w:type="dxa"/>
            <w:shd w:val="clear" w:color="auto" w:fill="BEBEBE"/>
            <w:vAlign w:val="center"/>
          </w:tcPr>
          <w:p>
            <w:pPr>
              <w:autoSpaceDE w:val="0"/>
              <w:autoSpaceDN w:val="0"/>
              <w:adjustRightInd w:val="0"/>
              <w:rPr>
                <w:rFonts w:asciiTheme="minorEastAsia" w:hAnsiTheme="minorEastAsia" w:eastAsiaTheme="minorEastAsia"/>
                <w:kern w:val="0"/>
                <w:sz w:val="24"/>
              </w:rPr>
            </w:pPr>
            <w:r>
              <w:rPr>
                <w:rFonts w:hint="eastAsia" w:ascii="宋体"/>
                <w:b/>
                <w:bCs/>
                <w:kern w:val="0"/>
                <w:sz w:val="24"/>
              </w:rPr>
              <w:t>售后服务</w:t>
            </w:r>
          </w:p>
        </w:tc>
        <w:tc>
          <w:tcPr>
            <w:tcW w:w="2777" w:type="dxa"/>
            <w:vAlign w:val="center"/>
          </w:tcPr>
          <w:p>
            <w:pPr>
              <w:autoSpaceDE w:val="0"/>
              <w:autoSpaceDN w:val="0"/>
              <w:adjustRightInd w:val="0"/>
              <w:spacing w:line="480" w:lineRule="auto"/>
              <w:jc w:val="center"/>
              <w:rPr>
                <w:rFonts w:ascii="宋体" w:eastAsiaTheme="minorEastAsia"/>
                <w:kern w:val="0"/>
                <w:sz w:val="24"/>
              </w:rPr>
            </w:pPr>
            <w:r>
              <w:rPr>
                <w:rFonts w:hint="eastAsia" w:ascii="宋体" w:eastAsiaTheme="minorEastAsia"/>
                <w:kern w:val="0"/>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57" w:type="dxa"/>
            <w:shd w:val="clear" w:color="auto" w:fill="BEBEBE"/>
            <w:vAlign w:val="center"/>
          </w:tcPr>
          <w:p>
            <w:pPr>
              <w:autoSpaceDE w:val="0"/>
              <w:autoSpaceDN w:val="0"/>
              <w:adjustRightInd w:val="0"/>
              <w:rPr>
                <w:rFonts w:asciiTheme="minorEastAsia" w:hAnsiTheme="minorEastAsia" w:eastAsiaTheme="minorEastAsia"/>
                <w:kern w:val="0"/>
                <w:sz w:val="24"/>
              </w:rPr>
            </w:pPr>
            <w:r>
              <w:rPr>
                <w:rFonts w:hint="eastAsia" w:ascii="宋体"/>
                <w:b/>
                <w:bCs/>
                <w:kern w:val="0"/>
                <w:sz w:val="24"/>
              </w:rPr>
              <w:t>对招标文件的响应程度等</w:t>
            </w:r>
          </w:p>
        </w:tc>
        <w:tc>
          <w:tcPr>
            <w:tcW w:w="2777" w:type="dxa"/>
            <w:vAlign w:val="center"/>
          </w:tcPr>
          <w:p>
            <w:pPr>
              <w:autoSpaceDE w:val="0"/>
              <w:autoSpaceDN w:val="0"/>
              <w:adjustRightInd w:val="0"/>
              <w:spacing w:line="480" w:lineRule="auto"/>
              <w:jc w:val="center"/>
              <w:rPr>
                <w:rFonts w:ascii="宋体"/>
                <w:kern w:val="0"/>
                <w:sz w:val="24"/>
              </w:rPr>
            </w:pPr>
            <w:r>
              <w:rPr>
                <w:rFonts w:hint="eastAsia" w:ascii="宋体"/>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57" w:type="dxa"/>
            <w:shd w:val="clear" w:color="auto" w:fill="BEBEBE"/>
            <w:vAlign w:val="center"/>
          </w:tcPr>
          <w:p>
            <w:pPr>
              <w:autoSpaceDE w:val="0"/>
              <w:autoSpaceDN w:val="0"/>
              <w:adjustRightInd w:val="0"/>
              <w:rPr>
                <w:rFonts w:asciiTheme="minorEastAsia" w:hAnsiTheme="minorEastAsia" w:eastAsiaTheme="minorEastAsia"/>
                <w:kern w:val="0"/>
                <w:sz w:val="24"/>
              </w:rPr>
            </w:pPr>
            <w:r>
              <w:rPr>
                <w:rFonts w:hint="eastAsia" w:ascii="宋体"/>
                <w:b/>
                <w:bCs/>
                <w:kern w:val="0"/>
                <w:sz w:val="24"/>
              </w:rPr>
              <w:t>信用评价</w:t>
            </w:r>
          </w:p>
        </w:tc>
        <w:tc>
          <w:tcPr>
            <w:tcW w:w="2777" w:type="dxa"/>
            <w:vAlign w:val="center"/>
          </w:tcPr>
          <w:p>
            <w:pPr>
              <w:autoSpaceDE w:val="0"/>
              <w:autoSpaceDN w:val="0"/>
              <w:adjustRightInd w:val="0"/>
              <w:spacing w:line="480" w:lineRule="auto"/>
              <w:jc w:val="center"/>
              <w:rPr>
                <w:rFonts w:ascii="宋体"/>
                <w:kern w:val="0"/>
                <w:sz w:val="24"/>
              </w:rPr>
            </w:pPr>
            <w:r>
              <w:rPr>
                <w:rFonts w:hint="eastAsia" w:ascii="宋体"/>
                <w:kern w:val="0"/>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57" w:type="dxa"/>
            <w:shd w:val="clear" w:color="auto" w:fill="BEBEBE"/>
            <w:vAlign w:val="center"/>
          </w:tcPr>
          <w:p>
            <w:pPr>
              <w:autoSpaceDE w:val="0"/>
              <w:autoSpaceDN w:val="0"/>
              <w:adjustRightInd w:val="0"/>
              <w:rPr>
                <w:rFonts w:asciiTheme="minorEastAsia" w:hAnsiTheme="minorEastAsia" w:eastAsiaTheme="minorEastAsia"/>
                <w:kern w:val="0"/>
                <w:sz w:val="24"/>
              </w:rPr>
            </w:pPr>
            <w:r>
              <w:rPr>
                <w:rFonts w:hint="eastAsia" w:ascii="宋体"/>
                <w:b/>
                <w:bCs/>
                <w:kern w:val="0"/>
                <w:sz w:val="24"/>
              </w:rPr>
              <w:t>产品价格</w:t>
            </w:r>
          </w:p>
        </w:tc>
        <w:tc>
          <w:tcPr>
            <w:tcW w:w="2777" w:type="dxa"/>
            <w:vAlign w:val="center"/>
          </w:tcPr>
          <w:p>
            <w:pPr>
              <w:autoSpaceDE w:val="0"/>
              <w:autoSpaceDN w:val="0"/>
              <w:adjustRightInd w:val="0"/>
              <w:spacing w:line="480" w:lineRule="auto"/>
              <w:jc w:val="center"/>
              <w:rPr>
                <w:rFonts w:ascii="宋体"/>
                <w:kern w:val="0"/>
                <w:sz w:val="24"/>
              </w:rPr>
            </w:pPr>
            <w:r>
              <w:rPr>
                <w:rFonts w:hint="eastAsia" w:ascii="宋体"/>
                <w:kern w:val="0"/>
                <w:sz w:val="24"/>
              </w:rPr>
              <w:t>30</w:t>
            </w:r>
          </w:p>
        </w:tc>
      </w:tr>
    </w:tbl>
    <w:p>
      <w:pPr>
        <w:autoSpaceDE w:val="0"/>
        <w:autoSpaceDN w:val="0"/>
        <w:adjustRightInd w:val="0"/>
        <w:spacing w:line="360" w:lineRule="auto"/>
        <w:ind w:left="480"/>
        <w:jc w:val="left"/>
        <w:rPr>
          <w:rFonts w:asciiTheme="minorEastAsia" w:hAnsiTheme="minorEastAsia" w:eastAsiaTheme="minorEastAsia"/>
          <w:kern w:val="0"/>
          <w:sz w:val="24"/>
        </w:rPr>
      </w:pPr>
    </w:p>
    <w:p>
      <w:pPr>
        <w:autoSpaceDE w:val="0"/>
        <w:autoSpaceDN w:val="0"/>
        <w:adjustRightInd w:val="0"/>
        <w:spacing w:line="360" w:lineRule="auto"/>
        <w:rPr>
          <w:rFonts w:asciiTheme="minorEastAsia" w:hAnsiTheme="minorEastAsia" w:eastAsiaTheme="minorEastAsia"/>
          <w:color w:val="FF0000"/>
          <w:kern w:val="0"/>
          <w:sz w:val="24"/>
        </w:rPr>
      </w:pPr>
      <w:r>
        <w:rPr>
          <w:rFonts w:hint="eastAsia" w:asciiTheme="minorEastAsia" w:hAnsiTheme="minorEastAsia" w:eastAsiaTheme="minorEastAsia"/>
          <w:kern w:val="0"/>
          <w:sz w:val="24"/>
        </w:rPr>
        <w:t xml:space="preserve">    四、在最大限度地满足招标文件实质性要求前提下，评标委员会按照招标文件中规定的各项因素进行综合评审后，以评标总得分最高的投标人</w:t>
      </w:r>
      <w:r>
        <w:rPr>
          <w:rFonts w:hint="eastAsia" w:asciiTheme="minorEastAsia" w:hAnsiTheme="minorEastAsia" w:eastAsiaTheme="minorEastAsia"/>
          <w:sz w:val="24"/>
        </w:rPr>
        <w:t>为中标候选人</w:t>
      </w:r>
      <w:r>
        <w:rPr>
          <w:rFonts w:hint="eastAsia" w:asciiTheme="minorEastAsia" w:hAnsiTheme="minorEastAsia" w:eastAsiaTheme="minorEastAsia"/>
          <w:kern w:val="0"/>
          <w:sz w:val="24"/>
        </w:rPr>
        <w:t>。</w:t>
      </w:r>
    </w:p>
    <w:p>
      <w:pPr>
        <w:autoSpaceDE w:val="0"/>
        <w:autoSpaceDN w:val="0"/>
        <w:adjustRightInd w:val="0"/>
        <w:spacing w:line="360" w:lineRule="auto"/>
        <w:ind w:firstLine="424" w:firstLineChars="177"/>
        <w:jc w:val="left"/>
        <w:rPr>
          <w:rFonts w:asciiTheme="minorEastAsia" w:hAnsiTheme="minorEastAsia" w:eastAsiaTheme="minorEastAsia"/>
          <w:kern w:val="0"/>
          <w:sz w:val="24"/>
        </w:rPr>
      </w:pPr>
      <w:r>
        <w:rPr>
          <w:rFonts w:hint="eastAsia" w:asciiTheme="minorEastAsia" w:hAnsiTheme="minorEastAsia" w:eastAsiaTheme="minorEastAsia"/>
          <w:kern w:val="0"/>
          <w:sz w:val="24"/>
        </w:rPr>
        <w:t>五、如得分相同，投标报价低者</w:t>
      </w:r>
      <w:r>
        <w:rPr>
          <w:rFonts w:hint="eastAsia" w:asciiTheme="minorEastAsia" w:hAnsiTheme="minorEastAsia" w:eastAsiaTheme="minorEastAsia"/>
          <w:sz w:val="24"/>
        </w:rPr>
        <w:t>为中标候选人</w:t>
      </w:r>
      <w:r>
        <w:rPr>
          <w:rFonts w:hint="eastAsia" w:asciiTheme="minorEastAsia" w:hAnsiTheme="minorEastAsia" w:eastAsiaTheme="minorEastAsia"/>
          <w:kern w:val="0"/>
          <w:sz w:val="24"/>
        </w:rPr>
        <w:t>；如得分且投标报价相同的，投标文件满足招标文件全部实质性要求，且按照评审因素的量化指标评审得分最高的投标人为排名第一的中标候选人。</w:t>
      </w:r>
    </w:p>
    <w:p>
      <w:pPr>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六、提供相同品牌产品且通过资格审查、符合性审查的不同投标人参加同一合同项下投标的，按一家投标人计算，评审后得分最高的同品牌投标人获得中标人推荐资格；评审得分相同的，按技术指标优者为中标候选人。</w:t>
      </w:r>
    </w:p>
    <w:p>
      <w:pPr>
        <w:autoSpaceDE w:val="0"/>
        <w:autoSpaceDN w:val="0"/>
        <w:adjustRightInd w:val="0"/>
        <w:spacing w:line="360" w:lineRule="auto"/>
        <w:ind w:firstLine="360" w:firstLineChars="150"/>
        <w:jc w:val="left"/>
        <w:rPr>
          <w:rFonts w:asciiTheme="minorEastAsia" w:hAnsiTheme="minorEastAsia" w:eastAsiaTheme="minorEastAsia"/>
          <w:kern w:val="0"/>
          <w:sz w:val="24"/>
        </w:rPr>
      </w:pPr>
      <w:r>
        <w:rPr>
          <w:rFonts w:hint="eastAsia" w:asciiTheme="minorEastAsia" w:hAnsiTheme="minorEastAsia" w:eastAsiaTheme="minorEastAsia"/>
          <w:kern w:val="0"/>
          <w:sz w:val="24"/>
        </w:rPr>
        <w:t>七、如果中标供应商自动放弃中标资格或因质疑或是投诉被取消中标资格的，可视情报经财政部门同意后根据评审结果按顺序由排在后面的候选供应商递补，以此类推。</w:t>
      </w:r>
    </w:p>
    <w:p>
      <w:pPr>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七、本次评分具体分值细化条款如下表：</w:t>
      </w:r>
    </w:p>
    <w:tbl>
      <w:tblPr>
        <w:tblStyle w:val="35"/>
        <w:tblW w:w="9278" w:type="dxa"/>
        <w:jc w:val="center"/>
        <w:tblInd w:w="-5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2"/>
        <w:gridCol w:w="981"/>
        <w:gridCol w:w="6090"/>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1532" w:type="dxa"/>
            <w:shd w:val="clear" w:color="auto" w:fill="B3B3B3"/>
            <w:vAlign w:val="center"/>
          </w:tcPr>
          <w:p>
            <w:pPr>
              <w:jc w:val="center"/>
              <w:rPr>
                <w:rFonts w:ascii="宋体" w:hAnsi="宋体" w:cs="宋体"/>
                <w:b/>
                <w:szCs w:val="21"/>
              </w:rPr>
            </w:pPr>
            <w:r>
              <w:rPr>
                <w:rFonts w:hint="eastAsia" w:ascii="宋体" w:hAnsi="宋体" w:cs="宋体"/>
                <w:b/>
                <w:szCs w:val="21"/>
              </w:rPr>
              <w:t>评标内容</w:t>
            </w:r>
          </w:p>
        </w:tc>
        <w:tc>
          <w:tcPr>
            <w:tcW w:w="7071" w:type="dxa"/>
            <w:gridSpan w:val="2"/>
            <w:shd w:val="clear" w:color="auto" w:fill="B3B3B3"/>
            <w:vAlign w:val="center"/>
          </w:tcPr>
          <w:p>
            <w:pPr>
              <w:jc w:val="center"/>
              <w:rPr>
                <w:rFonts w:ascii="宋体" w:hAnsi="宋体" w:cs="宋体"/>
                <w:b/>
                <w:szCs w:val="21"/>
              </w:rPr>
            </w:pPr>
            <w:r>
              <w:rPr>
                <w:rFonts w:hint="eastAsia" w:ascii="宋体" w:hAnsi="宋体" w:cs="宋体"/>
                <w:b/>
                <w:szCs w:val="21"/>
              </w:rPr>
              <w:t>细则内容</w:t>
            </w:r>
          </w:p>
        </w:tc>
        <w:tc>
          <w:tcPr>
            <w:tcW w:w="675" w:type="dxa"/>
            <w:shd w:val="clear" w:color="auto" w:fill="B3B3B3"/>
            <w:vAlign w:val="center"/>
          </w:tcPr>
          <w:p>
            <w:pPr>
              <w:jc w:val="center"/>
              <w:rPr>
                <w:rFonts w:ascii="宋体" w:hAnsi="宋体" w:cs="宋体"/>
                <w:b/>
                <w:szCs w:val="21"/>
              </w:rPr>
            </w:pPr>
            <w:r>
              <w:rPr>
                <w:rFonts w:hint="eastAsia" w:ascii="宋体" w:hAnsi="宋体" w:cs="宋体"/>
                <w:b/>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jc w:val="center"/>
        </w:trPr>
        <w:tc>
          <w:tcPr>
            <w:tcW w:w="1532" w:type="dxa"/>
            <w:vMerge w:val="restart"/>
            <w:vAlign w:val="center"/>
          </w:tcPr>
          <w:p>
            <w:pPr>
              <w:jc w:val="center"/>
              <w:rPr>
                <w:rFonts w:ascii="宋体" w:hAnsi="宋体" w:cs="宋体"/>
                <w:b/>
                <w:szCs w:val="21"/>
              </w:rPr>
            </w:pPr>
            <w:r>
              <w:rPr>
                <w:rFonts w:hint="eastAsia" w:ascii="宋体" w:hAnsi="宋体" w:cs="宋体"/>
                <w:b/>
                <w:color w:val="000000"/>
                <w:szCs w:val="21"/>
              </w:rPr>
              <w:t>技术性能41分</w:t>
            </w:r>
          </w:p>
        </w:tc>
        <w:tc>
          <w:tcPr>
            <w:tcW w:w="7071" w:type="dxa"/>
            <w:gridSpan w:val="2"/>
            <w:vAlign w:val="center"/>
          </w:tcPr>
          <w:p>
            <w:pPr>
              <w:rPr>
                <w:rFonts w:ascii="宋体" w:hAnsi="宋体" w:cs="宋体"/>
                <w:szCs w:val="21"/>
              </w:rPr>
            </w:pPr>
            <w:r>
              <w:rPr>
                <w:rFonts w:hint="eastAsia" w:ascii="宋体" w:hAnsi="宋体" w:cs="宋体"/>
                <w:szCs w:val="21"/>
              </w:rPr>
              <w:t>技术方案：投标人对项目方案设计的合理性、可行性、兼容性和扩展性等，包含现状与需求分析、建设必要性分析、建设可行性分析、总体建设框架、详细建设内容等，横向比较，一档得5分，二档得4-3分，三档得2-1分。</w:t>
            </w:r>
          </w:p>
        </w:tc>
        <w:tc>
          <w:tcPr>
            <w:tcW w:w="675" w:type="dxa"/>
            <w:vAlign w:val="center"/>
          </w:tcPr>
          <w:p>
            <w:pPr>
              <w:jc w:val="center"/>
              <w:rPr>
                <w:rFonts w:ascii="宋体" w:hAnsi="宋体" w:cs="宋体"/>
                <w:szCs w:val="21"/>
              </w:rPr>
            </w:pPr>
            <w:r>
              <w:rPr>
                <w:rFonts w:hint="eastAsia" w:ascii="宋体" w:hAnsi="宋体" w:cs="宋体"/>
                <w:snapToGrid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jc w:val="center"/>
        </w:trPr>
        <w:tc>
          <w:tcPr>
            <w:tcW w:w="1532" w:type="dxa"/>
            <w:vMerge w:val="continue"/>
            <w:vAlign w:val="center"/>
          </w:tcPr>
          <w:p>
            <w:pPr>
              <w:jc w:val="center"/>
              <w:rPr>
                <w:rFonts w:ascii="宋体" w:hAnsi="宋体" w:cs="宋体"/>
                <w:b/>
                <w:color w:val="000000"/>
                <w:szCs w:val="21"/>
              </w:rPr>
            </w:pPr>
          </w:p>
        </w:tc>
        <w:tc>
          <w:tcPr>
            <w:tcW w:w="7071" w:type="dxa"/>
            <w:gridSpan w:val="2"/>
            <w:vAlign w:val="center"/>
          </w:tcPr>
          <w:p>
            <w:pPr>
              <w:rPr>
                <w:rFonts w:ascii="宋体" w:hAnsi="宋体" w:cs="宋体"/>
                <w:szCs w:val="21"/>
              </w:rPr>
            </w:pPr>
            <w:r>
              <w:rPr>
                <w:rFonts w:hint="eastAsia" w:ascii="宋体" w:hAnsi="宋体" w:cs="宋体"/>
                <w:szCs w:val="21"/>
              </w:rPr>
              <w:t>实施方案：投标人提供的进度计划与实施是否清晰、准确、完整，关键节点的控制措施是否有力、合理、可行；质量管理机构是否健全，制度完善，质量规格能否符合技术要求规定，是否有完善项目开发质量保证体系和措施，横向比较，一档得5分，二档得4-3分，三档得2-1分。</w:t>
            </w:r>
          </w:p>
        </w:tc>
        <w:tc>
          <w:tcPr>
            <w:tcW w:w="675" w:type="dxa"/>
            <w:vAlign w:val="center"/>
          </w:tcPr>
          <w:p>
            <w:pPr>
              <w:jc w:val="center"/>
              <w:rPr>
                <w:rFonts w:ascii="宋体" w:hAnsi="宋体" w:cs="宋体"/>
                <w:szCs w:val="21"/>
              </w:rPr>
            </w:pPr>
            <w:r>
              <w:rPr>
                <w:rFonts w:hint="eastAsia" w:ascii="宋体" w:hAnsi="宋体" w:cs="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jc w:val="center"/>
        </w:trPr>
        <w:tc>
          <w:tcPr>
            <w:tcW w:w="1532" w:type="dxa"/>
            <w:vMerge w:val="continue"/>
            <w:vAlign w:val="center"/>
          </w:tcPr>
          <w:p>
            <w:pPr>
              <w:jc w:val="center"/>
              <w:rPr>
                <w:rFonts w:ascii="宋体" w:hAnsi="宋体" w:cs="宋体"/>
                <w:b/>
                <w:color w:val="000000"/>
                <w:szCs w:val="21"/>
              </w:rPr>
            </w:pPr>
          </w:p>
        </w:tc>
        <w:tc>
          <w:tcPr>
            <w:tcW w:w="7071" w:type="dxa"/>
            <w:gridSpan w:val="2"/>
            <w:vAlign w:val="center"/>
          </w:tcPr>
          <w:p>
            <w:pPr>
              <w:rPr>
                <w:rFonts w:ascii="宋体" w:hAnsi="宋体" w:cs="宋体"/>
                <w:kern w:val="0"/>
                <w:szCs w:val="21"/>
              </w:rPr>
            </w:pPr>
            <w:r>
              <w:rPr>
                <w:rFonts w:hint="eastAsia" w:ascii="宋体" w:hAnsi="宋体" w:cs="宋体"/>
                <w:kern w:val="0"/>
                <w:szCs w:val="21"/>
              </w:rPr>
              <w:t>所投主要产品品牌知名度、市场认可度、占有率等方面综合评分（</w:t>
            </w:r>
            <w:r>
              <w:rPr>
                <w:rFonts w:hint="eastAsia" w:ascii="宋体" w:hAnsi="宋体" w:cs="宋体"/>
                <w:szCs w:val="21"/>
              </w:rPr>
              <w:t>好7-8分，较好4-6分，一般0-3分）。</w:t>
            </w:r>
          </w:p>
        </w:tc>
        <w:tc>
          <w:tcPr>
            <w:tcW w:w="675" w:type="dxa"/>
            <w:vAlign w:val="center"/>
          </w:tcPr>
          <w:p>
            <w:pPr>
              <w:jc w:val="center"/>
              <w:rPr>
                <w:rFonts w:ascii="宋体" w:hAnsi="宋体" w:cs="宋体"/>
                <w:szCs w:val="21"/>
              </w:rPr>
            </w:pPr>
            <w:r>
              <w:rPr>
                <w:rFonts w:hint="eastAsia" w:ascii="宋体" w:hAnsi="宋体" w:cs="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jc w:val="center"/>
        </w:trPr>
        <w:tc>
          <w:tcPr>
            <w:tcW w:w="1532" w:type="dxa"/>
            <w:vMerge w:val="continue"/>
            <w:vAlign w:val="center"/>
          </w:tcPr>
          <w:p>
            <w:pPr>
              <w:jc w:val="center"/>
              <w:rPr>
                <w:rFonts w:ascii="宋体" w:hAnsi="宋体" w:cs="宋体"/>
                <w:b/>
                <w:color w:val="000000"/>
                <w:szCs w:val="21"/>
              </w:rPr>
            </w:pPr>
          </w:p>
        </w:tc>
        <w:tc>
          <w:tcPr>
            <w:tcW w:w="7071" w:type="dxa"/>
            <w:gridSpan w:val="2"/>
            <w:vAlign w:val="center"/>
          </w:tcPr>
          <w:p>
            <w:pPr>
              <w:rPr>
                <w:rFonts w:ascii="宋体" w:hAnsi="宋体" w:cs="宋体"/>
                <w:snapToGrid w:val="0"/>
                <w:szCs w:val="21"/>
              </w:rPr>
            </w:pPr>
            <w:r>
              <w:rPr>
                <w:rFonts w:hint="eastAsia" w:ascii="宋体" w:hAnsi="宋体" w:cs="宋体"/>
                <w:szCs w:val="21"/>
              </w:rPr>
              <w:t>根据投标产品的基本性能配置是否符合招标文件的要求及符合程度进行评价：1、基本性能满足或高于要求的得满分，每项负偏离-</w:t>
            </w:r>
            <w:r>
              <w:rPr>
                <w:rFonts w:hint="eastAsia" w:ascii="宋体" w:hAnsi="宋体" w:cs="宋体"/>
                <w:szCs w:val="21"/>
                <w:lang w:val="en-US" w:eastAsia="zh-CN"/>
              </w:rPr>
              <w:t>0.5</w:t>
            </w:r>
            <w:r>
              <w:rPr>
                <w:rFonts w:hint="eastAsia" w:ascii="宋体" w:hAnsi="宋体" w:cs="宋体"/>
                <w:szCs w:val="21"/>
              </w:rPr>
              <w:t>分，满分</w:t>
            </w:r>
            <w:r>
              <w:rPr>
                <w:rFonts w:hint="eastAsia" w:ascii="宋体" w:hAnsi="宋体" w:cs="宋体"/>
                <w:szCs w:val="21"/>
                <w:lang w:val="en-US" w:eastAsia="zh-CN"/>
              </w:rPr>
              <w:t>7</w:t>
            </w:r>
            <w:r>
              <w:rPr>
                <w:rFonts w:hint="eastAsia" w:ascii="宋体" w:hAnsi="宋体" w:cs="宋体"/>
                <w:szCs w:val="21"/>
              </w:rPr>
              <w:t>分，扣完为止。2、横向比较，根据投标产品性能优异程度打分：好</w:t>
            </w:r>
            <w:r>
              <w:rPr>
                <w:rFonts w:hint="eastAsia" w:ascii="宋体" w:hAnsi="宋体" w:cs="宋体"/>
                <w:szCs w:val="21"/>
                <w:lang w:val="en-US" w:eastAsia="zh-CN"/>
              </w:rPr>
              <w:t>13</w:t>
            </w:r>
            <w:r>
              <w:rPr>
                <w:rFonts w:hint="eastAsia" w:ascii="宋体" w:hAnsi="宋体" w:cs="宋体"/>
                <w:szCs w:val="21"/>
              </w:rPr>
              <w:t>-</w:t>
            </w:r>
            <w:r>
              <w:rPr>
                <w:rFonts w:hint="eastAsia" w:ascii="宋体" w:hAnsi="宋体" w:cs="宋体"/>
                <w:szCs w:val="21"/>
                <w:lang w:val="en-US" w:eastAsia="zh-CN"/>
              </w:rPr>
              <w:t>10</w:t>
            </w:r>
            <w:r>
              <w:rPr>
                <w:rFonts w:hint="eastAsia" w:ascii="宋体" w:hAnsi="宋体" w:cs="宋体"/>
                <w:szCs w:val="21"/>
              </w:rPr>
              <w:t>分，较好</w:t>
            </w:r>
            <w:r>
              <w:rPr>
                <w:rFonts w:hint="eastAsia" w:ascii="宋体" w:hAnsi="宋体" w:cs="宋体"/>
                <w:szCs w:val="21"/>
                <w:lang w:val="en-US" w:eastAsia="zh-CN"/>
              </w:rPr>
              <w:t>9-6</w:t>
            </w:r>
            <w:r>
              <w:rPr>
                <w:rFonts w:hint="eastAsia" w:ascii="宋体" w:hAnsi="宋体" w:cs="宋体"/>
                <w:szCs w:val="21"/>
              </w:rPr>
              <w:t>分，一般</w:t>
            </w:r>
            <w:r>
              <w:rPr>
                <w:rFonts w:hint="eastAsia" w:ascii="宋体" w:hAnsi="宋体" w:cs="宋体"/>
                <w:szCs w:val="21"/>
                <w:lang w:val="en-US" w:eastAsia="zh-CN"/>
              </w:rPr>
              <w:t>5</w:t>
            </w:r>
            <w:r>
              <w:rPr>
                <w:rFonts w:hint="eastAsia" w:ascii="宋体" w:hAnsi="宋体" w:cs="宋体"/>
                <w:szCs w:val="21"/>
              </w:rPr>
              <w:t>-0分。</w:t>
            </w:r>
          </w:p>
        </w:tc>
        <w:tc>
          <w:tcPr>
            <w:tcW w:w="675" w:type="dxa"/>
            <w:vAlign w:val="center"/>
          </w:tcPr>
          <w:p>
            <w:pPr>
              <w:jc w:val="center"/>
              <w:rPr>
                <w:rFonts w:ascii="宋体" w:hAnsi="宋体" w:cs="宋体"/>
                <w:snapToGrid w:val="0"/>
                <w:szCs w:val="21"/>
              </w:rPr>
            </w:pPr>
            <w:r>
              <w:rPr>
                <w:rFonts w:hint="eastAsia" w:ascii="宋体" w:hAnsi="宋体" w:cs="宋体"/>
                <w:snapToGrid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80" w:hRule="atLeast"/>
          <w:jc w:val="center"/>
        </w:trPr>
        <w:tc>
          <w:tcPr>
            <w:tcW w:w="1532" w:type="dxa"/>
            <w:vMerge w:val="continue"/>
            <w:vAlign w:val="center"/>
          </w:tcPr>
          <w:p>
            <w:pPr>
              <w:jc w:val="center"/>
              <w:rPr>
                <w:rFonts w:ascii="宋体" w:hAnsi="宋体" w:cs="宋体"/>
                <w:b/>
                <w:color w:val="000000"/>
                <w:szCs w:val="21"/>
              </w:rPr>
            </w:pPr>
          </w:p>
        </w:tc>
        <w:tc>
          <w:tcPr>
            <w:tcW w:w="7071" w:type="dxa"/>
            <w:gridSpan w:val="2"/>
            <w:vAlign w:val="center"/>
          </w:tcPr>
          <w:p>
            <w:pPr>
              <w:pStyle w:val="102"/>
              <w:ind w:firstLine="0" w:firstLineChars="0"/>
              <w:rPr>
                <w:rFonts w:ascii="宋体" w:hAnsi="宋体" w:cs="宋体"/>
                <w:snapToGrid w:val="0"/>
                <w:szCs w:val="21"/>
              </w:rPr>
            </w:pPr>
            <w:r>
              <w:rPr>
                <w:rFonts w:hint="eastAsia" w:ascii="宋体" w:hAnsi="宋体" w:cs="宋体"/>
                <w:szCs w:val="21"/>
              </w:rPr>
              <w:t>为保证产品稳定性，所投主要产品具备CMMI认证，提供CMMI L5级证书得3分，提供CMMI L4级证书的得2分，提供CMMI L3级证书的得1分，其他不得分，需提供加查询链接地址。</w:t>
            </w:r>
          </w:p>
        </w:tc>
        <w:tc>
          <w:tcPr>
            <w:tcW w:w="675" w:type="dxa"/>
            <w:vAlign w:val="center"/>
          </w:tcPr>
          <w:p>
            <w:pPr>
              <w:jc w:val="center"/>
              <w:rPr>
                <w:rFonts w:ascii="宋体" w:hAnsi="宋体" w:cs="宋体"/>
                <w:snapToGrid w:val="0"/>
                <w:szCs w:val="21"/>
              </w:rPr>
            </w:pPr>
            <w:r>
              <w:rPr>
                <w:rFonts w:hint="eastAsia" w:ascii="宋体" w:hAnsi="宋体" w:cs="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32" w:type="dxa"/>
            <w:vMerge w:val="restart"/>
            <w:vAlign w:val="center"/>
          </w:tcPr>
          <w:p>
            <w:pPr>
              <w:widowControl/>
              <w:jc w:val="center"/>
              <w:rPr>
                <w:rFonts w:ascii="宋体" w:hAnsi="宋体" w:cs="宋体"/>
                <w:b/>
                <w:szCs w:val="21"/>
              </w:rPr>
            </w:pPr>
            <w:r>
              <w:rPr>
                <w:rFonts w:hint="eastAsia" w:ascii="宋体" w:hAnsi="宋体" w:cs="宋体"/>
                <w:b/>
                <w:color w:val="000000"/>
                <w:szCs w:val="21"/>
              </w:rPr>
              <w:t>企业实力及信誉14分</w:t>
            </w:r>
          </w:p>
        </w:tc>
        <w:tc>
          <w:tcPr>
            <w:tcW w:w="7071" w:type="dxa"/>
            <w:gridSpan w:val="2"/>
          </w:tcPr>
          <w:p>
            <w:pPr>
              <w:widowControl/>
              <w:rPr>
                <w:rFonts w:ascii="宋体" w:hAnsi="宋体" w:cs="宋体"/>
                <w:szCs w:val="21"/>
              </w:rPr>
            </w:pPr>
            <w:r>
              <w:rPr>
                <w:rFonts w:hint="eastAsia" w:ascii="宋体" w:hAnsi="宋体" w:cs="宋体"/>
                <w:szCs w:val="21"/>
              </w:rPr>
              <w:t>投标方企业实力，提供近三年财务报表、荣誉证书、信用等级证书等，酌情给分。</w:t>
            </w:r>
          </w:p>
        </w:tc>
        <w:tc>
          <w:tcPr>
            <w:tcW w:w="675" w:type="dxa"/>
            <w:vAlign w:val="center"/>
          </w:tcPr>
          <w:p>
            <w:pPr>
              <w:widowControl/>
              <w:jc w:val="center"/>
              <w:rPr>
                <w:rFonts w:ascii="宋体" w:hAnsi="宋体" w:cs="宋体"/>
                <w:kern w:val="0"/>
                <w:szCs w:val="21"/>
              </w:rPr>
            </w:pPr>
            <w:r>
              <w:rPr>
                <w:rFonts w:hint="eastAsia" w:ascii="宋体" w:hAnsi="宋体" w:cs="宋体"/>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532" w:type="dxa"/>
            <w:vMerge w:val="continue"/>
            <w:vAlign w:val="center"/>
          </w:tcPr>
          <w:p>
            <w:pPr>
              <w:widowControl/>
              <w:jc w:val="center"/>
              <w:rPr>
                <w:rFonts w:ascii="宋体" w:hAnsi="宋体" w:cs="宋体"/>
                <w:b/>
                <w:szCs w:val="21"/>
              </w:rPr>
            </w:pPr>
          </w:p>
        </w:tc>
        <w:tc>
          <w:tcPr>
            <w:tcW w:w="7071" w:type="dxa"/>
            <w:gridSpan w:val="2"/>
            <w:vAlign w:val="center"/>
          </w:tcPr>
          <w:p>
            <w:pPr>
              <w:widowControl/>
              <w:rPr>
                <w:rFonts w:ascii="宋体" w:hAnsi="宋体" w:cs="宋体"/>
                <w:szCs w:val="21"/>
              </w:rPr>
            </w:pPr>
            <w:r>
              <w:rPr>
                <w:rFonts w:hint="eastAsia" w:ascii="宋体" w:hAnsi="宋体" w:cs="宋体"/>
                <w:color w:val="000000"/>
                <w:szCs w:val="21"/>
              </w:rPr>
              <w:t>投标人具有ITSS信息技术服务运行维护标准证</w:t>
            </w:r>
            <w:r>
              <w:rPr>
                <w:rFonts w:hint="eastAsia" w:ascii="宋体" w:hAnsi="宋体" w:cs="宋体"/>
                <w:szCs w:val="21"/>
              </w:rPr>
              <w:t>书，得1分 ；投标人具有ISO27001信息安全管理体系认证证书，得1分；ISO20000 IT服务管理体系认证证书，得1分；具有国家信息安全服务资质证书，得1分。(证书复印件加盖公章）</w:t>
            </w:r>
          </w:p>
        </w:tc>
        <w:tc>
          <w:tcPr>
            <w:tcW w:w="675" w:type="dxa"/>
            <w:vAlign w:val="center"/>
          </w:tcPr>
          <w:p>
            <w:pPr>
              <w:widowControl/>
              <w:jc w:val="center"/>
              <w:rPr>
                <w:rFonts w:ascii="宋体" w:hAnsi="宋体" w:cs="宋体"/>
                <w:kern w:val="0"/>
                <w:szCs w:val="21"/>
              </w:rPr>
            </w:pPr>
            <w:r>
              <w:rPr>
                <w:rFonts w:hint="eastAsia" w:ascii="宋体" w:hAnsi="宋体" w:cs="宋体"/>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532" w:type="dxa"/>
            <w:vMerge w:val="continue"/>
            <w:vAlign w:val="center"/>
          </w:tcPr>
          <w:p>
            <w:pPr>
              <w:widowControl/>
              <w:jc w:val="center"/>
              <w:rPr>
                <w:rFonts w:ascii="宋体" w:hAnsi="宋体" w:cs="宋体"/>
                <w:b/>
                <w:szCs w:val="21"/>
              </w:rPr>
            </w:pPr>
          </w:p>
        </w:tc>
        <w:tc>
          <w:tcPr>
            <w:tcW w:w="7071" w:type="dxa"/>
            <w:gridSpan w:val="2"/>
            <w:vAlign w:val="center"/>
          </w:tcPr>
          <w:p>
            <w:pPr>
              <w:widowControl/>
              <w:rPr>
                <w:rFonts w:ascii="宋体" w:hAnsi="宋体" w:cs="宋体"/>
                <w:szCs w:val="21"/>
              </w:rPr>
            </w:pPr>
            <w:r>
              <w:rPr>
                <w:rFonts w:hint="eastAsia" w:ascii="宋体" w:hAnsi="宋体" w:cs="宋体"/>
                <w:szCs w:val="21"/>
              </w:rPr>
              <w:t>项目实施人员安排：项目经理及施工人员配备数量及相关资质证书情况，酌情打分。</w:t>
            </w:r>
          </w:p>
        </w:tc>
        <w:tc>
          <w:tcPr>
            <w:tcW w:w="675" w:type="dxa"/>
            <w:vAlign w:val="center"/>
          </w:tcPr>
          <w:p>
            <w:pPr>
              <w:widowControl/>
              <w:jc w:val="center"/>
              <w:rPr>
                <w:rFonts w:ascii="宋体" w:hAnsi="宋体" w:cs="宋体"/>
                <w:kern w:val="0"/>
                <w:szCs w:val="21"/>
              </w:rPr>
            </w:pPr>
            <w:r>
              <w:rPr>
                <w:rFonts w:hint="eastAsia" w:ascii="宋体" w:hAnsi="宋体" w:cs="宋体"/>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1532" w:type="dxa"/>
            <w:vMerge w:val="continue"/>
            <w:vAlign w:val="center"/>
          </w:tcPr>
          <w:p>
            <w:pPr>
              <w:widowControl/>
              <w:jc w:val="center"/>
              <w:rPr>
                <w:rFonts w:ascii="宋体" w:hAnsi="宋体" w:cs="宋体"/>
                <w:b/>
                <w:szCs w:val="21"/>
              </w:rPr>
            </w:pPr>
          </w:p>
        </w:tc>
        <w:tc>
          <w:tcPr>
            <w:tcW w:w="7071" w:type="dxa"/>
            <w:gridSpan w:val="2"/>
          </w:tcPr>
          <w:p>
            <w:pPr>
              <w:rPr>
                <w:rFonts w:ascii="宋体" w:hAnsi="宋体" w:cs="宋体"/>
                <w:kern w:val="0"/>
                <w:szCs w:val="21"/>
              </w:rPr>
            </w:pPr>
            <w:r>
              <w:rPr>
                <w:rFonts w:hint="eastAsia" w:ascii="宋体" w:hAnsi="宋体" w:cs="宋体"/>
                <w:szCs w:val="21"/>
              </w:rPr>
              <w:t>投标人2015年7月以来，类似成功案例（500万以上每个2分；100万以上，每个得1分，以提供清晰的合同及相应发票复印件为准，缺一不得分）。</w:t>
            </w:r>
          </w:p>
        </w:tc>
        <w:tc>
          <w:tcPr>
            <w:tcW w:w="675" w:type="dxa"/>
            <w:vAlign w:val="center"/>
          </w:tcPr>
          <w:p>
            <w:pPr>
              <w:widowControl/>
              <w:jc w:val="center"/>
              <w:rPr>
                <w:rFonts w:ascii="宋体" w:hAnsi="宋体" w:cs="宋体"/>
                <w:kern w:val="0"/>
                <w:szCs w:val="21"/>
              </w:rPr>
            </w:pPr>
            <w:r>
              <w:rPr>
                <w:rFonts w:hint="eastAsia" w:ascii="宋体" w:hAnsi="宋体" w:cs="宋体"/>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1532" w:type="dxa"/>
            <w:vMerge w:val="restart"/>
            <w:vAlign w:val="center"/>
          </w:tcPr>
          <w:p>
            <w:pPr>
              <w:jc w:val="center"/>
              <w:rPr>
                <w:rFonts w:ascii="宋体" w:hAnsi="宋体" w:cs="宋体"/>
                <w:b/>
                <w:szCs w:val="21"/>
              </w:rPr>
            </w:pPr>
            <w:r>
              <w:rPr>
                <w:rFonts w:hint="eastAsia" w:ascii="宋体" w:hAnsi="宋体" w:cs="宋体"/>
                <w:b/>
                <w:color w:val="000000"/>
                <w:szCs w:val="21"/>
              </w:rPr>
              <w:t>售后服务8分</w:t>
            </w:r>
          </w:p>
        </w:tc>
        <w:tc>
          <w:tcPr>
            <w:tcW w:w="7071" w:type="dxa"/>
            <w:gridSpan w:val="2"/>
          </w:tcPr>
          <w:p>
            <w:pPr>
              <w:rPr>
                <w:rFonts w:ascii="宋体" w:hAnsi="宋体" w:cs="宋体"/>
                <w:szCs w:val="21"/>
              </w:rPr>
            </w:pPr>
            <w:r>
              <w:rPr>
                <w:rFonts w:hint="eastAsia" w:ascii="宋体" w:hAnsi="宋体" w:cs="宋体"/>
                <w:szCs w:val="21"/>
              </w:rPr>
              <w:t>根据提供的免费质保期限，横向比较，酌情评分。</w:t>
            </w:r>
          </w:p>
        </w:tc>
        <w:tc>
          <w:tcPr>
            <w:tcW w:w="675" w:type="dxa"/>
            <w:vAlign w:val="center"/>
          </w:tcPr>
          <w:p>
            <w:pPr>
              <w:widowControl/>
              <w:jc w:val="center"/>
              <w:rPr>
                <w:rFonts w:ascii="宋体" w:hAnsi="宋体" w:cs="宋体"/>
                <w:kern w:val="0"/>
                <w:szCs w:val="21"/>
              </w:rPr>
            </w:pPr>
            <w:r>
              <w:rPr>
                <w:rFonts w:hint="eastAsia" w:ascii="宋体" w:hAnsi="宋体" w:cs="宋体"/>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6" w:hRule="atLeast"/>
          <w:jc w:val="center"/>
        </w:trPr>
        <w:tc>
          <w:tcPr>
            <w:tcW w:w="1532" w:type="dxa"/>
            <w:vMerge w:val="continue"/>
            <w:vAlign w:val="center"/>
          </w:tcPr>
          <w:p>
            <w:pPr>
              <w:jc w:val="center"/>
              <w:rPr>
                <w:rFonts w:ascii="宋体" w:hAnsi="宋体" w:cs="宋体"/>
                <w:b/>
                <w:color w:val="000000"/>
                <w:szCs w:val="21"/>
              </w:rPr>
            </w:pPr>
          </w:p>
        </w:tc>
        <w:tc>
          <w:tcPr>
            <w:tcW w:w="7071" w:type="dxa"/>
            <w:gridSpan w:val="2"/>
          </w:tcPr>
          <w:p>
            <w:pPr>
              <w:rPr>
                <w:rFonts w:ascii="宋体" w:hAnsi="宋体" w:cs="宋体"/>
                <w:szCs w:val="21"/>
              </w:rPr>
            </w:pPr>
            <w:r>
              <w:rPr>
                <w:rFonts w:hint="eastAsia" w:ascii="宋体" w:hAnsi="宋体" w:cs="宋体"/>
                <w:szCs w:val="21"/>
              </w:rPr>
              <w:t>售后服务方案（包括定期巡检，保修范围，服务标准，服务力量，人员配备，故障响应修复时间方式及保障措施等），酌情评分。</w:t>
            </w:r>
          </w:p>
        </w:tc>
        <w:tc>
          <w:tcPr>
            <w:tcW w:w="675" w:type="dxa"/>
            <w:vAlign w:val="center"/>
          </w:tcPr>
          <w:p>
            <w:pPr>
              <w:widowControl/>
              <w:jc w:val="center"/>
              <w:rPr>
                <w:rFonts w:ascii="宋体" w:hAnsi="宋体" w:cs="宋体"/>
                <w:kern w:val="0"/>
                <w:szCs w:val="21"/>
              </w:rPr>
            </w:pPr>
            <w:r>
              <w:rPr>
                <w:rFonts w:hint="eastAsia" w:ascii="宋体" w:hAnsi="宋体" w:cs="宋体"/>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1532" w:type="dxa"/>
            <w:vMerge w:val="continue"/>
            <w:vAlign w:val="center"/>
          </w:tcPr>
          <w:p>
            <w:pPr>
              <w:jc w:val="center"/>
              <w:rPr>
                <w:rFonts w:ascii="宋体" w:hAnsi="宋体" w:cs="宋体"/>
                <w:b/>
                <w:szCs w:val="21"/>
              </w:rPr>
            </w:pPr>
          </w:p>
        </w:tc>
        <w:tc>
          <w:tcPr>
            <w:tcW w:w="7071" w:type="dxa"/>
            <w:gridSpan w:val="2"/>
          </w:tcPr>
          <w:p>
            <w:pPr>
              <w:rPr>
                <w:rFonts w:ascii="宋体" w:hAnsi="宋体" w:cs="宋体"/>
                <w:szCs w:val="21"/>
              </w:rPr>
            </w:pPr>
            <w:r>
              <w:rPr>
                <w:rFonts w:hint="eastAsia" w:ascii="宋体" w:hAnsi="宋体" w:cs="宋体"/>
                <w:szCs w:val="21"/>
              </w:rPr>
              <w:t>根据本地化服务能力酌情评分，0-4分。（提供的相关证明材料）</w:t>
            </w:r>
          </w:p>
        </w:tc>
        <w:tc>
          <w:tcPr>
            <w:tcW w:w="675" w:type="dxa"/>
            <w:vAlign w:val="center"/>
          </w:tcPr>
          <w:p>
            <w:pPr>
              <w:widowControl/>
              <w:jc w:val="center"/>
              <w:rPr>
                <w:rFonts w:ascii="宋体" w:hAnsi="宋体" w:cs="宋体"/>
                <w:kern w:val="0"/>
                <w:szCs w:val="21"/>
              </w:rPr>
            </w:pPr>
            <w:r>
              <w:rPr>
                <w:rFonts w:hint="eastAsia" w:ascii="宋体" w:hAnsi="宋体" w:cs="宋体"/>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1532" w:type="dxa"/>
          </w:tcPr>
          <w:p>
            <w:pPr>
              <w:jc w:val="center"/>
              <w:rPr>
                <w:rFonts w:ascii="宋体" w:hAnsi="宋体" w:cs="宋体"/>
                <w:b/>
                <w:szCs w:val="21"/>
              </w:rPr>
            </w:pPr>
            <w:r>
              <w:rPr>
                <w:rFonts w:hint="eastAsia" w:ascii="宋体" w:hAnsi="宋体" w:cs="宋体"/>
                <w:b/>
                <w:kern w:val="0"/>
                <w:szCs w:val="21"/>
              </w:rPr>
              <w:t>对招标文件的响应程度等2分</w:t>
            </w:r>
          </w:p>
        </w:tc>
        <w:tc>
          <w:tcPr>
            <w:tcW w:w="7071" w:type="dxa"/>
            <w:gridSpan w:val="2"/>
            <w:vAlign w:val="center"/>
          </w:tcPr>
          <w:p>
            <w:pPr>
              <w:rPr>
                <w:rFonts w:ascii="宋体" w:hAnsi="宋体" w:cs="宋体"/>
                <w:kern w:val="0"/>
                <w:szCs w:val="21"/>
              </w:rPr>
            </w:pPr>
            <w:r>
              <w:rPr>
                <w:rFonts w:hint="eastAsia" w:ascii="宋体" w:hAnsi="宋体" w:cs="宋体"/>
                <w:kern w:val="0"/>
                <w:szCs w:val="21"/>
              </w:rPr>
              <w:t>1、根据投标文件的制作及装订情况由评委酌情打分0-1.5 分</w:t>
            </w:r>
          </w:p>
          <w:p>
            <w:pPr>
              <w:rPr>
                <w:rFonts w:ascii="宋体" w:hAnsi="宋体" w:cs="宋体"/>
                <w:szCs w:val="21"/>
              </w:rPr>
            </w:pPr>
            <w:r>
              <w:rPr>
                <w:rFonts w:hint="eastAsia" w:ascii="宋体" w:hAnsi="宋体" w:cs="宋体"/>
                <w:kern w:val="0"/>
                <w:szCs w:val="21"/>
              </w:rPr>
              <w:t>2、电子文档是否按招标文件要求提供，有得0.5分，无不得分</w:t>
            </w:r>
          </w:p>
        </w:tc>
        <w:tc>
          <w:tcPr>
            <w:tcW w:w="675" w:type="dxa"/>
            <w:vAlign w:val="center"/>
          </w:tcPr>
          <w:p>
            <w:pPr>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532" w:type="dxa"/>
            <w:vMerge w:val="restart"/>
            <w:vAlign w:val="center"/>
          </w:tcPr>
          <w:p>
            <w:pPr>
              <w:widowControl/>
              <w:jc w:val="center"/>
              <w:rPr>
                <w:rFonts w:ascii="宋体" w:hAnsi="宋体" w:cs="宋体"/>
                <w:kern w:val="0"/>
                <w:szCs w:val="21"/>
              </w:rPr>
            </w:pPr>
            <w:r>
              <w:rPr>
                <w:rFonts w:hint="eastAsia" w:ascii="宋体" w:hAnsi="宋体" w:cs="宋体"/>
                <w:b/>
                <w:bCs/>
                <w:szCs w:val="21"/>
              </w:rPr>
              <w:t>信用评价5分</w:t>
            </w:r>
          </w:p>
        </w:tc>
        <w:tc>
          <w:tcPr>
            <w:tcW w:w="981" w:type="dxa"/>
            <w:vAlign w:val="center"/>
          </w:tcPr>
          <w:p>
            <w:pPr>
              <w:snapToGrid w:val="0"/>
              <w:spacing w:after="200"/>
              <w:jc w:val="left"/>
              <w:rPr>
                <w:rFonts w:ascii="宋体" w:hAnsi="宋体" w:cs="宋体"/>
                <w:szCs w:val="21"/>
              </w:rPr>
            </w:pPr>
            <w:r>
              <w:rPr>
                <w:rFonts w:hint="eastAsia" w:ascii="宋体" w:hAnsi="宋体" w:cs="宋体"/>
                <w:b/>
                <w:szCs w:val="21"/>
              </w:rPr>
              <w:t>基准分</w:t>
            </w:r>
          </w:p>
        </w:tc>
        <w:tc>
          <w:tcPr>
            <w:tcW w:w="6090" w:type="dxa"/>
            <w:vAlign w:val="center"/>
          </w:tcPr>
          <w:p>
            <w:pPr>
              <w:pStyle w:val="98"/>
              <w:widowControl w:val="0"/>
              <w:rPr>
                <w:rFonts w:ascii="宋体" w:hAnsi="宋体" w:eastAsia="宋体" w:cs="宋体"/>
                <w:sz w:val="21"/>
                <w:szCs w:val="21"/>
              </w:rPr>
            </w:pPr>
            <w:r>
              <w:rPr>
                <w:rFonts w:hint="eastAsia" w:ascii="宋体" w:hAnsi="宋体" w:eastAsia="宋体" w:cs="宋体"/>
                <w:color w:val="000000"/>
                <w:kern w:val="2"/>
                <w:sz w:val="21"/>
                <w:szCs w:val="21"/>
              </w:rPr>
              <w:t>网上注册情况：已在浙江政府采购网上正式注册入库的供应商得基准分0.5分</w:t>
            </w:r>
          </w:p>
        </w:tc>
        <w:tc>
          <w:tcPr>
            <w:tcW w:w="675" w:type="dxa"/>
            <w:vAlign w:val="center"/>
          </w:tcPr>
          <w:p>
            <w:pPr>
              <w:jc w:val="center"/>
              <w:rPr>
                <w:rFonts w:ascii="宋体" w:hAnsi="宋体" w:cs="宋体"/>
                <w:szCs w:val="21"/>
              </w:rPr>
            </w:pPr>
            <w:r>
              <w:rPr>
                <w:rFonts w:hint="eastAsia" w:ascii="宋体" w:hAnsi="宋体" w:cs="宋体"/>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532" w:type="dxa"/>
            <w:vMerge w:val="continue"/>
            <w:vAlign w:val="center"/>
          </w:tcPr>
          <w:p>
            <w:pPr>
              <w:snapToGrid w:val="0"/>
              <w:spacing w:after="200"/>
              <w:jc w:val="center"/>
              <w:rPr>
                <w:rFonts w:ascii="宋体" w:hAnsi="宋体" w:cs="宋体"/>
                <w:b/>
                <w:szCs w:val="21"/>
              </w:rPr>
            </w:pPr>
          </w:p>
        </w:tc>
        <w:tc>
          <w:tcPr>
            <w:tcW w:w="981" w:type="dxa"/>
            <w:vMerge w:val="restart"/>
            <w:vAlign w:val="center"/>
          </w:tcPr>
          <w:p>
            <w:pPr>
              <w:jc w:val="left"/>
              <w:rPr>
                <w:rFonts w:ascii="宋体" w:hAnsi="宋体" w:cs="宋体"/>
                <w:szCs w:val="21"/>
              </w:rPr>
            </w:pPr>
            <w:r>
              <w:rPr>
                <w:rFonts w:hint="eastAsia" w:ascii="宋体" w:hAnsi="宋体" w:cs="宋体"/>
                <w:b/>
                <w:szCs w:val="21"/>
              </w:rPr>
              <w:t>市场行为</w:t>
            </w:r>
          </w:p>
        </w:tc>
        <w:tc>
          <w:tcPr>
            <w:tcW w:w="6090" w:type="dxa"/>
            <w:vAlign w:val="center"/>
          </w:tcPr>
          <w:p>
            <w:pPr>
              <w:pStyle w:val="98"/>
              <w:widowControl w:val="0"/>
              <w:rPr>
                <w:rFonts w:ascii="宋体" w:hAnsi="宋体" w:eastAsia="宋体" w:cs="宋体"/>
                <w:sz w:val="21"/>
                <w:szCs w:val="21"/>
              </w:rPr>
            </w:pPr>
            <w:r>
              <w:rPr>
                <w:rFonts w:hint="eastAsia" w:ascii="宋体" w:hAnsi="宋体" w:eastAsia="宋体" w:cs="宋体"/>
                <w:color w:val="000000"/>
                <w:kern w:val="2"/>
                <w:sz w:val="21"/>
                <w:szCs w:val="21"/>
              </w:rPr>
              <w:t>1.重约守信：连续3年以上（包括3年）被评为守合同重信用单位的，加0.5分；</w:t>
            </w:r>
          </w:p>
        </w:tc>
        <w:tc>
          <w:tcPr>
            <w:tcW w:w="675" w:type="dxa"/>
            <w:vAlign w:val="center"/>
          </w:tcPr>
          <w:p>
            <w:pPr>
              <w:jc w:val="center"/>
              <w:rPr>
                <w:rFonts w:ascii="宋体" w:hAnsi="宋体" w:cs="宋体"/>
                <w:szCs w:val="21"/>
              </w:rPr>
            </w:pPr>
            <w:r>
              <w:rPr>
                <w:rFonts w:hint="eastAsia" w:ascii="宋体" w:hAnsi="宋体" w:cs="宋体"/>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1532" w:type="dxa"/>
            <w:vMerge w:val="continue"/>
            <w:vAlign w:val="center"/>
          </w:tcPr>
          <w:p>
            <w:pPr>
              <w:rPr>
                <w:rFonts w:ascii="宋体" w:hAnsi="宋体" w:cs="宋体"/>
                <w:b/>
                <w:szCs w:val="21"/>
              </w:rPr>
            </w:pPr>
          </w:p>
        </w:tc>
        <w:tc>
          <w:tcPr>
            <w:tcW w:w="981" w:type="dxa"/>
            <w:vMerge w:val="continue"/>
            <w:vAlign w:val="center"/>
          </w:tcPr>
          <w:p>
            <w:pPr>
              <w:jc w:val="left"/>
              <w:rPr>
                <w:rFonts w:ascii="宋体" w:hAnsi="宋体" w:cs="宋体"/>
                <w:szCs w:val="21"/>
              </w:rPr>
            </w:pPr>
          </w:p>
        </w:tc>
        <w:tc>
          <w:tcPr>
            <w:tcW w:w="6090" w:type="dxa"/>
            <w:vAlign w:val="center"/>
          </w:tcPr>
          <w:p>
            <w:pPr>
              <w:pStyle w:val="98"/>
              <w:widowControl w:val="0"/>
              <w:rPr>
                <w:rFonts w:ascii="宋体" w:hAnsi="宋体" w:eastAsia="宋体" w:cs="宋体"/>
                <w:sz w:val="21"/>
                <w:szCs w:val="21"/>
              </w:rPr>
            </w:pPr>
            <w:r>
              <w:rPr>
                <w:rFonts w:hint="eastAsia" w:ascii="宋体" w:hAnsi="宋体" w:eastAsia="宋体" w:cs="宋体"/>
                <w:color w:val="000000"/>
                <w:kern w:val="2"/>
                <w:sz w:val="21"/>
                <w:szCs w:val="21"/>
              </w:rPr>
              <w:t>2.投标行为：根据供应商2015以来参加台州市本级政府采购活动行为记录进行打分。若无存在提供虚假资料、保证金不予退还、不遵守开、评标现场纪律等不良记录及监管部门的处理处罚决定的，得1分；</w:t>
            </w:r>
          </w:p>
        </w:tc>
        <w:tc>
          <w:tcPr>
            <w:tcW w:w="675" w:type="dxa"/>
            <w:vAlign w:val="center"/>
          </w:tcPr>
          <w:p>
            <w:pPr>
              <w:jc w:val="center"/>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31" w:hRule="atLeast"/>
          <w:jc w:val="center"/>
        </w:trPr>
        <w:tc>
          <w:tcPr>
            <w:tcW w:w="1532" w:type="dxa"/>
            <w:vMerge w:val="continue"/>
            <w:vAlign w:val="center"/>
          </w:tcPr>
          <w:p>
            <w:pPr>
              <w:snapToGrid w:val="0"/>
              <w:spacing w:after="200"/>
              <w:rPr>
                <w:rFonts w:ascii="宋体" w:hAnsi="宋体" w:cs="宋体"/>
                <w:kern w:val="0"/>
                <w:szCs w:val="21"/>
              </w:rPr>
            </w:pPr>
          </w:p>
        </w:tc>
        <w:tc>
          <w:tcPr>
            <w:tcW w:w="981" w:type="dxa"/>
            <w:vAlign w:val="center"/>
          </w:tcPr>
          <w:p>
            <w:pPr>
              <w:snapToGrid w:val="0"/>
              <w:spacing w:after="200"/>
              <w:jc w:val="left"/>
              <w:rPr>
                <w:rFonts w:ascii="宋体" w:hAnsi="宋体" w:cs="宋体"/>
                <w:szCs w:val="21"/>
              </w:rPr>
            </w:pPr>
            <w:r>
              <w:rPr>
                <w:rFonts w:hint="eastAsia" w:ascii="宋体" w:hAnsi="宋体" w:cs="宋体"/>
                <w:b/>
                <w:szCs w:val="21"/>
              </w:rPr>
              <w:t>履约行为</w:t>
            </w:r>
          </w:p>
        </w:tc>
        <w:tc>
          <w:tcPr>
            <w:tcW w:w="6090" w:type="dxa"/>
            <w:vAlign w:val="center"/>
          </w:tcPr>
          <w:p>
            <w:pPr>
              <w:pStyle w:val="98"/>
              <w:widowControl w:val="0"/>
              <w:rPr>
                <w:rFonts w:ascii="宋体" w:hAnsi="宋体" w:eastAsia="宋体" w:cs="宋体"/>
                <w:color w:val="000000"/>
                <w:kern w:val="2"/>
                <w:sz w:val="21"/>
                <w:szCs w:val="21"/>
              </w:rPr>
            </w:pPr>
            <w:r>
              <w:rPr>
                <w:rFonts w:hint="eastAsia" w:ascii="宋体" w:hAnsi="宋体" w:eastAsia="宋体" w:cs="宋体"/>
                <w:color w:val="000000"/>
                <w:kern w:val="2"/>
                <w:sz w:val="21"/>
                <w:szCs w:val="21"/>
              </w:rPr>
              <w:t>履约信用：根据采购人反馈的《供应商履约情况评价表》进行打分。</w:t>
            </w:r>
          </w:p>
          <w:p>
            <w:pPr>
              <w:pStyle w:val="98"/>
              <w:widowControl w:val="0"/>
              <w:rPr>
                <w:rFonts w:ascii="宋体" w:hAnsi="宋体" w:eastAsia="宋体" w:cs="宋体"/>
                <w:color w:val="000000"/>
                <w:kern w:val="2"/>
                <w:sz w:val="21"/>
                <w:szCs w:val="21"/>
              </w:rPr>
            </w:pPr>
            <w:r>
              <w:rPr>
                <w:rFonts w:hint="eastAsia" w:ascii="宋体" w:hAnsi="宋体" w:eastAsia="宋体" w:cs="宋体"/>
                <w:color w:val="000000"/>
                <w:kern w:val="2"/>
                <w:sz w:val="21"/>
                <w:szCs w:val="21"/>
              </w:rPr>
              <w:t>采购人评价等级为优秀的得3分，良好的得2分，合格的得1分，基本合格的得0.5分，不合格的不得分。</w:t>
            </w:r>
          </w:p>
          <w:p>
            <w:pPr>
              <w:pStyle w:val="98"/>
              <w:widowControl w:val="0"/>
              <w:rPr>
                <w:rFonts w:ascii="宋体" w:hAnsi="宋体" w:eastAsia="宋体" w:cs="宋体"/>
                <w:color w:val="000000"/>
                <w:kern w:val="2"/>
                <w:sz w:val="21"/>
                <w:szCs w:val="21"/>
              </w:rPr>
            </w:pPr>
            <w:r>
              <w:rPr>
                <w:rFonts w:hint="eastAsia" w:ascii="宋体" w:hAnsi="宋体" w:eastAsia="宋体" w:cs="宋体"/>
                <w:color w:val="000000"/>
                <w:kern w:val="2"/>
                <w:sz w:val="21"/>
                <w:szCs w:val="21"/>
              </w:rPr>
              <w:t>注：1.在本市至今尚无得到过评价的（指首次参加或以往有参加但因未中标而没有被评价的）投标供应商视为合格供应商，按合格档次进行打分；</w:t>
            </w:r>
          </w:p>
          <w:p>
            <w:pPr>
              <w:pStyle w:val="98"/>
              <w:widowControl w:val="0"/>
              <w:rPr>
                <w:rFonts w:ascii="宋体" w:hAnsi="宋体" w:eastAsia="宋体" w:cs="宋体"/>
                <w:sz w:val="21"/>
                <w:szCs w:val="21"/>
              </w:rPr>
            </w:pPr>
            <w:r>
              <w:rPr>
                <w:rFonts w:hint="eastAsia" w:ascii="宋体" w:hAnsi="宋体" w:eastAsia="宋体" w:cs="宋体"/>
                <w:color w:val="000000"/>
                <w:kern w:val="2"/>
                <w:sz w:val="21"/>
                <w:szCs w:val="21"/>
              </w:rPr>
              <w:t>2.本项最终得分按评价等级加权计算。</w:t>
            </w:r>
          </w:p>
        </w:tc>
        <w:tc>
          <w:tcPr>
            <w:tcW w:w="675" w:type="dxa"/>
            <w:vAlign w:val="center"/>
          </w:tcPr>
          <w:p>
            <w:pPr>
              <w:jc w:val="center"/>
              <w:rPr>
                <w:rFonts w:ascii="宋体" w:hAnsi="宋体" w:cs="宋体"/>
                <w:szCs w:val="21"/>
              </w:rPr>
            </w:pPr>
            <w:r>
              <w:rPr>
                <w:rFonts w:hint="eastAsia" w:ascii="宋体" w:hAnsi="宋体" w:cs="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jc w:val="center"/>
        </w:trPr>
        <w:tc>
          <w:tcPr>
            <w:tcW w:w="1532" w:type="dxa"/>
            <w:vAlign w:val="center"/>
          </w:tcPr>
          <w:p>
            <w:pPr>
              <w:tabs>
                <w:tab w:val="left" w:pos="1418"/>
              </w:tabs>
              <w:jc w:val="center"/>
              <w:rPr>
                <w:rFonts w:ascii="宋体" w:hAnsi="宋体" w:cs="宋体"/>
                <w:b/>
                <w:bCs/>
                <w:szCs w:val="21"/>
              </w:rPr>
            </w:pPr>
            <w:r>
              <w:rPr>
                <w:rFonts w:hint="eastAsia" w:ascii="宋体" w:hAnsi="宋体" w:cs="宋体"/>
                <w:b/>
                <w:bCs/>
                <w:szCs w:val="21"/>
              </w:rPr>
              <w:t>价格</w:t>
            </w:r>
          </w:p>
          <w:p>
            <w:pPr>
              <w:tabs>
                <w:tab w:val="left" w:pos="1418"/>
              </w:tabs>
              <w:jc w:val="center"/>
              <w:rPr>
                <w:rFonts w:ascii="宋体" w:hAnsi="宋体" w:cs="宋体"/>
                <w:b/>
                <w:szCs w:val="21"/>
              </w:rPr>
            </w:pPr>
            <w:r>
              <w:rPr>
                <w:rFonts w:hint="eastAsia" w:ascii="宋体" w:hAnsi="宋体" w:cs="宋体"/>
                <w:b/>
                <w:bCs/>
                <w:szCs w:val="21"/>
              </w:rPr>
              <w:t>30分</w:t>
            </w:r>
          </w:p>
        </w:tc>
        <w:tc>
          <w:tcPr>
            <w:tcW w:w="7071" w:type="dxa"/>
            <w:gridSpan w:val="2"/>
            <w:vAlign w:val="center"/>
          </w:tcPr>
          <w:p>
            <w:pPr>
              <w:adjustRightInd w:val="0"/>
              <w:rPr>
                <w:rFonts w:ascii="宋体" w:hAnsi="宋体" w:cs="宋体"/>
                <w:bCs/>
                <w:szCs w:val="21"/>
              </w:rPr>
            </w:pPr>
            <w:r>
              <w:rPr>
                <w:rFonts w:hint="eastAsia" w:ascii="宋体" w:hAnsi="宋体" w:cs="宋体"/>
                <w:szCs w:val="21"/>
              </w:rPr>
              <w:t>取投标合格供应商的投标最终报价最低价为基准价。基准价为30分。投标报价得分＝（评标基准价/最终投标报价）×30%×100（小数点后保留2位小数）。（注：对于小型和微型企业产品的价格给予6%的扣除，用扣除后的价格参与评审。小型和微型企业需提供《小</w:t>
            </w:r>
            <w:r>
              <w:rPr>
                <w:rFonts w:hint="eastAsia" w:ascii="宋体" w:hAnsi="宋体" w:cs="宋体"/>
                <w:szCs w:val="21"/>
                <w:lang w:val="en-GB"/>
              </w:rPr>
              <w:t>微</w:t>
            </w:r>
            <w:r>
              <w:rPr>
                <w:rFonts w:hint="eastAsia" w:ascii="宋体" w:hAnsi="宋体" w:cs="宋体"/>
                <w:szCs w:val="21"/>
              </w:rPr>
              <w:t>企业声明函》，并提供当地小型和微型企业行政主管部门的确认意见及相关依据；确认意见如无明确有效期，则须在投标截止1年内。）</w:t>
            </w:r>
          </w:p>
        </w:tc>
        <w:tc>
          <w:tcPr>
            <w:tcW w:w="675" w:type="dxa"/>
            <w:vAlign w:val="center"/>
          </w:tcPr>
          <w:p>
            <w:pPr>
              <w:adjustRightInd w:val="0"/>
              <w:jc w:val="center"/>
              <w:rPr>
                <w:rFonts w:ascii="宋体" w:hAnsi="宋体" w:cs="宋体"/>
                <w:kern w:val="0"/>
                <w:szCs w:val="21"/>
              </w:rPr>
            </w:pPr>
            <w:r>
              <w:rPr>
                <w:rFonts w:hint="eastAsia" w:ascii="宋体" w:hAnsi="宋体" w:cs="宋体"/>
                <w:szCs w:val="21"/>
              </w:rPr>
              <w:t>30</w:t>
            </w:r>
          </w:p>
        </w:tc>
      </w:tr>
    </w:tbl>
    <w:p>
      <w:pPr>
        <w:autoSpaceDE w:val="0"/>
        <w:autoSpaceDN w:val="0"/>
        <w:adjustRightInd w:val="0"/>
        <w:spacing w:line="360" w:lineRule="auto"/>
        <w:ind w:left="2128" w:leftChars="473" w:right="1365" w:rightChars="650" w:hanging="1135" w:hangingChars="314"/>
        <w:jc w:val="center"/>
        <w:rPr>
          <w:rFonts w:asciiTheme="majorEastAsia" w:hAnsiTheme="majorEastAsia" w:eastAsiaTheme="majorEastAsia"/>
          <w:b/>
          <w:kern w:val="0"/>
          <w:sz w:val="36"/>
          <w:szCs w:val="36"/>
        </w:rPr>
      </w:pPr>
      <w:r>
        <w:rPr>
          <w:rFonts w:hint="eastAsia" w:asciiTheme="majorEastAsia" w:hAnsiTheme="majorEastAsia" w:eastAsiaTheme="majorEastAsia"/>
          <w:b/>
          <w:kern w:val="0"/>
          <w:sz w:val="36"/>
          <w:szCs w:val="36"/>
        </w:rPr>
        <w:br w:type="page"/>
      </w:r>
    </w:p>
    <w:p>
      <w:pPr>
        <w:autoSpaceDE w:val="0"/>
        <w:autoSpaceDN w:val="0"/>
        <w:adjustRightInd w:val="0"/>
        <w:spacing w:line="360" w:lineRule="auto"/>
        <w:ind w:left="2128" w:leftChars="473" w:right="1365" w:rightChars="650" w:hanging="1135" w:hangingChars="314"/>
        <w:jc w:val="center"/>
        <w:rPr>
          <w:rFonts w:asciiTheme="majorEastAsia" w:hAnsiTheme="majorEastAsia" w:eastAsiaTheme="majorEastAsia"/>
          <w:b/>
          <w:bCs/>
          <w:sz w:val="36"/>
          <w:szCs w:val="36"/>
        </w:rPr>
      </w:pPr>
      <w:r>
        <w:rPr>
          <w:rFonts w:hint="eastAsia" w:asciiTheme="majorEastAsia" w:hAnsiTheme="majorEastAsia" w:eastAsiaTheme="majorEastAsia"/>
          <w:b/>
          <w:kern w:val="0"/>
          <w:sz w:val="36"/>
          <w:szCs w:val="36"/>
        </w:rPr>
        <w:t>第五部分　</w:t>
      </w:r>
      <w:r>
        <w:rPr>
          <w:rFonts w:hint="eastAsia" w:asciiTheme="majorEastAsia" w:hAnsiTheme="majorEastAsia" w:eastAsiaTheme="majorEastAsia"/>
          <w:b/>
          <w:sz w:val="36"/>
          <w:szCs w:val="36"/>
        </w:rPr>
        <w:t>台州市政府采购</w:t>
      </w:r>
      <w:r>
        <w:rPr>
          <w:rFonts w:hint="eastAsia" w:asciiTheme="majorEastAsia" w:hAnsiTheme="majorEastAsia" w:eastAsiaTheme="majorEastAsia"/>
          <w:b/>
          <w:bCs/>
          <w:sz w:val="36"/>
          <w:szCs w:val="36"/>
        </w:rPr>
        <w:t>合同文本</w:t>
      </w:r>
    </w:p>
    <w:p>
      <w:pPr>
        <w:autoSpaceDE w:val="0"/>
        <w:autoSpaceDN w:val="0"/>
        <w:adjustRightInd w:val="0"/>
        <w:spacing w:line="360" w:lineRule="auto"/>
        <w:ind w:left="2128" w:leftChars="473" w:right="1365" w:rightChars="650" w:hanging="1135" w:hangingChars="314"/>
        <w:jc w:val="center"/>
        <w:rPr>
          <w:rFonts w:asciiTheme="majorEastAsia" w:hAnsiTheme="majorEastAsia" w:eastAsiaTheme="majorEastAsia"/>
          <w:b/>
          <w:bCs/>
          <w:sz w:val="36"/>
          <w:szCs w:val="36"/>
        </w:rPr>
      </w:pPr>
      <w:r>
        <w:rPr>
          <w:rFonts w:hint="eastAsia" w:asciiTheme="majorEastAsia" w:hAnsiTheme="majorEastAsia" w:eastAsiaTheme="majorEastAsia"/>
          <w:b/>
          <w:bCs/>
          <w:sz w:val="36"/>
          <w:szCs w:val="36"/>
        </w:rPr>
        <w:t>-通用条款</w:t>
      </w:r>
    </w:p>
    <w:p>
      <w:pPr>
        <w:widowControl/>
        <w:shd w:val="clear" w:color="auto" w:fill="FFFFFF"/>
        <w:spacing w:after="150" w:line="360" w:lineRule="auto"/>
        <w:ind w:firstLine="480"/>
        <w:jc w:val="left"/>
        <w:rPr>
          <w:rFonts w:asciiTheme="minorEastAsia" w:hAnsiTheme="minorEastAsia" w:eastAsiaTheme="minorEastAsia"/>
          <w:sz w:val="24"/>
        </w:rPr>
      </w:pPr>
      <w:r>
        <w:rPr>
          <w:rFonts w:asciiTheme="minorEastAsia" w:hAnsiTheme="minorEastAsia" w:eastAsiaTheme="minorEastAsia"/>
          <w:sz w:val="24"/>
        </w:rPr>
        <w:t>以下为成交后签定本项目合同的通用条款，成交供应商不得提出实质性的修改，关于专用条款将由采购人与成交供应商结合本项目具体情况协商后签订。</w:t>
      </w:r>
    </w:p>
    <w:p>
      <w:pPr>
        <w:pStyle w:val="18"/>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项目名称：                                       项目编号：</w:t>
      </w:r>
    </w:p>
    <w:p>
      <w:pPr>
        <w:pStyle w:val="18"/>
        <w:snapToGrid w:val="0"/>
        <w:spacing w:before="120" w:after="120" w:line="360" w:lineRule="auto"/>
        <w:rPr>
          <w:rFonts w:asciiTheme="minorEastAsia" w:hAnsiTheme="minorEastAsia" w:eastAsiaTheme="minorEastAsia"/>
        </w:rPr>
      </w:pPr>
      <w:r>
        <w:rPr>
          <w:rFonts w:asciiTheme="minorEastAsia" w:hAnsiTheme="minorEastAsia" w:eastAsiaTheme="minorEastAsia"/>
          <w:sz w:val="24"/>
        </w:rPr>
        <w:t>甲方：（</w:t>
      </w:r>
      <w:r>
        <w:rPr>
          <w:rFonts w:hint="eastAsia" w:asciiTheme="minorEastAsia" w:hAnsiTheme="minorEastAsia" w:eastAsiaTheme="minorEastAsia"/>
          <w:sz w:val="24"/>
        </w:rPr>
        <w:t>采购单位</w:t>
      </w:r>
      <w:r>
        <w:rPr>
          <w:rFonts w:asciiTheme="minorEastAsia" w:hAnsiTheme="minorEastAsia" w:eastAsiaTheme="minorEastAsia"/>
          <w:sz w:val="24"/>
        </w:rPr>
        <w:t>）</w:t>
      </w:r>
      <w:r>
        <w:rPr>
          <w:rFonts w:hint="eastAsia" w:asciiTheme="minorEastAsia" w:hAnsiTheme="minorEastAsia" w:eastAsiaTheme="minorEastAsia"/>
        </w:rPr>
        <w:t xml:space="preserve">                              所在地：                              </w:t>
      </w:r>
    </w:p>
    <w:p>
      <w:pPr>
        <w:pStyle w:val="18"/>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乙方：（</w:t>
      </w:r>
      <w:r>
        <w:rPr>
          <w:rFonts w:hint="eastAsia" w:asciiTheme="minorEastAsia" w:hAnsiTheme="minorEastAsia" w:eastAsiaTheme="minorEastAsia"/>
          <w:sz w:val="24"/>
        </w:rPr>
        <w:t>中标供应商</w:t>
      </w:r>
      <w:r>
        <w:rPr>
          <w:rFonts w:asciiTheme="minorEastAsia" w:hAnsiTheme="minorEastAsia" w:eastAsiaTheme="minorEastAsia"/>
          <w:sz w:val="24"/>
        </w:rPr>
        <w:t>）</w:t>
      </w:r>
      <w:r>
        <w:rPr>
          <w:rFonts w:hint="eastAsia" w:asciiTheme="minorEastAsia" w:hAnsiTheme="minorEastAsia" w:eastAsiaTheme="minorEastAsia"/>
        </w:rPr>
        <w:t xml:space="preserve">                            所在地：                              </w:t>
      </w:r>
    </w:p>
    <w:p>
      <w:pPr>
        <w:pStyle w:val="18"/>
        <w:snapToGrid w:val="0"/>
        <w:spacing w:before="120" w:after="120" w:line="360" w:lineRule="auto"/>
        <w:rPr>
          <w:rFonts w:asciiTheme="minorEastAsia" w:hAnsiTheme="minorEastAsia" w:eastAsiaTheme="minorEastAsia"/>
          <w:b/>
          <w:sz w:val="24"/>
        </w:rPr>
      </w:pPr>
      <w:r>
        <w:rPr>
          <w:rFonts w:asciiTheme="minorEastAsia" w:hAnsiTheme="minorEastAsia" w:eastAsiaTheme="minorEastAsia"/>
          <w:sz w:val="24"/>
        </w:rPr>
        <w:t>甲、乙双方根据中心关于</w:t>
      </w:r>
      <w:r>
        <w:rPr>
          <w:rFonts w:hint="eastAsia" w:cs="Arial" w:asciiTheme="minorEastAsia" w:hAnsiTheme="minorEastAsia" w:eastAsiaTheme="minorEastAsia"/>
          <w:color w:val="FF00FF"/>
          <w:sz w:val="24"/>
        </w:rPr>
        <w:t>××</w:t>
      </w:r>
      <w:r>
        <w:rPr>
          <w:rFonts w:asciiTheme="minorEastAsia" w:hAnsiTheme="minorEastAsia" w:eastAsiaTheme="minorEastAsia"/>
          <w:sz w:val="24"/>
        </w:rPr>
        <w:t>单位</w:t>
      </w:r>
      <w:r>
        <w:rPr>
          <w:rFonts w:hint="eastAsia" w:cs="Arial" w:asciiTheme="minorEastAsia" w:hAnsiTheme="minorEastAsia" w:eastAsiaTheme="minorEastAsia"/>
          <w:color w:val="FF00FF"/>
          <w:sz w:val="24"/>
        </w:rPr>
        <w:t>××</w:t>
      </w:r>
      <w:r>
        <w:rPr>
          <w:rFonts w:asciiTheme="minorEastAsia" w:hAnsiTheme="minorEastAsia" w:eastAsiaTheme="minorEastAsia"/>
          <w:sz w:val="24"/>
        </w:rPr>
        <w:t>项目公开招标的结果，签署本合同。</w:t>
      </w:r>
    </w:p>
    <w:p>
      <w:pPr>
        <w:pStyle w:val="18"/>
        <w:snapToGrid w:val="0"/>
        <w:spacing w:before="120" w:after="120" w:line="360" w:lineRule="auto"/>
        <w:rPr>
          <w:rFonts w:asciiTheme="minorEastAsia" w:hAnsiTheme="minorEastAsia" w:eastAsiaTheme="minorEastAsia"/>
          <w:b/>
          <w:sz w:val="24"/>
        </w:rPr>
      </w:pPr>
      <w:r>
        <w:rPr>
          <w:rFonts w:asciiTheme="minorEastAsia" w:hAnsiTheme="minorEastAsia" w:eastAsiaTheme="minorEastAsia"/>
          <w:b/>
          <w:sz w:val="24"/>
        </w:rPr>
        <w:t>一、货物内容</w:t>
      </w:r>
    </w:p>
    <w:p>
      <w:pPr>
        <w:pStyle w:val="18"/>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1. 货物名称：</w:t>
      </w:r>
    </w:p>
    <w:p>
      <w:pPr>
        <w:pStyle w:val="18"/>
        <w:snapToGrid w:val="0"/>
        <w:spacing w:before="120" w:after="120" w:line="360" w:lineRule="auto"/>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 型号规格：</w:t>
      </w:r>
    </w:p>
    <w:p>
      <w:pPr>
        <w:pStyle w:val="18"/>
        <w:snapToGrid w:val="0"/>
        <w:spacing w:before="120" w:after="120" w:line="360" w:lineRule="auto"/>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 技术参数：</w:t>
      </w:r>
    </w:p>
    <w:p>
      <w:pPr>
        <w:pStyle w:val="18"/>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w:t>
      </w:r>
      <w:r>
        <w:rPr>
          <w:rFonts w:asciiTheme="minorEastAsia" w:hAnsiTheme="minorEastAsia" w:eastAsiaTheme="minorEastAsia"/>
          <w:sz w:val="24"/>
        </w:rPr>
        <w:t xml:space="preserve"> 数量（单位）：</w:t>
      </w:r>
    </w:p>
    <w:p>
      <w:pPr>
        <w:pStyle w:val="18"/>
        <w:snapToGrid w:val="0"/>
        <w:spacing w:before="120" w:after="120" w:line="360" w:lineRule="auto"/>
        <w:rPr>
          <w:rFonts w:asciiTheme="minorEastAsia" w:hAnsiTheme="minorEastAsia" w:eastAsiaTheme="minorEastAsia"/>
          <w:b/>
          <w:sz w:val="24"/>
        </w:rPr>
      </w:pPr>
      <w:r>
        <w:rPr>
          <w:rFonts w:asciiTheme="minorEastAsia" w:hAnsiTheme="minorEastAsia" w:eastAsiaTheme="minorEastAsia"/>
          <w:b/>
          <w:sz w:val="24"/>
        </w:rPr>
        <w:t>二、合同金额</w:t>
      </w:r>
    </w:p>
    <w:p>
      <w:pPr>
        <w:pStyle w:val="18"/>
        <w:snapToGrid w:val="0"/>
        <w:spacing w:before="120" w:after="120" w:line="360" w:lineRule="auto"/>
        <w:ind w:left="410" w:hanging="410" w:hangingChars="171"/>
        <w:rPr>
          <w:rFonts w:asciiTheme="minorEastAsia" w:hAnsiTheme="minorEastAsia" w:eastAsiaTheme="minorEastAsia"/>
          <w:sz w:val="24"/>
        </w:rPr>
      </w:pPr>
      <w:r>
        <w:rPr>
          <w:rFonts w:asciiTheme="minorEastAsia" w:hAnsiTheme="minorEastAsia" w:eastAsiaTheme="minorEastAsia"/>
          <w:sz w:val="24"/>
        </w:rPr>
        <w:t xml:space="preserve"> 本合同金额为（大写）：____________________________________元（￥_______________元）人民币。</w:t>
      </w:r>
    </w:p>
    <w:p>
      <w:pPr>
        <w:pStyle w:val="18"/>
        <w:snapToGrid w:val="0"/>
        <w:spacing w:before="120" w:after="120" w:line="360" w:lineRule="auto"/>
        <w:rPr>
          <w:rFonts w:asciiTheme="minorEastAsia" w:hAnsiTheme="minorEastAsia" w:eastAsiaTheme="minorEastAsia"/>
          <w:b/>
          <w:sz w:val="24"/>
        </w:rPr>
      </w:pPr>
      <w:r>
        <w:rPr>
          <w:rFonts w:asciiTheme="minorEastAsia" w:hAnsiTheme="minorEastAsia" w:eastAsiaTheme="minorEastAsia"/>
          <w:b/>
          <w:sz w:val="24"/>
        </w:rPr>
        <w:t>三、技术资料</w:t>
      </w:r>
    </w:p>
    <w:p>
      <w:pPr>
        <w:pStyle w:val="18"/>
        <w:snapToGrid w:val="0"/>
        <w:spacing w:before="120" w:after="120" w:line="360" w:lineRule="auto"/>
        <w:ind w:left="410" w:hanging="410" w:hangingChars="171"/>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乙方应按招标文件规定的时间向甲方提供使用货物的有关技术资料。</w:t>
      </w:r>
    </w:p>
    <w:p>
      <w:pPr>
        <w:pStyle w:val="18"/>
        <w:snapToGrid w:val="0"/>
        <w:spacing w:before="120" w:after="120" w:line="360" w:lineRule="auto"/>
        <w:ind w:left="410" w:hanging="410" w:hangingChars="171"/>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 xml:space="preserve">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18"/>
        <w:snapToGrid w:val="0"/>
        <w:spacing w:before="120" w:after="120" w:line="360" w:lineRule="auto"/>
        <w:ind w:left="412" w:hanging="412" w:hangingChars="171"/>
        <w:rPr>
          <w:rFonts w:asciiTheme="minorEastAsia" w:hAnsiTheme="minorEastAsia" w:eastAsiaTheme="minorEastAsia"/>
          <w:b/>
          <w:sz w:val="24"/>
        </w:rPr>
      </w:pPr>
      <w:r>
        <w:rPr>
          <w:rFonts w:asciiTheme="minorEastAsia" w:hAnsiTheme="minorEastAsia" w:eastAsiaTheme="minorEastAsia"/>
          <w:b/>
          <w:sz w:val="24"/>
        </w:rPr>
        <w:t>四、知识产权</w:t>
      </w:r>
    </w:p>
    <w:p>
      <w:pPr>
        <w:pStyle w:val="18"/>
        <w:snapToGrid w:val="0"/>
        <w:spacing w:before="120" w:after="120" w:line="360" w:lineRule="auto"/>
        <w:rPr>
          <w:rFonts w:asciiTheme="minorEastAsia" w:hAnsiTheme="minorEastAsia" w:eastAsiaTheme="minorEastAsia"/>
          <w:bCs/>
          <w:sz w:val="24"/>
        </w:rPr>
      </w:pPr>
      <w:r>
        <w:rPr>
          <w:rFonts w:asciiTheme="minorEastAsia" w:hAnsiTheme="minorEastAsia" w:eastAsiaTheme="minorEastAsia"/>
          <w:sz w:val="24"/>
        </w:rPr>
        <w:t>乙方应保证所提供的货物或其任何一部分均不会侵犯任何第三方的知识产权</w:t>
      </w:r>
      <w:r>
        <w:rPr>
          <w:rFonts w:asciiTheme="minorEastAsia" w:hAnsiTheme="minorEastAsia" w:eastAsiaTheme="minorEastAsia"/>
          <w:bCs/>
          <w:sz w:val="24"/>
        </w:rPr>
        <w:t>。</w:t>
      </w:r>
    </w:p>
    <w:p>
      <w:pPr>
        <w:pStyle w:val="18"/>
        <w:snapToGrid w:val="0"/>
        <w:spacing w:before="120" w:after="120" w:line="360" w:lineRule="auto"/>
        <w:rPr>
          <w:rFonts w:asciiTheme="minorEastAsia" w:hAnsiTheme="minorEastAsia" w:eastAsiaTheme="minorEastAsia"/>
          <w:sz w:val="24"/>
          <w:u w:val="single"/>
        </w:rPr>
      </w:pPr>
      <w:r>
        <w:rPr>
          <w:rFonts w:asciiTheme="minorEastAsia" w:hAnsiTheme="minorEastAsia" w:eastAsiaTheme="minorEastAsia"/>
          <w:b/>
          <w:sz w:val="24"/>
        </w:rPr>
        <w:t>五、产权担保</w:t>
      </w:r>
    </w:p>
    <w:p>
      <w:pPr>
        <w:pStyle w:val="18"/>
        <w:snapToGrid w:val="0"/>
        <w:spacing w:before="120" w:after="120" w:line="360" w:lineRule="auto"/>
        <w:ind w:left="408" w:hanging="408" w:hangingChars="170"/>
        <w:rPr>
          <w:rFonts w:asciiTheme="minorEastAsia" w:hAnsiTheme="minorEastAsia" w:eastAsiaTheme="minorEastAsia"/>
          <w:sz w:val="24"/>
          <w:u w:val="single"/>
        </w:rPr>
      </w:pPr>
      <w:r>
        <w:rPr>
          <w:rFonts w:asciiTheme="minorEastAsia" w:hAnsiTheme="minorEastAsia" w:eastAsiaTheme="minorEastAsia"/>
          <w:sz w:val="24"/>
        </w:rPr>
        <w:t>乙方保证所交付的货物的所有权完全属于乙方且无任何抵押、查封等产权瑕疵。</w:t>
      </w:r>
    </w:p>
    <w:p>
      <w:pPr>
        <w:pStyle w:val="18"/>
        <w:snapToGrid w:val="0"/>
        <w:spacing w:before="120" w:after="120" w:line="360" w:lineRule="auto"/>
        <w:ind w:left="410" w:hanging="410" w:hangingChars="170"/>
        <w:rPr>
          <w:rFonts w:asciiTheme="minorEastAsia" w:hAnsiTheme="minorEastAsia" w:eastAsiaTheme="minorEastAsia"/>
          <w:b/>
          <w:sz w:val="24"/>
        </w:rPr>
      </w:pPr>
      <w:r>
        <w:rPr>
          <w:rFonts w:asciiTheme="minorEastAsia" w:hAnsiTheme="minorEastAsia" w:eastAsiaTheme="minorEastAsia"/>
          <w:b/>
          <w:sz w:val="24"/>
        </w:rPr>
        <w:t>六、履约保证金</w:t>
      </w:r>
    </w:p>
    <w:p>
      <w:pPr>
        <w:tabs>
          <w:tab w:val="left" w:pos="1418"/>
        </w:tabs>
        <w:autoSpaceDE w:val="0"/>
        <w:autoSpaceDN w:val="0"/>
        <w:adjustRightInd w:val="0"/>
        <w:spacing w:line="360" w:lineRule="auto"/>
        <w:ind w:left="480"/>
        <w:rPr>
          <w:rFonts w:asciiTheme="minorEastAsia" w:hAnsiTheme="minorEastAsia" w:eastAsiaTheme="minorEastAsia"/>
          <w:kern w:val="0"/>
          <w:sz w:val="24"/>
        </w:rPr>
      </w:pPr>
      <w:r>
        <w:rPr>
          <w:rFonts w:hint="eastAsia" w:asciiTheme="minorEastAsia" w:hAnsiTheme="minorEastAsia" w:eastAsiaTheme="minorEastAsia"/>
          <w:color w:val="FF0000"/>
          <w:kern w:val="0"/>
          <w:sz w:val="24"/>
        </w:rPr>
        <w:t>本项目履约保证金为合同金额的</w:t>
      </w:r>
      <w:r>
        <w:rPr>
          <w:rFonts w:asciiTheme="minorEastAsia" w:hAnsiTheme="minorEastAsia" w:eastAsiaTheme="minorEastAsia"/>
          <w:color w:val="FF0000"/>
          <w:sz w:val="24"/>
        </w:rPr>
        <w:t>____</w:t>
      </w:r>
      <w:r>
        <w:rPr>
          <w:rFonts w:hint="eastAsia" w:asciiTheme="minorEastAsia" w:hAnsiTheme="minorEastAsia" w:eastAsiaTheme="minorEastAsia"/>
          <w:color w:val="FF0000"/>
          <w:sz w:val="24"/>
        </w:rPr>
        <w:t>%</w:t>
      </w:r>
      <w:r>
        <w:rPr>
          <w:rFonts w:hint="eastAsia" w:asciiTheme="minorEastAsia" w:hAnsiTheme="minorEastAsia" w:eastAsiaTheme="minorEastAsia"/>
          <w:kern w:val="0"/>
          <w:sz w:val="24"/>
        </w:rPr>
        <w:t>。</w:t>
      </w:r>
    </w:p>
    <w:p>
      <w:pPr>
        <w:pStyle w:val="18"/>
        <w:snapToGrid w:val="0"/>
        <w:spacing w:before="120" w:after="120" w:line="360" w:lineRule="auto"/>
        <w:ind w:left="410" w:hanging="410" w:hangingChars="170"/>
        <w:rPr>
          <w:rFonts w:asciiTheme="minorEastAsia" w:hAnsiTheme="minorEastAsia" w:eastAsiaTheme="minorEastAsia"/>
          <w:b/>
          <w:sz w:val="24"/>
        </w:rPr>
      </w:pPr>
      <w:r>
        <w:rPr>
          <w:rFonts w:hint="eastAsia" w:asciiTheme="minorEastAsia" w:hAnsiTheme="minorEastAsia" w:eastAsiaTheme="minorEastAsia"/>
          <w:b/>
          <w:sz w:val="24"/>
        </w:rPr>
        <w:t>七、转包或分包</w:t>
      </w:r>
    </w:p>
    <w:p>
      <w:pPr>
        <w:snapToGrid w:val="0"/>
        <w:spacing w:beforeLines="50" w:afterLines="50" w:line="360" w:lineRule="auto"/>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.本合同范围的货物，应由</w:t>
      </w:r>
      <w:r>
        <w:rPr>
          <w:rFonts w:asciiTheme="minorEastAsia" w:hAnsiTheme="minorEastAsia" w:eastAsiaTheme="minorEastAsia"/>
          <w:sz w:val="24"/>
        </w:rPr>
        <w:t>乙</w:t>
      </w:r>
      <w:r>
        <w:rPr>
          <w:rFonts w:hint="eastAsia" w:asciiTheme="minorEastAsia" w:hAnsiTheme="minorEastAsia" w:eastAsiaTheme="minorEastAsia"/>
          <w:sz w:val="24"/>
        </w:rPr>
        <w:t>方直接供应，不得转让他人供应；</w:t>
      </w:r>
    </w:p>
    <w:p>
      <w:pPr>
        <w:snapToGrid w:val="0"/>
        <w:spacing w:beforeLines="50" w:afterLines="50" w:line="360" w:lineRule="auto"/>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.除非得到</w:t>
      </w:r>
      <w:r>
        <w:rPr>
          <w:rFonts w:asciiTheme="minorEastAsia" w:hAnsiTheme="minorEastAsia" w:eastAsiaTheme="minorEastAsia"/>
          <w:sz w:val="24"/>
        </w:rPr>
        <w:t>甲</w:t>
      </w:r>
      <w:r>
        <w:rPr>
          <w:rFonts w:hint="eastAsia" w:asciiTheme="minorEastAsia" w:hAnsiTheme="minorEastAsia" w:eastAsiaTheme="minorEastAsia"/>
          <w:sz w:val="24"/>
        </w:rPr>
        <w:t>方的书面同意，</w:t>
      </w:r>
      <w:r>
        <w:rPr>
          <w:rFonts w:asciiTheme="minorEastAsia" w:hAnsiTheme="minorEastAsia" w:eastAsiaTheme="minorEastAsia"/>
          <w:sz w:val="24"/>
        </w:rPr>
        <w:t>乙</w:t>
      </w:r>
      <w:r>
        <w:rPr>
          <w:rFonts w:hint="eastAsia" w:asciiTheme="minorEastAsia" w:hAnsiTheme="minorEastAsia" w:eastAsiaTheme="minorEastAsia"/>
          <w:sz w:val="24"/>
        </w:rPr>
        <w:t>方不得将本合同范围的货物全部或部分分包给他人供应；</w:t>
      </w:r>
    </w:p>
    <w:p>
      <w:pPr>
        <w:snapToGrid w:val="0"/>
        <w:spacing w:beforeLines="50" w:afterLines="50" w:line="360" w:lineRule="auto"/>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.如有转让和未经</w:t>
      </w:r>
      <w:r>
        <w:rPr>
          <w:rFonts w:asciiTheme="minorEastAsia" w:hAnsiTheme="minorEastAsia" w:eastAsiaTheme="minorEastAsia"/>
          <w:sz w:val="24"/>
        </w:rPr>
        <w:t>甲</w:t>
      </w:r>
      <w:r>
        <w:rPr>
          <w:rFonts w:hint="eastAsia" w:asciiTheme="minorEastAsia" w:hAnsiTheme="minorEastAsia" w:eastAsiaTheme="minorEastAsia"/>
          <w:sz w:val="24"/>
        </w:rPr>
        <w:t>方同意的分包行为，</w:t>
      </w:r>
      <w:r>
        <w:rPr>
          <w:rFonts w:asciiTheme="minorEastAsia" w:hAnsiTheme="minorEastAsia" w:eastAsiaTheme="minorEastAsia"/>
          <w:sz w:val="24"/>
        </w:rPr>
        <w:t>甲</w:t>
      </w:r>
      <w:r>
        <w:rPr>
          <w:rFonts w:hint="eastAsia" w:asciiTheme="minorEastAsia" w:hAnsiTheme="minorEastAsia" w:eastAsiaTheme="minorEastAsia"/>
          <w:sz w:val="24"/>
        </w:rPr>
        <w:t>方有权解除合同，没收履约保证金并追究乙方的违约责任。</w:t>
      </w:r>
    </w:p>
    <w:p>
      <w:pPr>
        <w:pStyle w:val="18"/>
        <w:snapToGrid w:val="0"/>
        <w:spacing w:before="120" w:after="120" w:line="360" w:lineRule="auto"/>
        <w:rPr>
          <w:rFonts w:asciiTheme="minorEastAsia" w:hAnsiTheme="minorEastAsia" w:eastAsiaTheme="minorEastAsia"/>
          <w:sz w:val="24"/>
        </w:rPr>
      </w:pPr>
      <w:r>
        <w:rPr>
          <w:rFonts w:asciiTheme="minorEastAsia" w:hAnsiTheme="minorEastAsia" w:eastAsiaTheme="minorEastAsia"/>
          <w:b/>
          <w:sz w:val="24"/>
        </w:rPr>
        <w:t>八、质保期</w:t>
      </w:r>
    </w:p>
    <w:p>
      <w:pPr>
        <w:pStyle w:val="18"/>
        <w:snapToGrid w:val="0"/>
        <w:spacing w:before="120" w:after="120" w:line="360" w:lineRule="auto"/>
        <w:ind w:left="410" w:hanging="410" w:hangingChars="171"/>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 xml:space="preserve"> 质保期年。（自交货验收合格之日起计）</w:t>
      </w:r>
    </w:p>
    <w:p>
      <w:pPr>
        <w:pStyle w:val="18"/>
        <w:snapToGrid w:val="0"/>
        <w:spacing w:before="120" w:after="120" w:line="360" w:lineRule="auto"/>
        <w:rPr>
          <w:rFonts w:asciiTheme="minorEastAsia" w:hAnsiTheme="minorEastAsia" w:eastAsiaTheme="minorEastAsia"/>
          <w:b/>
          <w:sz w:val="24"/>
        </w:rPr>
      </w:pPr>
      <w:r>
        <w:rPr>
          <w:rFonts w:asciiTheme="minorEastAsia" w:hAnsiTheme="minorEastAsia" w:eastAsiaTheme="minorEastAsia"/>
          <w:b/>
          <w:sz w:val="24"/>
        </w:rPr>
        <w:t>九、交货期、交货方式及交货地点</w:t>
      </w:r>
    </w:p>
    <w:p>
      <w:pPr>
        <w:pStyle w:val="18"/>
        <w:snapToGrid w:val="0"/>
        <w:spacing w:before="120" w:after="120" w:line="360" w:lineRule="auto"/>
        <w:rPr>
          <w:rFonts w:asciiTheme="minorEastAsia" w:hAnsiTheme="minorEastAsia" w:eastAsiaTheme="minorEastAsia"/>
          <w:bCs/>
          <w:color w:val="000000"/>
          <w:sz w:val="24"/>
        </w:rPr>
      </w:pPr>
      <w:r>
        <w:rPr>
          <w:rFonts w:asciiTheme="minorEastAsia" w:hAnsiTheme="minorEastAsia" w:eastAsiaTheme="minorEastAsia"/>
          <w:bCs/>
          <w:sz w:val="24"/>
        </w:rPr>
        <w:t>1</w:t>
      </w:r>
      <w:r>
        <w:rPr>
          <w:rFonts w:hint="eastAsia" w:asciiTheme="minorEastAsia" w:hAnsiTheme="minorEastAsia" w:eastAsiaTheme="minorEastAsia"/>
          <w:bCs/>
          <w:sz w:val="24"/>
        </w:rPr>
        <w:t>.</w:t>
      </w:r>
      <w:r>
        <w:rPr>
          <w:rFonts w:asciiTheme="minorEastAsia" w:hAnsiTheme="minorEastAsia" w:eastAsiaTheme="minorEastAsia"/>
          <w:bCs/>
          <w:sz w:val="24"/>
        </w:rPr>
        <w:t xml:space="preserve"> 交货期：</w:t>
      </w:r>
    </w:p>
    <w:p>
      <w:pPr>
        <w:pStyle w:val="18"/>
        <w:snapToGrid w:val="0"/>
        <w:spacing w:before="120" w:after="120" w:line="360" w:lineRule="auto"/>
        <w:rPr>
          <w:rFonts w:asciiTheme="minorEastAsia" w:hAnsiTheme="minorEastAsia" w:eastAsiaTheme="minorEastAsia"/>
          <w:bCs/>
          <w:color w:val="000000"/>
          <w:sz w:val="24"/>
        </w:rPr>
      </w:pPr>
      <w:r>
        <w:rPr>
          <w:rFonts w:asciiTheme="minorEastAsia" w:hAnsiTheme="minorEastAsia" w:eastAsiaTheme="minorEastAsia"/>
          <w:bCs/>
          <w:color w:val="000000"/>
          <w:sz w:val="24"/>
        </w:rPr>
        <w:t>2</w:t>
      </w:r>
      <w:r>
        <w:rPr>
          <w:rFonts w:hint="eastAsia" w:asciiTheme="minorEastAsia" w:hAnsiTheme="minorEastAsia" w:eastAsiaTheme="minorEastAsia"/>
          <w:bCs/>
          <w:color w:val="000000"/>
          <w:sz w:val="24"/>
        </w:rPr>
        <w:t>.</w:t>
      </w:r>
      <w:r>
        <w:rPr>
          <w:rFonts w:asciiTheme="minorEastAsia" w:hAnsiTheme="minorEastAsia" w:eastAsiaTheme="minorEastAsia"/>
          <w:bCs/>
          <w:color w:val="000000"/>
          <w:sz w:val="24"/>
        </w:rPr>
        <w:t xml:space="preserve"> 交货方式：</w:t>
      </w:r>
    </w:p>
    <w:p>
      <w:pPr>
        <w:pStyle w:val="18"/>
        <w:snapToGrid w:val="0"/>
        <w:spacing w:before="120" w:after="120" w:line="360" w:lineRule="auto"/>
        <w:rPr>
          <w:rFonts w:asciiTheme="minorEastAsia" w:hAnsiTheme="minorEastAsia" w:eastAsiaTheme="minorEastAsia"/>
          <w:b/>
          <w:color w:val="000000"/>
          <w:sz w:val="24"/>
        </w:rPr>
      </w:pPr>
      <w:r>
        <w:rPr>
          <w:rFonts w:asciiTheme="minorEastAsia" w:hAnsiTheme="minorEastAsia" w:eastAsiaTheme="minorEastAsia"/>
          <w:bCs/>
          <w:color w:val="000000"/>
          <w:sz w:val="24"/>
        </w:rPr>
        <w:t>3</w:t>
      </w:r>
      <w:r>
        <w:rPr>
          <w:rFonts w:hint="eastAsia" w:asciiTheme="minorEastAsia" w:hAnsiTheme="minorEastAsia" w:eastAsiaTheme="minorEastAsia"/>
          <w:bCs/>
          <w:color w:val="000000"/>
          <w:sz w:val="24"/>
        </w:rPr>
        <w:t>.</w:t>
      </w:r>
      <w:r>
        <w:rPr>
          <w:rFonts w:asciiTheme="minorEastAsia" w:hAnsiTheme="minorEastAsia" w:eastAsiaTheme="minorEastAsia"/>
          <w:bCs/>
          <w:color w:val="000000"/>
          <w:sz w:val="24"/>
        </w:rPr>
        <w:t xml:space="preserve"> 交货地点：</w:t>
      </w:r>
    </w:p>
    <w:p>
      <w:pPr>
        <w:pStyle w:val="18"/>
        <w:snapToGrid w:val="0"/>
        <w:spacing w:before="120" w:after="120" w:line="360" w:lineRule="auto"/>
        <w:rPr>
          <w:rFonts w:asciiTheme="minorEastAsia" w:hAnsiTheme="minorEastAsia" w:eastAsiaTheme="minorEastAsia"/>
          <w:b/>
          <w:color w:val="000000"/>
          <w:sz w:val="24"/>
        </w:rPr>
      </w:pPr>
      <w:r>
        <w:rPr>
          <w:rFonts w:asciiTheme="minorEastAsia" w:hAnsiTheme="minorEastAsia" w:eastAsiaTheme="minorEastAsia"/>
          <w:b/>
          <w:color w:val="000000"/>
          <w:sz w:val="24"/>
        </w:rPr>
        <w:t>十、货款支付</w:t>
      </w:r>
    </w:p>
    <w:p>
      <w:pPr>
        <w:pStyle w:val="18"/>
        <w:snapToGrid w:val="0"/>
        <w:spacing w:before="120" w:after="120" w:line="360" w:lineRule="auto"/>
        <w:rPr>
          <w:rFonts w:asciiTheme="minorEastAsia" w:hAnsiTheme="minorEastAsia" w:eastAsiaTheme="minorEastAsia"/>
          <w:bCs/>
          <w:sz w:val="24"/>
        </w:rPr>
      </w:pPr>
      <w:r>
        <w:rPr>
          <w:rFonts w:asciiTheme="minorEastAsia" w:hAnsiTheme="minorEastAsia" w:eastAsiaTheme="minorEastAsia"/>
          <w:bCs/>
          <w:sz w:val="24"/>
        </w:rPr>
        <w:t>1</w:t>
      </w:r>
      <w:r>
        <w:rPr>
          <w:rFonts w:hint="eastAsia" w:asciiTheme="minorEastAsia" w:hAnsiTheme="minorEastAsia" w:eastAsiaTheme="minorEastAsia"/>
          <w:bCs/>
          <w:sz w:val="24"/>
        </w:rPr>
        <w:t>.</w:t>
      </w:r>
      <w:r>
        <w:rPr>
          <w:rFonts w:asciiTheme="minorEastAsia" w:hAnsiTheme="minorEastAsia" w:eastAsiaTheme="minorEastAsia"/>
          <w:bCs/>
          <w:sz w:val="24"/>
        </w:rPr>
        <w:t xml:space="preserve"> 付款方式：</w:t>
      </w:r>
    </w:p>
    <w:p>
      <w:pPr>
        <w:snapToGrid w:val="0"/>
        <w:spacing w:beforeLines="50" w:afterLines="50" w:line="360" w:lineRule="auto"/>
        <w:rPr>
          <w:rFonts w:asciiTheme="minorEastAsia" w:hAnsiTheme="minorEastAsia" w:eastAsiaTheme="minorEastAsia"/>
          <w:b/>
          <w:sz w:val="24"/>
        </w:rPr>
      </w:pPr>
      <w:r>
        <w:rPr>
          <w:rFonts w:hint="eastAsia" w:asciiTheme="minorEastAsia" w:hAnsiTheme="minorEastAsia" w:eastAsiaTheme="minorEastAsia"/>
          <w:b/>
          <w:sz w:val="24"/>
        </w:rPr>
        <w:t>十一、税费</w:t>
      </w:r>
    </w:p>
    <w:p>
      <w:pPr>
        <w:snapToGrid w:val="0"/>
        <w:spacing w:beforeLines="50" w:afterLines="50" w:line="360" w:lineRule="auto"/>
        <w:rPr>
          <w:rFonts w:asciiTheme="minorEastAsia" w:hAnsiTheme="minorEastAsia" w:eastAsiaTheme="minorEastAsia"/>
          <w:sz w:val="24"/>
        </w:rPr>
      </w:pPr>
      <w:r>
        <w:rPr>
          <w:rFonts w:hint="eastAsia" w:asciiTheme="minorEastAsia" w:hAnsiTheme="minorEastAsia" w:eastAsiaTheme="minorEastAsia"/>
          <w:sz w:val="24"/>
        </w:rPr>
        <w:t>本合同执行中相关的一切税费均由</w:t>
      </w:r>
      <w:r>
        <w:rPr>
          <w:rFonts w:asciiTheme="minorEastAsia" w:hAnsiTheme="minorEastAsia" w:eastAsiaTheme="minorEastAsia"/>
          <w:sz w:val="24"/>
        </w:rPr>
        <w:t>乙</w:t>
      </w:r>
      <w:r>
        <w:rPr>
          <w:rFonts w:hint="eastAsia" w:asciiTheme="minorEastAsia" w:hAnsiTheme="minorEastAsia" w:eastAsiaTheme="minorEastAsia"/>
          <w:sz w:val="24"/>
        </w:rPr>
        <w:t>方负担。</w:t>
      </w:r>
    </w:p>
    <w:p>
      <w:pPr>
        <w:pStyle w:val="18"/>
        <w:snapToGrid w:val="0"/>
        <w:spacing w:before="120" w:after="120" w:line="360" w:lineRule="auto"/>
        <w:ind w:left="412" w:hanging="412" w:hangingChars="171"/>
        <w:rPr>
          <w:rFonts w:asciiTheme="minorEastAsia" w:hAnsiTheme="minorEastAsia" w:eastAsiaTheme="minorEastAsia"/>
          <w:sz w:val="24"/>
        </w:rPr>
      </w:pPr>
      <w:r>
        <w:rPr>
          <w:rFonts w:asciiTheme="minorEastAsia" w:hAnsiTheme="minorEastAsia" w:eastAsiaTheme="minorEastAsia"/>
          <w:b/>
          <w:sz w:val="24"/>
        </w:rPr>
        <w:t>十二、质量保证及售后服务</w:t>
      </w:r>
    </w:p>
    <w:p>
      <w:pPr>
        <w:pStyle w:val="18"/>
        <w:snapToGrid w:val="0"/>
        <w:spacing w:before="120" w:after="120" w:line="360" w:lineRule="auto"/>
        <w:ind w:left="410" w:hanging="410" w:hangingChars="171"/>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 xml:space="preserve"> 乙方应按招标文件规定的货物性能、技术要求、质量标准向甲方提供未经使用的全新产品。</w:t>
      </w:r>
    </w:p>
    <w:p>
      <w:pPr>
        <w:pStyle w:val="18"/>
        <w:snapToGrid w:val="0"/>
        <w:spacing w:before="120" w:after="120" w:line="360" w:lineRule="auto"/>
        <w:ind w:left="480" w:hanging="480" w:hanging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 xml:space="preserve"> 乙方提供的货物在质</w:t>
      </w:r>
      <w:r>
        <w:rPr>
          <w:rFonts w:hint="eastAsia" w:asciiTheme="minorEastAsia" w:hAnsiTheme="minorEastAsia" w:eastAsiaTheme="minorEastAsia"/>
          <w:sz w:val="24"/>
        </w:rPr>
        <w:t>保</w:t>
      </w:r>
      <w:r>
        <w:rPr>
          <w:rFonts w:asciiTheme="minorEastAsia" w:hAnsiTheme="minorEastAsia" w:eastAsiaTheme="minorEastAsia"/>
          <w:sz w:val="24"/>
        </w:rPr>
        <w:t>期内因货物本身的质量问题发生故障，乙方应负责免费更换。对达不到技术要求者，根据实际情况，经双方协商，可按以下办法处理：</w:t>
      </w:r>
    </w:p>
    <w:p>
      <w:pPr>
        <w:pStyle w:val="18"/>
        <w:snapToGrid w:val="0"/>
        <w:spacing w:before="120" w:after="120" w:line="360" w:lineRule="auto"/>
        <w:ind w:firstLine="420"/>
        <w:rPr>
          <w:rFonts w:asciiTheme="minorEastAsia" w:hAnsiTheme="minorEastAsia" w:eastAsiaTheme="minorEastAsia"/>
          <w:sz w:val="24"/>
        </w:rPr>
      </w:pPr>
      <w:r>
        <w:rPr>
          <w:rFonts w:asciiTheme="minorEastAsia" w:hAnsiTheme="minorEastAsia" w:eastAsiaTheme="minorEastAsia"/>
          <w:sz w:val="24"/>
        </w:rPr>
        <w:t>⑴更换：由乙方承担所发生的全部费用。</w:t>
      </w:r>
    </w:p>
    <w:p>
      <w:pPr>
        <w:pStyle w:val="18"/>
        <w:snapToGrid w:val="0"/>
        <w:spacing w:before="120" w:after="120" w:line="360" w:lineRule="auto"/>
        <w:ind w:firstLine="420"/>
        <w:rPr>
          <w:rFonts w:asciiTheme="minorEastAsia" w:hAnsiTheme="minorEastAsia" w:eastAsiaTheme="minorEastAsia"/>
          <w:sz w:val="24"/>
        </w:rPr>
      </w:pPr>
      <w:r>
        <w:rPr>
          <w:rFonts w:asciiTheme="minorEastAsia" w:hAnsiTheme="minorEastAsia" w:eastAsiaTheme="minorEastAsia"/>
          <w:sz w:val="24"/>
        </w:rPr>
        <w:t>⑵贬值处理：由甲乙双方合议定价。</w:t>
      </w:r>
    </w:p>
    <w:p>
      <w:pPr>
        <w:pStyle w:val="18"/>
        <w:snapToGrid w:val="0"/>
        <w:spacing w:before="120" w:after="120" w:line="360" w:lineRule="auto"/>
        <w:ind w:left="420" w:leftChars="200"/>
        <w:rPr>
          <w:rFonts w:asciiTheme="minorEastAsia" w:hAnsiTheme="minorEastAsia" w:eastAsiaTheme="minorEastAsia"/>
          <w:sz w:val="24"/>
        </w:rPr>
      </w:pPr>
      <w:r>
        <w:rPr>
          <w:rFonts w:asciiTheme="minorEastAsia" w:hAnsiTheme="minorEastAsia" w:eastAsiaTheme="minorEastAsia"/>
          <w:sz w:val="24"/>
        </w:rPr>
        <w:t>⑶退货处理：乙方应退还甲方支付的合同款，同时应承担该货物的直接费用（运输、保险、检验、货款利息及银行手续费等）。</w:t>
      </w:r>
    </w:p>
    <w:p>
      <w:pPr>
        <w:pStyle w:val="18"/>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w:t>
      </w:r>
      <w:r>
        <w:rPr>
          <w:rFonts w:asciiTheme="minorEastAsia" w:hAnsiTheme="minorEastAsia" w:eastAsiaTheme="minorEastAsia"/>
          <w:sz w:val="24"/>
        </w:rPr>
        <w:t xml:space="preserve"> 如在使用过程中发生质量问题，乙方在接到甲方通知后</w:t>
      </w:r>
      <w:r>
        <w:rPr>
          <w:rFonts w:asciiTheme="minorEastAsia" w:hAnsiTheme="minorEastAsia" w:eastAsiaTheme="minorEastAsia"/>
          <w:color w:val="000000"/>
          <w:sz w:val="24"/>
        </w:rPr>
        <w:t>在小时</w:t>
      </w:r>
      <w:r>
        <w:rPr>
          <w:rFonts w:asciiTheme="minorEastAsia" w:hAnsiTheme="minorEastAsia" w:eastAsiaTheme="minorEastAsia"/>
          <w:sz w:val="24"/>
        </w:rPr>
        <w:t>内到达甲方</w:t>
      </w:r>
    </w:p>
    <w:p>
      <w:pPr>
        <w:pStyle w:val="18"/>
        <w:snapToGrid w:val="0"/>
        <w:spacing w:before="120" w:after="120" w:line="360" w:lineRule="auto"/>
        <w:ind w:firstLine="360" w:firstLineChars="150"/>
        <w:rPr>
          <w:rFonts w:asciiTheme="minorEastAsia" w:hAnsiTheme="minorEastAsia" w:eastAsiaTheme="minorEastAsia"/>
          <w:sz w:val="24"/>
        </w:rPr>
      </w:pPr>
      <w:r>
        <w:rPr>
          <w:rFonts w:asciiTheme="minorEastAsia" w:hAnsiTheme="minorEastAsia" w:eastAsiaTheme="minorEastAsia"/>
          <w:sz w:val="24"/>
        </w:rPr>
        <w:t>现场。</w:t>
      </w:r>
    </w:p>
    <w:p>
      <w:pPr>
        <w:pStyle w:val="18"/>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w:t>
      </w:r>
      <w:r>
        <w:rPr>
          <w:rFonts w:asciiTheme="minorEastAsia" w:hAnsiTheme="minorEastAsia" w:eastAsiaTheme="minorEastAsia"/>
          <w:sz w:val="24"/>
        </w:rPr>
        <w:t xml:space="preserve"> 在质保期内，乙方应对货物出现的质量及安全问题负责处理解决并承担一切</w:t>
      </w:r>
    </w:p>
    <w:p>
      <w:pPr>
        <w:pStyle w:val="18"/>
        <w:snapToGrid w:val="0"/>
        <w:spacing w:before="120" w:after="120" w:line="360" w:lineRule="auto"/>
        <w:ind w:firstLine="360" w:firstLineChars="150"/>
        <w:rPr>
          <w:rFonts w:asciiTheme="minorEastAsia" w:hAnsiTheme="minorEastAsia" w:eastAsiaTheme="minorEastAsia"/>
          <w:sz w:val="24"/>
        </w:rPr>
      </w:pPr>
      <w:r>
        <w:rPr>
          <w:rFonts w:asciiTheme="minorEastAsia" w:hAnsiTheme="minorEastAsia" w:eastAsiaTheme="minorEastAsia"/>
          <w:sz w:val="24"/>
        </w:rPr>
        <w:t>费用。</w:t>
      </w:r>
    </w:p>
    <w:p>
      <w:pPr>
        <w:pStyle w:val="18"/>
        <w:snapToGrid w:val="0"/>
        <w:spacing w:before="120" w:after="120" w:line="360" w:lineRule="auto"/>
        <w:rPr>
          <w:rFonts w:asciiTheme="minorEastAsia" w:hAnsiTheme="minorEastAsia" w:eastAsiaTheme="minorEastAsia"/>
          <w:color w:val="000000"/>
          <w:sz w:val="24"/>
        </w:rPr>
      </w:pPr>
      <w:r>
        <w:rPr>
          <w:rFonts w:asciiTheme="minorEastAsia" w:hAnsiTheme="minorEastAsia" w:eastAsiaTheme="minorEastAsia"/>
          <w:sz w:val="24"/>
        </w:rPr>
        <w:t>5</w:t>
      </w:r>
      <w:r>
        <w:rPr>
          <w:rFonts w:hint="eastAsia" w:asciiTheme="minorEastAsia" w:hAnsiTheme="minorEastAsia" w:eastAsiaTheme="minorEastAsia"/>
          <w:sz w:val="24"/>
        </w:rPr>
        <w:t>.</w:t>
      </w:r>
      <w:r>
        <w:rPr>
          <w:rFonts w:asciiTheme="minorEastAsia" w:hAnsiTheme="minorEastAsia" w:eastAsiaTheme="minorEastAsia"/>
          <w:color w:val="000000"/>
          <w:sz w:val="24"/>
        </w:rPr>
        <w:t>上述的</w:t>
      </w:r>
      <w:r>
        <w:rPr>
          <w:rFonts w:asciiTheme="minorEastAsia" w:hAnsiTheme="minorEastAsia" w:eastAsiaTheme="minorEastAsia"/>
          <w:sz w:val="24"/>
        </w:rPr>
        <w:t>货物</w:t>
      </w:r>
      <w:r>
        <w:rPr>
          <w:rFonts w:asciiTheme="minorEastAsia" w:hAnsiTheme="minorEastAsia" w:eastAsiaTheme="minorEastAsia"/>
          <w:color w:val="000000"/>
          <w:sz w:val="24"/>
        </w:rPr>
        <w:t>免费保修期为年，因人为因素出现的故障不在免费保修范围</w:t>
      </w:r>
    </w:p>
    <w:p>
      <w:pPr>
        <w:pStyle w:val="18"/>
        <w:snapToGrid w:val="0"/>
        <w:spacing w:before="120" w:after="120" w:line="360" w:lineRule="auto"/>
        <w:ind w:firstLine="240" w:firstLineChars="100"/>
        <w:rPr>
          <w:rFonts w:asciiTheme="minorEastAsia" w:hAnsiTheme="minorEastAsia" w:eastAsiaTheme="minorEastAsia"/>
          <w:color w:val="000000"/>
          <w:sz w:val="24"/>
        </w:rPr>
      </w:pPr>
      <w:r>
        <w:rPr>
          <w:rFonts w:asciiTheme="minorEastAsia" w:hAnsiTheme="minorEastAsia" w:eastAsiaTheme="minorEastAsia"/>
          <w:color w:val="000000"/>
          <w:sz w:val="24"/>
        </w:rPr>
        <w:t>内。超过保修期的机器设备，终生维修，维修时只收部件成本费。</w:t>
      </w:r>
    </w:p>
    <w:p>
      <w:pPr>
        <w:pStyle w:val="18"/>
        <w:snapToGrid w:val="0"/>
        <w:spacing w:before="120" w:after="120" w:line="360" w:lineRule="auto"/>
        <w:rPr>
          <w:rFonts w:asciiTheme="minorEastAsia" w:hAnsiTheme="minorEastAsia" w:eastAsiaTheme="minorEastAsia"/>
          <w:b/>
          <w:sz w:val="24"/>
        </w:rPr>
      </w:pPr>
      <w:r>
        <w:rPr>
          <w:rFonts w:asciiTheme="minorEastAsia" w:hAnsiTheme="minorEastAsia" w:eastAsiaTheme="minorEastAsia"/>
          <w:b/>
          <w:sz w:val="24"/>
        </w:rPr>
        <w:t>十三、调试和验收</w:t>
      </w:r>
    </w:p>
    <w:p>
      <w:pPr>
        <w:pStyle w:val="18"/>
        <w:snapToGrid w:val="0"/>
        <w:spacing w:before="120" w:after="120" w:line="360" w:lineRule="auto"/>
        <w:jc w:val="left"/>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 xml:space="preserve"> 甲方对乙方提交的货物依据招标文件上的技术规格要求和国家有关质量标准</w:t>
      </w:r>
    </w:p>
    <w:p>
      <w:pPr>
        <w:pStyle w:val="18"/>
        <w:snapToGrid w:val="0"/>
        <w:spacing w:before="120" w:after="120" w:line="360" w:lineRule="auto"/>
        <w:ind w:firstLine="360" w:firstLineChars="150"/>
        <w:jc w:val="left"/>
        <w:rPr>
          <w:rFonts w:asciiTheme="minorEastAsia" w:hAnsiTheme="minorEastAsia" w:eastAsiaTheme="minorEastAsia"/>
          <w:sz w:val="24"/>
        </w:rPr>
      </w:pPr>
      <w:r>
        <w:rPr>
          <w:rFonts w:asciiTheme="minorEastAsia" w:hAnsiTheme="minorEastAsia" w:eastAsiaTheme="minorEastAsia"/>
          <w:sz w:val="24"/>
        </w:rPr>
        <w:t>进行现场初步验收，外观、说明书符合招标文件技术要求的，给予签收，初</w:t>
      </w:r>
    </w:p>
    <w:p>
      <w:pPr>
        <w:pStyle w:val="18"/>
        <w:snapToGrid w:val="0"/>
        <w:spacing w:before="120" w:after="120" w:line="360" w:lineRule="auto"/>
        <w:ind w:firstLine="360" w:firstLineChars="150"/>
        <w:jc w:val="left"/>
        <w:rPr>
          <w:rFonts w:asciiTheme="minorEastAsia" w:hAnsiTheme="minorEastAsia" w:eastAsiaTheme="minorEastAsia"/>
          <w:sz w:val="24"/>
        </w:rPr>
      </w:pPr>
      <w:r>
        <w:rPr>
          <w:rFonts w:asciiTheme="minorEastAsia" w:hAnsiTheme="minorEastAsia" w:eastAsiaTheme="minorEastAsia"/>
          <w:sz w:val="24"/>
        </w:rPr>
        <w:t>步验收不合格的不予签收。货到后，甲方需在</w:t>
      </w:r>
      <w:r>
        <w:rPr>
          <w:rFonts w:hint="eastAsia" w:asciiTheme="minorEastAsia" w:hAnsiTheme="minorEastAsia" w:eastAsiaTheme="minorEastAsia"/>
          <w:color w:val="FF0000"/>
          <w:sz w:val="24"/>
          <w:u w:val="single"/>
        </w:rPr>
        <w:t>五</w:t>
      </w:r>
      <w:r>
        <w:rPr>
          <w:rFonts w:hint="eastAsia" w:asciiTheme="minorEastAsia" w:hAnsiTheme="minorEastAsia" w:eastAsiaTheme="minorEastAsia"/>
          <w:sz w:val="24"/>
        </w:rPr>
        <w:t>个</w:t>
      </w:r>
      <w:r>
        <w:rPr>
          <w:rFonts w:asciiTheme="minorEastAsia" w:hAnsiTheme="minorEastAsia" w:eastAsiaTheme="minorEastAsia"/>
          <w:sz w:val="24"/>
        </w:rPr>
        <w:t>工作日内验收。</w:t>
      </w:r>
    </w:p>
    <w:p>
      <w:pPr>
        <w:pStyle w:val="18"/>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 xml:space="preserve"> 乙方交货前应对产品作出全面检查和对验收文件进行整理，并列出清单，作</w:t>
      </w:r>
    </w:p>
    <w:p>
      <w:pPr>
        <w:pStyle w:val="18"/>
        <w:snapToGrid w:val="0"/>
        <w:spacing w:before="120" w:after="120" w:line="360" w:lineRule="auto"/>
        <w:ind w:firstLine="360" w:firstLineChars="150"/>
        <w:rPr>
          <w:rFonts w:asciiTheme="minorEastAsia" w:hAnsiTheme="minorEastAsia" w:eastAsiaTheme="minorEastAsia"/>
          <w:sz w:val="24"/>
        </w:rPr>
      </w:pPr>
      <w:r>
        <w:rPr>
          <w:rFonts w:asciiTheme="minorEastAsia" w:hAnsiTheme="minorEastAsia" w:eastAsiaTheme="minorEastAsia"/>
          <w:sz w:val="24"/>
        </w:rPr>
        <w:t>为甲方收货验收和使用的技术条件依据，检验的结果应随货物交甲方。</w:t>
      </w:r>
    </w:p>
    <w:p>
      <w:pPr>
        <w:pStyle w:val="18"/>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w:t>
      </w:r>
      <w:r>
        <w:rPr>
          <w:rFonts w:asciiTheme="minorEastAsia" w:hAnsiTheme="minorEastAsia" w:eastAsiaTheme="minorEastAsia"/>
          <w:sz w:val="24"/>
        </w:rPr>
        <w:t xml:space="preserve"> 甲方对乙方提供的货物在使用前进行调试时，乙方需负责安装并培训甲方的</w:t>
      </w:r>
    </w:p>
    <w:p>
      <w:pPr>
        <w:pStyle w:val="18"/>
        <w:snapToGrid w:val="0"/>
        <w:spacing w:before="120" w:after="120" w:line="360" w:lineRule="auto"/>
        <w:ind w:firstLine="360" w:firstLineChars="150"/>
        <w:rPr>
          <w:rFonts w:asciiTheme="minorEastAsia" w:hAnsiTheme="minorEastAsia" w:eastAsiaTheme="minorEastAsia"/>
          <w:sz w:val="24"/>
        </w:rPr>
      </w:pPr>
      <w:r>
        <w:rPr>
          <w:rFonts w:asciiTheme="minorEastAsia" w:hAnsiTheme="minorEastAsia" w:eastAsiaTheme="minorEastAsia"/>
          <w:sz w:val="24"/>
        </w:rPr>
        <w:t>使用操作人员，并协助甲方一起调试，直到符合技术要求，甲方才做最终验</w:t>
      </w:r>
    </w:p>
    <w:p>
      <w:pPr>
        <w:pStyle w:val="18"/>
        <w:snapToGrid w:val="0"/>
        <w:spacing w:before="120" w:after="120" w:line="360" w:lineRule="auto"/>
        <w:ind w:firstLine="360" w:firstLineChars="150"/>
        <w:rPr>
          <w:rFonts w:asciiTheme="minorEastAsia" w:hAnsiTheme="minorEastAsia" w:eastAsiaTheme="minorEastAsia"/>
          <w:sz w:val="24"/>
          <w:u w:val="single"/>
        </w:rPr>
      </w:pPr>
      <w:r>
        <w:rPr>
          <w:rFonts w:asciiTheme="minorEastAsia" w:hAnsiTheme="minorEastAsia" w:eastAsiaTheme="minorEastAsia"/>
          <w:sz w:val="24"/>
        </w:rPr>
        <w:t>收。</w:t>
      </w:r>
    </w:p>
    <w:p>
      <w:pPr>
        <w:pStyle w:val="18"/>
        <w:snapToGrid w:val="0"/>
        <w:spacing w:before="120" w:after="120" w:line="360" w:lineRule="auto"/>
        <w:rPr>
          <w:rFonts w:asciiTheme="minorEastAsia" w:hAnsiTheme="minorEastAsia" w:eastAsiaTheme="minorEastAsia"/>
          <w:sz w:val="24"/>
        </w:rPr>
      </w:pPr>
      <w:r>
        <w:rPr>
          <w:rFonts w:asciiTheme="minorEastAsia" w:hAnsiTheme="minorEastAsia" w:eastAsiaTheme="minorEastAsia"/>
          <w:color w:val="000000"/>
          <w:sz w:val="24"/>
        </w:rPr>
        <w:t>4</w:t>
      </w:r>
      <w:r>
        <w:rPr>
          <w:rFonts w:hint="eastAsia" w:asciiTheme="minorEastAsia" w:hAnsiTheme="minorEastAsia" w:eastAsiaTheme="minorEastAsia"/>
          <w:color w:val="000000"/>
          <w:sz w:val="24"/>
        </w:rPr>
        <w:t>.</w:t>
      </w:r>
      <w:r>
        <w:rPr>
          <w:rFonts w:asciiTheme="minorEastAsia" w:hAnsiTheme="minorEastAsia" w:eastAsiaTheme="minorEastAsia"/>
          <w:sz w:val="24"/>
        </w:rPr>
        <w:t>对技术复杂的货物，甲方应请国家认可的专业检测机构参与初步验收及最终</w:t>
      </w:r>
    </w:p>
    <w:p>
      <w:pPr>
        <w:pStyle w:val="18"/>
        <w:snapToGrid w:val="0"/>
        <w:spacing w:before="120" w:after="120" w:line="360" w:lineRule="auto"/>
        <w:ind w:firstLine="360" w:firstLineChars="150"/>
        <w:rPr>
          <w:rFonts w:asciiTheme="minorEastAsia" w:hAnsiTheme="minorEastAsia" w:eastAsiaTheme="minorEastAsia"/>
          <w:sz w:val="24"/>
        </w:rPr>
      </w:pPr>
      <w:r>
        <w:rPr>
          <w:rFonts w:asciiTheme="minorEastAsia" w:hAnsiTheme="minorEastAsia" w:eastAsiaTheme="minorEastAsia"/>
          <w:sz w:val="24"/>
        </w:rPr>
        <w:t>验收，并由其出具质量检测报告。</w:t>
      </w:r>
    </w:p>
    <w:p>
      <w:pPr>
        <w:pStyle w:val="18"/>
        <w:snapToGrid w:val="0"/>
        <w:spacing w:before="120" w:after="120" w:line="360" w:lineRule="auto"/>
        <w:rPr>
          <w:rFonts w:asciiTheme="minorEastAsia" w:hAnsiTheme="minorEastAsia" w:eastAsiaTheme="minorEastAsia"/>
          <w:sz w:val="24"/>
        </w:rPr>
      </w:pPr>
      <w:r>
        <w:rPr>
          <w:rFonts w:asciiTheme="minorEastAsia" w:hAnsiTheme="minorEastAsia" w:eastAsiaTheme="minorEastAsia"/>
          <w:color w:val="000000"/>
          <w:sz w:val="24"/>
        </w:rPr>
        <w:t>5</w:t>
      </w:r>
      <w:r>
        <w:rPr>
          <w:rFonts w:hint="eastAsia" w:asciiTheme="minorEastAsia" w:hAnsiTheme="minorEastAsia" w:eastAsiaTheme="minorEastAsia"/>
          <w:color w:val="000000"/>
          <w:sz w:val="24"/>
        </w:rPr>
        <w:t>.</w:t>
      </w:r>
      <w:r>
        <w:rPr>
          <w:rFonts w:asciiTheme="minorEastAsia" w:hAnsiTheme="minorEastAsia" w:eastAsiaTheme="minorEastAsia"/>
          <w:sz w:val="24"/>
        </w:rPr>
        <w:t>验收时乙方必须在现场，验收完毕后作出验收结果报告；验收费用由乙方负</w:t>
      </w:r>
    </w:p>
    <w:p>
      <w:pPr>
        <w:pStyle w:val="18"/>
        <w:snapToGrid w:val="0"/>
        <w:spacing w:before="120" w:after="120" w:line="360" w:lineRule="auto"/>
        <w:ind w:firstLine="360" w:firstLineChars="150"/>
        <w:rPr>
          <w:rFonts w:asciiTheme="minorEastAsia" w:hAnsiTheme="minorEastAsia" w:eastAsiaTheme="minorEastAsia"/>
          <w:sz w:val="24"/>
        </w:rPr>
      </w:pPr>
      <w:r>
        <w:rPr>
          <w:rFonts w:asciiTheme="minorEastAsia" w:hAnsiTheme="minorEastAsia" w:eastAsiaTheme="minorEastAsia"/>
          <w:sz w:val="24"/>
        </w:rPr>
        <w:t>责。</w:t>
      </w:r>
    </w:p>
    <w:p>
      <w:pPr>
        <w:pStyle w:val="18"/>
        <w:snapToGrid w:val="0"/>
        <w:spacing w:before="120" w:after="120" w:line="360" w:lineRule="auto"/>
        <w:rPr>
          <w:rFonts w:asciiTheme="minorEastAsia" w:hAnsiTheme="minorEastAsia" w:eastAsiaTheme="minorEastAsia"/>
          <w:b/>
          <w:sz w:val="24"/>
        </w:rPr>
      </w:pPr>
      <w:r>
        <w:rPr>
          <w:rFonts w:asciiTheme="minorEastAsia" w:hAnsiTheme="minorEastAsia" w:eastAsiaTheme="minorEastAsia"/>
          <w:b/>
          <w:sz w:val="24"/>
        </w:rPr>
        <w:t>十四、货物包装、发运及运输</w:t>
      </w:r>
    </w:p>
    <w:p>
      <w:pPr>
        <w:pStyle w:val="18"/>
        <w:snapToGrid w:val="0"/>
        <w:spacing w:before="120" w:after="120" w:line="360" w:lineRule="auto"/>
        <w:ind w:left="480" w:hanging="480" w:hanging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 xml:space="preserve"> 乙方应在货物发运前对其进行满足运输距离、防潮、防震、防锈和防破损装卸等要求包装，以保证货物安全运达甲方指定地点。</w:t>
      </w:r>
    </w:p>
    <w:p>
      <w:pPr>
        <w:pStyle w:val="18"/>
        <w:snapToGrid w:val="0"/>
        <w:spacing w:before="120" w:after="120" w:line="360" w:lineRule="auto"/>
        <w:ind w:left="480" w:hanging="480" w:hanging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 xml:space="preserve"> 使用说明书、质量检验证明书、随配附件和工具以及清单一并附于货物内。</w:t>
      </w:r>
    </w:p>
    <w:p>
      <w:pPr>
        <w:pStyle w:val="18"/>
        <w:snapToGrid w:val="0"/>
        <w:spacing w:before="120" w:after="120" w:line="360" w:lineRule="auto"/>
        <w:ind w:left="480" w:hanging="480" w:hangingChars="200"/>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w:t>
      </w:r>
      <w:r>
        <w:rPr>
          <w:rFonts w:asciiTheme="minorEastAsia" w:hAnsiTheme="minorEastAsia" w:eastAsiaTheme="minorEastAsia"/>
          <w:sz w:val="24"/>
        </w:rPr>
        <w:t xml:space="preserve"> 乙方在货物发运手续办理完毕后24小时内或货到甲方48小时前通知甲方，以准备接货。</w:t>
      </w:r>
    </w:p>
    <w:p>
      <w:pPr>
        <w:pStyle w:val="18"/>
        <w:snapToGrid w:val="0"/>
        <w:spacing w:before="120" w:after="120" w:line="360" w:lineRule="auto"/>
        <w:ind w:left="480" w:hanging="480" w:hangingChars="200"/>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w:t>
      </w:r>
      <w:r>
        <w:rPr>
          <w:rFonts w:asciiTheme="minorEastAsia" w:hAnsiTheme="minorEastAsia" w:eastAsiaTheme="minorEastAsia"/>
          <w:sz w:val="24"/>
        </w:rPr>
        <w:t xml:space="preserve"> 货物在交付甲方前发生的风险均由乙方负责。</w:t>
      </w:r>
    </w:p>
    <w:p>
      <w:pPr>
        <w:pStyle w:val="18"/>
        <w:snapToGrid w:val="0"/>
        <w:spacing w:line="360" w:lineRule="auto"/>
        <w:ind w:left="480" w:right="26" w:hanging="480" w:hangingChars="200"/>
        <w:rPr>
          <w:rFonts w:asciiTheme="minorEastAsia" w:hAnsiTheme="minorEastAsia" w:eastAsiaTheme="minorEastAsia"/>
          <w:sz w:val="24"/>
        </w:rPr>
      </w:pPr>
      <w:r>
        <w:rPr>
          <w:rFonts w:asciiTheme="minorEastAsia" w:hAnsiTheme="minorEastAsia" w:eastAsiaTheme="minorEastAsia"/>
          <w:sz w:val="24"/>
        </w:rPr>
        <w:t>5</w:t>
      </w:r>
      <w:r>
        <w:rPr>
          <w:rFonts w:hint="eastAsia" w:asciiTheme="minorEastAsia" w:hAnsiTheme="minorEastAsia" w:eastAsiaTheme="minorEastAsia"/>
          <w:sz w:val="24"/>
        </w:rPr>
        <w:t>.</w:t>
      </w:r>
      <w:r>
        <w:rPr>
          <w:rFonts w:asciiTheme="minorEastAsia" w:hAnsiTheme="minorEastAsia" w:eastAsiaTheme="minorEastAsia"/>
          <w:sz w:val="24"/>
        </w:rPr>
        <w:t xml:space="preserve"> 货物在规定的交付期限内由乙方送达甲方指定的地点视为交付，乙方同时需</w:t>
      </w:r>
    </w:p>
    <w:p>
      <w:pPr>
        <w:pStyle w:val="18"/>
        <w:snapToGrid w:val="0"/>
        <w:spacing w:line="360" w:lineRule="auto"/>
        <w:ind w:left="479" w:leftChars="171" w:right="26" w:hanging="120" w:hangingChars="50"/>
        <w:rPr>
          <w:rFonts w:asciiTheme="minorEastAsia" w:hAnsiTheme="minorEastAsia" w:eastAsiaTheme="minorEastAsia"/>
          <w:sz w:val="24"/>
        </w:rPr>
      </w:pPr>
      <w:r>
        <w:rPr>
          <w:rFonts w:asciiTheme="minorEastAsia" w:hAnsiTheme="minorEastAsia" w:eastAsiaTheme="minorEastAsia"/>
          <w:sz w:val="24"/>
        </w:rPr>
        <w:t>通知甲方货物已送达。</w:t>
      </w:r>
    </w:p>
    <w:p>
      <w:pPr>
        <w:pStyle w:val="18"/>
        <w:snapToGrid w:val="0"/>
        <w:spacing w:before="120" w:after="120" w:line="360" w:lineRule="auto"/>
        <w:rPr>
          <w:rFonts w:asciiTheme="minorEastAsia" w:hAnsiTheme="minorEastAsia" w:eastAsiaTheme="minorEastAsia"/>
          <w:b/>
          <w:sz w:val="24"/>
        </w:rPr>
      </w:pPr>
      <w:r>
        <w:rPr>
          <w:rFonts w:asciiTheme="minorEastAsia" w:hAnsiTheme="minorEastAsia" w:eastAsiaTheme="minorEastAsia"/>
          <w:b/>
          <w:sz w:val="24"/>
        </w:rPr>
        <w:t>十五、违约责任</w:t>
      </w:r>
    </w:p>
    <w:p>
      <w:pPr>
        <w:pStyle w:val="18"/>
        <w:snapToGrid w:val="0"/>
        <w:spacing w:before="120" w:after="120" w:line="360" w:lineRule="auto"/>
        <w:ind w:left="410" w:hanging="410" w:hangingChars="171"/>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 xml:space="preserve"> 甲方无正当理由拒收货物的，甲方向乙方偿付拒收货款总值的</w:t>
      </w:r>
      <w:r>
        <w:rPr>
          <w:rFonts w:asciiTheme="minorEastAsia" w:hAnsiTheme="minorEastAsia" w:eastAsiaTheme="minorEastAsia"/>
          <w:color w:val="FF0000"/>
          <w:sz w:val="24"/>
          <w:u w:val="single"/>
        </w:rPr>
        <w:t>百分之五</w:t>
      </w:r>
      <w:r>
        <w:rPr>
          <w:rFonts w:asciiTheme="minorEastAsia" w:hAnsiTheme="minorEastAsia" w:eastAsiaTheme="minorEastAsia"/>
          <w:sz w:val="24"/>
        </w:rPr>
        <w:t>违约金。</w:t>
      </w:r>
    </w:p>
    <w:p>
      <w:pPr>
        <w:pStyle w:val="18"/>
        <w:snapToGrid w:val="0"/>
        <w:spacing w:before="120" w:after="120" w:line="360" w:lineRule="auto"/>
        <w:ind w:left="410" w:hanging="410" w:hangingChars="171"/>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 xml:space="preserve"> 甲方无故逾期验收和办理货款支付手续的,甲方应按逾期付款总额每日</w:t>
      </w:r>
      <w:r>
        <w:rPr>
          <w:rFonts w:asciiTheme="minorEastAsia" w:hAnsiTheme="minorEastAsia" w:eastAsiaTheme="minorEastAsia"/>
          <w:color w:val="FF0000"/>
          <w:sz w:val="24"/>
          <w:u w:val="single"/>
        </w:rPr>
        <w:t>万分之五</w:t>
      </w:r>
      <w:r>
        <w:rPr>
          <w:rFonts w:asciiTheme="minorEastAsia" w:hAnsiTheme="minorEastAsia" w:eastAsiaTheme="minorEastAsia"/>
          <w:sz w:val="24"/>
        </w:rPr>
        <w:t>向乙方支付违约金。</w:t>
      </w:r>
    </w:p>
    <w:p>
      <w:pPr>
        <w:pStyle w:val="18"/>
        <w:snapToGrid w:val="0"/>
        <w:spacing w:before="120" w:after="120" w:line="360" w:lineRule="auto"/>
        <w:ind w:left="410" w:hanging="410" w:hangingChars="171"/>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w:t>
      </w:r>
      <w:r>
        <w:rPr>
          <w:rFonts w:asciiTheme="minorEastAsia" w:hAnsiTheme="minorEastAsia" w:eastAsiaTheme="minorEastAsia"/>
          <w:sz w:val="24"/>
        </w:rPr>
        <w:t xml:space="preserve"> 乙方逾期交付货物的，乙方应按逾期交货总额每日</w:t>
      </w:r>
      <w:r>
        <w:rPr>
          <w:rFonts w:asciiTheme="minorEastAsia" w:hAnsiTheme="minorEastAsia" w:eastAsiaTheme="minorEastAsia"/>
          <w:color w:val="FF0000"/>
          <w:sz w:val="24"/>
          <w:u w:val="single"/>
        </w:rPr>
        <w:t>千分之六</w:t>
      </w:r>
      <w:r>
        <w:rPr>
          <w:rFonts w:asciiTheme="minorEastAsia" w:hAnsiTheme="minorEastAsia" w:eastAsiaTheme="minorEastAsia"/>
          <w:sz w:val="24"/>
        </w:rPr>
        <w:t>向甲方支付违约金，由甲方从待付货款中扣除。逾期超过约定日期</w:t>
      </w:r>
      <w:r>
        <w:rPr>
          <w:rFonts w:asciiTheme="minorEastAsia" w:hAnsiTheme="minorEastAsia" w:eastAsiaTheme="minorEastAsia"/>
          <w:color w:val="FF0000"/>
          <w:sz w:val="24"/>
          <w:u w:val="single"/>
        </w:rPr>
        <w:t>10</w:t>
      </w:r>
      <w:r>
        <w:rPr>
          <w:rFonts w:asciiTheme="minorEastAsia" w:hAnsiTheme="minorEastAsia" w:eastAsiaTheme="minorEastAsia"/>
          <w:sz w:val="24"/>
        </w:rPr>
        <w:t>个工作日不能交货的，甲方可解除本合同。乙方因逾期交货或因其他违约行为导致甲方解除合同的，乙方应向甲方支付合同总值</w:t>
      </w:r>
      <w:r>
        <w:rPr>
          <w:rFonts w:asciiTheme="minorEastAsia" w:hAnsiTheme="minorEastAsia" w:eastAsiaTheme="minorEastAsia"/>
          <w:color w:val="FF0000"/>
          <w:sz w:val="24"/>
          <w:u w:val="single"/>
        </w:rPr>
        <w:t>5%</w:t>
      </w:r>
      <w:r>
        <w:rPr>
          <w:rFonts w:asciiTheme="minorEastAsia" w:hAnsiTheme="minorEastAsia" w:eastAsiaTheme="minorEastAsia"/>
          <w:sz w:val="24"/>
        </w:rPr>
        <w:t xml:space="preserve">的违约金，如造成甲方损失超过违约金的，超出部分由乙方继续承担赔偿责任。 </w:t>
      </w:r>
    </w:p>
    <w:p>
      <w:pPr>
        <w:pStyle w:val="18"/>
        <w:snapToGrid w:val="0"/>
        <w:spacing w:before="120" w:after="120" w:line="360" w:lineRule="auto"/>
        <w:ind w:left="410" w:hanging="410" w:hangingChars="171"/>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w:t>
      </w:r>
      <w:r>
        <w:rPr>
          <w:rFonts w:asciiTheme="minorEastAsia" w:hAnsiTheme="minorEastAsia" w:eastAsiaTheme="minorEastAsia"/>
          <w:sz w:val="24"/>
        </w:rPr>
        <w:t xml:space="preserve"> 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18"/>
        <w:snapToGrid w:val="0"/>
        <w:spacing w:before="120" w:after="120" w:line="360" w:lineRule="auto"/>
        <w:rPr>
          <w:rFonts w:asciiTheme="minorEastAsia" w:hAnsiTheme="minorEastAsia" w:eastAsiaTheme="minorEastAsia"/>
          <w:b/>
          <w:sz w:val="24"/>
        </w:rPr>
      </w:pPr>
      <w:r>
        <w:rPr>
          <w:rFonts w:asciiTheme="minorEastAsia" w:hAnsiTheme="minorEastAsia" w:eastAsiaTheme="minorEastAsia"/>
          <w:b/>
          <w:sz w:val="24"/>
        </w:rPr>
        <w:t>十六、不可抗力事件处理</w:t>
      </w:r>
    </w:p>
    <w:p>
      <w:pPr>
        <w:pStyle w:val="18"/>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 xml:space="preserve"> 在合同有效期内，任何一方因不可抗力事件导致不能履行合同，则合同履行</w:t>
      </w:r>
    </w:p>
    <w:p>
      <w:pPr>
        <w:pStyle w:val="18"/>
        <w:snapToGrid w:val="0"/>
        <w:spacing w:before="120" w:after="120" w:line="360" w:lineRule="auto"/>
        <w:ind w:firstLine="360" w:firstLineChars="150"/>
        <w:rPr>
          <w:rFonts w:asciiTheme="minorEastAsia" w:hAnsiTheme="minorEastAsia" w:eastAsiaTheme="minorEastAsia"/>
          <w:sz w:val="24"/>
        </w:rPr>
      </w:pPr>
      <w:r>
        <w:rPr>
          <w:rFonts w:asciiTheme="minorEastAsia" w:hAnsiTheme="minorEastAsia" w:eastAsiaTheme="minorEastAsia"/>
          <w:sz w:val="24"/>
        </w:rPr>
        <w:t>期可延长，其延长期与不可抗力影响期相同。</w:t>
      </w:r>
    </w:p>
    <w:p>
      <w:pPr>
        <w:pStyle w:val="18"/>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 xml:space="preserve"> 不可抗力事件发生后，应立即通知对方，并寄送有关权威机构出具的证明。</w:t>
      </w:r>
    </w:p>
    <w:p>
      <w:pPr>
        <w:pStyle w:val="18"/>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w:t>
      </w:r>
      <w:r>
        <w:rPr>
          <w:rFonts w:asciiTheme="minorEastAsia" w:hAnsiTheme="minorEastAsia" w:eastAsiaTheme="minorEastAsia"/>
          <w:sz w:val="24"/>
        </w:rPr>
        <w:t xml:space="preserve"> 不可抗力事件延续120天以上，双方应通过友好协商，确定是否继续履行合</w:t>
      </w:r>
    </w:p>
    <w:p>
      <w:pPr>
        <w:pStyle w:val="18"/>
        <w:snapToGrid w:val="0"/>
        <w:spacing w:before="120" w:after="120" w:line="360" w:lineRule="auto"/>
        <w:ind w:firstLine="360" w:firstLineChars="150"/>
        <w:rPr>
          <w:rFonts w:asciiTheme="minorEastAsia" w:hAnsiTheme="minorEastAsia" w:eastAsiaTheme="minorEastAsia"/>
          <w:sz w:val="24"/>
        </w:rPr>
      </w:pPr>
      <w:r>
        <w:rPr>
          <w:rFonts w:asciiTheme="minorEastAsia" w:hAnsiTheme="minorEastAsia" w:eastAsiaTheme="minorEastAsia"/>
          <w:sz w:val="24"/>
        </w:rPr>
        <w:t>同。</w:t>
      </w:r>
    </w:p>
    <w:p>
      <w:pPr>
        <w:pStyle w:val="18"/>
        <w:snapToGrid w:val="0"/>
        <w:spacing w:before="120" w:after="120" w:line="360" w:lineRule="auto"/>
        <w:rPr>
          <w:rFonts w:asciiTheme="minorEastAsia" w:hAnsiTheme="minorEastAsia" w:eastAsiaTheme="minorEastAsia"/>
          <w:b/>
          <w:sz w:val="24"/>
        </w:rPr>
      </w:pPr>
      <w:r>
        <w:rPr>
          <w:rFonts w:asciiTheme="minorEastAsia" w:hAnsiTheme="minorEastAsia" w:eastAsiaTheme="minorEastAsia"/>
          <w:b/>
          <w:sz w:val="24"/>
        </w:rPr>
        <w:t>十七、</w:t>
      </w:r>
      <w:r>
        <w:rPr>
          <w:rFonts w:hint="eastAsia" w:asciiTheme="minorEastAsia" w:hAnsiTheme="minorEastAsia" w:eastAsiaTheme="minorEastAsia"/>
          <w:b/>
          <w:sz w:val="24"/>
        </w:rPr>
        <w:t>解决争议的方法</w:t>
      </w:r>
    </w:p>
    <w:p>
      <w:pPr>
        <w:pStyle w:val="15"/>
        <w:widowControl/>
        <w:spacing w:line="360" w:lineRule="auto"/>
        <w:ind w:right="-88"/>
        <w:rPr>
          <w:rFonts w:asciiTheme="minorEastAsia" w:hAnsiTheme="minorEastAsia" w:eastAsiaTheme="minorEastAsia"/>
        </w:rPr>
      </w:pPr>
      <w:r>
        <w:rPr>
          <w:rFonts w:hint="eastAsia" w:asciiTheme="minorEastAsia" w:hAnsiTheme="minorEastAsia" w:eastAsiaTheme="minorEastAsia"/>
        </w:rPr>
        <w:t>1.当事人可以通过和解或者调解解决合同争议。当事人不愿和解、调解或者和解、调解不成的，按下述</w:t>
      </w:r>
      <w:r>
        <w:rPr>
          <w:rFonts w:hint="eastAsia" w:asciiTheme="minorEastAsia" w:hAnsiTheme="minorEastAsia" w:eastAsiaTheme="minorEastAsia"/>
          <w:color w:val="FF0000"/>
          <w:u w:val="single"/>
        </w:rPr>
        <w:t>（1）、（2）</w:t>
      </w:r>
      <w:r>
        <w:rPr>
          <w:rFonts w:hint="eastAsia" w:asciiTheme="minorEastAsia" w:hAnsiTheme="minorEastAsia" w:eastAsiaTheme="minorEastAsia"/>
        </w:rPr>
        <w:t>种方式解决；</w:t>
      </w:r>
    </w:p>
    <w:p>
      <w:pPr>
        <w:pStyle w:val="15"/>
        <w:widowControl/>
        <w:numPr>
          <w:ilvl w:val="0"/>
          <w:numId w:val="15"/>
        </w:numPr>
        <w:spacing w:line="360" w:lineRule="auto"/>
        <w:ind w:right="-88"/>
        <w:rPr>
          <w:rFonts w:asciiTheme="minorEastAsia" w:hAnsiTheme="minorEastAsia" w:eastAsiaTheme="minorEastAsia"/>
        </w:rPr>
      </w:pPr>
      <w:r>
        <w:rPr>
          <w:rFonts w:hint="eastAsia" w:asciiTheme="minorEastAsia" w:hAnsiTheme="minorEastAsia" w:eastAsiaTheme="minorEastAsia"/>
        </w:rPr>
        <w:t>提交</w:t>
      </w:r>
      <w:r>
        <w:rPr>
          <w:rFonts w:asciiTheme="minorEastAsia" w:hAnsiTheme="minorEastAsia" w:eastAsiaTheme="minorEastAsia"/>
          <w:u w:val="single"/>
        </w:rPr>
        <w:t>_</w:t>
      </w:r>
      <w:r>
        <w:rPr>
          <w:rFonts w:hint="eastAsia" w:asciiTheme="minorEastAsia" w:hAnsiTheme="minorEastAsia" w:eastAsiaTheme="minorEastAsia"/>
          <w:u w:val="single"/>
        </w:rPr>
        <w:t>台州</w:t>
      </w:r>
      <w:r>
        <w:rPr>
          <w:rFonts w:asciiTheme="minorEastAsia" w:hAnsiTheme="minorEastAsia" w:eastAsiaTheme="minorEastAsia"/>
          <w:u w:val="single"/>
        </w:rPr>
        <w:t>_</w:t>
      </w:r>
      <w:r>
        <w:rPr>
          <w:rFonts w:hint="eastAsia" w:asciiTheme="minorEastAsia" w:hAnsiTheme="minorEastAsia" w:eastAsiaTheme="minorEastAsia"/>
        </w:rPr>
        <w:t>仲裁委员会仲裁。</w:t>
      </w:r>
    </w:p>
    <w:p>
      <w:pPr>
        <w:pStyle w:val="15"/>
        <w:widowControl/>
        <w:numPr>
          <w:ilvl w:val="0"/>
          <w:numId w:val="15"/>
        </w:numPr>
        <w:spacing w:line="360" w:lineRule="auto"/>
        <w:ind w:right="-88"/>
        <w:rPr>
          <w:rFonts w:asciiTheme="minorEastAsia" w:hAnsiTheme="minorEastAsia" w:eastAsiaTheme="minorEastAsia"/>
        </w:rPr>
      </w:pPr>
      <w:r>
        <w:rPr>
          <w:rFonts w:hint="eastAsia" w:asciiTheme="minorEastAsia" w:hAnsiTheme="minorEastAsia" w:eastAsiaTheme="minorEastAsia"/>
        </w:rPr>
        <w:t>依法向人民法院提起诉讼。</w:t>
      </w:r>
    </w:p>
    <w:p>
      <w:pPr>
        <w:pStyle w:val="15"/>
        <w:widowControl/>
        <w:spacing w:line="360" w:lineRule="auto"/>
        <w:ind w:right="-88"/>
        <w:rPr>
          <w:rFonts w:asciiTheme="minorEastAsia" w:hAnsiTheme="minorEastAsia" w:eastAsiaTheme="minorEastAsia"/>
        </w:rPr>
      </w:pPr>
      <w:r>
        <w:rPr>
          <w:rFonts w:hint="eastAsia" w:asciiTheme="minorEastAsia" w:hAnsiTheme="minorEastAsia" w:eastAsiaTheme="minorEastAsia"/>
        </w:rPr>
        <w:t>2.当事人可以向办理采购事宜的采购代理机构申请调解。</w:t>
      </w:r>
    </w:p>
    <w:p>
      <w:pPr>
        <w:pStyle w:val="15"/>
        <w:widowControl/>
        <w:spacing w:line="360" w:lineRule="auto"/>
        <w:ind w:right="-88"/>
        <w:rPr>
          <w:rFonts w:asciiTheme="minorEastAsia" w:hAnsiTheme="minorEastAsia" w:eastAsiaTheme="minorEastAsia"/>
        </w:rPr>
      </w:pPr>
      <w:r>
        <w:rPr>
          <w:rFonts w:hint="eastAsia" w:asciiTheme="minorEastAsia" w:hAnsiTheme="minorEastAsia" w:eastAsiaTheme="minorEastAsia"/>
        </w:rPr>
        <w:t>3.当事人可以向同级财政部门申请调解。</w:t>
      </w:r>
    </w:p>
    <w:p>
      <w:pPr>
        <w:pStyle w:val="18"/>
        <w:tabs>
          <w:tab w:val="left" w:pos="5790"/>
        </w:tabs>
        <w:snapToGrid w:val="0"/>
        <w:spacing w:before="120" w:after="120" w:line="360" w:lineRule="auto"/>
        <w:rPr>
          <w:rFonts w:asciiTheme="minorEastAsia" w:hAnsiTheme="minorEastAsia" w:eastAsiaTheme="minorEastAsia"/>
          <w:b/>
          <w:sz w:val="24"/>
        </w:rPr>
      </w:pPr>
      <w:r>
        <w:rPr>
          <w:rFonts w:asciiTheme="minorEastAsia" w:hAnsiTheme="minorEastAsia" w:eastAsiaTheme="minorEastAsia"/>
          <w:b/>
          <w:sz w:val="24"/>
        </w:rPr>
        <w:t>十八、合同生效及其它</w:t>
      </w:r>
      <w:r>
        <w:rPr>
          <w:rFonts w:asciiTheme="minorEastAsia" w:hAnsiTheme="minorEastAsia" w:eastAsiaTheme="minorEastAsia"/>
          <w:b/>
          <w:sz w:val="24"/>
        </w:rPr>
        <w:tab/>
      </w:r>
    </w:p>
    <w:p>
      <w:pPr>
        <w:pStyle w:val="15"/>
        <w:widowControl/>
        <w:spacing w:line="360" w:lineRule="auto"/>
        <w:ind w:right="-88"/>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w:t>
      </w:r>
      <w:r>
        <w:rPr>
          <w:rFonts w:asciiTheme="minorEastAsia" w:hAnsiTheme="minorEastAsia" w:eastAsiaTheme="minorEastAsia"/>
        </w:rPr>
        <w:t xml:space="preserve"> 合同经双方法定代表人或授权代表签字并加盖单位公章后生效。</w:t>
      </w:r>
    </w:p>
    <w:p>
      <w:pPr>
        <w:pStyle w:val="15"/>
        <w:widowControl/>
        <w:spacing w:line="360" w:lineRule="auto"/>
        <w:ind w:right="-88"/>
        <w:rPr>
          <w:rFonts w:asciiTheme="minorEastAsia" w:hAnsiTheme="minorEastAsia" w:eastAsiaTheme="minorEastAsia"/>
        </w:rPr>
      </w:pPr>
      <w:r>
        <w:rPr>
          <w:rFonts w:hint="eastAsia" w:asciiTheme="minorEastAsia" w:hAnsiTheme="minorEastAsia" w:eastAsiaTheme="minorEastAsia"/>
        </w:rPr>
        <w:t xml:space="preserve">2. </w:t>
      </w:r>
      <w:r>
        <w:rPr>
          <w:rFonts w:asciiTheme="minorEastAsia" w:hAnsiTheme="minorEastAsia" w:eastAsiaTheme="minorEastAsia"/>
        </w:rPr>
        <w:t>本合同未尽事宜，遵照《合同法》有关条文执行。</w:t>
      </w:r>
    </w:p>
    <w:p>
      <w:pPr>
        <w:pStyle w:val="15"/>
        <w:widowControl/>
        <w:spacing w:line="360" w:lineRule="auto"/>
        <w:ind w:right="-88"/>
        <w:rPr>
          <w:rFonts w:asciiTheme="minorEastAsia" w:hAnsiTheme="minorEastAsia" w:eastAsiaTheme="minorEastAsia"/>
          <w:b/>
        </w:rPr>
      </w:pPr>
      <w:r>
        <w:rPr>
          <w:rFonts w:hint="eastAsia" w:asciiTheme="minorEastAsia" w:hAnsiTheme="minorEastAsia" w:eastAsiaTheme="minorEastAsia"/>
        </w:rPr>
        <w:t>3. 本</w:t>
      </w:r>
      <w:r>
        <w:rPr>
          <w:rFonts w:hint="eastAsia" w:asciiTheme="minorEastAsia" w:hAnsiTheme="minorEastAsia" w:eastAsiaTheme="minorEastAsia"/>
          <w:b/>
        </w:rPr>
        <w:t>合同一式四份。甲、乙双方各执一份，台州市政府采购中心及台州市政府采购监管处各执一份。本项目未尽事宜以招标文件、投标文件及澄清文件等为准。</w:t>
      </w:r>
    </w:p>
    <w:p>
      <w:pPr>
        <w:widowControl/>
        <w:spacing w:line="360" w:lineRule="auto"/>
        <w:rPr>
          <w:rFonts w:asciiTheme="minorEastAsia" w:hAnsiTheme="minorEastAsia" w:eastAsiaTheme="minorEastAsia"/>
          <w:kern w:val="0"/>
          <w:sz w:val="24"/>
        </w:rPr>
      </w:pPr>
      <w:r>
        <w:rPr>
          <w:rFonts w:hint="eastAsia" w:asciiTheme="minorEastAsia" w:hAnsiTheme="minorEastAsia" w:eastAsiaTheme="minorEastAsia"/>
          <w:b/>
          <w:sz w:val="24"/>
        </w:rPr>
        <w:t>4、</w:t>
      </w:r>
      <w:r>
        <w:rPr>
          <w:rFonts w:hint="eastAsia" w:asciiTheme="minorEastAsia" w:hAnsiTheme="minorEastAsia" w:eastAsiaTheme="minorEastAsia"/>
          <w:kern w:val="0"/>
          <w:sz w:val="24"/>
        </w:rPr>
        <w:t>合同必须经台州市政府采购中心监证。</w:t>
      </w:r>
    </w:p>
    <w:p>
      <w:pPr>
        <w:widowControl/>
        <w:spacing w:line="360" w:lineRule="auto"/>
        <w:rPr>
          <w:rFonts w:asciiTheme="minorEastAsia" w:hAnsiTheme="minorEastAsia" w:eastAsiaTheme="minorEastAsia"/>
          <w:b/>
          <w:sz w:val="24"/>
        </w:rPr>
      </w:pPr>
    </w:p>
    <w:p>
      <w:pPr>
        <w:widowControl/>
        <w:spacing w:line="360" w:lineRule="auto"/>
        <w:rPr>
          <w:rFonts w:asciiTheme="minorEastAsia" w:hAnsiTheme="minorEastAsia" w:eastAsiaTheme="minorEastAsia"/>
          <w:b/>
          <w:sz w:val="24"/>
        </w:rPr>
      </w:pP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甲方（公章）                                     乙方（公章）</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法定代表人：                                     法定代表人：</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委托代理人：                                     委托代理人：</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联系电话：                                       联系电话：</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开户银行：                                       开户银行：</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帐号：                                           帐号：</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地址及邮编：                                     地址及邮编：</w:t>
      </w:r>
    </w:p>
    <w:p>
      <w:pPr>
        <w:spacing w:line="360" w:lineRule="auto"/>
        <w:rPr>
          <w:rFonts w:asciiTheme="minorEastAsia" w:hAnsiTheme="minorEastAsia" w:eastAsiaTheme="minorEastAsia"/>
          <w:sz w:val="24"/>
        </w:rPr>
      </w:pPr>
    </w:p>
    <w:p>
      <w:pPr>
        <w:spacing w:line="360" w:lineRule="auto"/>
        <w:ind w:firstLine="4920" w:firstLineChars="2050"/>
        <w:rPr>
          <w:rFonts w:asciiTheme="minorEastAsia" w:hAnsiTheme="minorEastAsia" w:eastAsiaTheme="minorEastAsia"/>
          <w:sz w:val="24"/>
        </w:rPr>
      </w:pPr>
      <w:r>
        <w:rPr>
          <w:rFonts w:hint="eastAsia" w:asciiTheme="minorEastAsia" w:hAnsiTheme="minorEastAsia" w:eastAsiaTheme="minorEastAsia"/>
          <w:sz w:val="24"/>
        </w:rPr>
        <w:t>签订时间：    年   月    日</w:t>
      </w:r>
    </w:p>
    <w:p>
      <w:pPr>
        <w:spacing w:line="360" w:lineRule="auto"/>
        <w:rPr>
          <w:rFonts w:asciiTheme="minorEastAsia" w:hAnsiTheme="minorEastAsia" w:eastAsiaTheme="minorEastAsia"/>
          <w:color w:val="FF0000"/>
          <w:sz w:val="24"/>
        </w:rPr>
      </w:pPr>
    </w:p>
    <w:p>
      <w:pPr>
        <w:spacing w:line="360" w:lineRule="auto"/>
        <w:rPr>
          <w:rFonts w:asciiTheme="minorEastAsia" w:hAnsiTheme="minorEastAsia" w:eastAsiaTheme="minorEastAsia"/>
          <w:color w:val="FF0000"/>
          <w:sz w:val="24"/>
        </w:rPr>
      </w:pP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合同鉴证方（盖章）:</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项目负责人:</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鉴证日期:  年  月  日</w:t>
      </w:r>
    </w:p>
    <w:p>
      <w:pPr>
        <w:spacing w:line="360" w:lineRule="auto"/>
        <w:rPr>
          <w:rFonts w:asciiTheme="minorEastAsia" w:hAnsiTheme="minorEastAsia" w:eastAsiaTheme="minorEastAsia"/>
          <w:sz w:val="24"/>
        </w:rPr>
      </w:pPr>
    </w:p>
    <w:p>
      <w:pPr>
        <w:spacing w:line="360" w:lineRule="auto"/>
        <w:rPr>
          <w:rFonts w:asciiTheme="minorEastAsia" w:hAnsiTheme="minorEastAsia" w:eastAsiaTheme="minorEastAsia"/>
          <w:sz w:val="24"/>
        </w:rPr>
      </w:pPr>
    </w:p>
    <w:p>
      <w:pPr>
        <w:spacing w:line="360" w:lineRule="auto"/>
        <w:jc w:val="center"/>
        <w:rPr>
          <w:rFonts w:ascii="宋体" w:hAnsi="宋体"/>
          <w:color w:val="FF0000"/>
          <w:sz w:val="36"/>
        </w:rPr>
      </w:pPr>
    </w:p>
    <w:p>
      <w:pPr>
        <w:spacing w:line="360" w:lineRule="auto"/>
        <w:jc w:val="center"/>
        <w:rPr>
          <w:rFonts w:ascii="宋体" w:hAnsi="宋体"/>
          <w:color w:val="FF0000"/>
          <w:sz w:val="36"/>
        </w:rPr>
      </w:pPr>
    </w:p>
    <w:p>
      <w:pPr>
        <w:spacing w:line="360" w:lineRule="auto"/>
        <w:jc w:val="center"/>
        <w:rPr>
          <w:rFonts w:ascii="宋体" w:hAnsi="宋体"/>
          <w:color w:val="FF0000"/>
          <w:sz w:val="36"/>
        </w:rPr>
      </w:pPr>
    </w:p>
    <w:p>
      <w:pPr>
        <w:spacing w:line="360" w:lineRule="auto"/>
        <w:jc w:val="center"/>
        <w:rPr>
          <w:rFonts w:ascii="宋体" w:hAnsi="宋体"/>
          <w:color w:val="FF0000"/>
          <w:sz w:val="36"/>
        </w:rPr>
      </w:pPr>
    </w:p>
    <w:p>
      <w:pPr>
        <w:spacing w:line="360" w:lineRule="auto"/>
        <w:jc w:val="center"/>
        <w:rPr>
          <w:rFonts w:ascii="宋体" w:hAnsi="宋体"/>
          <w:color w:val="FF0000"/>
          <w:sz w:val="36"/>
        </w:rPr>
      </w:pPr>
    </w:p>
    <w:p>
      <w:pPr>
        <w:spacing w:line="360" w:lineRule="auto"/>
        <w:jc w:val="center"/>
        <w:rPr>
          <w:rFonts w:ascii="宋体" w:hAnsi="宋体"/>
          <w:color w:val="FF0000"/>
          <w:sz w:val="36"/>
        </w:rPr>
      </w:pPr>
    </w:p>
    <w:p>
      <w:pPr>
        <w:spacing w:line="360" w:lineRule="auto"/>
        <w:jc w:val="center"/>
        <w:rPr>
          <w:rFonts w:ascii="宋体" w:hAnsi="宋体"/>
          <w:color w:val="FF0000"/>
          <w:sz w:val="36"/>
        </w:rPr>
      </w:pPr>
    </w:p>
    <w:p>
      <w:pPr>
        <w:spacing w:line="360" w:lineRule="auto"/>
        <w:jc w:val="center"/>
        <w:rPr>
          <w:rFonts w:ascii="宋体" w:hAnsi="宋体"/>
          <w:color w:val="FF0000"/>
          <w:sz w:val="36"/>
        </w:rPr>
      </w:pPr>
    </w:p>
    <w:p>
      <w:pPr>
        <w:spacing w:line="360" w:lineRule="auto"/>
        <w:jc w:val="center"/>
        <w:rPr>
          <w:rFonts w:ascii="宋体" w:hAnsi="宋体"/>
          <w:color w:val="FF0000"/>
          <w:sz w:val="36"/>
        </w:rPr>
      </w:pPr>
    </w:p>
    <w:p>
      <w:pPr>
        <w:spacing w:line="360" w:lineRule="auto"/>
        <w:jc w:val="center"/>
        <w:rPr>
          <w:rFonts w:ascii="宋体" w:hAnsi="宋体"/>
          <w:color w:val="FF0000"/>
          <w:sz w:val="36"/>
        </w:rPr>
      </w:pPr>
    </w:p>
    <w:p>
      <w:pPr>
        <w:spacing w:line="360" w:lineRule="auto"/>
        <w:jc w:val="center"/>
        <w:rPr>
          <w:rFonts w:ascii="宋体" w:hAnsi="宋体"/>
          <w:color w:val="FF0000"/>
          <w:sz w:val="36"/>
        </w:rPr>
      </w:pPr>
    </w:p>
    <w:p>
      <w:pPr>
        <w:spacing w:line="360" w:lineRule="auto"/>
        <w:jc w:val="center"/>
        <w:rPr>
          <w:rFonts w:ascii="宋体" w:hAnsi="宋体"/>
          <w:color w:val="FF0000"/>
          <w:sz w:val="36"/>
        </w:rPr>
      </w:pPr>
    </w:p>
    <w:p>
      <w:pPr>
        <w:spacing w:line="360" w:lineRule="auto"/>
        <w:jc w:val="center"/>
        <w:rPr>
          <w:rFonts w:ascii="宋体" w:hAnsi="宋体"/>
          <w:color w:val="FF0000"/>
          <w:sz w:val="36"/>
        </w:rPr>
      </w:pPr>
    </w:p>
    <w:p>
      <w:pPr>
        <w:spacing w:line="360" w:lineRule="auto"/>
        <w:jc w:val="center"/>
        <w:rPr>
          <w:rFonts w:ascii="宋体" w:hAnsi="宋体"/>
          <w:color w:val="FF0000"/>
          <w:sz w:val="36"/>
        </w:rPr>
      </w:pPr>
    </w:p>
    <w:p>
      <w:pPr>
        <w:spacing w:line="360" w:lineRule="auto"/>
        <w:rPr>
          <w:sz w:val="24"/>
        </w:rPr>
      </w:pPr>
    </w:p>
    <w:p>
      <w:pPr>
        <w:spacing w:line="360" w:lineRule="auto"/>
        <w:jc w:val="center"/>
        <w:rPr>
          <w:rFonts w:asciiTheme="majorEastAsia" w:hAnsiTheme="majorEastAsia" w:eastAsiaTheme="majorEastAsia"/>
          <w:b/>
          <w:sz w:val="36"/>
        </w:rPr>
      </w:pPr>
      <w:r>
        <w:rPr>
          <w:rFonts w:hint="eastAsia" w:asciiTheme="majorEastAsia" w:hAnsiTheme="majorEastAsia" w:eastAsiaTheme="majorEastAsia"/>
          <w:b/>
          <w:sz w:val="36"/>
        </w:rPr>
        <w:br w:type="page"/>
      </w:r>
    </w:p>
    <w:p>
      <w:pPr>
        <w:spacing w:line="360" w:lineRule="auto"/>
        <w:jc w:val="center"/>
        <w:rPr>
          <w:rFonts w:asciiTheme="majorEastAsia" w:hAnsiTheme="majorEastAsia" w:eastAsiaTheme="majorEastAsia"/>
          <w:b/>
          <w:kern w:val="0"/>
          <w:sz w:val="10"/>
        </w:rPr>
      </w:pPr>
      <w:r>
        <w:rPr>
          <w:rFonts w:hint="eastAsia" w:asciiTheme="majorEastAsia" w:hAnsiTheme="majorEastAsia" w:eastAsiaTheme="majorEastAsia"/>
          <w:b/>
          <w:sz w:val="36"/>
        </w:rPr>
        <w:t>第六部分：   应提交的有关格式范例</w:t>
      </w:r>
    </w:p>
    <w:p>
      <w:pPr>
        <w:snapToGrid w:val="0"/>
        <w:spacing w:beforeLines="50" w:after="50" w:line="360" w:lineRule="auto"/>
        <w:rPr>
          <w:rFonts w:ascii="仿宋_GB2312" w:hAnsi="宋体" w:eastAsia="仿宋_GB2312"/>
          <w:b/>
          <w:sz w:val="30"/>
          <w:szCs w:val="30"/>
        </w:rPr>
      </w:pPr>
      <w:r>
        <w:rPr>
          <w:rFonts w:hint="eastAsia" w:ascii="宋体" w:hAnsi="宋体"/>
          <w:b/>
          <w:sz w:val="28"/>
        </w:rPr>
        <w:t>附件1：</w:t>
      </w:r>
      <w:r>
        <w:rPr>
          <w:rFonts w:hint="eastAsia" w:ascii="仿宋_GB2312" w:hAnsi="宋体" w:eastAsia="仿宋_GB2312"/>
          <w:bCs/>
          <w:sz w:val="30"/>
          <w:szCs w:val="30"/>
        </w:rPr>
        <w:t>本</w:t>
      </w:r>
    </w:p>
    <w:p>
      <w:pPr>
        <w:snapToGrid w:val="0"/>
        <w:spacing w:beforeLines="50" w:after="50" w:line="360" w:lineRule="auto"/>
        <w:jc w:val="right"/>
        <w:rPr>
          <w:rFonts w:ascii="仿宋_GB2312" w:hAnsi="宋体" w:eastAsia="仿宋_GB2312"/>
          <w:bCs/>
          <w:sz w:val="30"/>
          <w:szCs w:val="30"/>
        </w:rPr>
      </w:pPr>
    </w:p>
    <w:p>
      <w:pPr>
        <w:spacing w:line="360" w:lineRule="auto"/>
        <w:ind w:right="-110"/>
        <w:jc w:val="center"/>
        <w:rPr>
          <w:rFonts w:ascii="宋体" w:hAnsi="宋体"/>
          <w:spacing w:val="40"/>
          <w:sz w:val="52"/>
          <w:szCs w:val="52"/>
        </w:rPr>
      </w:pPr>
      <w:r>
        <w:rPr>
          <w:rFonts w:hint="eastAsia" w:ascii="宋体" w:hAnsi="宋体"/>
          <w:spacing w:val="40"/>
          <w:sz w:val="52"/>
          <w:szCs w:val="52"/>
        </w:rPr>
        <w:t>项目名称</w:t>
      </w:r>
    </w:p>
    <w:p>
      <w:pPr>
        <w:spacing w:beforeLines="100" w:line="360" w:lineRule="auto"/>
        <w:ind w:right="-108"/>
        <w:jc w:val="center"/>
        <w:rPr>
          <w:rFonts w:ascii="宋体" w:hAnsi="宋体"/>
          <w:sz w:val="36"/>
          <w:szCs w:val="36"/>
        </w:rPr>
      </w:pPr>
      <w:r>
        <w:rPr>
          <w:rFonts w:hint="eastAsia" w:ascii="宋体" w:hAnsi="宋体"/>
          <w:sz w:val="36"/>
          <w:szCs w:val="36"/>
        </w:rPr>
        <w:t>项目编号：（标项）</w:t>
      </w:r>
    </w:p>
    <w:p>
      <w:pPr>
        <w:autoSpaceDE w:val="0"/>
        <w:autoSpaceDN w:val="0"/>
        <w:adjustRightInd w:val="0"/>
        <w:spacing w:line="360" w:lineRule="auto"/>
        <w:jc w:val="center"/>
        <w:rPr>
          <w:rFonts w:ascii="宋体" w:hAnsi="宋体" w:cs="宋体"/>
          <w:sz w:val="84"/>
          <w:szCs w:val="84"/>
          <w:lang w:val="zh-CN"/>
        </w:rPr>
      </w:pP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投</w:t>
      </w: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标</w:t>
      </w:r>
    </w:p>
    <w:p>
      <w:pPr>
        <w:autoSpaceDE w:val="0"/>
        <w:autoSpaceDN w:val="0"/>
        <w:adjustRightInd w:val="0"/>
        <w:spacing w:line="360" w:lineRule="auto"/>
        <w:jc w:val="center"/>
        <w:rPr>
          <w:rFonts w:ascii="宋体" w:hAnsi="宋体"/>
          <w:sz w:val="84"/>
          <w:szCs w:val="84"/>
        </w:rPr>
      </w:pPr>
      <w:r>
        <w:rPr>
          <w:rFonts w:hint="eastAsia" w:ascii="宋体" w:hAnsi="宋体" w:cs="宋体"/>
          <w:sz w:val="84"/>
          <w:szCs w:val="84"/>
          <w:lang w:val="zh-CN"/>
        </w:rPr>
        <w:t>文</w:t>
      </w:r>
    </w:p>
    <w:p>
      <w:pPr>
        <w:spacing w:after="100" w:afterAutospacing="1" w:line="360" w:lineRule="auto"/>
        <w:ind w:right="-108"/>
        <w:jc w:val="center"/>
        <w:rPr>
          <w:rFonts w:ascii="宋体" w:hAnsi="宋体" w:cs="宋体"/>
          <w:sz w:val="84"/>
          <w:szCs w:val="84"/>
          <w:lang w:val="zh-CN"/>
        </w:rPr>
      </w:pPr>
      <w:r>
        <w:rPr>
          <w:rFonts w:hint="eastAsia" w:ascii="宋体" w:hAnsi="宋体" w:cs="宋体"/>
          <w:sz w:val="84"/>
          <w:szCs w:val="84"/>
          <w:lang w:val="zh-CN"/>
        </w:rPr>
        <w:t>件</w:t>
      </w:r>
    </w:p>
    <w:p>
      <w:pPr>
        <w:spacing w:after="100" w:afterAutospacing="1" w:line="360" w:lineRule="auto"/>
        <w:ind w:right="-108"/>
        <w:jc w:val="center"/>
        <w:rPr>
          <w:rFonts w:ascii="宋体" w:hAnsi="宋体"/>
          <w:b/>
          <w:spacing w:val="40"/>
          <w:sz w:val="28"/>
          <w:szCs w:val="28"/>
        </w:rPr>
      </w:pPr>
      <w:r>
        <w:rPr>
          <w:rFonts w:hint="eastAsia" w:ascii="宋体" w:hAnsi="宋体" w:cs="宋体"/>
          <w:sz w:val="28"/>
          <w:szCs w:val="28"/>
          <w:lang w:val="zh-CN"/>
        </w:rPr>
        <w:t>（</w:t>
      </w:r>
      <w:r>
        <w:rPr>
          <w:rFonts w:hint="eastAsia" w:ascii="宋体" w:hAnsi="宋体"/>
          <w:b/>
          <w:spacing w:val="40"/>
          <w:sz w:val="28"/>
          <w:szCs w:val="28"/>
        </w:rPr>
        <w:t>资格资信证明文件）</w:t>
      </w:r>
    </w:p>
    <w:p>
      <w:pPr>
        <w:spacing w:line="360" w:lineRule="auto"/>
        <w:ind w:right="532" w:firstLine="720" w:firstLineChars="200"/>
        <w:rPr>
          <w:rFonts w:ascii="宋体" w:hAnsi="宋体"/>
          <w:sz w:val="36"/>
          <w:szCs w:val="36"/>
        </w:rPr>
      </w:pPr>
      <w:r>
        <w:rPr>
          <w:rFonts w:hint="eastAsia" w:ascii="宋体" w:hAnsi="宋体"/>
          <w:sz w:val="36"/>
          <w:szCs w:val="36"/>
        </w:rPr>
        <w:t>投标人全称（公章）：</w:t>
      </w:r>
    </w:p>
    <w:p>
      <w:pPr>
        <w:spacing w:line="360" w:lineRule="auto"/>
        <w:ind w:right="532" w:firstLine="720" w:firstLineChars="200"/>
        <w:rPr>
          <w:rFonts w:ascii="宋体" w:hAnsi="宋体"/>
          <w:sz w:val="36"/>
          <w:szCs w:val="36"/>
        </w:rPr>
      </w:pPr>
      <w:r>
        <w:rPr>
          <w:rFonts w:hint="eastAsia" w:ascii="宋体" w:hAnsi="宋体"/>
          <w:sz w:val="36"/>
          <w:szCs w:val="36"/>
        </w:rPr>
        <w:t>地    址：</w:t>
      </w:r>
    </w:p>
    <w:p>
      <w:pPr>
        <w:spacing w:line="360" w:lineRule="auto"/>
        <w:ind w:right="532" w:firstLine="720" w:firstLineChars="200"/>
        <w:rPr>
          <w:rFonts w:ascii="宋体" w:hAnsi="宋体"/>
          <w:sz w:val="36"/>
          <w:szCs w:val="36"/>
        </w:rPr>
      </w:pPr>
      <w:r>
        <w:rPr>
          <w:rFonts w:hint="eastAsia" w:ascii="宋体" w:hAnsi="宋体"/>
          <w:sz w:val="36"/>
          <w:szCs w:val="36"/>
        </w:rPr>
        <w:t>时    间：</w:t>
      </w:r>
    </w:p>
    <w:p>
      <w:pPr>
        <w:snapToGrid w:val="0"/>
        <w:spacing w:before="50" w:after="50" w:line="360" w:lineRule="auto"/>
        <w:rPr>
          <w:rFonts w:ascii="仿宋_GB2312" w:hAnsi="宋体" w:eastAsia="仿宋_GB2312"/>
          <w:b/>
          <w:sz w:val="36"/>
          <w:szCs w:val="36"/>
        </w:rPr>
      </w:pPr>
    </w:p>
    <w:p>
      <w:pPr>
        <w:snapToGrid w:val="0"/>
        <w:spacing w:before="50" w:after="50" w:line="360" w:lineRule="auto"/>
        <w:jc w:val="center"/>
        <w:rPr>
          <w:rFonts w:ascii="宋体" w:hAnsi="宋体"/>
          <w:b/>
          <w:bCs/>
          <w:sz w:val="32"/>
          <w:szCs w:val="32"/>
        </w:rPr>
      </w:pPr>
      <w:r>
        <w:rPr>
          <w:rFonts w:hint="eastAsia" w:ascii="宋体" w:hAnsi="宋体"/>
          <w:b/>
          <w:bCs/>
          <w:sz w:val="32"/>
          <w:szCs w:val="32"/>
        </w:rPr>
        <w:t>资格资信证明文件目录</w:t>
      </w:r>
    </w:p>
    <w:p>
      <w:pPr>
        <w:snapToGrid w:val="0"/>
        <w:spacing w:before="50" w:after="50" w:line="360" w:lineRule="auto"/>
        <w:jc w:val="center"/>
        <w:rPr>
          <w:rFonts w:ascii="仿宋_GB2312" w:hAnsi="宋体" w:eastAsia="仿宋_GB2312"/>
          <w:b/>
          <w:bCs/>
          <w:sz w:val="36"/>
          <w:szCs w:val="36"/>
        </w:rPr>
      </w:pPr>
    </w:p>
    <w:p>
      <w:pPr>
        <w:snapToGrid w:val="0"/>
        <w:spacing w:line="360" w:lineRule="auto"/>
        <w:ind w:firstLine="470" w:firstLineChars="196"/>
        <w:rPr>
          <w:rFonts w:ascii="宋体" w:hAnsi="宋体"/>
          <w:sz w:val="24"/>
        </w:rPr>
      </w:pPr>
      <w:r>
        <w:rPr>
          <w:rFonts w:hint="eastAsia" w:ascii="宋体" w:hAnsi="宋体"/>
          <w:sz w:val="24"/>
        </w:rPr>
        <w:t>1、声明书；</w:t>
      </w:r>
    </w:p>
    <w:p>
      <w:pPr>
        <w:snapToGrid w:val="0"/>
        <w:spacing w:line="360" w:lineRule="auto"/>
        <w:ind w:firstLine="470" w:firstLineChars="196"/>
        <w:rPr>
          <w:rFonts w:ascii="宋体" w:hAnsi="宋体"/>
          <w:sz w:val="24"/>
        </w:rPr>
      </w:pPr>
      <w:r>
        <w:rPr>
          <w:rFonts w:hint="eastAsia" w:ascii="宋体" w:hAnsi="宋体"/>
          <w:sz w:val="24"/>
        </w:rPr>
        <w:t>2、法定代表人授权书；</w:t>
      </w:r>
    </w:p>
    <w:p>
      <w:pPr>
        <w:snapToGrid w:val="0"/>
        <w:spacing w:line="360" w:lineRule="auto"/>
        <w:ind w:firstLine="470" w:firstLineChars="196"/>
        <w:rPr>
          <w:rFonts w:ascii="宋体" w:hAnsi="宋体"/>
          <w:kern w:val="0"/>
          <w:sz w:val="24"/>
        </w:rPr>
      </w:pPr>
      <w:r>
        <w:rPr>
          <w:rFonts w:hint="eastAsia" w:ascii="宋体" w:hAnsi="宋体"/>
          <w:sz w:val="24"/>
        </w:rPr>
        <w:t>3、</w:t>
      </w:r>
      <w:r>
        <w:rPr>
          <w:rFonts w:hint="eastAsia" w:ascii="宋体" w:hAnsi="宋体"/>
          <w:kern w:val="0"/>
          <w:sz w:val="24"/>
        </w:rPr>
        <w:t>营业执照、税务登记、组织机构代码证</w:t>
      </w:r>
      <w:r>
        <w:rPr>
          <w:rFonts w:hint="eastAsia" w:ascii="宋体" w:hAnsi="宋体"/>
          <w:b/>
          <w:kern w:val="0"/>
          <w:sz w:val="24"/>
        </w:rPr>
        <w:t>、</w:t>
      </w:r>
      <w:r>
        <w:rPr>
          <w:rFonts w:hint="eastAsia" w:ascii="宋体" w:hAnsi="宋体"/>
          <w:kern w:val="0"/>
          <w:sz w:val="24"/>
        </w:rPr>
        <w:t xml:space="preserve">社会保险登记证； </w:t>
      </w:r>
    </w:p>
    <w:p>
      <w:pPr>
        <w:snapToGrid w:val="0"/>
        <w:spacing w:line="360" w:lineRule="auto"/>
        <w:ind w:firstLine="480" w:firstLineChars="200"/>
        <w:rPr>
          <w:rFonts w:ascii="宋体" w:hAnsi="宋体"/>
          <w:kern w:val="0"/>
          <w:sz w:val="24"/>
        </w:rPr>
      </w:pPr>
      <w:r>
        <w:rPr>
          <w:rFonts w:hint="eastAsia" w:ascii="宋体" w:hAnsi="宋体"/>
          <w:kern w:val="0"/>
          <w:sz w:val="24"/>
        </w:rPr>
        <w:t>4、上年度企业资产负债表及损益表；</w:t>
      </w:r>
    </w:p>
    <w:p>
      <w:pPr>
        <w:snapToGrid w:val="0"/>
        <w:spacing w:line="360" w:lineRule="auto"/>
        <w:ind w:firstLine="470" w:firstLineChars="196"/>
        <w:rPr>
          <w:rFonts w:ascii="宋体" w:hAnsi="宋体"/>
          <w:kern w:val="0"/>
          <w:sz w:val="24"/>
        </w:rPr>
      </w:pPr>
      <w:r>
        <w:rPr>
          <w:rFonts w:hint="eastAsia" w:ascii="宋体" w:hAnsi="宋体"/>
          <w:sz w:val="24"/>
        </w:rPr>
        <w:t>5、</w:t>
      </w:r>
      <w:r>
        <w:rPr>
          <w:rFonts w:hint="eastAsia" w:ascii="宋体" w:hAnsi="宋体"/>
          <w:kern w:val="0"/>
          <w:sz w:val="24"/>
        </w:rPr>
        <w:t>本项目要求的特定资质证书</w:t>
      </w:r>
    </w:p>
    <w:p>
      <w:pPr>
        <w:snapToGrid w:val="0"/>
        <w:spacing w:line="360" w:lineRule="auto"/>
        <w:ind w:firstLine="470" w:firstLineChars="196"/>
        <w:rPr>
          <w:rFonts w:ascii="宋体" w:hAnsi="宋体"/>
          <w:sz w:val="24"/>
        </w:rPr>
      </w:pPr>
      <w:r>
        <w:rPr>
          <w:rFonts w:hint="eastAsia" w:ascii="宋体" w:hAnsi="宋体"/>
          <w:kern w:val="0"/>
          <w:sz w:val="24"/>
        </w:rPr>
        <w:t>6、</w:t>
      </w:r>
      <w:r>
        <w:rPr>
          <w:rFonts w:hint="eastAsia" w:ascii="宋体" w:hAnsi="宋体"/>
          <w:sz w:val="24"/>
        </w:rPr>
        <w:t>投标人情况介绍；</w:t>
      </w:r>
    </w:p>
    <w:p>
      <w:pPr>
        <w:autoSpaceDE w:val="0"/>
        <w:autoSpaceDN w:val="0"/>
        <w:adjustRightInd w:val="0"/>
        <w:spacing w:line="360" w:lineRule="auto"/>
        <w:ind w:left="424" w:leftChars="202" w:firstLine="2"/>
        <w:rPr>
          <w:rFonts w:ascii="宋体" w:hAnsi="宋体"/>
          <w:kern w:val="0"/>
          <w:sz w:val="24"/>
        </w:rPr>
      </w:pPr>
      <w:r>
        <w:rPr>
          <w:rFonts w:hint="eastAsia" w:ascii="宋体" w:hAnsi="宋体"/>
          <w:kern w:val="0"/>
          <w:sz w:val="24"/>
        </w:rPr>
        <w:t>7、</w:t>
      </w:r>
      <w:r>
        <w:rPr>
          <w:rFonts w:ascii="宋体" w:hAnsi="宋体"/>
          <w:kern w:val="0"/>
          <w:sz w:val="24"/>
        </w:rPr>
        <w:t>投标人通过的</w:t>
      </w:r>
      <w:r>
        <w:rPr>
          <w:rFonts w:hint="eastAsia" w:ascii="宋体" w:hAnsi="宋体"/>
          <w:kern w:val="0"/>
          <w:sz w:val="24"/>
        </w:rPr>
        <w:t>质量管理和</w:t>
      </w:r>
      <w:r>
        <w:rPr>
          <w:rFonts w:ascii="宋体" w:hAnsi="宋体"/>
          <w:kern w:val="0"/>
          <w:sz w:val="24"/>
        </w:rPr>
        <w:t>质量</w:t>
      </w:r>
      <w:r>
        <w:rPr>
          <w:rFonts w:hint="eastAsia" w:ascii="宋体" w:hAnsi="宋体"/>
          <w:kern w:val="0"/>
          <w:sz w:val="24"/>
        </w:rPr>
        <w:t>保证</w:t>
      </w:r>
      <w:r>
        <w:rPr>
          <w:rFonts w:ascii="宋体" w:hAnsi="宋体"/>
          <w:kern w:val="0"/>
          <w:sz w:val="24"/>
        </w:rPr>
        <w:t>体系、环保体系、</w:t>
      </w:r>
      <w:r>
        <w:rPr>
          <w:rFonts w:hint="eastAsia" w:ascii="宋体" w:hAnsi="宋体"/>
          <w:kern w:val="0"/>
          <w:sz w:val="24"/>
        </w:rPr>
        <w:t>自主创新</w:t>
      </w:r>
      <w:r>
        <w:rPr>
          <w:rFonts w:ascii="宋体" w:hAnsi="宋体"/>
          <w:kern w:val="0"/>
          <w:sz w:val="24"/>
        </w:rPr>
        <w:t>或其他体系等的认证证书</w:t>
      </w:r>
      <w:r>
        <w:rPr>
          <w:rFonts w:hint="eastAsia" w:ascii="宋体" w:hAnsi="宋体"/>
          <w:kern w:val="0"/>
          <w:sz w:val="24"/>
        </w:rPr>
        <w:t>或文件；；</w:t>
      </w:r>
    </w:p>
    <w:p>
      <w:pPr>
        <w:tabs>
          <w:tab w:val="left" w:pos="1898"/>
        </w:tabs>
        <w:autoSpaceDE w:val="0"/>
        <w:autoSpaceDN w:val="0"/>
        <w:adjustRightInd w:val="0"/>
        <w:spacing w:line="360" w:lineRule="auto"/>
        <w:ind w:firstLine="480" w:firstLineChars="200"/>
        <w:rPr>
          <w:rFonts w:ascii="宋体" w:hAnsi="宋体"/>
          <w:kern w:val="0"/>
          <w:sz w:val="24"/>
        </w:rPr>
      </w:pPr>
      <w:r>
        <w:rPr>
          <w:rFonts w:hint="eastAsia" w:ascii="宋体" w:hAnsi="宋体"/>
          <w:kern w:val="0"/>
          <w:sz w:val="24"/>
        </w:rPr>
        <w:t>8、</w:t>
      </w:r>
      <w:r>
        <w:rPr>
          <w:rFonts w:hint="eastAsia" w:ascii="宋体" w:hAnsi="宋体"/>
          <w:sz w:val="24"/>
        </w:rPr>
        <w:t>资信及商务需求响应表；</w:t>
      </w:r>
    </w:p>
    <w:p>
      <w:pPr>
        <w:tabs>
          <w:tab w:val="left" w:pos="1898"/>
        </w:tabs>
        <w:autoSpaceDE w:val="0"/>
        <w:autoSpaceDN w:val="0"/>
        <w:adjustRightInd w:val="0"/>
        <w:spacing w:line="360" w:lineRule="auto"/>
        <w:ind w:firstLine="480" w:firstLineChars="200"/>
        <w:rPr>
          <w:rFonts w:ascii="宋体" w:hAnsi="宋体"/>
          <w:kern w:val="0"/>
          <w:sz w:val="24"/>
        </w:rPr>
      </w:pPr>
      <w:r>
        <w:rPr>
          <w:rFonts w:hint="eastAsia" w:ascii="宋体" w:hAnsi="宋体"/>
          <w:kern w:val="0"/>
          <w:sz w:val="24"/>
        </w:rPr>
        <w:t>9、近三年来类似项目的成功案例；</w:t>
      </w:r>
    </w:p>
    <w:p>
      <w:pPr>
        <w:snapToGrid w:val="0"/>
        <w:spacing w:line="360" w:lineRule="auto"/>
        <w:ind w:firstLine="470" w:firstLineChars="196"/>
        <w:rPr>
          <w:rFonts w:ascii="宋体" w:hAnsi="宋体"/>
          <w:sz w:val="24"/>
        </w:rPr>
      </w:pPr>
      <w:r>
        <w:rPr>
          <w:rFonts w:hint="eastAsia" w:ascii="宋体" w:hAnsi="宋体"/>
          <w:sz w:val="24"/>
        </w:rPr>
        <w:t>10、</w:t>
      </w:r>
      <w:r>
        <w:rPr>
          <w:rFonts w:ascii="宋体" w:hAnsi="宋体"/>
          <w:kern w:val="0"/>
          <w:sz w:val="24"/>
        </w:rPr>
        <w:t>投标人认为</w:t>
      </w:r>
      <w:r>
        <w:rPr>
          <w:rFonts w:hint="eastAsia" w:ascii="宋体" w:hAnsi="宋体"/>
          <w:kern w:val="0"/>
          <w:sz w:val="24"/>
        </w:rPr>
        <w:t>可以证明其能力或业绩的其他材料；</w:t>
      </w:r>
    </w:p>
    <w:p>
      <w:pPr>
        <w:spacing w:line="360" w:lineRule="auto"/>
        <w:ind w:left="420"/>
        <w:rPr>
          <w:rFonts w:ascii="宋体" w:hAnsi="宋体"/>
          <w:b/>
          <w:sz w:val="28"/>
          <w:lang w:val="en-GB"/>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rPr>
          <w:rFonts w:ascii="宋体" w:hAnsi="宋体"/>
          <w:b/>
          <w:sz w:val="28"/>
        </w:rPr>
      </w:pPr>
    </w:p>
    <w:p>
      <w:pPr>
        <w:spacing w:line="360" w:lineRule="auto"/>
        <w:ind w:left="420"/>
        <w:rPr>
          <w:rFonts w:ascii="宋体" w:hAnsi="宋体"/>
          <w:b/>
          <w:sz w:val="28"/>
        </w:rPr>
      </w:pPr>
      <w:r>
        <w:rPr>
          <w:rFonts w:hint="eastAsia" w:ascii="宋体" w:hAnsi="宋体"/>
          <w:b/>
          <w:sz w:val="28"/>
        </w:rPr>
        <w:t>附件2</w:t>
      </w:r>
    </w:p>
    <w:p>
      <w:pPr>
        <w:adjustRightInd w:val="0"/>
        <w:snapToGrid w:val="0"/>
        <w:spacing w:line="360" w:lineRule="auto"/>
        <w:ind w:right="480"/>
        <w:jc w:val="center"/>
        <w:rPr>
          <w:rFonts w:ascii="宋体" w:hAnsi="宋体"/>
          <w:b/>
          <w:kern w:val="0"/>
          <w:sz w:val="32"/>
          <w:szCs w:val="32"/>
          <w:lang w:val="zh-CN"/>
        </w:rPr>
      </w:pPr>
      <w:r>
        <w:rPr>
          <w:rFonts w:hint="eastAsia" w:ascii="宋体" w:hAnsi="宋体"/>
          <w:b/>
          <w:kern w:val="0"/>
          <w:sz w:val="32"/>
          <w:szCs w:val="32"/>
          <w:lang w:val="zh-CN"/>
        </w:rPr>
        <w:t>声明书</w:t>
      </w:r>
    </w:p>
    <w:p>
      <w:pPr>
        <w:snapToGrid w:val="0"/>
        <w:spacing w:beforeLines="50" w:after="50" w:line="360" w:lineRule="auto"/>
        <w:ind w:firstLine="480" w:firstLineChars="200"/>
        <w:rPr>
          <w:rFonts w:ascii="宋体" w:hAnsi="宋体" w:cs="宋体"/>
          <w:kern w:val="0"/>
          <w:sz w:val="24"/>
        </w:rPr>
      </w:pPr>
      <w:r>
        <w:rPr>
          <w:rFonts w:hint="eastAsia" w:ascii="宋体" w:hAnsi="宋体" w:cs="宋体"/>
          <w:kern w:val="0"/>
          <w:sz w:val="24"/>
        </w:rPr>
        <w:t>台州市政府采购中心：</w:t>
      </w:r>
    </w:p>
    <w:p>
      <w:pPr>
        <w:snapToGrid w:val="0"/>
        <w:spacing w:beforeLines="50" w:after="50" w:line="360" w:lineRule="auto"/>
        <w:ind w:firstLine="480" w:firstLineChars="200"/>
        <w:rPr>
          <w:rFonts w:ascii="宋体" w:hAnsi="宋体" w:cs="宋体"/>
          <w:kern w:val="0"/>
          <w:sz w:val="24"/>
        </w:rPr>
      </w:pPr>
      <w:r>
        <w:rPr>
          <w:rFonts w:hint="eastAsia" w:ascii="宋体" w:hAnsi="宋体" w:cs="宋体"/>
          <w:kern w:val="0"/>
          <w:sz w:val="24"/>
        </w:rPr>
        <w:t>（投标人名称）系中华人民共和国合法企业，经营地址。</w:t>
      </w:r>
    </w:p>
    <w:p>
      <w:pPr>
        <w:snapToGrid w:val="0"/>
        <w:spacing w:beforeLines="50" w:after="50" w:line="360" w:lineRule="auto"/>
        <w:ind w:firstLine="480" w:firstLineChars="200"/>
        <w:rPr>
          <w:rFonts w:ascii="宋体" w:hAnsi="宋体" w:cs="宋体"/>
          <w:kern w:val="0"/>
          <w:sz w:val="24"/>
        </w:rPr>
      </w:pPr>
      <w:r>
        <w:rPr>
          <w:rFonts w:hint="eastAsia" w:ascii="宋体" w:hAnsi="宋体" w:cs="宋体"/>
          <w:kern w:val="0"/>
          <w:sz w:val="24"/>
        </w:rPr>
        <w:t>我（</w:t>
      </w:r>
      <w:r>
        <w:rPr>
          <w:rFonts w:hint="eastAsia" w:ascii="宋体" w:hAnsi="宋体" w:cs="宋体"/>
          <w:kern w:val="0"/>
          <w:sz w:val="24"/>
          <w:u w:val="single"/>
        </w:rPr>
        <w:t xml:space="preserve"> 姓名 </w:t>
      </w:r>
      <w:r>
        <w:rPr>
          <w:rFonts w:hint="eastAsia" w:ascii="宋体" w:hAnsi="宋体" w:cs="宋体"/>
          <w:kern w:val="0"/>
          <w:sz w:val="24"/>
        </w:rPr>
        <w:t>）系（</w:t>
      </w:r>
      <w:r>
        <w:rPr>
          <w:rFonts w:hint="eastAsia" w:ascii="宋体" w:hAnsi="宋体" w:cs="宋体"/>
          <w:kern w:val="0"/>
          <w:sz w:val="24"/>
          <w:u w:val="single"/>
        </w:rPr>
        <w:t xml:space="preserve"> 投标人名称 </w:t>
      </w:r>
      <w:r>
        <w:rPr>
          <w:rFonts w:hint="eastAsia" w:ascii="宋体" w:hAnsi="宋体" w:cs="宋体"/>
          <w:kern w:val="0"/>
          <w:sz w:val="24"/>
        </w:rPr>
        <w:t>）的法定代表人，我公司自愿参加贵方组织的（</w:t>
      </w:r>
      <w:r>
        <w:rPr>
          <w:rFonts w:hint="eastAsia" w:ascii="宋体" w:hAnsi="宋体" w:cs="宋体"/>
          <w:kern w:val="0"/>
          <w:sz w:val="24"/>
          <w:u w:val="single"/>
        </w:rPr>
        <w:t>招标项目名称</w:t>
      </w:r>
      <w:r>
        <w:rPr>
          <w:rFonts w:hint="eastAsia" w:ascii="宋体" w:hAnsi="宋体" w:cs="宋体"/>
          <w:kern w:val="0"/>
          <w:sz w:val="24"/>
        </w:rPr>
        <w:t>）（编号为）的投标，为此，我公司就本次投标有关事项郑重声明如下：</w:t>
      </w:r>
    </w:p>
    <w:p>
      <w:pPr>
        <w:snapToGrid w:val="0"/>
        <w:spacing w:beforeLines="50" w:after="50" w:line="360" w:lineRule="auto"/>
        <w:ind w:firstLine="480" w:firstLineChars="200"/>
        <w:rPr>
          <w:rFonts w:ascii="宋体" w:hAnsi="宋体" w:cs="宋体"/>
          <w:kern w:val="0"/>
          <w:sz w:val="24"/>
        </w:rPr>
      </w:pPr>
      <w:r>
        <w:rPr>
          <w:rFonts w:hint="eastAsia" w:ascii="宋体" w:hAnsi="宋体" w:cs="宋体"/>
          <w:kern w:val="0"/>
          <w:sz w:val="24"/>
        </w:rPr>
        <w:t>1</w:t>
      </w:r>
      <w:r>
        <w:rPr>
          <w:rFonts w:hint="eastAsia" w:ascii="宋体" w:hAnsi="宋体" w:cs="宋体"/>
          <w:b/>
          <w:kern w:val="0"/>
          <w:sz w:val="24"/>
        </w:rPr>
        <w:t xml:space="preserve">、我公司声明截止投标时间近三年以来，在政府采购领域中的项目招标、投标和合同履约期间无任何不良行为记录和违法、违规行为。 </w:t>
      </w:r>
    </w:p>
    <w:p>
      <w:pPr>
        <w:snapToGrid w:val="0"/>
        <w:spacing w:beforeLines="50" w:after="50" w:line="360" w:lineRule="auto"/>
        <w:ind w:firstLine="480" w:firstLineChars="200"/>
        <w:rPr>
          <w:rFonts w:ascii="宋体" w:hAnsi="宋体"/>
          <w:sz w:val="24"/>
        </w:rPr>
      </w:pPr>
      <w:r>
        <w:rPr>
          <w:rFonts w:hint="eastAsia" w:ascii="宋体" w:hAnsi="宋体" w:cs="宋体"/>
          <w:kern w:val="0"/>
          <w:sz w:val="24"/>
        </w:rPr>
        <w:t>2、我公司</w:t>
      </w:r>
      <w:r>
        <w:rPr>
          <w:rFonts w:ascii="宋体" w:hAnsi="宋体" w:cs="宋体"/>
          <w:kern w:val="0"/>
          <w:sz w:val="24"/>
        </w:rPr>
        <w:t>在参与投标前已</w:t>
      </w:r>
      <w:r>
        <w:rPr>
          <w:rFonts w:hint="eastAsia" w:ascii="宋体" w:hAnsi="宋体" w:cs="宋体"/>
          <w:kern w:val="0"/>
          <w:sz w:val="24"/>
        </w:rPr>
        <w:t>详细审查</w:t>
      </w:r>
      <w:r>
        <w:rPr>
          <w:rFonts w:ascii="宋体" w:hAnsi="宋体" w:cs="宋体"/>
          <w:kern w:val="0"/>
          <w:sz w:val="24"/>
        </w:rPr>
        <w:t>了招标文件和所有相关资料，我方完全明白并认为此招标文件没有倾向性，也没有存在排斥潜在投标人的内容，我方同意招标文件的相关条款，放弃对招标文件提出误解和质疑的一切权</w:t>
      </w:r>
      <w:r>
        <w:rPr>
          <w:rFonts w:hint="eastAsia" w:ascii="宋体" w:hAnsi="宋体" w:cs="宋体"/>
          <w:kern w:val="0"/>
          <w:sz w:val="24"/>
        </w:rPr>
        <w:t>利。</w:t>
      </w:r>
    </w:p>
    <w:p>
      <w:pPr>
        <w:snapToGrid w:val="0"/>
        <w:spacing w:beforeLines="50" w:after="50" w:line="360" w:lineRule="auto"/>
        <w:ind w:firstLine="480" w:firstLineChars="200"/>
        <w:rPr>
          <w:rFonts w:ascii="宋体" w:hAnsi="宋体"/>
          <w:sz w:val="24"/>
        </w:rPr>
      </w:pPr>
      <w:r>
        <w:rPr>
          <w:rFonts w:hint="eastAsia" w:ascii="宋体" w:hAnsi="宋体"/>
          <w:sz w:val="24"/>
        </w:rPr>
        <w:t>3、我</w:t>
      </w:r>
      <w:r>
        <w:rPr>
          <w:rFonts w:hint="eastAsia" w:ascii="宋体" w:hAnsi="宋体" w:cs="仿宋_GB2312"/>
          <w:kern w:val="0"/>
          <w:sz w:val="24"/>
          <w:lang w:val="zh-CN"/>
        </w:rPr>
        <w:t>公司</w:t>
      </w:r>
      <w:r>
        <w:rPr>
          <w:rFonts w:hint="eastAsia" w:ascii="宋体" w:hAnsi="宋体"/>
          <w:sz w:val="24"/>
        </w:rPr>
        <w:t>不是采购人的附属机构；在获知本项目采购信息后，与采购人聘请的为此项目提供咨询服务的公司及其附属机构没有任何联系。</w:t>
      </w:r>
    </w:p>
    <w:p>
      <w:pPr>
        <w:snapToGrid w:val="0"/>
        <w:spacing w:beforeLines="50" w:after="50" w:line="360" w:lineRule="auto"/>
        <w:ind w:firstLine="480" w:firstLineChars="200"/>
        <w:rPr>
          <w:rFonts w:ascii="宋体" w:hAnsi="宋体"/>
          <w:sz w:val="24"/>
        </w:rPr>
      </w:pPr>
      <w:r>
        <w:rPr>
          <w:rFonts w:hint="eastAsia" w:ascii="宋体" w:hAnsi="宋体"/>
          <w:sz w:val="24"/>
        </w:rPr>
        <w:t>4、我</w:t>
      </w:r>
      <w:r>
        <w:rPr>
          <w:rFonts w:hint="eastAsia" w:ascii="宋体" w:hAnsi="宋体" w:cs="仿宋_GB2312"/>
          <w:kern w:val="0"/>
          <w:sz w:val="24"/>
          <w:lang w:val="zh-CN"/>
        </w:rPr>
        <w:t>公司</w:t>
      </w:r>
      <w:r>
        <w:rPr>
          <w:rFonts w:hint="eastAsia" w:ascii="宋体" w:hAnsi="宋体"/>
          <w:sz w:val="24"/>
        </w:rPr>
        <w:t>向贵方提交的所有投标文件、资料都是准确、真实、</w:t>
      </w:r>
      <w:r>
        <w:rPr>
          <w:rFonts w:hint="eastAsia" w:ascii="宋体" w:hAnsi="宋体" w:cs="仿宋_GB2312"/>
          <w:kern w:val="0"/>
          <w:sz w:val="24"/>
          <w:lang w:val="zh-CN"/>
        </w:rPr>
        <w:t>合法</w:t>
      </w:r>
      <w:r>
        <w:rPr>
          <w:rFonts w:hint="eastAsia" w:ascii="宋体" w:hAnsi="宋体"/>
          <w:sz w:val="24"/>
        </w:rPr>
        <w:t>的。</w:t>
      </w:r>
    </w:p>
    <w:p>
      <w:pPr>
        <w:snapToGrid w:val="0"/>
        <w:spacing w:beforeLines="50" w:after="50" w:line="360" w:lineRule="auto"/>
        <w:ind w:firstLine="480" w:firstLineChars="200"/>
        <w:rPr>
          <w:rFonts w:ascii="宋体" w:hAnsi="宋体"/>
          <w:sz w:val="24"/>
        </w:rPr>
      </w:pPr>
      <w:r>
        <w:rPr>
          <w:rFonts w:hint="eastAsia" w:ascii="宋体" w:hAnsi="宋体"/>
          <w:sz w:val="24"/>
        </w:rPr>
        <w:t>5、若中标，我</w:t>
      </w:r>
      <w:r>
        <w:rPr>
          <w:rFonts w:hint="eastAsia" w:ascii="宋体" w:hAnsi="宋体" w:cs="仿宋_GB2312"/>
          <w:kern w:val="0"/>
          <w:sz w:val="24"/>
          <w:lang w:val="zh-CN"/>
        </w:rPr>
        <w:t>公司</w:t>
      </w:r>
      <w:r>
        <w:rPr>
          <w:rFonts w:hint="eastAsia" w:ascii="宋体" w:hAnsi="宋体"/>
          <w:sz w:val="24"/>
        </w:rPr>
        <w:t>将按招标文件规定履行合同责任和义务。</w:t>
      </w:r>
    </w:p>
    <w:p>
      <w:pPr>
        <w:snapToGrid w:val="0"/>
        <w:spacing w:beforeLines="50" w:after="50" w:line="360" w:lineRule="auto"/>
        <w:ind w:firstLine="480" w:firstLineChars="200"/>
        <w:rPr>
          <w:rFonts w:ascii="宋体" w:hAnsi="宋体"/>
          <w:sz w:val="24"/>
        </w:rPr>
      </w:pPr>
      <w:r>
        <w:rPr>
          <w:rFonts w:hint="eastAsia" w:ascii="宋体" w:hAnsi="宋体"/>
          <w:sz w:val="24"/>
        </w:rPr>
        <w:t>6、</w:t>
      </w:r>
      <w:r>
        <w:rPr>
          <w:rFonts w:hint="eastAsia" w:ascii="宋体" w:hAnsi="宋体" w:cs="宋体"/>
          <w:kern w:val="0"/>
          <w:sz w:val="24"/>
        </w:rPr>
        <w:t>我</w:t>
      </w:r>
      <w:r>
        <w:rPr>
          <w:rFonts w:hint="eastAsia" w:ascii="宋体" w:hAnsi="宋体" w:cs="仿宋_GB2312"/>
          <w:kern w:val="0"/>
          <w:sz w:val="24"/>
          <w:lang w:val="zh-CN"/>
        </w:rPr>
        <w:t>公司</w:t>
      </w:r>
      <w:r>
        <w:rPr>
          <w:rFonts w:hint="eastAsia" w:ascii="宋体" w:hAnsi="宋体" w:cs="宋体"/>
          <w:kern w:val="0"/>
          <w:sz w:val="24"/>
        </w:rPr>
        <w:t>保证，</w:t>
      </w:r>
      <w:r>
        <w:rPr>
          <w:rFonts w:hint="eastAsia" w:ascii="宋体" w:hAnsi="宋体"/>
          <w:kern w:val="0"/>
          <w:sz w:val="24"/>
          <w:lang w:val="af-ZA"/>
        </w:rPr>
        <w:t>采购人在中华人民共和国境内使用</w:t>
      </w:r>
      <w:r>
        <w:rPr>
          <w:rFonts w:hint="eastAsia" w:ascii="宋体" w:hAnsi="宋体" w:cs="宋体"/>
          <w:kern w:val="0"/>
          <w:sz w:val="24"/>
        </w:rPr>
        <w:t>我</w:t>
      </w:r>
      <w:r>
        <w:rPr>
          <w:rFonts w:hint="eastAsia" w:ascii="宋体" w:hAnsi="宋体" w:cs="仿宋_GB2312"/>
          <w:kern w:val="0"/>
          <w:sz w:val="24"/>
          <w:lang w:val="zh-CN"/>
        </w:rPr>
        <w:t>公司</w:t>
      </w:r>
      <w:r>
        <w:rPr>
          <w:rFonts w:hint="eastAsia" w:ascii="宋体" w:hAnsi="宋体"/>
          <w:kern w:val="0"/>
          <w:sz w:val="24"/>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kern w:val="0"/>
          <w:sz w:val="24"/>
          <w:lang w:val="af-ZA"/>
        </w:rPr>
        <w:t>我方</w:t>
      </w:r>
      <w:r>
        <w:rPr>
          <w:rFonts w:hint="eastAsia" w:ascii="宋体" w:hAnsi="宋体"/>
          <w:kern w:val="0"/>
          <w:sz w:val="24"/>
          <w:lang w:val="af-ZA"/>
        </w:rPr>
        <w:t>承担。</w:t>
      </w:r>
      <w:r>
        <w:rPr>
          <w:rFonts w:hint="eastAsia" w:ascii="宋体" w:hAnsi="宋体" w:cs="宋体"/>
          <w:kern w:val="0"/>
          <w:sz w:val="24"/>
          <w:lang w:val="af-ZA"/>
        </w:rPr>
        <w:t>我方的</w:t>
      </w:r>
      <w:r>
        <w:rPr>
          <w:rFonts w:hint="eastAsia" w:ascii="宋体" w:hAnsi="宋体"/>
          <w:kern w:val="0"/>
          <w:sz w:val="24"/>
          <w:lang w:val="af-ZA"/>
        </w:rPr>
        <w:t>投标报价</w:t>
      </w:r>
      <w:r>
        <w:rPr>
          <w:rFonts w:hint="eastAsia" w:ascii="宋体" w:hAnsi="宋体" w:cs="宋体"/>
          <w:kern w:val="0"/>
          <w:sz w:val="24"/>
          <w:lang w:val="af-ZA"/>
        </w:rPr>
        <w:t>已</w:t>
      </w:r>
      <w:r>
        <w:rPr>
          <w:rFonts w:hint="eastAsia" w:ascii="宋体" w:hAnsi="宋体"/>
          <w:kern w:val="0"/>
          <w:sz w:val="24"/>
          <w:lang w:val="af-ZA"/>
        </w:rPr>
        <w:t>包含所有应向所有权人支付的专利权、商标权或其它知识产权的一切相关费用。</w:t>
      </w:r>
    </w:p>
    <w:p>
      <w:pPr>
        <w:snapToGrid w:val="0"/>
        <w:spacing w:beforeLines="50" w:after="50" w:line="360" w:lineRule="auto"/>
        <w:ind w:firstLine="480" w:firstLineChars="200"/>
        <w:rPr>
          <w:rFonts w:ascii="宋体" w:hAnsi="宋体"/>
          <w:sz w:val="24"/>
        </w:rPr>
      </w:pPr>
      <w:r>
        <w:rPr>
          <w:rFonts w:hint="eastAsia" w:ascii="宋体" w:hAnsi="宋体"/>
          <w:sz w:val="24"/>
        </w:rPr>
        <w:t>7、以上事项如有虚假或隐瞒，我</w:t>
      </w:r>
      <w:r>
        <w:rPr>
          <w:rFonts w:hint="eastAsia" w:ascii="宋体" w:hAnsi="宋体" w:cs="仿宋_GB2312"/>
          <w:kern w:val="0"/>
          <w:sz w:val="24"/>
          <w:lang w:val="zh-CN"/>
        </w:rPr>
        <w:t>公司</w:t>
      </w:r>
      <w:r>
        <w:rPr>
          <w:rFonts w:hint="eastAsia" w:ascii="宋体" w:hAnsi="宋体"/>
          <w:sz w:val="24"/>
        </w:rPr>
        <w:t>愿意承担一切后果，并不再寻求任何旨在减轻或免除法律责任的辩解。</w:t>
      </w:r>
    </w:p>
    <w:p>
      <w:pPr>
        <w:adjustRightInd w:val="0"/>
        <w:snapToGrid w:val="0"/>
        <w:spacing w:line="360" w:lineRule="auto"/>
        <w:ind w:firstLine="480"/>
        <w:rPr>
          <w:rFonts w:ascii="宋体" w:hAnsi="宋体" w:cs="仿宋_GB2312"/>
          <w:kern w:val="0"/>
          <w:sz w:val="24"/>
        </w:rPr>
      </w:pPr>
    </w:p>
    <w:p>
      <w:pPr>
        <w:adjustRightInd w:val="0"/>
        <w:snapToGrid w:val="0"/>
        <w:spacing w:line="360" w:lineRule="auto"/>
        <w:ind w:firstLine="4680" w:firstLineChars="1950"/>
        <w:rPr>
          <w:rFonts w:ascii="宋体" w:hAnsi="宋体" w:cs="仿宋_GB2312"/>
          <w:kern w:val="0"/>
          <w:sz w:val="24"/>
          <w:lang w:val="zh-CN"/>
        </w:rPr>
      </w:pPr>
      <w:r>
        <w:rPr>
          <w:rFonts w:hint="eastAsia" w:ascii="宋体" w:hAnsi="宋体" w:cs="仿宋_GB2312"/>
          <w:kern w:val="0"/>
          <w:sz w:val="24"/>
          <w:lang w:val="zh-CN"/>
        </w:rPr>
        <w:t xml:space="preserve">    投标人名称(公章)：</w:t>
      </w:r>
    </w:p>
    <w:p>
      <w:pPr>
        <w:adjustRightInd w:val="0"/>
        <w:snapToGrid w:val="0"/>
        <w:spacing w:line="360" w:lineRule="auto"/>
        <w:rPr>
          <w:rFonts w:ascii="宋体" w:hAnsi="宋体" w:cs="仿宋_GB2312"/>
          <w:kern w:val="0"/>
          <w:sz w:val="24"/>
          <w:lang w:val="zh-CN"/>
        </w:rPr>
      </w:pPr>
      <w:r>
        <w:rPr>
          <w:rFonts w:hint="eastAsia" w:ascii="宋体" w:hAnsi="宋体" w:cs="仿宋_GB2312"/>
          <w:kern w:val="0"/>
          <w:sz w:val="24"/>
          <w:lang w:val="zh-CN"/>
        </w:rPr>
        <w:t xml:space="preserve">                                       法定代表人或授权委托人(签字)：</w:t>
      </w:r>
    </w:p>
    <w:p>
      <w:pPr>
        <w:adjustRightInd w:val="0"/>
        <w:snapToGrid w:val="0"/>
        <w:spacing w:line="360" w:lineRule="auto"/>
        <w:ind w:right="480"/>
        <w:jc w:val="center"/>
        <w:rPr>
          <w:rFonts w:ascii="宋体" w:hAnsi="宋体"/>
          <w:b/>
          <w:kern w:val="0"/>
          <w:sz w:val="24"/>
        </w:rPr>
      </w:pPr>
      <w:r>
        <w:rPr>
          <w:rFonts w:hint="eastAsia" w:ascii="宋体" w:hAnsi="宋体" w:cs="仿宋_GB2312"/>
          <w:kern w:val="0"/>
          <w:sz w:val="24"/>
          <w:lang w:val="zh-CN"/>
        </w:rPr>
        <w:t xml:space="preserve">                                  日期：2015年  月   日</w:t>
      </w:r>
    </w:p>
    <w:p>
      <w:pPr>
        <w:spacing w:line="360" w:lineRule="auto"/>
        <w:rPr>
          <w:rFonts w:ascii="宋体"/>
          <w:b/>
          <w:color w:val="FF0000"/>
          <w:sz w:val="30"/>
          <w:szCs w:val="30"/>
        </w:rPr>
      </w:pPr>
    </w:p>
    <w:p>
      <w:pPr>
        <w:spacing w:line="360" w:lineRule="auto"/>
        <w:jc w:val="left"/>
        <w:rPr>
          <w:rFonts w:ascii="宋体"/>
          <w:b/>
          <w:color w:val="FF0000"/>
          <w:sz w:val="30"/>
          <w:szCs w:val="30"/>
        </w:rPr>
      </w:pPr>
      <w:r>
        <w:rPr>
          <w:rFonts w:hint="eastAsia" w:ascii="宋体" w:hAnsi="宋体"/>
          <w:b/>
          <w:sz w:val="28"/>
        </w:rPr>
        <w:t>附件3</w:t>
      </w:r>
    </w:p>
    <w:p>
      <w:pPr>
        <w:spacing w:line="360" w:lineRule="auto"/>
        <w:jc w:val="center"/>
        <w:rPr>
          <w:rFonts w:ascii="宋体" w:hAnsi="宋体"/>
          <w:b/>
          <w:sz w:val="32"/>
          <w:szCs w:val="32"/>
        </w:rPr>
      </w:pPr>
      <w:r>
        <w:rPr>
          <w:rFonts w:hint="eastAsia" w:ascii="宋体" w:hAnsi="宋体"/>
          <w:b/>
          <w:sz w:val="32"/>
          <w:szCs w:val="32"/>
        </w:rPr>
        <w:t>法定代表人授权书</w:t>
      </w:r>
    </w:p>
    <w:p>
      <w:pPr>
        <w:spacing w:line="360" w:lineRule="auto"/>
        <w:rPr>
          <w:sz w:val="24"/>
        </w:rPr>
      </w:pPr>
    </w:p>
    <w:p>
      <w:pPr>
        <w:spacing w:line="360" w:lineRule="auto"/>
        <w:rPr>
          <w:rFonts w:ascii="宋体"/>
          <w:sz w:val="24"/>
        </w:rPr>
      </w:pPr>
      <w:r>
        <w:rPr>
          <w:rFonts w:hint="eastAsia"/>
          <w:sz w:val="24"/>
        </w:rPr>
        <w:t>台州市政府采购中心</w:t>
      </w:r>
      <w:r>
        <w:rPr>
          <w:rFonts w:hint="eastAsia" w:ascii="宋体"/>
          <w:sz w:val="24"/>
        </w:rPr>
        <w:t>：</w:t>
      </w:r>
    </w:p>
    <w:p>
      <w:pPr>
        <w:spacing w:line="360" w:lineRule="auto"/>
        <w:rPr>
          <w:rFonts w:ascii="宋体"/>
          <w:sz w:val="24"/>
        </w:rPr>
      </w:pPr>
    </w:p>
    <w:p>
      <w:pPr>
        <w:spacing w:line="360" w:lineRule="auto"/>
        <w:ind w:firstLine="600" w:firstLineChars="250"/>
        <w:rPr>
          <w:rFonts w:ascii="宋体"/>
          <w:sz w:val="24"/>
        </w:rPr>
      </w:pPr>
      <w:r>
        <w:rPr>
          <w:rFonts w:hint="eastAsia"/>
          <w:sz w:val="24"/>
        </w:rPr>
        <w:t>本人</w:t>
      </w:r>
      <w:r>
        <w:rPr>
          <w:rFonts w:hint="eastAsia" w:ascii="宋体"/>
          <w:sz w:val="24"/>
        </w:rPr>
        <w:t>（姓名）</w:t>
      </w:r>
      <w:r>
        <w:rPr>
          <w:rFonts w:hint="eastAsia"/>
          <w:sz w:val="24"/>
        </w:rPr>
        <w:t>系</w:t>
      </w:r>
      <w:r>
        <w:rPr>
          <w:rFonts w:hint="eastAsia" w:ascii="宋体"/>
          <w:sz w:val="24"/>
        </w:rPr>
        <w:t>（投标人全称）法定代表人，现授权委托（ 投标人代表名称）为全权代表，参加贵处组织的项目（括号内填写项目编号及项目名称）投标活动，并代表我公司全权办理针对上述项目的</w:t>
      </w:r>
      <w:r>
        <w:rPr>
          <w:rFonts w:hint="eastAsia" w:ascii="宋体"/>
          <w:b/>
          <w:sz w:val="24"/>
        </w:rPr>
        <w:t>投标全程各事项、投标文件签署、合同签订及项目实施</w:t>
      </w:r>
      <w:r>
        <w:rPr>
          <w:rFonts w:hint="eastAsia" w:ascii="宋体"/>
          <w:sz w:val="24"/>
        </w:rPr>
        <w:t>等涉及的一切事宜，我公司</w:t>
      </w:r>
      <w:r>
        <w:rPr>
          <w:rFonts w:hint="eastAsia" w:ascii="宋体" w:hAnsi="宋体"/>
          <w:sz w:val="24"/>
        </w:rPr>
        <w:t>对被授权人的签名等行为均予以</w:t>
      </w:r>
      <w:r>
        <w:rPr>
          <w:rFonts w:ascii="宋体" w:hAnsi="宋体"/>
          <w:sz w:val="24"/>
        </w:rPr>
        <w:t>承</w:t>
      </w:r>
      <w:r>
        <w:rPr>
          <w:rFonts w:hint="eastAsia" w:ascii="宋体" w:hAnsi="宋体"/>
          <w:sz w:val="24"/>
        </w:rPr>
        <w:t>认，由此所产生的一切法律后果和法律责任，均由</w:t>
      </w:r>
      <w:r>
        <w:rPr>
          <w:rFonts w:hint="eastAsia" w:ascii="宋体"/>
          <w:sz w:val="24"/>
        </w:rPr>
        <w:t>我公司</w:t>
      </w:r>
      <w:r>
        <w:rPr>
          <w:rFonts w:ascii="宋体" w:hAnsi="宋体"/>
          <w:sz w:val="24"/>
        </w:rPr>
        <w:t>承担</w:t>
      </w:r>
      <w:r>
        <w:rPr>
          <w:rFonts w:hint="eastAsia" w:ascii="宋体" w:hAnsi="宋体"/>
          <w:sz w:val="24"/>
        </w:rPr>
        <w:t>。</w:t>
      </w:r>
      <w:r>
        <w:rPr>
          <w:rFonts w:hint="eastAsia" w:ascii="宋体"/>
          <w:sz w:val="24"/>
        </w:rPr>
        <w:t>同时宣布承诺如下：</w:t>
      </w:r>
    </w:p>
    <w:p>
      <w:pPr>
        <w:numPr>
          <w:ilvl w:val="0"/>
          <w:numId w:val="16"/>
        </w:numPr>
        <w:spacing w:line="360" w:lineRule="auto"/>
        <w:rPr>
          <w:rFonts w:ascii="宋体"/>
          <w:sz w:val="24"/>
        </w:rPr>
      </w:pPr>
      <w:r>
        <w:rPr>
          <w:rFonts w:hint="eastAsia" w:ascii="宋体"/>
          <w:sz w:val="24"/>
        </w:rPr>
        <w:t>我公司已详细阅读全部招标文件（含补充修改文件），并理解其实质</w:t>
      </w:r>
    </w:p>
    <w:p>
      <w:pPr>
        <w:spacing w:line="360" w:lineRule="auto"/>
        <w:rPr>
          <w:rFonts w:ascii="宋体"/>
          <w:sz w:val="24"/>
        </w:rPr>
      </w:pPr>
      <w:r>
        <w:rPr>
          <w:rFonts w:hint="eastAsia" w:ascii="宋体"/>
          <w:sz w:val="24"/>
        </w:rPr>
        <w:t>性内容，同意承担招标文件规定的全部义务和相关责任。</w:t>
      </w:r>
    </w:p>
    <w:p>
      <w:pPr>
        <w:numPr>
          <w:ilvl w:val="0"/>
          <w:numId w:val="16"/>
        </w:numPr>
        <w:spacing w:line="360" w:lineRule="auto"/>
        <w:rPr>
          <w:rFonts w:ascii="宋体"/>
          <w:sz w:val="24"/>
        </w:rPr>
      </w:pPr>
      <w:r>
        <w:rPr>
          <w:rFonts w:hint="eastAsia"/>
          <w:sz w:val="24"/>
        </w:rPr>
        <w:t>我公司同意提供招标人可能要求的与其投标有关的一切数据或资料。</w:t>
      </w:r>
    </w:p>
    <w:p>
      <w:pPr>
        <w:numPr>
          <w:ilvl w:val="0"/>
          <w:numId w:val="16"/>
        </w:numPr>
        <w:spacing w:line="360" w:lineRule="auto"/>
        <w:rPr>
          <w:sz w:val="24"/>
        </w:rPr>
      </w:pPr>
      <w:r>
        <w:rPr>
          <w:rFonts w:hint="eastAsia"/>
          <w:sz w:val="24"/>
        </w:rPr>
        <w:t>我公司所提交的一切投标资料均为合法且真实有效。</w:t>
      </w:r>
    </w:p>
    <w:p>
      <w:pPr>
        <w:spacing w:line="360" w:lineRule="auto"/>
        <w:rPr>
          <w:sz w:val="24"/>
        </w:rPr>
      </w:pPr>
    </w:p>
    <w:p>
      <w:pPr>
        <w:spacing w:line="360" w:lineRule="auto"/>
        <w:rPr>
          <w:sz w:val="24"/>
        </w:rPr>
      </w:pPr>
      <w:r>
        <w:rPr>
          <w:rFonts w:hint="eastAsia" w:ascii="宋体"/>
          <w:sz w:val="24"/>
        </w:rPr>
        <w:t>法定代表人签字：</w:t>
      </w:r>
    </w:p>
    <w:p>
      <w:pPr>
        <w:spacing w:line="360" w:lineRule="auto"/>
        <w:rPr>
          <w:sz w:val="24"/>
        </w:rPr>
      </w:pPr>
    </w:p>
    <w:p>
      <w:pPr>
        <w:spacing w:line="360" w:lineRule="auto"/>
        <w:rPr>
          <w:sz w:val="24"/>
        </w:rPr>
      </w:pPr>
    </w:p>
    <w:p>
      <w:pPr>
        <w:spacing w:line="360" w:lineRule="auto"/>
        <w:rPr>
          <w:sz w:val="24"/>
        </w:rPr>
      </w:pPr>
      <w:r>
        <w:rPr>
          <w:rFonts w:hint="eastAsia" w:ascii="宋体"/>
          <w:sz w:val="24"/>
        </w:rPr>
        <w:t>投标人全称（公章）：                              日期：</w:t>
      </w:r>
    </w:p>
    <w:p>
      <w:pPr>
        <w:spacing w:line="360" w:lineRule="auto"/>
        <w:rPr>
          <w:sz w:val="24"/>
        </w:rPr>
      </w:pPr>
    </w:p>
    <w:p>
      <w:pPr>
        <w:spacing w:line="360" w:lineRule="auto"/>
        <w:rPr>
          <w:b/>
          <w:sz w:val="24"/>
        </w:rPr>
      </w:pPr>
      <w:r>
        <w:rPr>
          <w:rFonts w:hint="eastAsia" w:ascii="宋体"/>
          <w:b/>
          <w:sz w:val="24"/>
        </w:rPr>
        <w:t>附：</w:t>
      </w:r>
    </w:p>
    <w:tbl>
      <w:tblPr>
        <w:tblStyle w:val="35"/>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0" w:hRule="atLeast"/>
        </w:trPr>
        <w:tc>
          <w:tcPr>
            <w:tcW w:w="4080" w:type="dxa"/>
          </w:tcPr>
          <w:p>
            <w:pPr>
              <w:spacing w:line="360" w:lineRule="auto"/>
              <w:rPr>
                <w:rFonts w:ascii="宋体"/>
                <w:b/>
                <w:sz w:val="24"/>
              </w:rPr>
            </w:pPr>
          </w:p>
          <w:p>
            <w:pPr>
              <w:spacing w:line="360" w:lineRule="auto"/>
              <w:ind w:firstLine="361" w:firstLineChars="150"/>
              <w:rPr>
                <w:rFonts w:ascii="宋体"/>
                <w:b/>
                <w:sz w:val="24"/>
              </w:rPr>
            </w:pPr>
            <w:r>
              <w:rPr>
                <w:rFonts w:hint="eastAsia" w:ascii="宋体"/>
                <w:b/>
                <w:sz w:val="24"/>
              </w:rPr>
              <w:t>全权代表身份证复印件粘帖处</w:t>
            </w:r>
          </w:p>
        </w:tc>
      </w:tr>
    </w:tbl>
    <w:p>
      <w:pPr>
        <w:spacing w:line="360" w:lineRule="auto"/>
        <w:rPr>
          <w:sz w:val="24"/>
        </w:rPr>
      </w:pPr>
      <w:r>
        <w:rPr>
          <w:rFonts w:hint="eastAsia" w:ascii="宋体"/>
          <w:sz w:val="24"/>
        </w:rPr>
        <w:t xml:space="preserve">全权代表姓名：       职务：                           </w:t>
      </w:r>
    </w:p>
    <w:p>
      <w:pPr>
        <w:spacing w:line="360" w:lineRule="auto"/>
        <w:rPr>
          <w:sz w:val="24"/>
        </w:rPr>
      </w:pPr>
      <w:r>
        <w:rPr>
          <w:rFonts w:hint="eastAsia" w:ascii="宋体"/>
          <w:sz w:val="24"/>
        </w:rPr>
        <w:t>传真：</w:t>
      </w:r>
    </w:p>
    <w:p>
      <w:pPr>
        <w:spacing w:line="360" w:lineRule="auto"/>
        <w:rPr>
          <w:rFonts w:ascii="宋体"/>
          <w:sz w:val="24"/>
        </w:rPr>
      </w:pPr>
      <w:r>
        <w:rPr>
          <w:rFonts w:hint="eastAsia" w:ascii="宋体"/>
          <w:sz w:val="24"/>
        </w:rPr>
        <w:t>电话：</w:t>
      </w:r>
    </w:p>
    <w:p>
      <w:pPr>
        <w:spacing w:line="360" w:lineRule="auto"/>
        <w:rPr>
          <w:sz w:val="24"/>
        </w:rPr>
      </w:pPr>
      <w:r>
        <w:rPr>
          <w:rFonts w:hint="eastAsia" w:ascii="宋体"/>
          <w:sz w:val="24"/>
        </w:rPr>
        <w:t>详细通讯地址：</w:t>
      </w:r>
    </w:p>
    <w:p>
      <w:pPr>
        <w:spacing w:line="360" w:lineRule="auto"/>
        <w:rPr>
          <w:rFonts w:ascii="宋体"/>
          <w:sz w:val="24"/>
        </w:rPr>
      </w:pPr>
      <w:r>
        <w:rPr>
          <w:rFonts w:hint="eastAsia" w:ascii="宋体"/>
          <w:sz w:val="24"/>
        </w:rPr>
        <w:t>邮政编码：</w:t>
      </w:r>
    </w:p>
    <w:p>
      <w:pPr>
        <w:spacing w:line="360" w:lineRule="auto"/>
        <w:ind w:left="480"/>
        <w:rPr>
          <w:rFonts w:ascii="宋体" w:hAnsi="宋体"/>
          <w:b/>
          <w:sz w:val="28"/>
        </w:rPr>
      </w:pPr>
    </w:p>
    <w:p>
      <w:pPr>
        <w:pStyle w:val="81"/>
        <w:shd w:val="clear" w:color="auto" w:fill="FFFFFF"/>
        <w:spacing w:before="0" w:beforeAutospacing="0" w:after="0" w:afterAutospacing="0" w:line="360" w:lineRule="auto"/>
        <w:rPr>
          <w:b/>
          <w:sz w:val="28"/>
        </w:rPr>
      </w:pPr>
    </w:p>
    <w:p>
      <w:pPr>
        <w:pStyle w:val="81"/>
        <w:shd w:val="clear" w:color="auto" w:fill="FFFFFF"/>
        <w:spacing w:before="0" w:beforeAutospacing="0" w:after="0" w:afterAutospacing="0" w:line="360" w:lineRule="auto"/>
        <w:rPr>
          <w:b/>
          <w:sz w:val="28"/>
        </w:rPr>
      </w:pPr>
      <w:r>
        <w:rPr>
          <w:rFonts w:hint="eastAsia"/>
          <w:b/>
          <w:sz w:val="28"/>
        </w:rPr>
        <w:t xml:space="preserve">附件4        </w:t>
      </w:r>
    </w:p>
    <w:p>
      <w:pPr>
        <w:pStyle w:val="81"/>
        <w:shd w:val="clear" w:color="auto" w:fill="FFFFFF"/>
        <w:spacing w:before="0" w:beforeAutospacing="0" w:after="0" w:afterAutospacing="0" w:line="360" w:lineRule="auto"/>
        <w:jc w:val="center"/>
        <w:rPr>
          <w:b/>
          <w:bCs/>
          <w:color w:val="000000"/>
          <w:spacing w:val="21"/>
          <w:sz w:val="32"/>
          <w:szCs w:val="32"/>
        </w:rPr>
      </w:pPr>
      <w:r>
        <w:rPr>
          <w:rFonts w:hint="eastAsia"/>
          <w:b/>
          <w:sz w:val="32"/>
          <w:szCs w:val="32"/>
        </w:rPr>
        <w:t xml:space="preserve">  投标</w:t>
      </w:r>
      <w:r>
        <w:rPr>
          <w:rFonts w:hint="eastAsia"/>
          <w:b/>
          <w:bCs/>
          <w:spacing w:val="21"/>
          <w:sz w:val="32"/>
          <w:szCs w:val="32"/>
        </w:rPr>
        <w:t>人基本</w:t>
      </w:r>
      <w:r>
        <w:rPr>
          <w:rFonts w:hint="eastAsia"/>
          <w:b/>
          <w:bCs/>
          <w:color w:val="000000"/>
          <w:spacing w:val="21"/>
          <w:sz w:val="32"/>
          <w:szCs w:val="32"/>
        </w:rPr>
        <w:t>情况表</w:t>
      </w:r>
    </w:p>
    <w:p>
      <w:pPr>
        <w:pStyle w:val="81"/>
        <w:shd w:val="clear" w:color="auto" w:fill="FFFFFF"/>
        <w:spacing w:before="0" w:beforeAutospacing="0" w:after="0" w:afterAutospacing="0" w:line="360" w:lineRule="auto"/>
        <w:jc w:val="center"/>
        <w:rPr>
          <w:rFonts w:eastAsia="微软雅黑"/>
          <w:color w:val="000000"/>
          <w:sz w:val="36"/>
          <w:szCs w:val="36"/>
        </w:rPr>
      </w:pPr>
    </w:p>
    <w:tbl>
      <w:tblPr>
        <w:tblStyle w:val="35"/>
        <w:tblW w:w="8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701"/>
        <w:gridCol w:w="852"/>
        <w:gridCol w:w="58"/>
        <w:gridCol w:w="1163"/>
        <w:gridCol w:w="112"/>
        <w:gridCol w:w="1093"/>
        <w:gridCol w:w="325"/>
        <w:gridCol w:w="1276"/>
        <w:gridCol w:w="400"/>
        <w:gridCol w:w="1218"/>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682" w:type="dxa"/>
          </w:tcPr>
          <w:p>
            <w:pPr>
              <w:pStyle w:val="81"/>
              <w:shd w:val="clear" w:color="auto" w:fill="FFFFFF"/>
              <w:spacing w:line="360" w:lineRule="auto"/>
              <w:rPr>
                <w:bCs/>
                <w:color w:val="000000"/>
              </w:rPr>
            </w:pPr>
            <w:r>
              <w:rPr>
                <w:rFonts w:hint="eastAsia"/>
                <w:bCs/>
                <w:color w:val="000000"/>
                <w:spacing w:val="27"/>
              </w:rPr>
              <w:t>企业名称</w:t>
            </w:r>
          </w:p>
        </w:tc>
        <w:tc>
          <w:tcPr>
            <w:tcW w:w="3979" w:type="dxa"/>
            <w:gridSpan w:val="6"/>
          </w:tcPr>
          <w:p>
            <w:pPr>
              <w:pStyle w:val="81"/>
              <w:shd w:val="clear" w:color="auto" w:fill="FFFFFF"/>
              <w:spacing w:line="360" w:lineRule="auto"/>
              <w:rPr>
                <w:bCs/>
                <w:color w:val="000000"/>
              </w:rPr>
            </w:pPr>
          </w:p>
        </w:tc>
        <w:tc>
          <w:tcPr>
            <w:tcW w:w="2001" w:type="dxa"/>
            <w:gridSpan w:val="3"/>
          </w:tcPr>
          <w:p>
            <w:pPr>
              <w:pStyle w:val="81"/>
              <w:shd w:val="clear" w:color="auto" w:fill="FFFFFF"/>
              <w:spacing w:line="360" w:lineRule="auto"/>
              <w:rPr>
                <w:bCs/>
                <w:color w:val="000000"/>
              </w:rPr>
            </w:pPr>
            <w:r>
              <w:rPr>
                <w:rFonts w:hint="eastAsia"/>
                <w:bCs/>
                <w:color w:val="000000"/>
                <w:spacing w:val="16"/>
              </w:rPr>
              <w:t>法人代表</w:t>
            </w:r>
          </w:p>
        </w:tc>
        <w:tc>
          <w:tcPr>
            <w:tcW w:w="2151" w:type="dxa"/>
            <w:gridSpan w:val="2"/>
          </w:tcPr>
          <w:p>
            <w:pPr>
              <w:pStyle w:val="81"/>
              <w:shd w:val="clear" w:color="auto" w:fill="FFFFFF"/>
              <w:spacing w:line="360" w:lineRule="auto"/>
              <w:rPr>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682" w:type="dxa"/>
          </w:tcPr>
          <w:p>
            <w:pPr>
              <w:pStyle w:val="81"/>
              <w:shd w:val="clear" w:color="auto" w:fill="FFFFFF"/>
              <w:spacing w:line="360" w:lineRule="auto"/>
              <w:rPr>
                <w:bCs/>
                <w:color w:val="000000"/>
                <w:spacing w:val="16"/>
              </w:rPr>
            </w:pPr>
            <w:r>
              <w:rPr>
                <w:rFonts w:hint="eastAsia"/>
                <w:bCs/>
                <w:color w:val="000000"/>
                <w:spacing w:val="27"/>
              </w:rPr>
              <w:t>地址</w:t>
            </w:r>
          </w:p>
        </w:tc>
        <w:tc>
          <w:tcPr>
            <w:tcW w:w="3979" w:type="dxa"/>
            <w:gridSpan w:val="6"/>
            <w:tcBorders>
              <w:bottom w:val="single" w:color="auto" w:sz="4" w:space="0"/>
            </w:tcBorders>
          </w:tcPr>
          <w:p>
            <w:pPr>
              <w:pStyle w:val="81"/>
              <w:shd w:val="clear" w:color="auto" w:fill="FFFFFF"/>
              <w:spacing w:line="360" w:lineRule="auto"/>
              <w:rPr>
                <w:bCs/>
                <w:color w:val="000000"/>
                <w:spacing w:val="16"/>
              </w:rPr>
            </w:pPr>
          </w:p>
        </w:tc>
        <w:tc>
          <w:tcPr>
            <w:tcW w:w="2001" w:type="dxa"/>
            <w:gridSpan w:val="3"/>
          </w:tcPr>
          <w:p>
            <w:pPr>
              <w:pStyle w:val="81"/>
              <w:shd w:val="clear" w:color="auto" w:fill="FFFFFF"/>
              <w:spacing w:line="360" w:lineRule="auto"/>
              <w:rPr>
                <w:bCs/>
                <w:color w:val="000000"/>
                <w:spacing w:val="16"/>
              </w:rPr>
            </w:pPr>
            <w:r>
              <w:rPr>
                <w:rFonts w:hint="eastAsia"/>
                <w:bCs/>
                <w:color w:val="000000"/>
                <w:spacing w:val="16"/>
              </w:rPr>
              <w:t>企业性质</w:t>
            </w:r>
          </w:p>
        </w:tc>
        <w:tc>
          <w:tcPr>
            <w:tcW w:w="2151" w:type="dxa"/>
            <w:gridSpan w:val="2"/>
          </w:tcPr>
          <w:p>
            <w:pPr>
              <w:pStyle w:val="81"/>
              <w:shd w:val="clear" w:color="auto" w:fill="FFFFFF"/>
              <w:spacing w:line="360" w:lineRule="auto"/>
              <w:rPr>
                <w:bCs/>
                <w:color w:val="000000"/>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682" w:type="dxa"/>
            <w:tcBorders>
              <w:bottom w:val="single" w:color="auto" w:sz="4" w:space="0"/>
            </w:tcBorders>
          </w:tcPr>
          <w:p>
            <w:pPr>
              <w:pStyle w:val="81"/>
              <w:shd w:val="clear" w:color="auto" w:fill="FFFFFF"/>
              <w:spacing w:line="360" w:lineRule="auto"/>
              <w:rPr>
                <w:bCs/>
                <w:color w:val="000000"/>
                <w:spacing w:val="16"/>
              </w:rPr>
            </w:pPr>
            <w:r>
              <w:rPr>
                <w:rFonts w:hint="eastAsia"/>
                <w:bCs/>
                <w:color w:val="000000"/>
                <w:spacing w:val="27"/>
              </w:rPr>
              <w:t>股东姓名</w:t>
            </w:r>
          </w:p>
        </w:tc>
        <w:tc>
          <w:tcPr>
            <w:tcW w:w="701" w:type="dxa"/>
            <w:tcBorders>
              <w:bottom w:val="single" w:color="auto" w:sz="4" w:space="0"/>
            </w:tcBorders>
          </w:tcPr>
          <w:p>
            <w:pPr>
              <w:pStyle w:val="81"/>
              <w:shd w:val="clear" w:color="auto" w:fill="FFFFFF"/>
              <w:spacing w:before="0" w:beforeAutospacing="0" w:after="0" w:afterAutospacing="0" w:line="360" w:lineRule="auto"/>
              <w:rPr>
                <w:bCs/>
                <w:color w:val="000000"/>
                <w:spacing w:val="16"/>
              </w:rPr>
            </w:pPr>
          </w:p>
        </w:tc>
        <w:tc>
          <w:tcPr>
            <w:tcW w:w="910" w:type="dxa"/>
            <w:gridSpan w:val="2"/>
            <w:tcBorders>
              <w:bottom w:val="single" w:color="auto" w:sz="4" w:space="0"/>
            </w:tcBorders>
          </w:tcPr>
          <w:p>
            <w:pPr>
              <w:pStyle w:val="81"/>
              <w:shd w:val="clear" w:color="auto" w:fill="FFFFFF"/>
              <w:spacing w:line="360" w:lineRule="auto"/>
              <w:rPr>
                <w:bCs/>
                <w:color w:val="000000"/>
                <w:spacing w:val="16"/>
              </w:rPr>
            </w:pPr>
            <w:r>
              <w:rPr>
                <w:rFonts w:hint="eastAsia"/>
                <w:bCs/>
                <w:color w:val="000000"/>
                <w:spacing w:val="16"/>
              </w:rPr>
              <w:t>股权结构（%）</w:t>
            </w:r>
          </w:p>
        </w:tc>
        <w:tc>
          <w:tcPr>
            <w:tcW w:w="2368" w:type="dxa"/>
            <w:gridSpan w:val="3"/>
            <w:tcBorders>
              <w:bottom w:val="single" w:color="auto" w:sz="4" w:space="0"/>
            </w:tcBorders>
          </w:tcPr>
          <w:p>
            <w:pPr>
              <w:widowControl/>
              <w:spacing w:line="360" w:lineRule="auto"/>
              <w:jc w:val="left"/>
              <w:rPr>
                <w:rFonts w:ascii="宋体" w:hAnsi="宋体" w:cs="宋体"/>
                <w:bCs/>
                <w:color w:val="000000"/>
                <w:spacing w:val="16"/>
                <w:kern w:val="0"/>
                <w:sz w:val="24"/>
              </w:rPr>
            </w:pPr>
          </w:p>
          <w:p>
            <w:pPr>
              <w:pStyle w:val="81"/>
              <w:shd w:val="clear" w:color="auto" w:fill="FFFFFF"/>
              <w:spacing w:line="360" w:lineRule="auto"/>
              <w:rPr>
                <w:bCs/>
                <w:color w:val="000000"/>
                <w:spacing w:val="16"/>
              </w:rPr>
            </w:pPr>
          </w:p>
        </w:tc>
        <w:tc>
          <w:tcPr>
            <w:tcW w:w="2001" w:type="dxa"/>
            <w:gridSpan w:val="3"/>
          </w:tcPr>
          <w:p>
            <w:pPr>
              <w:pStyle w:val="81"/>
              <w:shd w:val="clear" w:color="auto" w:fill="FFFFFF"/>
              <w:spacing w:line="360" w:lineRule="auto"/>
              <w:ind w:left="107"/>
              <w:rPr>
                <w:bCs/>
                <w:color w:val="000000"/>
                <w:spacing w:val="16"/>
              </w:rPr>
            </w:pPr>
            <w:r>
              <w:rPr>
                <w:rFonts w:hint="eastAsia"/>
                <w:bCs/>
                <w:color w:val="000000"/>
                <w:spacing w:val="16"/>
              </w:rPr>
              <w:t>股东关系</w:t>
            </w:r>
          </w:p>
        </w:tc>
        <w:tc>
          <w:tcPr>
            <w:tcW w:w="2151" w:type="dxa"/>
            <w:gridSpan w:val="2"/>
          </w:tcPr>
          <w:p>
            <w:pPr>
              <w:pStyle w:val="81"/>
              <w:shd w:val="clear" w:color="auto" w:fill="FFFFFF"/>
              <w:spacing w:line="360" w:lineRule="auto"/>
              <w:ind w:left="107"/>
              <w:rPr>
                <w:bCs/>
                <w:color w:val="000000"/>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682" w:type="dxa"/>
            <w:vMerge w:val="restart"/>
          </w:tcPr>
          <w:p>
            <w:pPr>
              <w:pStyle w:val="81"/>
              <w:shd w:val="clear" w:color="auto" w:fill="FFFFFF"/>
              <w:spacing w:line="360" w:lineRule="auto"/>
              <w:rPr>
                <w:bCs/>
                <w:color w:val="000000"/>
                <w:spacing w:val="16"/>
              </w:rPr>
            </w:pPr>
            <w:r>
              <w:rPr>
                <w:rFonts w:hint="eastAsia"/>
                <w:bCs/>
                <w:color w:val="000000"/>
                <w:spacing w:val="12"/>
              </w:rPr>
              <w:t>联系人</w:t>
            </w:r>
            <w:r>
              <w:rPr>
                <w:rFonts w:hint="eastAsia"/>
                <w:bCs/>
                <w:color w:val="000000"/>
                <w:spacing w:val="27"/>
              </w:rPr>
              <w:t>姓名</w:t>
            </w:r>
          </w:p>
        </w:tc>
        <w:tc>
          <w:tcPr>
            <w:tcW w:w="701" w:type="dxa"/>
            <w:vMerge w:val="restart"/>
            <w:tcBorders>
              <w:top w:val="nil"/>
            </w:tcBorders>
          </w:tcPr>
          <w:p>
            <w:pPr>
              <w:pStyle w:val="81"/>
              <w:shd w:val="clear" w:color="auto" w:fill="FFFFFF"/>
              <w:spacing w:line="360" w:lineRule="auto"/>
              <w:rPr>
                <w:bCs/>
                <w:color w:val="000000"/>
                <w:spacing w:val="16"/>
              </w:rPr>
            </w:pPr>
          </w:p>
        </w:tc>
        <w:tc>
          <w:tcPr>
            <w:tcW w:w="910" w:type="dxa"/>
            <w:gridSpan w:val="2"/>
            <w:tcBorders>
              <w:top w:val="nil"/>
              <w:bottom w:val="single" w:color="auto" w:sz="4" w:space="0"/>
            </w:tcBorders>
          </w:tcPr>
          <w:p>
            <w:pPr>
              <w:pStyle w:val="81"/>
              <w:shd w:val="clear" w:color="auto" w:fill="FFFFFF"/>
              <w:spacing w:line="360" w:lineRule="auto"/>
              <w:rPr>
                <w:bCs/>
                <w:color w:val="000000"/>
                <w:spacing w:val="16"/>
              </w:rPr>
            </w:pPr>
            <w:r>
              <w:rPr>
                <w:rFonts w:hint="eastAsia"/>
                <w:bCs/>
                <w:color w:val="000000"/>
                <w:spacing w:val="16"/>
              </w:rPr>
              <w:t>固定电话</w:t>
            </w:r>
          </w:p>
        </w:tc>
        <w:tc>
          <w:tcPr>
            <w:tcW w:w="2368" w:type="dxa"/>
            <w:gridSpan w:val="3"/>
            <w:tcBorders>
              <w:top w:val="nil"/>
              <w:bottom w:val="single" w:color="auto" w:sz="4" w:space="0"/>
            </w:tcBorders>
          </w:tcPr>
          <w:p>
            <w:pPr>
              <w:widowControl/>
              <w:spacing w:line="360" w:lineRule="auto"/>
              <w:jc w:val="left"/>
              <w:rPr>
                <w:rFonts w:ascii="宋体" w:hAnsi="宋体" w:cs="宋体"/>
                <w:bCs/>
                <w:color w:val="000000"/>
                <w:spacing w:val="16"/>
                <w:kern w:val="0"/>
                <w:sz w:val="24"/>
              </w:rPr>
            </w:pPr>
          </w:p>
          <w:p>
            <w:pPr>
              <w:pStyle w:val="81"/>
              <w:shd w:val="clear" w:color="auto" w:fill="FFFFFF"/>
              <w:spacing w:line="360" w:lineRule="auto"/>
              <w:rPr>
                <w:bCs/>
                <w:color w:val="000000"/>
                <w:spacing w:val="16"/>
              </w:rPr>
            </w:pPr>
          </w:p>
        </w:tc>
        <w:tc>
          <w:tcPr>
            <w:tcW w:w="2001" w:type="dxa"/>
            <w:gridSpan w:val="3"/>
            <w:vMerge w:val="restart"/>
          </w:tcPr>
          <w:p>
            <w:pPr>
              <w:pStyle w:val="81"/>
              <w:shd w:val="clear" w:color="auto" w:fill="FFFFFF"/>
              <w:spacing w:before="0" w:beforeAutospacing="0" w:after="0" w:afterAutospacing="0" w:line="360" w:lineRule="auto"/>
              <w:rPr>
                <w:bCs/>
                <w:color w:val="000000"/>
                <w:spacing w:val="16"/>
              </w:rPr>
            </w:pPr>
            <w:r>
              <w:rPr>
                <w:rFonts w:hint="eastAsia"/>
                <w:bCs/>
                <w:color w:val="000000"/>
                <w:spacing w:val="16"/>
              </w:rPr>
              <w:t>传真</w:t>
            </w:r>
          </w:p>
        </w:tc>
        <w:tc>
          <w:tcPr>
            <w:tcW w:w="2151" w:type="dxa"/>
            <w:gridSpan w:val="2"/>
            <w:vMerge w:val="restart"/>
          </w:tcPr>
          <w:p>
            <w:pPr>
              <w:pStyle w:val="81"/>
              <w:shd w:val="clear" w:color="auto" w:fill="FFFFFF"/>
              <w:spacing w:line="360" w:lineRule="auto"/>
              <w:rPr>
                <w:bCs/>
                <w:color w:val="000000"/>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rPr>
        <w:tc>
          <w:tcPr>
            <w:tcW w:w="682" w:type="dxa"/>
            <w:vMerge w:val="continue"/>
            <w:tcBorders>
              <w:bottom w:val="single" w:color="auto" w:sz="4" w:space="0"/>
            </w:tcBorders>
          </w:tcPr>
          <w:p>
            <w:pPr>
              <w:pStyle w:val="81"/>
              <w:shd w:val="clear" w:color="auto" w:fill="FFFFFF"/>
              <w:spacing w:line="360" w:lineRule="auto"/>
              <w:ind w:left="107"/>
              <w:rPr>
                <w:bCs/>
                <w:color w:val="000000"/>
              </w:rPr>
            </w:pPr>
          </w:p>
        </w:tc>
        <w:tc>
          <w:tcPr>
            <w:tcW w:w="701" w:type="dxa"/>
            <w:vMerge w:val="continue"/>
            <w:tcBorders>
              <w:bottom w:val="single" w:color="auto" w:sz="4" w:space="0"/>
            </w:tcBorders>
          </w:tcPr>
          <w:p>
            <w:pPr>
              <w:pStyle w:val="81"/>
              <w:shd w:val="clear" w:color="auto" w:fill="FFFFFF"/>
              <w:spacing w:line="360" w:lineRule="auto"/>
              <w:rPr>
                <w:bCs/>
                <w:color w:val="000000"/>
                <w:spacing w:val="16"/>
              </w:rPr>
            </w:pPr>
          </w:p>
        </w:tc>
        <w:tc>
          <w:tcPr>
            <w:tcW w:w="910" w:type="dxa"/>
            <w:gridSpan w:val="2"/>
            <w:tcBorders>
              <w:bottom w:val="single" w:color="auto" w:sz="4" w:space="0"/>
            </w:tcBorders>
          </w:tcPr>
          <w:p>
            <w:pPr>
              <w:pStyle w:val="81"/>
              <w:shd w:val="clear" w:color="auto" w:fill="FFFFFF"/>
              <w:spacing w:line="360" w:lineRule="auto"/>
              <w:rPr>
                <w:bCs/>
                <w:color w:val="000000"/>
                <w:spacing w:val="16"/>
              </w:rPr>
            </w:pPr>
            <w:r>
              <w:rPr>
                <w:rFonts w:hint="eastAsia"/>
                <w:bCs/>
                <w:color w:val="000000"/>
                <w:spacing w:val="27"/>
              </w:rPr>
              <w:t>手机</w:t>
            </w:r>
          </w:p>
        </w:tc>
        <w:tc>
          <w:tcPr>
            <w:tcW w:w="2368" w:type="dxa"/>
            <w:gridSpan w:val="3"/>
            <w:tcBorders>
              <w:bottom w:val="single" w:color="auto" w:sz="4" w:space="0"/>
            </w:tcBorders>
          </w:tcPr>
          <w:p>
            <w:pPr>
              <w:pStyle w:val="81"/>
              <w:shd w:val="clear" w:color="auto" w:fill="FFFFFF"/>
              <w:spacing w:line="360" w:lineRule="auto"/>
              <w:rPr>
                <w:bCs/>
                <w:color w:val="000000"/>
                <w:spacing w:val="16"/>
              </w:rPr>
            </w:pPr>
          </w:p>
        </w:tc>
        <w:tc>
          <w:tcPr>
            <w:tcW w:w="2001" w:type="dxa"/>
            <w:gridSpan w:val="3"/>
            <w:vMerge w:val="continue"/>
          </w:tcPr>
          <w:p>
            <w:pPr>
              <w:pStyle w:val="81"/>
              <w:shd w:val="clear" w:color="auto" w:fill="FFFFFF"/>
              <w:spacing w:line="360" w:lineRule="auto"/>
              <w:rPr>
                <w:bCs/>
                <w:color w:val="000000"/>
                <w:spacing w:val="16"/>
              </w:rPr>
            </w:pPr>
          </w:p>
        </w:tc>
        <w:tc>
          <w:tcPr>
            <w:tcW w:w="2151" w:type="dxa"/>
            <w:gridSpan w:val="2"/>
            <w:vMerge w:val="continue"/>
          </w:tcPr>
          <w:p>
            <w:pPr>
              <w:pStyle w:val="81"/>
              <w:shd w:val="clear" w:color="auto" w:fill="FFFFFF"/>
              <w:spacing w:line="360" w:lineRule="auto"/>
              <w:rPr>
                <w:bCs/>
                <w:color w:val="000000"/>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95" w:hRule="atLeast"/>
        </w:trPr>
        <w:tc>
          <w:tcPr>
            <w:tcW w:w="682" w:type="dxa"/>
            <w:vMerge w:val="restart"/>
          </w:tcPr>
          <w:p>
            <w:pPr>
              <w:pStyle w:val="81"/>
              <w:shd w:val="clear" w:color="auto" w:fill="FFFFFF"/>
              <w:spacing w:line="360" w:lineRule="auto"/>
              <w:ind w:left="107"/>
              <w:rPr>
                <w:bCs/>
                <w:color w:val="000000"/>
              </w:rPr>
            </w:pPr>
            <w:r>
              <w:rPr>
                <w:bCs/>
                <w:color w:val="000000"/>
              </w:rPr>
              <w:t>1</w:t>
            </w:r>
            <w:r>
              <w:rPr>
                <w:rFonts w:hint="eastAsia"/>
                <w:bCs/>
                <w:color w:val="000000"/>
              </w:rPr>
              <w:t>.</w:t>
            </w:r>
          </w:p>
          <w:p>
            <w:pPr>
              <w:pStyle w:val="81"/>
              <w:shd w:val="clear" w:color="auto" w:fill="FFFFFF"/>
              <w:spacing w:line="360" w:lineRule="auto"/>
              <w:ind w:left="107"/>
              <w:rPr>
                <w:bCs/>
                <w:color w:val="000000"/>
              </w:rPr>
            </w:pPr>
            <w:r>
              <w:rPr>
                <w:rFonts w:hint="eastAsia"/>
                <w:bCs/>
                <w:color w:val="000000"/>
              </w:rPr>
              <w:t>企</w:t>
            </w:r>
          </w:p>
          <w:p>
            <w:pPr>
              <w:pStyle w:val="81"/>
              <w:shd w:val="clear" w:color="auto" w:fill="FFFFFF"/>
              <w:spacing w:line="360" w:lineRule="auto"/>
              <w:ind w:left="107"/>
              <w:rPr>
                <w:bCs/>
                <w:color w:val="000000"/>
              </w:rPr>
            </w:pPr>
            <w:r>
              <w:rPr>
                <w:rFonts w:hint="eastAsia"/>
                <w:bCs/>
                <w:color w:val="000000"/>
              </w:rPr>
              <w:t>业</w:t>
            </w:r>
          </w:p>
          <w:p>
            <w:pPr>
              <w:pStyle w:val="81"/>
              <w:shd w:val="clear" w:color="auto" w:fill="FFFFFF"/>
              <w:spacing w:line="360" w:lineRule="auto"/>
              <w:ind w:left="107"/>
              <w:rPr>
                <w:bCs/>
                <w:color w:val="000000"/>
                <w:spacing w:val="27"/>
              </w:rPr>
            </w:pPr>
            <w:r>
              <w:rPr>
                <w:rFonts w:hint="eastAsia"/>
                <w:bCs/>
                <w:color w:val="000000"/>
                <w:spacing w:val="27"/>
              </w:rPr>
              <w:t>概</w:t>
            </w:r>
          </w:p>
          <w:p>
            <w:pPr>
              <w:pStyle w:val="81"/>
              <w:shd w:val="clear" w:color="auto" w:fill="FFFFFF"/>
              <w:spacing w:line="360" w:lineRule="auto"/>
              <w:ind w:left="107"/>
              <w:rPr>
                <w:bCs/>
                <w:color w:val="000000"/>
              </w:rPr>
            </w:pPr>
            <w:r>
              <w:rPr>
                <w:rFonts w:hint="eastAsia"/>
                <w:bCs/>
                <w:color w:val="000000"/>
                <w:spacing w:val="27"/>
              </w:rPr>
              <w:t>况</w:t>
            </w:r>
          </w:p>
        </w:tc>
        <w:tc>
          <w:tcPr>
            <w:tcW w:w="701" w:type="dxa"/>
            <w:tcBorders>
              <w:top w:val="nil"/>
            </w:tcBorders>
          </w:tcPr>
          <w:p>
            <w:pPr>
              <w:pStyle w:val="81"/>
              <w:shd w:val="clear" w:color="auto" w:fill="FFFFFF"/>
              <w:spacing w:line="360" w:lineRule="auto"/>
              <w:rPr>
                <w:bCs/>
                <w:color w:val="000000"/>
                <w:spacing w:val="16"/>
              </w:rPr>
            </w:pPr>
            <w:r>
              <w:rPr>
                <w:rFonts w:hint="eastAsia"/>
                <w:bCs/>
                <w:color w:val="000000"/>
                <w:spacing w:val="16"/>
              </w:rPr>
              <w:t>职工人数</w:t>
            </w:r>
          </w:p>
        </w:tc>
        <w:tc>
          <w:tcPr>
            <w:tcW w:w="910" w:type="dxa"/>
            <w:gridSpan w:val="2"/>
            <w:tcBorders>
              <w:top w:val="nil"/>
            </w:tcBorders>
          </w:tcPr>
          <w:p>
            <w:pPr>
              <w:pStyle w:val="81"/>
              <w:shd w:val="clear" w:color="auto" w:fill="FFFFFF"/>
              <w:spacing w:line="360" w:lineRule="auto"/>
              <w:rPr>
                <w:bCs/>
                <w:color w:val="000000"/>
                <w:spacing w:val="16"/>
              </w:rPr>
            </w:pPr>
          </w:p>
        </w:tc>
        <w:tc>
          <w:tcPr>
            <w:tcW w:w="1163" w:type="dxa"/>
            <w:tcBorders>
              <w:top w:val="nil"/>
            </w:tcBorders>
          </w:tcPr>
          <w:p>
            <w:pPr>
              <w:pStyle w:val="81"/>
              <w:shd w:val="clear" w:color="auto" w:fill="FFFFFF"/>
              <w:spacing w:before="0" w:beforeAutospacing="0" w:after="0" w:afterAutospacing="0" w:line="360" w:lineRule="auto"/>
              <w:rPr>
                <w:bCs/>
                <w:color w:val="000000"/>
              </w:rPr>
            </w:pPr>
            <w:r>
              <w:rPr>
                <w:rFonts w:hint="eastAsia"/>
                <w:bCs/>
                <w:color w:val="000000"/>
                <w:spacing w:val="18"/>
              </w:rPr>
              <w:t>具备大专以</w:t>
            </w:r>
            <w:r>
              <w:rPr>
                <w:rFonts w:hint="eastAsia"/>
                <w:bCs/>
                <w:color w:val="000000"/>
                <w:spacing w:val="12"/>
              </w:rPr>
              <w:t>上学历人数</w:t>
            </w:r>
          </w:p>
        </w:tc>
        <w:tc>
          <w:tcPr>
            <w:tcW w:w="1205" w:type="dxa"/>
            <w:gridSpan w:val="2"/>
            <w:tcBorders>
              <w:top w:val="nil"/>
            </w:tcBorders>
          </w:tcPr>
          <w:p>
            <w:pPr>
              <w:widowControl/>
              <w:spacing w:line="360" w:lineRule="auto"/>
              <w:jc w:val="left"/>
              <w:rPr>
                <w:rFonts w:ascii="宋体" w:hAnsi="宋体" w:cs="宋体"/>
                <w:bCs/>
                <w:color w:val="000000"/>
                <w:spacing w:val="16"/>
                <w:kern w:val="0"/>
                <w:sz w:val="24"/>
              </w:rPr>
            </w:pPr>
          </w:p>
          <w:p>
            <w:pPr>
              <w:widowControl/>
              <w:spacing w:line="360" w:lineRule="auto"/>
              <w:jc w:val="left"/>
              <w:rPr>
                <w:rFonts w:ascii="宋体" w:hAnsi="宋体" w:cs="宋体"/>
                <w:bCs/>
                <w:color w:val="000000"/>
                <w:spacing w:val="16"/>
                <w:kern w:val="0"/>
                <w:sz w:val="24"/>
              </w:rPr>
            </w:pPr>
          </w:p>
          <w:p>
            <w:pPr>
              <w:pStyle w:val="81"/>
              <w:shd w:val="clear" w:color="auto" w:fill="FFFFFF"/>
              <w:spacing w:line="360" w:lineRule="auto"/>
              <w:rPr>
                <w:bCs/>
                <w:color w:val="000000"/>
                <w:spacing w:val="16"/>
              </w:rPr>
            </w:pPr>
          </w:p>
        </w:tc>
        <w:tc>
          <w:tcPr>
            <w:tcW w:w="2001" w:type="dxa"/>
            <w:gridSpan w:val="3"/>
          </w:tcPr>
          <w:p>
            <w:pPr>
              <w:pStyle w:val="81"/>
              <w:shd w:val="clear" w:color="auto" w:fill="FFFFFF"/>
              <w:spacing w:line="360" w:lineRule="auto"/>
              <w:rPr>
                <w:bCs/>
                <w:color w:val="000000"/>
                <w:spacing w:val="16"/>
              </w:rPr>
            </w:pPr>
            <w:r>
              <w:rPr>
                <w:rFonts w:hint="eastAsia"/>
                <w:bCs/>
                <w:color w:val="000000"/>
                <w:spacing w:val="65"/>
              </w:rPr>
              <w:t>国家授予技</w:t>
            </w:r>
            <w:r>
              <w:rPr>
                <w:rFonts w:hint="eastAsia"/>
                <w:bCs/>
                <w:color w:val="000000"/>
                <w:spacing w:val="12"/>
              </w:rPr>
              <w:t>术职称人数</w:t>
            </w:r>
          </w:p>
        </w:tc>
        <w:tc>
          <w:tcPr>
            <w:tcW w:w="2151" w:type="dxa"/>
            <w:gridSpan w:val="2"/>
          </w:tcPr>
          <w:p>
            <w:pPr>
              <w:widowControl/>
              <w:spacing w:line="360" w:lineRule="auto"/>
              <w:jc w:val="left"/>
              <w:rPr>
                <w:rFonts w:ascii="宋体" w:hAnsi="宋体" w:cs="宋体"/>
                <w:bCs/>
                <w:color w:val="000000"/>
                <w:spacing w:val="16"/>
                <w:kern w:val="0"/>
                <w:sz w:val="24"/>
              </w:rPr>
            </w:pPr>
          </w:p>
          <w:p>
            <w:pPr>
              <w:pStyle w:val="81"/>
              <w:shd w:val="clear" w:color="auto" w:fill="FFFFFF"/>
              <w:spacing w:line="360" w:lineRule="auto"/>
              <w:rPr>
                <w:bCs/>
                <w:color w:val="000000"/>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8" w:hRule="atLeast"/>
        </w:trPr>
        <w:tc>
          <w:tcPr>
            <w:tcW w:w="682" w:type="dxa"/>
            <w:vMerge w:val="continue"/>
          </w:tcPr>
          <w:p>
            <w:pPr>
              <w:pStyle w:val="81"/>
              <w:shd w:val="clear" w:color="auto" w:fill="FFFFFF"/>
              <w:spacing w:line="360" w:lineRule="auto"/>
              <w:ind w:left="107"/>
              <w:rPr>
                <w:bCs/>
                <w:color w:val="000000"/>
              </w:rPr>
            </w:pPr>
          </w:p>
        </w:tc>
        <w:tc>
          <w:tcPr>
            <w:tcW w:w="701" w:type="dxa"/>
          </w:tcPr>
          <w:p>
            <w:pPr>
              <w:pStyle w:val="81"/>
              <w:shd w:val="clear" w:color="auto" w:fill="FFFFFF"/>
              <w:spacing w:line="360" w:lineRule="auto"/>
              <w:rPr>
                <w:bCs/>
                <w:color w:val="000000"/>
              </w:rPr>
            </w:pPr>
            <w:r>
              <w:rPr>
                <w:rFonts w:hint="eastAsia"/>
                <w:bCs/>
                <w:color w:val="000000"/>
                <w:spacing w:val="16"/>
              </w:rPr>
              <w:t>占地面积</w:t>
            </w:r>
          </w:p>
        </w:tc>
        <w:tc>
          <w:tcPr>
            <w:tcW w:w="910" w:type="dxa"/>
            <w:gridSpan w:val="2"/>
          </w:tcPr>
          <w:p>
            <w:pPr>
              <w:pStyle w:val="81"/>
              <w:shd w:val="clear" w:color="auto" w:fill="FFFFFF"/>
              <w:spacing w:line="360" w:lineRule="auto"/>
              <w:rPr>
                <w:bCs/>
                <w:color w:val="000000"/>
              </w:rPr>
            </w:pPr>
          </w:p>
        </w:tc>
        <w:tc>
          <w:tcPr>
            <w:tcW w:w="1163" w:type="dxa"/>
          </w:tcPr>
          <w:p>
            <w:pPr>
              <w:pStyle w:val="81"/>
              <w:shd w:val="clear" w:color="auto" w:fill="FFFFFF"/>
              <w:spacing w:line="360" w:lineRule="auto"/>
              <w:rPr>
                <w:bCs/>
                <w:color w:val="000000"/>
              </w:rPr>
            </w:pPr>
            <w:r>
              <w:rPr>
                <w:rFonts w:hint="eastAsia"/>
                <w:bCs/>
                <w:color w:val="000000"/>
                <w:spacing w:val="16"/>
              </w:rPr>
              <w:t>建筑面积</w:t>
            </w:r>
          </w:p>
        </w:tc>
        <w:tc>
          <w:tcPr>
            <w:tcW w:w="1205" w:type="dxa"/>
            <w:gridSpan w:val="2"/>
          </w:tcPr>
          <w:p>
            <w:pPr>
              <w:pStyle w:val="81"/>
              <w:shd w:val="clear" w:color="auto" w:fill="FFFFFF"/>
              <w:spacing w:line="360" w:lineRule="auto"/>
              <w:ind w:firstLine="480" w:firstLineChars="200"/>
              <w:rPr>
                <w:bCs/>
                <w:color w:val="000000"/>
              </w:rPr>
            </w:pPr>
            <w:r>
              <w:rPr>
                <w:rFonts w:hint="eastAsia"/>
                <w:bCs/>
                <w:color w:val="000000"/>
              </w:rPr>
              <w:t xml:space="preserve">平方米 </w:t>
            </w:r>
          </w:p>
          <w:p>
            <w:pPr>
              <w:pStyle w:val="81"/>
              <w:shd w:val="clear" w:color="auto" w:fill="FFFFFF"/>
              <w:spacing w:line="360" w:lineRule="auto"/>
              <w:rPr>
                <w:bCs/>
                <w:color w:val="000000"/>
              </w:rPr>
            </w:pPr>
            <w:r>
              <w:rPr>
                <w:rFonts w:hint="eastAsia"/>
                <w:bCs/>
                <w:color w:val="000000"/>
                <w:spacing w:val="16"/>
              </w:rPr>
              <w:t>□自有□租賃</w:t>
            </w:r>
          </w:p>
        </w:tc>
        <w:tc>
          <w:tcPr>
            <w:tcW w:w="2001" w:type="dxa"/>
            <w:gridSpan w:val="3"/>
          </w:tcPr>
          <w:p>
            <w:pPr>
              <w:pStyle w:val="81"/>
              <w:shd w:val="clear" w:color="auto" w:fill="FFFFFF"/>
              <w:spacing w:line="360" w:lineRule="auto"/>
              <w:rPr>
                <w:bCs/>
                <w:color w:val="000000"/>
              </w:rPr>
            </w:pPr>
            <w:r>
              <w:rPr>
                <w:rFonts w:hint="eastAsia"/>
                <w:bCs/>
                <w:color w:val="000000"/>
                <w:spacing w:val="16"/>
              </w:rPr>
              <w:t>生产经营场所及场所的设施与设备</w:t>
            </w:r>
          </w:p>
        </w:tc>
        <w:tc>
          <w:tcPr>
            <w:tcW w:w="2151" w:type="dxa"/>
            <w:gridSpan w:val="2"/>
          </w:tcPr>
          <w:p>
            <w:pPr>
              <w:pStyle w:val="81"/>
              <w:shd w:val="clear" w:color="auto" w:fill="FFFFFF"/>
              <w:spacing w:before="0" w:beforeAutospacing="0" w:after="0" w:afterAutospacing="0" w:line="360" w:lineRule="auto"/>
              <w:rPr>
                <w:bCs/>
                <w:color w:val="000000"/>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682" w:type="dxa"/>
            <w:vMerge w:val="continue"/>
          </w:tcPr>
          <w:p>
            <w:pPr>
              <w:pStyle w:val="81"/>
              <w:shd w:val="clear" w:color="auto" w:fill="FFFFFF"/>
              <w:spacing w:line="360" w:lineRule="auto"/>
              <w:ind w:left="107"/>
              <w:rPr>
                <w:bCs/>
                <w:color w:val="000000"/>
              </w:rPr>
            </w:pPr>
          </w:p>
        </w:tc>
        <w:tc>
          <w:tcPr>
            <w:tcW w:w="701" w:type="dxa"/>
          </w:tcPr>
          <w:p>
            <w:pPr>
              <w:pStyle w:val="81"/>
              <w:shd w:val="clear" w:color="auto" w:fill="FFFFFF"/>
              <w:spacing w:line="360" w:lineRule="auto"/>
              <w:ind w:left="2"/>
              <w:rPr>
                <w:bCs/>
                <w:color w:val="000000"/>
                <w:spacing w:val="16"/>
              </w:rPr>
            </w:pPr>
            <w:r>
              <w:rPr>
                <w:rFonts w:hint="eastAsia"/>
                <w:bCs/>
                <w:color w:val="000000"/>
                <w:spacing w:val="16"/>
              </w:rPr>
              <w:t>注册资金</w:t>
            </w:r>
          </w:p>
        </w:tc>
        <w:tc>
          <w:tcPr>
            <w:tcW w:w="910" w:type="dxa"/>
            <w:gridSpan w:val="2"/>
          </w:tcPr>
          <w:p>
            <w:pPr>
              <w:pStyle w:val="81"/>
              <w:shd w:val="clear" w:color="auto" w:fill="FFFFFF"/>
              <w:spacing w:line="360" w:lineRule="auto"/>
              <w:ind w:left="2"/>
              <w:rPr>
                <w:bCs/>
                <w:color w:val="000000"/>
              </w:rPr>
            </w:pPr>
          </w:p>
        </w:tc>
        <w:tc>
          <w:tcPr>
            <w:tcW w:w="1163" w:type="dxa"/>
          </w:tcPr>
          <w:p>
            <w:pPr>
              <w:pStyle w:val="81"/>
              <w:shd w:val="clear" w:color="auto" w:fill="FFFFFF"/>
              <w:spacing w:line="360" w:lineRule="auto"/>
              <w:ind w:left="107"/>
              <w:rPr>
                <w:bCs/>
                <w:color w:val="000000"/>
              </w:rPr>
            </w:pPr>
            <w:r>
              <w:rPr>
                <w:rFonts w:hint="eastAsia"/>
                <w:bCs/>
                <w:color w:val="000000"/>
                <w:spacing w:val="16"/>
              </w:rPr>
              <w:t>注册发证</w:t>
            </w:r>
            <w:r>
              <w:rPr>
                <w:rFonts w:hint="eastAsia"/>
                <w:bCs/>
                <w:color w:val="000000"/>
                <w:spacing w:val="27"/>
              </w:rPr>
              <w:t>机关</w:t>
            </w:r>
          </w:p>
        </w:tc>
        <w:tc>
          <w:tcPr>
            <w:tcW w:w="3206" w:type="dxa"/>
            <w:gridSpan w:val="5"/>
          </w:tcPr>
          <w:p>
            <w:pPr>
              <w:widowControl/>
              <w:spacing w:line="360" w:lineRule="auto"/>
              <w:jc w:val="left"/>
              <w:rPr>
                <w:rFonts w:ascii="宋体" w:hAnsi="宋体" w:cs="宋体"/>
                <w:bCs/>
                <w:color w:val="000000"/>
                <w:kern w:val="0"/>
                <w:sz w:val="24"/>
              </w:rPr>
            </w:pPr>
          </w:p>
          <w:p>
            <w:pPr>
              <w:pStyle w:val="81"/>
              <w:shd w:val="clear" w:color="auto" w:fill="FFFFFF"/>
              <w:spacing w:line="360" w:lineRule="auto"/>
              <w:ind w:left="107"/>
              <w:rPr>
                <w:bCs/>
                <w:color w:val="000000"/>
              </w:rPr>
            </w:pPr>
          </w:p>
        </w:tc>
        <w:tc>
          <w:tcPr>
            <w:tcW w:w="1218" w:type="dxa"/>
          </w:tcPr>
          <w:p>
            <w:pPr>
              <w:pStyle w:val="81"/>
              <w:shd w:val="clear" w:color="auto" w:fill="FFFFFF"/>
              <w:spacing w:line="360" w:lineRule="auto"/>
              <w:ind w:left="107"/>
              <w:rPr>
                <w:bCs/>
                <w:color w:val="000000"/>
              </w:rPr>
            </w:pPr>
            <w:r>
              <w:rPr>
                <w:rFonts w:hint="eastAsia"/>
                <w:bCs/>
                <w:color w:val="000000"/>
              </w:rPr>
              <w:t>公司成</w:t>
            </w:r>
            <w:r>
              <w:rPr>
                <w:rFonts w:hint="eastAsia"/>
                <w:bCs/>
                <w:color w:val="000000"/>
                <w:spacing w:val="12"/>
              </w:rPr>
              <w:t>立时间</w:t>
            </w:r>
          </w:p>
        </w:tc>
        <w:tc>
          <w:tcPr>
            <w:tcW w:w="933" w:type="dxa"/>
          </w:tcPr>
          <w:p>
            <w:pPr>
              <w:pStyle w:val="81"/>
              <w:shd w:val="clear" w:color="auto" w:fill="FFFFFF"/>
              <w:spacing w:line="360" w:lineRule="auto"/>
              <w:ind w:left="107"/>
              <w:rPr>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682" w:type="dxa"/>
            <w:vMerge w:val="continue"/>
          </w:tcPr>
          <w:p>
            <w:pPr>
              <w:pStyle w:val="81"/>
              <w:shd w:val="clear" w:color="auto" w:fill="FFFFFF"/>
              <w:spacing w:line="360" w:lineRule="auto"/>
              <w:ind w:left="107"/>
              <w:rPr>
                <w:bCs/>
                <w:color w:val="000000"/>
              </w:rPr>
            </w:pPr>
          </w:p>
        </w:tc>
        <w:tc>
          <w:tcPr>
            <w:tcW w:w="701" w:type="dxa"/>
          </w:tcPr>
          <w:p>
            <w:pPr>
              <w:pStyle w:val="81"/>
              <w:shd w:val="clear" w:color="auto" w:fill="FFFFFF"/>
              <w:spacing w:line="360" w:lineRule="auto"/>
              <w:ind w:left="2"/>
              <w:rPr>
                <w:bCs/>
                <w:color w:val="000000"/>
              </w:rPr>
            </w:pPr>
            <w:r>
              <w:rPr>
                <w:rFonts w:hint="eastAsia"/>
                <w:bCs/>
                <w:color w:val="000000"/>
              </w:rPr>
              <w:t>核准经营范围</w:t>
            </w:r>
          </w:p>
        </w:tc>
        <w:tc>
          <w:tcPr>
            <w:tcW w:w="7430" w:type="dxa"/>
            <w:gridSpan w:val="10"/>
          </w:tcPr>
          <w:p>
            <w:pPr>
              <w:pStyle w:val="81"/>
              <w:shd w:val="clear" w:color="auto" w:fill="FFFFFF"/>
              <w:spacing w:line="360" w:lineRule="auto"/>
              <w:ind w:left="107"/>
              <w:rPr>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0" w:hRule="atLeast"/>
        </w:trPr>
        <w:tc>
          <w:tcPr>
            <w:tcW w:w="682" w:type="dxa"/>
            <w:vMerge w:val="continue"/>
          </w:tcPr>
          <w:p>
            <w:pPr>
              <w:pStyle w:val="81"/>
              <w:shd w:val="clear" w:color="auto" w:fill="FFFFFF"/>
              <w:spacing w:line="360" w:lineRule="auto"/>
              <w:ind w:left="107"/>
              <w:rPr>
                <w:bCs/>
                <w:color w:val="000000"/>
              </w:rPr>
            </w:pPr>
          </w:p>
        </w:tc>
        <w:tc>
          <w:tcPr>
            <w:tcW w:w="8131" w:type="dxa"/>
            <w:gridSpan w:val="11"/>
          </w:tcPr>
          <w:p>
            <w:pPr>
              <w:pStyle w:val="81"/>
              <w:shd w:val="clear" w:color="auto" w:fill="FFFFFF"/>
              <w:spacing w:line="360" w:lineRule="auto"/>
              <w:rPr>
                <w:bCs/>
                <w:color w:val="000000"/>
                <w:spacing w:val="13"/>
              </w:rPr>
            </w:pPr>
            <w:r>
              <w:rPr>
                <w:rFonts w:hint="eastAsia"/>
                <w:bCs/>
                <w:color w:val="000000"/>
                <w:spacing w:val="13"/>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682" w:type="dxa"/>
            <w:vMerge w:val="restart"/>
          </w:tcPr>
          <w:p>
            <w:pPr>
              <w:pStyle w:val="81"/>
              <w:shd w:val="clear" w:color="auto" w:fill="FFFFFF"/>
              <w:spacing w:line="360" w:lineRule="auto"/>
              <w:ind w:left="107"/>
              <w:rPr>
                <w:bCs/>
                <w:color w:val="000000"/>
              </w:rPr>
            </w:pPr>
            <w:r>
              <w:rPr>
                <w:bCs/>
                <w:color w:val="000000"/>
              </w:rPr>
              <w:t>2</w:t>
            </w:r>
            <w:r>
              <w:rPr>
                <w:rFonts w:hint="eastAsia"/>
                <w:bCs/>
                <w:color w:val="000000"/>
              </w:rPr>
              <w:t>．</w:t>
            </w:r>
          </w:p>
          <w:p>
            <w:pPr>
              <w:pStyle w:val="81"/>
              <w:shd w:val="clear" w:color="auto" w:fill="FFFFFF"/>
              <w:spacing w:line="360" w:lineRule="auto"/>
              <w:ind w:left="107"/>
              <w:rPr>
                <w:bCs/>
                <w:color w:val="000000"/>
                <w:spacing w:val="16"/>
              </w:rPr>
            </w:pPr>
            <w:r>
              <w:rPr>
                <w:rFonts w:hint="eastAsia"/>
                <w:bCs/>
                <w:color w:val="000000"/>
              </w:rPr>
              <w:t>企</w:t>
            </w:r>
            <w:r>
              <w:rPr>
                <w:rFonts w:hint="eastAsia"/>
                <w:bCs/>
                <w:color w:val="000000"/>
                <w:spacing w:val="12"/>
              </w:rPr>
              <w:t>业有关资质获证情况</w:t>
            </w:r>
          </w:p>
        </w:tc>
        <w:tc>
          <w:tcPr>
            <w:tcW w:w="1553" w:type="dxa"/>
            <w:gridSpan w:val="2"/>
            <w:vMerge w:val="restart"/>
          </w:tcPr>
          <w:p>
            <w:pPr>
              <w:pStyle w:val="81"/>
              <w:shd w:val="clear" w:color="auto" w:fill="FFFFFF"/>
              <w:spacing w:before="0" w:beforeAutospacing="0" w:after="0" w:afterAutospacing="0" w:line="360" w:lineRule="auto"/>
              <w:rPr>
                <w:bCs/>
                <w:color w:val="000000"/>
                <w:spacing w:val="16"/>
              </w:rPr>
            </w:pPr>
            <w:r>
              <w:rPr>
                <w:rFonts w:hint="eastAsia"/>
                <w:bCs/>
                <w:color w:val="000000"/>
                <w:spacing w:val="12"/>
              </w:rPr>
              <w:t>产品生产许可证情况</w:t>
            </w:r>
            <w:r>
              <w:rPr>
                <w:rFonts w:hint="eastAsia"/>
                <w:bCs/>
                <w:color w:val="000000"/>
                <w:spacing w:val="41"/>
              </w:rPr>
              <w:t>（对需获得生产许可证的</w:t>
            </w:r>
            <w:r>
              <w:rPr>
                <w:rFonts w:hint="eastAsia"/>
                <w:bCs/>
                <w:color w:val="000000"/>
                <w:spacing w:val="11"/>
              </w:rPr>
              <w:t>产品要填写此栏）</w:t>
            </w:r>
          </w:p>
        </w:tc>
        <w:tc>
          <w:tcPr>
            <w:tcW w:w="1333" w:type="dxa"/>
            <w:gridSpan w:val="3"/>
          </w:tcPr>
          <w:p>
            <w:pPr>
              <w:pStyle w:val="81"/>
              <w:shd w:val="clear" w:color="auto" w:fill="FFFFFF"/>
              <w:spacing w:line="360" w:lineRule="auto"/>
              <w:ind w:right="-78" w:rightChars="-37"/>
              <w:rPr>
                <w:bCs/>
                <w:color w:val="000000"/>
                <w:spacing w:val="16"/>
              </w:rPr>
            </w:pPr>
            <w:r>
              <w:rPr>
                <w:rFonts w:hint="eastAsia"/>
                <w:bCs/>
                <w:color w:val="000000"/>
                <w:spacing w:val="16"/>
              </w:rPr>
              <w:t>产品名称</w:t>
            </w:r>
          </w:p>
        </w:tc>
        <w:tc>
          <w:tcPr>
            <w:tcW w:w="1418" w:type="dxa"/>
            <w:gridSpan w:val="2"/>
          </w:tcPr>
          <w:p>
            <w:pPr>
              <w:pStyle w:val="81"/>
              <w:shd w:val="clear" w:color="auto" w:fill="FFFFFF"/>
              <w:spacing w:before="0" w:beforeAutospacing="0" w:after="0" w:afterAutospacing="0" w:line="360" w:lineRule="auto"/>
              <w:rPr>
                <w:bCs/>
                <w:color w:val="000000"/>
              </w:rPr>
            </w:pPr>
            <w:r>
              <w:rPr>
                <w:rFonts w:hint="eastAsia"/>
                <w:bCs/>
                <w:color w:val="000000"/>
                <w:spacing w:val="16"/>
              </w:rPr>
              <w:t>发证机关</w:t>
            </w:r>
          </w:p>
        </w:tc>
        <w:tc>
          <w:tcPr>
            <w:tcW w:w="1276" w:type="dxa"/>
          </w:tcPr>
          <w:p>
            <w:pPr>
              <w:pStyle w:val="81"/>
              <w:shd w:val="clear" w:color="auto" w:fill="FFFFFF"/>
              <w:spacing w:line="360" w:lineRule="auto"/>
              <w:jc w:val="center"/>
              <w:rPr>
                <w:bCs/>
                <w:color w:val="000000"/>
              </w:rPr>
            </w:pPr>
            <w:r>
              <w:rPr>
                <w:rFonts w:hint="eastAsia"/>
                <w:bCs/>
                <w:color w:val="000000"/>
                <w:spacing w:val="27"/>
              </w:rPr>
              <w:t>编号</w:t>
            </w:r>
          </w:p>
        </w:tc>
        <w:tc>
          <w:tcPr>
            <w:tcW w:w="1618" w:type="dxa"/>
            <w:gridSpan w:val="2"/>
          </w:tcPr>
          <w:p>
            <w:pPr>
              <w:pStyle w:val="81"/>
              <w:shd w:val="clear" w:color="auto" w:fill="FFFFFF"/>
              <w:spacing w:line="360" w:lineRule="auto"/>
              <w:jc w:val="center"/>
              <w:rPr>
                <w:bCs/>
                <w:color w:val="000000"/>
              </w:rPr>
            </w:pPr>
            <w:r>
              <w:rPr>
                <w:rFonts w:hint="eastAsia"/>
                <w:bCs/>
                <w:color w:val="000000"/>
                <w:spacing w:val="16"/>
              </w:rPr>
              <w:t>发证时间</w:t>
            </w:r>
          </w:p>
        </w:tc>
        <w:tc>
          <w:tcPr>
            <w:tcW w:w="933" w:type="dxa"/>
          </w:tcPr>
          <w:p>
            <w:pPr>
              <w:pStyle w:val="81"/>
              <w:shd w:val="clear" w:color="auto" w:fill="FFFFFF"/>
              <w:spacing w:before="0" w:beforeAutospacing="0" w:after="0" w:afterAutospacing="0" w:line="360" w:lineRule="auto"/>
              <w:jc w:val="center"/>
              <w:rPr>
                <w:bCs/>
                <w:color w:val="000000"/>
              </w:rPr>
            </w:pPr>
            <w:r>
              <w:rPr>
                <w:rFonts w:hint="eastAsia"/>
                <w:bCs/>
                <w:color w:val="000000"/>
                <w:spacing w:val="27"/>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0" w:hRule="atLeast"/>
        </w:trPr>
        <w:tc>
          <w:tcPr>
            <w:tcW w:w="682" w:type="dxa"/>
            <w:vMerge w:val="continue"/>
          </w:tcPr>
          <w:p>
            <w:pPr>
              <w:pStyle w:val="81"/>
              <w:shd w:val="clear" w:color="auto" w:fill="FFFFFF"/>
              <w:spacing w:line="360" w:lineRule="auto"/>
              <w:ind w:left="107"/>
              <w:rPr>
                <w:bCs/>
                <w:color w:val="000000"/>
              </w:rPr>
            </w:pPr>
          </w:p>
        </w:tc>
        <w:tc>
          <w:tcPr>
            <w:tcW w:w="1553" w:type="dxa"/>
            <w:gridSpan w:val="2"/>
            <w:vMerge w:val="continue"/>
          </w:tcPr>
          <w:p>
            <w:pPr>
              <w:pStyle w:val="81"/>
              <w:shd w:val="clear" w:color="auto" w:fill="FFFFFF"/>
              <w:spacing w:line="360" w:lineRule="auto"/>
              <w:rPr>
                <w:bCs/>
                <w:color w:val="000000"/>
              </w:rPr>
            </w:pPr>
          </w:p>
        </w:tc>
        <w:tc>
          <w:tcPr>
            <w:tcW w:w="1333" w:type="dxa"/>
            <w:gridSpan w:val="3"/>
          </w:tcPr>
          <w:p>
            <w:pPr>
              <w:pStyle w:val="81"/>
              <w:shd w:val="clear" w:color="auto" w:fill="FFFFFF"/>
              <w:spacing w:line="360" w:lineRule="auto"/>
              <w:rPr>
                <w:bCs/>
                <w:color w:val="000000"/>
              </w:rPr>
            </w:pPr>
          </w:p>
        </w:tc>
        <w:tc>
          <w:tcPr>
            <w:tcW w:w="1418" w:type="dxa"/>
            <w:gridSpan w:val="2"/>
          </w:tcPr>
          <w:p>
            <w:pPr>
              <w:pStyle w:val="81"/>
              <w:shd w:val="clear" w:color="auto" w:fill="FFFFFF"/>
              <w:spacing w:line="360" w:lineRule="auto"/>
              <w:rPr>
                <w:bCs/>
                <w:color w:val="000000"/>
              </w:rPr>
            </w:pPr>
          </w:p>
        </w:tc>
        <w:tc>
          <w:tcPr>
            <w:tcW w:w="1276" w:type="dxa"/>
          </w:tcPr>
          <w:p>
            <w:pPr>
              <w:pStyle w:val="81"/>
              <w:shd w:val="clear" w:color="auto" w:fill="FFFFFF"/>
              <w:spacing w:line="360" w:lineRule="auto"/>
              <w:rPr>
                <w:bCs/>
                <w:color w:val="000000"/>
              </w:rPr>
            </w:pPr>
          </w:p>
        </w:tc>
        <w:tc>
          <w:tcPr>
            <w:tcW w:w="2551" w:type="dxa"/>
            <w:gridSpan w:val="3"/>
          </w:tcPr>
          <w:p>
            <w:pPr>
              <w:pStyle w:val="81"/>
              <w:shd w:val="clear" w:color="auto" w:fill="FFFFFF"/>
              <w:spacing w:line="360" w:lineRule="auto"/>
              <w:rPr>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trPr>
        <w:tc>
          <w:tcPr>
            <w:tcW w:w="682" w:type="dxa"/>
            <w:vMerge w:val="continue"/>
          </w:tcPr>
          <w:p>
            <w:pPr>
              <w:pStyle w:val="81"/>
              <w:shd w:val="clear" w:color="auto" w:fill="FFFFFF"/>
              <w:spacing w:line="360" w:lineRule="auto"/>
              <w:ind w:left="107"/>
              <w:rPr>
                <w:bCs/>
                <w:color w:val="000000"/>
                <w:spacing w:val="16"/>
              </w:rPr>
            </w:pPr>
          </w:p>
        </w:tc>
        <w:tc>
          <w:tcPr>
            <w:tcW w:w="1553" w:type="dxa"/>
            <w:gridSpan w:val="2"/>
          </w:tcPr>
          <w:p>
            <w:pPr>
              <w:pStyle w:val="81"/>
              <w:shd w:val="clear" w:color="auto" w:fill="FFFFFF"/>
              <w:spacing w:before="0" w:beforeAutospacing="0" w:after="0" w:afterAutospacing="0" w:line="360" w:lineRule="auto"/>
              <w:ind w:right="-107" w:rightChars="-51"/>
              <w:rPr>
                <w:bCs/>
                <w:color w:val="000000"/>
                <w:spacing w:val="41"/>
              </w:rPr>
            </w:pPr>
            <w:r>
              <w:rPr>
                <w:rFonts w:hint="eastAsia"/>
                <w:bCs/>
                <w:color w:val="000000"/>
                <w:spacing w:val="41"/>
              </w:rPr>
              <w:t>企业通过质量体系、环保</w:t>
            </w:r>
            <w:r>
              <w:rPr>
                <w:rFonts w:hint="eastAsia"/>
                <w:bCs/>
                <w:color w:val="000000"/>
                <w:spacing w:val="11"/>
              </w:rPr>
              <w:t>体系、计量等认证情况</w:t>
            </w:r>
          </w:p>
        </w:tc>
        <w:tc>
          <w:tcPr>
            <w:tcW w:w="6578" w:type="dxa"/>
            <w:gridSpan w:val="9"/>
          </w:tcPr>
          <w:p>
            <w:pPr>
              <w:pStyle w:val="81"/>
              <w:shd w:val="clear" w:color="auto" w:fill="FFFFFF"/>
              <w:spacing w:line="360" w:lineRule="auto"/>
              <w:rPr>
                <w:bCs/>
                <w:color w:val="000000"/>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trPr>
        <w:tc>
          <w:tcPr>
            <w:tcW w:w="682" w:type="dxa"/>
            <w:vMerge w:val="continue"/>
          </w:tcPr>
          <w:p>
            <w:pPr>
              <w:pStyle w:val="81"/>
              <w:shd w:val="clear" w:color="auto" w:fill="FFFFFF"/>
              <w:spacing w:line="360" w:lineRule="auto"/>
              <w:ind w:left="107"/>
              <w:rPr>
                <w:bCs/>
                <w:color w:val="000000"/>
                <w:spacing w:val="27"/>
              </w:rPr>
            </w:pPr>
          </w:p>
        </w:tc>
        <w:tc>
          <w:tcPr>
            <w:tcW w:w="1553" w:type="dxa"/>
            <w:gridSpan w:val="2"/>
          </w:tcPr>
          <w:p>
            <w:pPr>
              <w:pStyle w:val="81"/>
              <w:shd w:val="clear" w:color="auto" w:fill="FFFFFF"/>
              <w:spacing w:line="360" w:lineRule="auto"/>
              <w:rPr>
                <w:bCs/>
                <w:color w:val="000000"/>
                <w:spacing w:val="16"/>
              </w:rPr>
            </w:pPr>
            <w:r>
              <w:rPr>
                <w:rFonts w:hint="eastAsia"/>
                <w:bCs/>
                <w:color w:val="000000"/>
                <w:spacing w:val="10"/>
              </w:rPr>
              <w:t>企业获得专利情况</w:t>
            </w:r>
          </w:p>
        </w:tc>
        <w:tc>
          <w:tcPr>
            <w:tcW w:w="6578" w:type="dxa"/>
            <w:gridSpan w:val="9"/>
          </w:tcPr>
          <w:p>
            <w:pPr>
              <w:pStyle w:val="81"/>
              <w:shd w:val="clear" w:color="auto" w:fill="FFFFFF"/>
              <w:spacing w:line="360" w:lineRule="auto"/>
              <w:rPr>
                <w:bCs/>
                <w:color w:val="000000"/>
                <w:spacing w:val="16"/>
              </w:rPr>
            </w:pPr>
          </w:p>
        </w:tc>
      </w:tr>
    </w:tbl>
    <w:p>
      <w:pPr>
        <w:pStyle w:val="81"/>
        <w:shd w:val="clear" w:color="auto" w:fill="FFFFFF"/>
        <w:spacing w:before="0" w:beforeAutospacing="0" w:after="0" w:afterAutospacing="0" w:line="360" w:lineRule="auto"/>
        <w:rPr>
          <w:rFonts w:ascii="仿宋_GB2312" w:eastAsia="仿宋_GB2312"/>
        </w:rPr>
      </w:pPr>
    </w:p>
    <w:p>
      <w:pPr>
        <w:pStyle w:val="81"/>
        <w:shd w:val="clear" w:color="auto" w:fill="FFFFFF"/>
        <w:spacing w:before="0" w:beforeAutospacing="0" w:after="0" w:afterAutospacing="0" w:line="360" w:lineRule="auto"/>
        <w:rPr>
          <w:b/>
          <w:sz w:val="21"/>
          <w:szCs w:val="21"/>
        </w:rPr>
      </w:pPr>
      <w:r>
        <w:rPr>
          <w:rFonts w:hint="eastAsia"/>
          <w:b/>
          <w:sz w:val="21"/>
          <w:szCs w:val="21"/>
        </w:rPr>
        <w:t>要求：</w:t>
      </w:r>
    </w:p>
    <w:p>
      <w:pPr>
        <w:pStyle w:val="81"/>
        <w:shd w:val="clear" w:color="auto" w:fill="FFFFFF"/>
        <w:spacing w:before="0" w:beforeAutospacing="0" w:after="0" w:afterAutospacing="0" w:line="360" w:lineRule="auto"/>
        <w:ind w:firstLine="424" w:firstLineChars="202"/>
        <w:rPr>
          <w:color w:val="000000"/>
          <w:sz w:val="21"/>
          <w:szCs w:val="21"/>
        </w:rPr>
      </w:pPr>
      <w:r>
        <w:rPr>
          <w:rFonts w:hint="eastAsia" w:ascii="仿宋_GB2312" w:eastAsia="仿宋_GB2312"/>
          <w:sz w:val="21"/>
          <w:szCs w:val="21"/>
        </w:rPr>
        <w:t>1.</w:t>
      </w:r>
      <w:r>
        <w:rPr>
          <w:rFonts w:hint="eastAsia"/>
          <w:color w:val="000000"/>
          <w:sz w:val="21"/>
          <w:szCs w:val="21"/>
        </w:rPr>
        <w:t>姓名栏必须将所有股东都统计在内，若非股份公司此行（第三行）无需填写；</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ind w:firstLine="424" w:firstLineChars="177"/>
        <w:rPr>
          <w:rFonts w:ascii="宋体" w:hAnsi="宋体"/>
          <w:sz w:val="24"/>
          <w:u w:val="single"/>
        </w:rPr>
      </w:pPr>
      <w:r>
        <w:rPr>
          <w:rFonts w:hint="eastAsia" w:ascii="宋体" w:hAnsi="宋体"/>
          <w:sz w:val="24"/>
        </w:rPr>
        <w:t>投标人名称（盖章）：</w:t>
      </w:r>
    </w:p>
    <w:p>
      <w:pPr>
        <w:spacing w:line="360" w:lineRule="auto"/>
        <w:ind w:left="420"/>
        <w:rPr>
          <w:rFonts w:ascii="宋体" w:hAnsi="宋体"/>
          <w:sz w:val="24"/>
        </w:rPr>
      </w:pPr>
    </w:p>
    <w:p>
      <w:pPr>
        <w:spacing w:line="360" w:lineRule="auto"/>
        <w:ind w:firstLine="424" w:firstLineChars="177"/>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24" w:firstLineChars="177"/>
        <w:rPr>
          <w:rFonts w:ascii="宋体" w:hAnsi="宋体"/>
          <w:sz w:val="24"/>
          <w:u w:val="single"/>
        </w:rPr>
      </w:pPr>
      <w:r>
        <w:rPr>
          <w:rFonts w:hint="eastAsia" w:ascii="宋体" w:hAnsi="宋体"/>
          <w:sz w:val="24"/>
        </w:rPr>
        <w:t>职        务：</w:t>
      </w:r>
    </w:p>
    <w:p>
      <w:pPr>
        <w:spacing w:line="360" w:lineRule="auto"/>
        <w:rPr>
          <w:rFonts w:ascii="宋体" w:hAnsi="宋体"/>
          <w:sz w:val="24"/>
        </w:rPr>
      </w:pPr>
    </w:p>
    <w:p>
      <w:pPr>
        <w:pStyle w:val="81"/>
        <w:shd w:val="clear" w:color="auto" w:fill="FFFFFF"/>
        <w:spacing w:before="0" w:beforeAutospacing="0" w:after="0" w:afterAutospacing="0" w:line="360" w:lineRule="auto"/>
        <w:ind w:firstLine="424" w:firstLineChars="177"/>
        <w:rPr>
          <w:b/>
          <w:bCs/>
          <w:color w:val="000000"/>
          <w:spacing w:val="11"/>
        </w:rPr>
      </w:pPr>
      <w:r>
        <w:rPr>
          <w:rFonts w:hint="eastAsia"/>
        </w:rPr>
        <w:t>日        期：</w:t>
      </w:r>
      <w:r>
        <w:rPr>
          <w:rFonts w:hint="eastAsia"/>
          <w:color w:val="000000"/>
        </w:rPr>
        <w:t>：</w:t>
      </w:r>
    </w:p>
    <w:p>
      <w:pPr>
        <w:spacing w:line="360" w:lineRule="auto"/>
        <w:rPr>
          <w:rFonts w:ascii="宋体" w:hAnsi="宋体"/>
          <w:b/>
          <w:sz w:val="24"/>
        </w:rPr>
      </w:pPr>
    </w:p>
    <w:p>
      <w:pPr>
        <w:pStyle w:val="91"/>
        <w:spacing w:line="360" w:lineRule="auto"/>
        <w:jc w:val="left"/>
        <w:rPr>
          <w:rFonts w:ascii="宋体" w:hAnsi="宋体"/>
          <w:b/>
          <w:sz w:val="28"/>
        </w:rPr>
      </w:pPr>
    </w:p>
    <w:p>
      <w:pPr>
        <w:pStyle w:val="91"/>
        <w:spacing w:line="360" w:lineRule="auto"/>
        <w:jc w:val="left"/>
        <w:rPr>
          <w:rFonts w:ascii="宋体" w:hAnsi="宋体"/>
          <w:b/>
          <w:sz w:val="28"/>
        </w:rPr>
      </w:pPr>
    </w:p>
    <w:p>
      <w:pPr>
        <w:pStyle w:val="91"/>
        <w:spacing w:line="360" w:lineRule="auto"/>
        <w:jc w:val="left"/>
        <w:rPr>
          <w:rFonts w:ascii="宋体" w:hAnsi="宋体"/>
          <w:b/>
          <w:sz w:val="28"/>
        </w:rPr>
      </w:pPr>
    </w:p>
    <w:p>
      <w:pPr>
        <w:pStyle w:val="91"/>
        <w:spacing w:line="360" w:lineRule="auto"/>
        <w:jc w:val="left"/>
        <w:rPr>
          <w:rFonts w:ascii="宋体" w:hAnsi="宋体"/>
          <w:b/>
          <w:sz w:val="28"/>
        </w:rPr>
      </w:pPr>
      <w:r>
        <w:rPr>
          <w:rFonts w:hint="eastAsia" w:ascii="宋体" w:hAnsi="宋体"/>
          <w:b/>
          <w:sz w:val="28"/>
        </w:rPr>
        <w:t xml:space="preserve">附件5            </w:t>
      </w:r>
    </w:p>
    <w:p>
      <w:pPr>
        <w:pStyle w:val="86"/>
        <w:spacing w:line="360" w:lineRule="auto"/>
        <w:jc w:val="center"/>
        <w:rPr>
          <w:rFonts w:ascii="宋体" w:hAnsi="宋体"/>
          <w:b/>
          <w:sz w:val="32"/>
          <w:szCs w:val="32"/>
        </w:rPr>
      </w:pPr>
      <w:r>
        <w:rPr>
          <w:rFonts w:hint="eastAsia" w:ascii="宋体" w:hAnsi="宋体"/>
          <w:b/>
          <w:sz w:val="32"/>
          <w:szCs w:val="32"/>
        </w:rPr>
        <w:t>证书一览表</w:t>
      </w:r>
    </w:p>
    <w:p>
      <w:pPr>
        <w:pStyle w:val="86"/>
        <w:spacing w:line="360" w:lineRule="auto"/>
        <w:jc w:val="center"/>
        <w:rPr>
          <w:rFonts w:ascii="宋体" w:hAnsi="宋体" w:cs="Arial"/>
          <w:sz w:val="28"/>
          <w:szCs w:val="28"/>
        </w:rPr>
      </w:pPr>
    </w:p>
    <w:tbl>
      <w:tblPr>
        <w:tblStyle w:val="35"/>
        <w:tblW w:w="8432"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2258"/>
        <w:gridCol w:w="2260"/>
        <w:gridCol w:w="20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1867" w:type="dxa"/>
            <w:tcBorders>
              <w:top w:val="single" w:color="auto" w:sz="4" w:space="0"/>
              <w:left w:val="single" w:color="auto" w:sz="4" w:space="0"/>
              <w:bottom w:val="single" w:color="auto" w:sz="4" w:space="0"/>
            </w:tcBorders>
          </w:tcPr>
          <w:p>
            <w:pPr>
              <w:pStyle w:val="86"/>
              <w:spacing w:line="360" w:lineRule="auto"/>
              <w:jc w:val="center"/>
              <w:rPr>
                <w:rFonts w:ascii="宋体" w:hAnsi="宋体" w:cs="Arial"/>
                <w:b/>
                <w:bCs/>
                <w:sz w:val="24"/>
              </w:rPr>
            </w:pPr>
            <w:r>
              <w:rPr>
                <w:rFonts w:hint="eastAsia" w:ascii="宋体" w:hAnsi="宋体" w:cs="Arial"/>
                <w:b/>
                <w:bCs/>
                <w:sz w:val="24"/>
              </w:rPr>
              <w:t>证书名称</w:t>
            </w:r>
          </w:p>
        </w:tc>
        <w:tc>
          <w:tcPr>
            <w:tcW w:w="2258" w:type="dxa"/>
            <w:tcBorders>
              <w:top w:val="single" w:color="auto" w:sz="4" w:space="0"/>
              <w:bottom w:val="single" w:color="auto" w:sz="4" w:space="0"/>
            </w:tcBorders>
          </w:tcPr>
          <w:p>
            <w:pPr>
              <w:pStyle w:val="86"/>
              <w:spacing w:line="360" w:lineRule="auto"/>
              <w:jc w:val="center"/>
              <w:rPr>
                <w:rFonts w:ascii="宋体" w:hAnsi="宋体" w:cs="Arial"/>
                <w:b/>
                <w:bCs/>
                <w:sz w:val="24"/>
              </w:rPr>
            </w:pPr>
            <w:r>
              <w:rPr>
                <w:rFonts w:hint="eastAsia" w:ascii="宋体" w:hAnsi="宋体" w:cs="Arial"/>
                <w:b/>
                <w:bCs/>
                <w:sz w:val="24"/>
              </w:rPr>
              <w:t>发证单位</w:t>
            </w:r>
          </w:p>
        </w:tc>
        <w:tc>
          <w:tcPr>
            <w:tcW w:w="2260" w:type="dxa"/>
            <w:tcBorders>
              <w:top w:val="single" w:color="auto" w:sz="4" w:space="0"/>
              <w:bottom w:val="single" w:color="auto" w:sz="4" w:space="0"/>
            </w:tcBorders>
          </w:tcPr>
          <w:p>
            <w:pPr>
              <w:pStyle w:val="86"/>
              <w:spacing w:line="360" w:lineRule="auto"/>
              <w:jc w:val="center"/>
              <w:rPr>
                <w:rFonts w:ascii="宋体" w:hAnsi="宋体" w:cs="Arial"/>
                <w:b/>
                <w:bCs/>
                <w:sz w:val="24"/>
              </w:rPr>
            </w:pPr>
            <w:r>
              <w:rPr>
                <w:rFonts w:hint="eastAsia" w:ascii="宋体" w:hAnsi="宋体" w:cs="Arial"/>
                <w:b/>
                <w:bCs/>
                <w:sz w:val="24"/>
              </w:rPr>
              <w:t>证书等级</w:t>
            </w:r>
          </w:p>
        </w:tc>
        <w:tc>
          <w:tcPr>
            <w:tcW w:w="2047" w:type="dxa"/>
            <w:tcBorders>
              <w:top w:val="single" w:color="auto" w:sz="4" w:space="0"/>
              <w:bottom w:val="single" w:color="auto" w:sz="4" w:space="0"/>
              <w:right w:val="single" w:color="auto" w:sz="4" w:space="0"/>
            </w:tcBorders>
          </w:tcPr>
          <w:p>
            <w:pPr>
              <w:pStyle w:val="86"/>
              <w:spacing w:line="360" w:lineRule="auto"/>
              <w:jc w:val="center"/>
              <w:rPr>
                <w:rFonts w:ascii="宋体" w:hAnsi="宋体" w:cs="Arial"/>
                <w:b/>
                <w:bCs/>
                <w:sz w:val="24"/>
              </w:rPr>
            </w:pPr>
            <w:r>
              <w:rPr>
                <w:rFonts w:hint="eastAsia" w:ascii="宋体" w:hAnsi="宋体" w:cs="Arial"/>
                <w:b/>
                <w:bCs/>
                <w:sz w:val="24"/>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top w:val="single" w:color="auto" w:sz="4" w:space="0"/>
              <w:left w:val="single" w:color="auto" w:sz="4" w:space="0"/>
            </w:tcBorders>
          </w:tcPr>
          <w:p>
            <w:pPr>
              <w:pStyle w:val="86"/>
              <w:spacing w:line="360" w:lineRule="auto"/>
              <w:jc w:val="center"/>
              <w:rPr>
                <w:rFonts w:ascii="宋体" w:hAnsi="宋体" w:cs="Arial"/>
                <w:szCs w:val="21"/>
              </w:rPr>
            </w:pPr>
          </w:p>
        </w:tc>
        <w:tc>
          <w:tcPr>
            <w:tcW w:w="2258" w:type="dxa"/>
            <w:tcBorders>
              <w:top w:val="single" w:color="auto" w:sz="4" w:space="0"/>
            </w:tcBorders>
          </w:tcPr>
          <w:p>
            <w:pPr>
              <w:pStyle w:val="86"/>
              <w:spacing w:line="360" w:lineRule="auto"/>
              <w:jc w:val="center"/>
              <w:rPr>
                <w:rFonts w:ascii="宋体" w:hAnsi="宋体" w:cs="Arial"/>
                <w:szCs w:val="21"/>
              </w:rPr>
            </w:pPr>
          </w:p>
        </w:tc>
        <w:tc>
          <w:tcPr>
            <w:tcW w:w="2260" w:type="dxa"/>
            <w:tcBorders>
              <w:top w:val="single" w:color="auto" w:sz="4" w:space="0"/>
            </w:tcBorders>
          </w:tcPr>
          <w:p>
            <w:pPr>
              <w:pStyle w:val="86"/>
              <w:spacing w:line="360" w:lineRule="auto"/>
              <w:jc w:val="center"/>
              <w:rPr>
                <w:rFonts w:ascii="宋体" w:hAnsi="宋体" w:cs="Arial"/>
                <w:szCs w:val="21"/>
              </w:rPr>
            </w:pPr>
          </w:p>
        </w:tc>
        <w:tc>
          <w:tcPr>
            <w:tcW w:w="2047" w:type="dxa"/>
            <w:tcBorders>
              <w:top w:val="single" w:color="auto" w:sz="4" w:space="0"/>
              <w:right w:val="single" w:color="auto" w:sz="4" w:space="0"/>
            </w:tcBorders>
          </w:tcPr>
          <w:p>
            <w:pPr>
              <w:pStyle w:val="86"/>
              <w:spacing w:line="360" w:lineRule="auto"/>
              <w:jc w:val="center"/>
              <w:rPr>
                <w:rFonts w:ascii="宋体" w:hAnsi="宋体" w:cs="Arial"/>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86"/>
              <w:spacing w:line="360" w:lineRule="auto"/>
              <w:jc w:val="center"/>
              <w:rPr>
                <w:rFonts w:ascii="宋体" w:hAnsi="宋体" w:cs="Arial"/>
                <w:szCs w:val="21"/>
              </w:rPr>
            </w:pPr>
          </w:p>
        </w:tc>
        <w:tc>
          <w:tcPr>
            <w:tcW w:w="2258" w:type="dxa"/>
          </w:tcPr>
          <w:p>
            <w:pPr>
              <w:pStyle w:val="86"/>
              <w:spacing w:line="360" w:lineRule="auto"/>
              <w:jc w:val="center"/>
              <w:rPr>
                <w:rFonts w:ascii="宋体" w:hAnsi="宋体" w:cs="Arial"/>
                <w:szCs w:val="21"/>
              </w:rPr>
            </w:pPr>
          </w:p>
        </w:tc>
        <w:tc>
          <w:tcPr>
            <w:tcW w:w="2260" w:type="dxa"/>
          </w:tcPr>
          <w:p>
            <w:pPr>
              <w:pStyle w:val="86"/>
              <w:spacing w:line="360" w:lineRule="auto"/>
              <w:jc w:val="center"/>
              <w:rPr>
                <w:rFonts w:ascii="宋体" w:hAnsi="宋体" w:cs="Arial"/>
                <w:szCs w:val="21"/>
              </w:rPr>
            </w:pPr>
          </w:p>
        </w:tc>
        <w:tc>
          <w:tcPr>
            <w:tcW w:w="2047" w:type="dxa"/>
            <w:tcBorders>
              <w:right w:val="single" w:color="auto" w:sz="4" w:space="0"/>
            </w:tcBorders>
          </w:tcPr>
          <w:p>
            <w:pPr>
              <w:pStyle w:val="86"/>
              <w:spacing w:line="360" w:lineRule="auto"/>
              <w:jc w:val="center"/>
              <w:rPr>
                <w:rFonts w:ascii="宋体" w:hAnsi="宋体" w:cs="Arial"/>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86"/>
              <w:spacing w:line="360" w:lineRule="auto"/>
              <w:jc w:val="center"/>
              <w:rPr>
                <w:rFonts w:ascii="宋体" w:hAnsi="宋体" w:cs="Arial"/>
                <w:szCs w:val="21"/>
              </w:rPr>
            </w:pPr>
          </w:p>
        </w:tc>
        <w:tc>
          <w:tcPr>
            <w:tcW w:w="2258" w:type="dxa"/>
          </w:tcPr>
          <w:p>
            <w:pPr>
              <w:pStyle w:val="86"/>
              <w:spacing w:line="360" w:lineRule="auto"/>
              <w:jc w:val="center"/>
              <w:rPr>
                <w:rFonts w:ascii="宋体" w:hAnsi="宋体" w:cs="Arial"/>
                <w:szCs w:val="21"/>
              </w:rPr>
            </w:pPr>
          </w:p>
        </w:tc>
        <w:tc>
          <w:tcPr>
            <w:tcW w:w="2260" w:type="dxa"/>
          </w:tcPr>
          <w:p>
            <w:pPr>
              <w:pStyle w:val="86"/>
              <w:spacing w:line="360" w:lineRule="auto"/>
              <w:jc w:val="center"/>
              <w:rPr>
                <w:rFonts w:ascii="宋体" w:hAnsi="宋体" w:cs="Arial"/>
                <w:szCs w:val="21"/>
              </w:rPr>
            </w:pPr>
          </w:p>
        </w:tc>
        <w:tc>
          <w:tcPr>
            <w:tcW w:w="2047" w:type="dxa"/>
            <w:tcBorders>
              <w:right w:val="single" w:color="auto" w:sz="4" w:space="0"/>
            </w:tcBorders>
          </w:tcPr>
          <w:p>
            <w:pPr>
              <w:pStyle w:val="86"/>
              <w:spacing w:line="360" w:lineRule="auto"/>
              <w:jc w:val="center"/>
              <w:rPr>
                <w:rFonts w:ascii="宋体" w:hAnsi="宋体" w:cs="Arial"/>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86"/>
              <w:spacing w:line="360" w:lineRule="auto"/>
              <w:jc w:val="center"/>
              <w:rPr>
                <w:rFonts w:ascii="宋体" w:hAnsi="宋体" w:cs="Arial"/>
                <w:szCs w:val="21"/>
              </w:rPr>
            </w:pPr>
          </w:p>
        </w:tc>
        <w:tc>
          <w:tcPr>
            <w:tcW w:w="2258" w:type="dxa"/>
          </w:tcPr>
          <w:p>
            <w:pPr>
              <w:pStyle w:val="86"/>
              <w:spacing w:line="360" w:lineRule="auto"/>
              <w:jc w:val="center"/>
              <w:rPr>
                <w:rFonts w:ascii="宋体" w:hAnsi="宋体" w:cs="Arial"/>
                <w:szCs w:val="21"/>
              </w:rPr>
            </w:pPr>
          </w:p>
        </w:tc>
        <w:tc>
          <w:tcPr>
            <w:tcW w:w="2260" w:type="dxa"/>
          </w:tcPr>
          <w:p>
            <w:pPr>
              <w:pStyle w:val="86"/>
              <w:spacing w:line="360" w:lineRule="auto"/>
              <w:jc w:val="center"/>
              <w:rPr>
                <w:rFonts w:ascii="宋体" w:hAnsi="宋体" w:cs="Arial"/>
                <w:szCs w:val="21"/>
              </w:rPr>
            </w:pPr>
          </w:p>
        </w:tc>
        <w:tc>
          <w:tcPr>
            <w:tcW w:w="2047" w:type="dxa"/>
            <w:tcBorders>
              <w:right w:val="single" w:color="auto" w:sz="4" w:space="0"/>
            </w:tcBorders>
          </w:tcPr>
          <w:p>
            <w:pPr>
              <w:pStyle w:val="86"/>
              <w:spacing w:line="360" w:lineRule="auto"/>
              <w:jc w:val="center"/>
              <w:rPr>
                <w:rFonts w:ascii="宋体" w:hAnsi="宋体" w:cs="Arial"/>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86"/>
              <w:spacing w:line="360" w:lineRule="auto"/>
              <w:jc w:val="center"/>
              <w:rPr>
                <w:rFonts w:ascii="宋体" w:hAnsi="宋体" w:cs="Arial"/>
                <w:szCs w:val="21"/>
              </w:rPr>
            </w:pPr>
          </w:p>
        </w:tc>
        <w:tc>
          <w:tcPr>
            <w:tcW w:w="2258" w:type="dxa"/>
          </w:tcPr>
          <w:p>
            <w:pPr>
              <w:pStyle w:val="86"/>
              <w:spacing w:line="360" w:lineRule="auto"/>
              <w:jc w:val="center"/>
              <w:rPr>
                <w:rFonts w:ascii="宋体" w:hAnsi="宋体" w:cs="Arial"/>
                <w:szCs w:val="21"/>
              </w:rPr>
            </w:pPr>
          </w:p>
        </w:tc>
        <w:tc>
          <w:tcPr>
            <w:tcW w:w="2260" w:type="dxa"/>
          </w:tcPr>
          <w:p>
            <w:pPr>
              <w:pStyle w:val="86"/>
              <w:spacing w:line="360" w:lineRule="auto"/>
              <w:jc w:val="center"/>
              <w:rPr>
                <w:rFonts w:ascii="宋体" w:hAnsi="宋体" w:cs="Arial"/>
                <w:szCs w:val="21"/>
              </w:rPr>
            </w:pPr>
          </w:p>
        </w:tc>
        <w:tc>
          <w:tcPr>
            <w:tcW w:w="2047" w:type="dxa"/>
            <w:tcBorders>
              <w:right w:val="single" w:color="auto" w:sz="4" w:space="0"/>
            </w:tcBorders>
          </w:tcPr>
          <w:p>
            <w:pPr>
              <w:pStyle w:val="86"/>
              <w:spacing w:line="360" w:lineRule="auto"/>
              <w:jc w:val="center"/>
              <w:rPr>
                <w:rFonts w:ascii="宋体" w:hAnsi="宋体" w:cs="Arial"/>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86"/>
              <w:spacing w:line="360" w:lineRule="auto"/>
              <w:jc w:val="center"/>
              <w:rPr>
                <w:rFonts w:ascii="宋体" w:hAnsi="宋体" w:cs="Arial"/>
                <w:szCs w:val="21"/>
              </w:rPr>
            </w:pPr>
          </w:p>
        </w:tc>
        <w:tc>
          <w:tcPr>
            <w:tcW w:w="2258" w:type="dxa"/>
          </w:tcPr>
          <w:p>
            <w:pPr>
              <w:pStyle w:val="86"/>
              <w:spacing w:line="360" w:lineRule="auto"/>
              <w:jc w:val="center"/>
              <w:rPr>
                <w:rFonts w:ascii="宋体" w:hAnsi="宋体" w:cs="Arial"/>
                <w:szCs w:val="21"/>
              </w:rPr>
            </w:pPr>
          </w:p>
        </w:tc>
        <w:tc>
          <w:tcPr>
            <w:tcW w:w="2260" w:type="dxa"/>
          </w:tcPr>
          <w:p>
            <w:pPr>
              <w:pStyle w:val="86"/>
              <w:spacing w:line="360" w:lineRule="auto"/>
              <w:jc w:val="center"/>
              <w:rPr>
                <w:rFonts w:ascii="宋体" w:hAnsi="宋体" w:cs="Arial"/>
                <w:szCs w:val="21"/>
              </w:rPr>
            </w:pPr>
          </w:p>
        </w:tc>
        <w:tc>
          <w:tcPr>
            <w:tcW w:w="2047" w:type="dxa"/>
            <w:tcBorders>
              <w:right w:val="single" w:color="auto" w:sz="4" w:space="0"/>
            </w:tcBorders>
          </w:tcPr>
          <w:p>
            <w:pPr>
              <w:pStyle w:val="86"/>
              <w:spacing w:line="360" w:lineRule="auto"/>
              <w:jc w:val="center"/>
              <w:rPr>
                <w:rFonts w:ascii="宋体" w:hAnsi="宋体" w:cs="Arial"/>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bottom w:val="single" w:color="auto" w:sz="4" w:space="0"/>
            </w:tcBorders>
          </w:tcPr>
          <w:p>
            <w:pPr>
              <w:pStyle w:val="86"/>
              <w:spacing w:line="360" w:lineRule="auto"/>
              <w:jc w:val="center"/>
              <w:rPr>
                <w:rFonts w:ascii="宋体" w:hAnsi="宋体" w:cs="Arial"/>
                <w:szCs w:val="21"/>
              </w:rPr>
            </w:pPr>
          </w:p>
        </w:tc>
        <w:tc>
          <w:tcPr>
            <w:tcW w:w="2258" w:type="dxa"/>
            <w:tcBorders>
              <w:bottom w:val="single" w:color="auto" w:sz="4" w:space="0"/>
            </w:tcBorders>
          </w:tcPr>
          <w:p>
            <w:pPr>
              <w:pStyle w:val="86"/>
              <w:spacing w:line="360" w:lineRule="auto"/>
              <w:jc w:val="center"/>
              <w:rPr>
                <w:rFonts w:ascii="宋体" w:hAnsi="宋体" w:cs="Arial"/>
                <w:szCs w:val="21"/>
              </w:rPr>
            </w:pPr>
          </w:p>
        </w:tc>
        <w:tc>
          <w:tcPr>
            <w:tcW w:w="2260" w:type="dxa"/>
            <w:tcBorders>
              <w:bottom w:val="single" w:color="auto" w:sz="4" w:space="0"/>
            </w:tcBorders>
          </w:tcPr>
          <w:p>
            <w:pPr>
              <w:pStyle w:val="86"/>
              <w:spacing w:line="360" w:lineRule="auto"/>
              <w:jc w:val="center"/>
              <w:rPr>
                <w:rFonts w:ascii="宋体" w:hAnsi="宋体" w:cs="Arial"/>
                <w:szCs w:val="21"/>
              </w:rPr>
            </w:pPr>
          </w:p>
        </w:tc>
        <w:tc>
          <w:tcPr>
            <w:tcW w:w="2047" w:type="dxa"/>
            <w:tcBorders>
              <w:bottom w:val="single" w:color="auto" w:sz="4" w:space="0"/>
              <w:right w:val="single" w:color="auto" w:sz="4" w:space="0"/>
            </w:tcBorders>
          </w:tcPr>
          <w:p>
            <w:pPr>
              <w:pStyle w:val="86"/>
              <w:spacing w:line="360" w:lineRule="auto"/>
              <w:jc w:val="center"/>
              <w:rPr>
                <w:rFonts w:ascii="宋体" w:hAnsi="宋体" w:cs="Arial"/>
                <w:szCs w:val="21"/>
              </w:rPr>
            </w:pPr>
          </w:p>
        </w:tc>
      </w:tr>
    </w:tbl>
    <w:p>
      <w:pPr>
        <w:pStyle w:val="86"/>
        <w:tabs>
          <w:tab w:val="left" w:pos="1050"/>
        </w:tabs>
        <w:spacing w:line="360" w:lineRule="auto"/>
        <w:rPr>
          <w:rFonts w:ascii="仿宋_GB2312" w:hAnsi="宋体" w:eastAsia="仿宋_GB2312"/>
          <w:sz w:val="24"/>
        </w:rPr>
      </w:pPr>
    </w:p>
    <w:p>
      <w:pPr>
        <w:pStyle w:val="86"/>
        <w:tabs>
          <w:tab w:val="left" w:pos="1050"/>
        </w:tabs>
        <w:spacing w:line="360" w:lineRule="auto"/>
        <w:rPr>
          <w:rFonts w:ascii="宋体" w:hAnsi="宋体"/>
          <w:szCs w:val="21"/>
        </w:rPr>
      </w:pPr>
      <w:r>
        <w:rPr>
          <w:rFonts w:hint="eastAsia" w:ascii="宋体" w:hAnsi="宋体"/>
          <w:b/>
          <w:szCs w:val="21"/>
        </w:rPr>
        <w:t>要求：</w:t>
      </w:r>
    </w:p>
    <w:p>
      <w:pPr>
        <w:pStyle w:val="86"/>
        <w:tabs>
          <w:tab w:val="left" w:pos="1050"/>
        </w:tabs>
        <w:spacing w:line="360" w:lineRule="auto"/>
        <w:ind w:firstLine="424" w:firstLineChars="202"/>
        <w:rPr>
          <w:rFonts w:ascii="宋体" w:hAnsi="宋体"/>
          <w:color w:val="008000"/>
          <w:szCs w:val="21"/>
        </w:rPr>
      </w:pPr>
      <w:r>
        <w:rPr>
          <w:rFonts w:hint="eastAsia" w:ascii="宋体" w:hAnsi="宋体"/>
          <w:szCs w:val="21"/>
        </w:rPr>
        <w:t>1.填写投标人获得资质、认证或企业信誉证书。</w:t>
      </w:r>
    </w:p>
    <w:p>
      <w:pPr>
        <w:pStyle w:val="86"/>
        <w:tabs>
          <w:tab w:val="left" w:pos="1050"/>
        </w:tabs>
        <w:spacing w:line="360" w:lineRule="auto"/>
        <w:ind w:firstLine="424" w:firstLineChars="202"/>
        <w:rPr>
          <w:rFonts w:ascii="宋体" w:hAnsi="宋体"/>
          <w:szCs w:val="21"/>
        </w:rPr>
      </w:pPr>
      <w:r>
        <w:rPr>
          <w:rFonts w:hint="eastAsia" w:ascii="宋体" w:hAnsi="宋体"/>
          <w:szCs w:val="21"/>
        </w:rPr>
        <w:t>2.请提供本表所列的证书资料。</w:t>
      </w:r>
    </w:p>
    <w:p>
      <w:pPr>
        <w:pStyle w:val="86"/>
        <w:tabs>
          <w:tab w:val="left" w:pos="1050"/>
        </w:tabs>
        <w:spacing w:line="360" w:lineRule="auto"/>
        <w:ind w:firstLine="720" w:firstLineChars="300"/>
        <w:rPr>
          <w:rFonts w:ascii="仿宋_GB2312" w:hAnsi="宋体" w:eastAsia="仿宋_GB2312"/>
          <w:sz w:val="24"/>
        </w:rPr>
      </w:pPr>
    </w:p>
    <w:p>
      <w:pPr>
        <w:pStyle w:val="86"/>
        <w:tabs>
          <w:tab w:val="left" w:pos="1050"/>
        </w:tabs>
        <w:spacing w:line="360" w:lineRule="auto"/>
        <w:ind w:firstLine="720" w:firstLineChars="300"/>
        <w:rPr>
          <w:rFonts w:ascii="仿宋_GB2312" w:hAnsi="宋体" w:eastAsia="仿宋_GB2312"/>
          <w:sz w:val="24"/>
        </w:rPr>
      </w:pPr>
    </w:p>
    <w:p>
      <w:pPr>
        <w:pStyle w:val="86"/>
        <w:tabs>
          <w:tab w:val="left" w:pos="1050"/>
        </w:tabs>
        <w:spacing w:line="360" w:lineRule="auto"/>
        <w:ind w:firstLine="720" w:firstLineChars="300"/>
        <w:rPr>
          <w:rFonts w:ascii="仿宋_GB2312" w:hAnsi="宋体" w:eastAsia="仿宋_GB2312"/>
          <w:sz w:val="24"/>
        </w:rPr>
      </w:pPr>
    </w:p>
    <w:p>
      <w:pPr>
        <w:spacing w:line="360" w:lineRule="auto"/>
        <w:ind w:firstLine="424" w:firstLineChars="177"/>
        <w:rPr>
          <w:rFonts w:ascii="宋体" w:hAnsi="宋体"/>
          <w:sz w:val="24"/>
          <w:u w:val="single"/>
        </w:rPr>
      </w:pPr>
      <w:r>
        <w:rPr>
          <w:rFonts w:hint="eastAsia" w:ascii="宋体" w:hAnsi="宋体"/>
          <w:sz w:val="24"/>
        </w:rPr>
        <w:t>投标人名称（盖章）：</w:t>
      </w:r>
    </w:p>
    <w:p>
      <w:pPr>
        <w:spacing w:line="360" w:lineRule="auto"/>
        <w:ind w:left="420"/>
        <w:rPr>
          <w:rFonts w:ascii="宋体" w:hAnsi="宋体"/>
          <w:sz w:val="24"/>
        </w:rPr>
      </w:pPr>
    </w:p>
    <w:p>
      <w:pPr>
        <w:spacing w:line="360" w:lineRule="auto"/>
        <w:ind w:firstLine="424" w:firstLineChars="177"/>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24" w:firstLineChars="177"/>
        <w:rPr>
          <w:rFonts w:ascii="宋体" w:hAnsi="宋体"/>
          <w:sz w:val="24"/>
          <w:u w:val="single"/>
        </w:rPr>
      </w:pPr>
      <w:r>
        <w:rPr>
          <w:rFonts w:hint="eastAsia" w:ascii="宋体" w:hAnsi="宋体"/>
          <w:sz w:val="24"/>
        </w:rPr>
        <w:t>职        务：</w:t>
      </w:r>
    </w:p>
    <w:p>
      <w:pPr>
        <w:spacing w:line="360" w:lineRule="auto"/>
        <w:rPr>
          <w:rFonts w:ascii="宋体" w:hAnsi="宋体"/>
          <w:sz w:val="24"/>
        </w:rPr>
      </w:pPr>
    </w:p>
    <w:p>
      <w:pPr>
        <w:pStyle w:val="81"/>
        <w:shd w:val="clear" w:color="auto" w:fill="FFFFFF"/>
        <w:spacing w:before="0" w:beforeAutospacing="0" w:after="0" w:afterAutospacing="0" w:line="360" w:lineRule="auto"/>
        <w:ind w:firstLine="424" w:firstLineChars="177"/>
        <w:rPr>
          <w:b/>
          <w:bCs/>
          <w:color w:val="000000"/>
          <w:spacing w:val="11"/>
        </w:rPr>
      </w:pPr>
      <w:r>
        <w:rPr>
          <w:rFonts w:hint="eastAsia"/>
        </w:rPr>
        <w:t>日        期：</w:t>
      </w:r>
      <w:r>
        <w:rPr>
          <w:rFonts w:hint="eastAsia"/>
          <w:color w:val="000000"/>
        </w:rPr>
        <w:t>：</w:t>
      </w:r>
    </w:p>
    <w:p>
      <w:pPr>
        <w:pStyle w:val="86"/>
        <w:tabs>
          <w:tab w:val="left" w:pos="1050"/>
        </w:tabs>
        <w:spacing w:line="360" w:lineRule="auto"/>
        <w:rPr>
          <w:rFonts w:ascii="仿宋_GB2312" w:hAnsi="宋体" w:eastAsia="仿宋_GB2312"/>
          <w:sz w:val="24"/>
        </w:rPr>
      </w:pPr>
    </w:p>
    <w:p>
      <w:pPr>
        <w:pStyle w:val="86"/>
        <w:tabs>
          <w:tab w:val="left" w:pos="1050"/>
        </w:tabs>
        <w:spacing w:line="360" w:lineRule="auto"/>
        <w:rPr>
          <w:rFonts w:ascii="仿宋_GB2312" w:hAnsi="宋体" w:eastAsia="仿宋_GB2312"/>
          <w:sz w:val="24"/>
        </w:rPr>
      </w:pPr>
    </w:p>
    <w:p>
      <w:pPr>
        <w:pStyle w:val="86"/>
        <w:tabs>
          <w:tab w:val="left" w:pos="1050"/>
        </w:tabs>
        <w:spacing w:line="360" w:lineRule="auto"/>
        <w:rPr>
          <w:rFonts w:ascii="仿宋_GB2312" w:hAnsi="宋体" w:eastAsia="仿宋_GB2312"/>
          <w:sz w:val="24"/>
        </w:rPr>
      </w:pPr>
    </w:p>
    <w:p>
      <w:pPr>
        <w:pStyle w:val="86"/>
        <w:tabs>
          <w:tab w:val="left" w:pos="1050"/>
        </w:tabs>
        <w:spacing w:line="360" w:lineRule="auto"/>
        <w:rPr>
          <w:rFonts w:ascii="仿宋_GB2312" w:hAnsi="宋体" w:eastAsia="仿宋_GB2312"/>
          <w:sz w:val="24"/>
        </w:rPr>
      </w:pPr>
      <w:r>
        <w:rPr>
          <w:rFonts w:hint="eastAsia" w:ascii="宋体" w:hAnsi="宋体"/>
          <w:b/>
          <w:sz w:val="28"/>
        </w:rPr>
        <w:t>附件6</w:t>
      </w:r>
    </w:p>
    <w:p>
      <w:pPr>
        <w:spacing w:line="360" w:lineRule="auto"/>
        <w:ind w:left="549" w:hanging="549" w:hangingChars="171"/>
        <w:jc w:val="center"/>
        <w:rPr>
          <w:rFonts w:ascii="宋体" w:hAnsi="宋体"/>
          <w:b/>
          <w:sz w:val="32"/>
          <w:szCs w:val="32"/>
        </w:rPr>
      </w:pPr>
      <w:r>
        <w:rPr>
          <w:rFonts w:hint="eastAsia" w:ascii="宋体" w:hAnsi="宋体"/>
          <w:b/>
          <w:sz w:val="32"/>
          <w:szCs w:val="32"/>
        </w:rPr>
        <w:t>资信及商务需求响应表(第 标)</w:t>
      </w:r>
    </w:p>
    <w:p>
      <w:pPr>
        <w:spacing w:line="360" w:lineRule="auto"/>
        <w:ind w:left="481" w:leftChars="229" w:firstLine="813" w:firstLineChars="450"/>
        <w:rPr>
          <w:rFonts w:ascii="宋体" w:hAnsi="宋体"/>
          <w:b/>
          <w:sz w:val="18"/>
          <w:szCs w:val="18"/>
        </w:rPr>
      </w:pPr>
    </w:p>
    <w:tbl>
      <w:tblPr>
        <w:tblStyle w:val="35"/>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785"/>
        <w:gridCol w:w="1365"/>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66" w:hRule="atLeast"/>
        </w:trPr>
        <w:tc>
          <w:tcPr>
            <w:tcW w:w="735" w:type="dxa"/>
            <w:vAlign w:val="center"/>
          </w:tcPr>
          <w:p>
            <w:pPr>
              <w:spacing w:line="360" w:lineRule="auto"/>
              <w:rPr>
                <w:rFonts w:ascii="宋体" w:hAnsi="宋体"/>
                <w:b/>
                <w:sz w:val="24"/>
              </w:rPr>
            </w:pPr>
            <w:r>
              <w:rPr>
                <w:rFonts w:hint="eastAsia" w:ascii="宋体" w:hAnsi="宋体"/>
                <w:b/>
                <w:sz w:val="24"/>
              </w:rPr>
              <w:t>序号</w:t>
            </w:r>
          </w:p>
        </w:tc>
        <w:tc>
          <w:tcPr>
            <w:tcW w:w="1785" w:type="dxa"/>
            <w:vAlign w:val="center"/>
          </w:tcPr>
          <w:p>
            <w:pPr>
              <w:spacing w:line="360" w:lineRule="auto"/>
              <w:rPr>
                <w:rFonts w:ascii="宋体" w:hAnsi="宋体"/>
                <w:b/>
                <w:sz w:val="24"/>
              </w:rPr>
            </w:pPr>
            <w:r>
              <w:rPr>
                <w:rFonts w:hint="eastAsia" w:ascii="宋体" w:hAnsi="宋体"/>
                <w:b/>
                <w:sz w:val="24"/>
              </w:rPr>
              <w:t xml:space="preserve">   内容</w:t>
            </w:r>
          </w:p>
        </w:tc>
        <w:tc>
          <w:tcPr>
            <w:tcW w:w="1785" w:type="dxa"/>
            <w:vAlign w:val="center"/>
          </w:tcPr>
          <w:p>
            <w:pPr>
              <w:spacing w:line="360" w:lineRule="auto"/>
              <w:ind w:left="53" w:leftChars="25" w:firstLine="241" w:firstLineChars="100"/>
              <w:rPr>
                <w:rFonts w:ascii="宋体" w:hAnsi="宋体"/>
                <w:b/>
                <w:sz w:val="24"/>
              </w:rPr>
            </w:pPr>
            <w:r>
              <w:rPr>
                <w:rFonts w:hint="eastAsia" w:ascii="宋体" w:hAnsi="宋体"/>
                <w:b/>
                <w:sz w:val="24"/>
              </w:rPr>
              <w:t>招标需求</w:t>
            </w:r>
          </w:p>
        </w:tc>
        <w:tc>
          <w:tcPr>
            <w:tcW w:w="1365" w:type="dxa"/>
            <w:vAlign w:val="center"/>
          </w:tcPr>
          <w:p>
            <w:pPr>
              <w:spacing w:line="360" w:lineRule="auto"/>
              <w:ind w:left="152"/>
              <w:rPr>
                <w:rFonts w:ascii="宋体" w:hAnsi="宋体"/>
                <w:b/>
                <w:sz w:val="24"/>
              </w:rPr>
            </w:pPr>
            <w:r>
              <w:rPr>
                <w:rFonts w:hint="eastAsia" w:ascii="宋体" w:hAnsi="宋体"/>
                <w:b/>
                <w:sz w:val="24"/>
              </w:rPr>
              <w:t>是否响应</w:t>
            </w:r>
          </w:p>
        </w:tc>
        <w:tc>
          <w:tcPr>
            <w:tcW w:w="2625" w:type="dxa"/>
            <w:vAlign w:val="center"/>
          </w:tcPr>
          <w:p>
            <w:pPr>
              <w:spacing w:line="360" w:lineRule="auto"/>
              <w:jc w:val="center"/>
              <w:rPr>
                <w:rFonts w:ascii="宋体" w:hAnsi="宋体"/>
                <w:b/>
                <w:sz w:val="24"/>
              </w:rPr>
            </w:pPr>
            <w:r>
              <w:rPr>
                <w:rFonts w:hint="eastAsia" w:ascii="宋体" w:hAnsi="宋体"/>
                <w:b/>
                <w:sz w:val="24"/>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735" w:type="dxa"/>
            <w:vAlign w:val="center"/>
          </w:tcPr>
          <w:p>
            <w:pPr>
              <w:spacing w:line="360" w:lineRule="auto"/>
              <w:rPr>
                <w:rFonts w:ascii="宋体" w:hAnsi="宋体"/>
                <w:sz w:val="24"/>
              </w:rPr>
            </w:pPr>
          </w:p>
        </w:tc>
        <w:tc>
          <w:tcPr>
            <w:tcW w:w="1785" w:type="dxa"/>
          </w:tcPr>
          <w:p>
            <w:pPr>
              <w:snapToGrid w:val="0"/>
              <w:spacing w:line="360" w:lineRule="auto"/>
              <w:rPr>
                <w:rFonts w:ascii="宋体" w:hAnsi="宋体"/>
                <w:sz w:val="24"/>
              </w:rPr>
            </w:pPr>
            <w:r>
              <w:rPr>
                <w:rFonts w:hint="eastAsia" w:ascii="宋体" w:hAnsi="宋体"/>
                <w:sz w:val="24"/>
              </w:rPr>
              <w:t>售后服务保障要求</w:t>
            </w:r>
          </w:p>
        </w:tc>
        <w:tc>
          <w:tcPr>
            <w:tcW w:w="1785"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c>
          <w:tcPr>
            <w:tcW w:w="262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735" w:type="dxa"/>
            <w:vAlign w:val="center"/>
          </w:tcPr>
          <w:p>
            <w:pPr>
              <w:spacing w:line="360" w:lineRule="auto"/>
              <w:rPr>
                <w:rFonts w:ascii="宋体" w:hAnsi="宋体"/>
                <w:sz w:val="24"/>
              </w:rPr>
            </w:pPr>
          </w:p>
        </w:tc>
        <w:tc>
          <w:tcPr>
            <w:tcW w:w="1785" w:type="dxa"/>
          </w:tcPr>
          <w:p>
            <w:pPr>
              <w:snapToGrid w:val="0"/>
              <w:spacing w:line="360" w:lineRule="auto"/>
              <w:rPr>
                <w:rFonts w:ascii="宋体" w:hAnsi="宋体"/>
                <w:sz w:val="24"/>
              </w:rPr>
            </w:pPr>
            <w:r>
              <w:rPr>
                <w:rFonts w:hint="eastAsia" w:ascii="宋体" w:hAnsi="宋体"/>
                <w:sz w:val="24"/>
              </w:rPr>
              <w:t>备品备件及耗材等要求</w:t>
            </w:r>
          </w:p>
        </w:tc>
        <w:tc>
          <w:tcPr>
            <w:tcW w:w="1785"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c>
          <w:tcPr>
            <w:tcW w:w="262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spacing w:line="360" w:lineRule="auto"/>
              <w:rPr>
                <w:rFonts w:ascii="宋体" w:hAnsi="宋体"/>
                <w:sz w:val="24"/>
              </w:rPr>
            </w:pPr>
          </w:p>
        </w:tc>
        <w:tc>
          <w:tcPr>
            <w:tcW w:w="1785" w:type="dxa"/>
          </w:tcPr>
          <w:p>
            <w:pPr>
              <w:snapToGrid w:val="0"/>
              <w:spacing w:line="360" w:lineRule="auto"/>
              <w:rPr>
                <w:rFonts w:ascii="宋体" w:hAnsi="宋体"/>
                <w:sz w:val="24"/>
              </w:rPr>
            </w:pPr>
            <w:r>
              <w:rPr>
                <w:rFonts w:hint="eastAsia" w:ascii="宋体" w:hAnsi="宋体"/>
                <w:sz w:val="24"/>
              </w:rPr>
              <w:t>质保期</w:t>
            </w:r>
          </w:p>
        </w:tc>
        <w:tc>
          <w:tcPr>
            <w:tcW w:w="1785"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c>
          <w:tcPr>
            <w:tcW w:w="262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spacing w:line="360" w:lineRule="auto"/>
              <w:rPr>
                <w:rFonts w:ascii="宋体" w:hAnsi="宋体"/>
                <w:sz w:val="24"/>
              </w:rPr>
            </w:pPr>
          </w:p>
        </w:tc>
        <w:tc>
          <w:tcPr>
            <w:tcW w:w="1785" w:type="dxa"/>
          </w:tcPr>
          <w:p>
            <w:pPr>
              <w:snapToGrid w:val="0"/>
              <w:spacing w:line="360" w:lineRule="auto"/>
              <w:rPr>
                <w:rFonts w:ascii="宋体" w:hAnsi="宋体"/>
                <w:sz w:val="24"/>
              </w:rPr>
            </w:pPr>
            <w:r>
              <w:rPr>
                <w:rFonts w:hint="eastAsia" w:ascii="宋体" w:hAnsi="宋体"/>
                <w:sz w:val="24"/>
              </w:rPr>
              <w:t>交货和服务</w:t>
            </w:r>
          </w:p>
          <w:p>
            <w:pPr>
              <w:snapToGrid w:val="0"/>
              <w:spacing w:line="360" w:lineRule="auto"/>
              <w:rPr>
                <w:rFonts w:ascii="宋体" w:hAnsi="宋体"/>
                <w:sz w:val="24"/>
              </w:rPr>
            </w:pPr>
            <w:r>
              <w:rPr>
                <w:rFonts w:hint="eastAsia" w:ascii="宋体" w:hAnsi="宋体"/>
                <w:sz w:val="24"/>
              </w:rPr>
              <w:t>时间及地点</w:t>
            </w:r>
          </w:p>
        </w:tc>
        <w:tc>
          <w:tcPr>
            <w:tcW w:w="1785"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c>
          <w:tcPr>
            <w:tcW w:w="262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500" w:hRule="atLeast"/>
        </w:trPr>
        <w:tc>
          <w:tcPr>
            <w:tcW w:w="735" w:type="dxa"/>
            <w:vAlign w:val="center"/>
          </w:tcPr>
          <w:p>
            <w:pPr>
              <w:spacing w:line="360" w:lineRule="auto"/>
              <w:rPr>
                <w:rFonts w:ascii="宋体" w:hAnsi="宋体"/>
                <w:sz w:val="24"/>
              </w:rPr>
            </w:pPr>
          </w:p>
        </w:tc>
        <w:tc>
          <w:tcPr>
            <w:tcW w:w="1785" w:type="dxa"/>
          </w:tcPr>
          <w:p>
            <w:pPr>
              <w:snapToGrid w:val="0"/>
              <w:spacing w:line="360" w:lineRule="auto"/>
              <w:rPr>
                <w:rFonts w:ascii="宋体" w:hAnsi="宋体"/>
                <w:sz w:val="24"/>
              </w:rPr>
            </w:pPr>
            <w:r>
              <w:rPr>
                <w:rFonts w:hint="eastAsia" w:ascii="宋体" w:hAnsi="宋体"/>
                <w:sz w:val="24"/>
              </w:rPr>
              <w:t>付款条件</w:t>
            </w:r>
          </w:p>
        </w:tc>
        <w:tc>
          <w:tcPr>
            <w:tcW w:w="1785"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c>
          <w:tcPr>
            <w:tcW w:w="262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spacing w:line="360" w:lineRule="auto"/>
              <w:rPr>
                <w:rFonts w:ascii="宋体" w:hAnsi="宋体"/>
                <w:sz w:val="24"/>
              </w:rPr>
            </w:pPr>
          </w:p>
        </w:tc>
        <w:tc>
          <w:tcPr>
            <w:tcW w:w="1785" w:type="dxa"/>
          </w:tcPr>
          <w:p>
            <w:pPr>
              <w:snapToGrid w:val="0"/>
              <w:spacing w:line="360" w:lineRule="auto"/>
              <w:rPr>
                <w:rFonts w:ascii="宋体" w:hAnsi="宋体"/>
                <w:sz w:val="24"/>
              </w:rPr>
            </w:pPr>
            <w:r>
              <w:rPr>
                <w:rFonts w:hint="eastAsia" w:ascii="宋体" w:hAnsi="宋体"/>
                <w:sz w:val="24"/>
              </w:rPr>
              <w:t>……</w:t>
            </w:r>
          </w:p>
        </w:tc>
        <w:tc>
          <w:tcPr>
            <w:tcW w:w="1785"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c>
          <w:tcPr>
            <w:tcW w:w="262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atLeast"/>
        </w:trPr>
        <w:tc>
          <w:tcPr>
            <w:tcW w:w="735" w:type="dxa"/>
            <w:vAlign w:val="center"/>
          </w:tcPr>
          <w:p>
            <w:pPr>
              <w:spacing w:line="360" w:lineRule="auto"/>
              <w:rPr>
                <w:rFonts w:ascii="宋体" w:hAnsi="宋体"/>
                <w:sz w:val="24"/>
              </w:rPr>
            </w:pPr>
          </w:p>
        </w:tc>
        <w:tc>
          <w:tcPr>
            <w:tcW w:w="1785" w:type="dxa"/>
          </w:tcPr>
          <w:p>
            <w:pPr>
              <w:snapToGrid w:val="0"/>
              <w:spacing w:line="360" w:lineRule="auto"/>
              <w:rPr>
                <w:rFonts w:ascii="宋体" w:hAnsi="宋体"/>
                <w:sz w:val="24"/>
              </w:rPr>
            </w:pPr>
            <w:r>
              <w:rPr>
                <w:rFonts w:hint="eastAsia" w:ascii="宋体" w:hAnsi="宋体"/>
                <w:sz w:val="24"/>
              </w:rPr>
              <w:t>政策性加分条件</w:t>
            </w:r>
          </w:p>
        </w:tc>
        <w:tc>
          <w:tcPr>
            <w:tcW w:w="1785"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c>
          <w:tcPr>
            <w:tcW w:w="262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trPr>
        <w:tc>
          <w:tcPr>
            <w:tcW w:w="735" w:type="dxa"/>
            <w:vAlign w:val="center"/>
          </w:tcPr>
          <w:p>
            <w:pPr>
              <w:spacing w:line="360" w:lineRule="auto"/>
              <w:rPr>
                <w:rFonts w:ascii="宋体" w:hAnsi="宋体"/>
                <w:sz w:val="24"/>
              </w:rPr>
            </w:pPr>
          </w:p>
        </w:tc>
        <w:tc>
          <w:tcPr>
            <w:tcW w:w="1785" w:type="dxa"/>
          </w:tcPr>
          <w:p>
            <w:pPr>
              <w:snapToGrid w:val="0"/>
              <w:spacing w:line="360" w:lineRule="auto"/>
              <w:rPr>
                <w:rFonts w:ascii="宋体" w:hAnsi="宋体"/>
                <w:sz w:val="24"/>
              </w:rPr>
            </w:pPr>
            <w:r>
              <w:rPr>
                <w:rFonts w:hint="eastAsia" w:ascii="宋体" w:hAnsi="宋体"/>
                <w:sz w:val="24"/>
              </w:rPr>
              <w:t>质量管理、企业信用要求</w:t>
            </w:r>
          </w:p>
        </w:tc>
        <w:tc>
          <w:tcPr>
            <w:tcW w:w="1785"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c>
          <w:tcPr>
            <w:tcW w:w="262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trPr>
        <w:tc>
          <w:tcPr>
            <w:tcW w:w="735" w:type="dxa"/>
            <w:vAlign w:val="center"/>
          </w:tcPr>
          <w:p>
            <w:pPr>
              <w:spacing w:line="360" w:lineRule="auto"/>
              <w:rPr>
                <w:rFonts w:ascii="宋体" w:hAnsi="宋体"/>
                <w:sz w:val="24"/>
              </w:rPr>
            </w:pPr>
          </w:p>
        </w:tc>
        <w:tc>
          <w:tcPr>
            <w:tcW w:w="1785" w:type="dxa"/>
          </w:tcPr>
          <w:p>
            <w:pPr>
              <w:snapToGrid w:val="0"/>
              <w:spacing w:line="360" w:lineRule="auto"/>
              <w:rPr>
                <w:rFonts w:ascii="宋体" w:hAnsi="宋体"/>
                <w:sz w:val="24"/>
              </w:rPr>
            </w:pPr>
            <w:r>
              <w:rPr>
                <w:rFonts w:hint="eastAsia" w:ascii="宋体" w:hAnsi="宋体"/>
                <w:sz w:val="24"/>
              </w:rPr>
              <w:t>能力或业绩要求</w:t>
            </w:r>
          </w:p>
        </w:tc>
        <w:tc>
          <w:tcPr>
            <w:tcW w:w="1785"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c>
          <w:tcPr>
            <w:tcW w:w="262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735" w:type="dxa"/>
            <w:vAlign w:val="center"/>
          </w:tcPr>
          <w:p>
            <w:pPr>
              <w:spacing w:line="360" w:lineRule="auto"/>
              <w:rPr>
                <w:rFonts w:ascii="宋体" w:hAnsi="宋体"/>
                <w:sz w:val="24"/>
              </w:rPr>
            </w:pPr>
          </w:p>
        </w:tc>
        <w:tc>
          <w:tcPr>
            <w:tcW w:w="1785" w:type="dxa"/>
          </w:tcPr>
          <w:p>
            <w:pPr>
              <w:snapToGrid w:val="0"/>
              <w:spacing w:beforeLines="50" w:line="360" w:lineRule="auto"/>
              <w:rPr>
                <w:rFonts w:ascii="宋体" w:hAnsi="宋体"/>
                <w:sz w:val="24"/>
              </w:rPr>
            </w:pPr>
            <w:r>
              <w:rPr>
                <w:rFonts w:hint="eastAsia" w:ascii="宋体" w:hAnsi="宋体"/>
                <w:sz w:val="24"/>
              </w:rPr>
              <w:t>……</w:t>
            </w:r>
          </w:p>
        </w:tc>
        <w:tc>
          <w:tcPr>
            <w:tcW w:w="1785"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c>
          <w:tcPr>
            <w:tcW w:w="262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640" w:hRule="atLeast"/>
        </w:trPr>
        <w:tc>
          <w:tcPr>
            <w:tcW w:w="735" w:type="dxa"/>
            <w:vAlign w:val="center"/>
          </w:tcPr>
          <w:p>
            <w:pPr>
              <w:spacing w:line="360" w:lineRule="auto"/>
              <w:rPr>
                <w:rFonts w:ascii="宋体" w:hAnsi="宋体"/>
                <w:sz w:val="24"/>
              </w:rPr>
            </w:pPr>
          </w:p>
        </w:tc>
        <w:tc>
          <w:tcPr>
            <w:tcW w:w="1785" w:type="dxa"/>
            <w:vAlign w:val="center"/>
          </w:tcPr>
          <w:p>
            <w:pPr>
              <w:spacing w:line="360" w:lineRule="auto"/>
              <w:rPr>
                <w:rFonts w:ascii="宋体" w:hAnsi="宋体"/>
                <w:sz w:val="24"/>
              </w:rPr>
            </w:pPr>
          </w:p>
        </w:tc>
        <w:tc>
          <w:tcPr>
            <w:tcW w:w="1785"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c>
          <w:tcPr>
            <w:tcW w:w="262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0" w:hRule="atLeast"/>
        </w:trPr>
        <w:tc>
          <w:tcPr>
            <w:tcW w:w="735" w:type="dxa"/>
            <w:vAlign w:val="center"/>
          </w:tcPr>
          <w:p>
            <w:pPr>
              <w:spacing w:line="360" w:lineRule="auto"/>
              <w:rPr>
                <w:rFonts w:ascii="宋体" w:hAnsi="宋体"/>
                <w:sz w:val="24"/>
              </w:rPr>
            </w:pPr>
          </w:p>
        </w:tc>
        <w:tc>
          <w:tcPr>
            <w:tcW w:w="1785" w:type="dxa"/>
            <w:vAlign w:val="center"/>
          </w:tcPr>
          <w:p>
            <w:pPr>
              <w:spacing w:line="360" w:lineRule="auto"/>
              <w:rPr>
                <w:rFonts w:ascii="宋体" w:hAnsi="宋体"/>
                <w:sz w:val="24"/>
              </w:rPr>
            </w:pPr>
          </w:p>
        </w:tc>
        <w:tc>
          <w:tcPr>
            <w:tcW w:w="1785"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c>
          <w:tcPr>
            <w:tcW w:w="2625" w:type="dxa"/>
            <w:vAlign w:val="center"/>
          </w:tcPr>
          <w:p>
            <w:pPr>
              <w:spacing w:line="360" w:lineRule="auto"/>
              <w:rPr>
                <w:rFonts w:ascii="宋体" w:hAnsi="宋体"/>
                <w:sz w:val="24"/>
              </w:rPr>
            </w:pPr>
          </w:p>
        </w:tc>
      </w:tr>
    </w:tbl>
    <w:p>
      <w:pPr>
        <w:spacing w:line="360" w:lineRule="auto"/>
        <w:ind w:left="420"/>
        <w:rPr>
          <w:rFonts w:ascii="宋体" w:hAnsi="宋体"/>
          <w:sz w:val="24"/>
        </w:rPr>
      </w:pPr>
    </w:p>
    <w:p>
      <w:pPr>
        <w:spacing w:line="360" w:lineRule="auto"/>
        <w:ind w:left="420"/>
        <w:rPr>
          <w:rFonts w:ascii="仿宋_GB2312" w:hAnsi="宋体" w:eastAsia="仿宋_GB2312"/>
          <w:b/>
          <w:sz w:val="24"/>
        </w:rPr>
      </w:pPr>
    </w:p>
    <w:p>
      <w:pPr>
        <w:spacing w:line="360" w:lineRule="auto"/>
        <w:ind w:left="420"/>
        <w:rPr>
          <w:rFonts w:ascii="仿宋_GB2312" w:hAnsi="宋体" w:eastAsia="仿宋_GB2312"/>
          <w:sz w:val="24"/>
        </w:rPr>
      </w:pPr>
    </w:p>
    <w:p>
      <w:pPr>
        <w:spacing w:line="360" w:lineRule="auto"/>
        <w:ind w:left="420"/>
        <w:rPr>
          <w:rFonts w:ascii="宋体" w:hAnsi="宋体"/>
          <w:sz w:val="24"/>
        </w:rPr>
      </w:pPr>
    </w:p>
    <w:p>
      <w:pPr>
        <w:spacing w:line="360" w:lineRule="auto"/>
        <w:ind w:left="420"/>
        <w:rPr>
          <w:rFonts w:ascii="宋体" w:hAnsi="宋体"/>
          <w:sz w:val="24"/>
          <w:u w:val="single"/>
        </w:rPr>
      </w:pPr>
      <w:r>
        <w:rPr>
          <w:rFonts w:hint="eastAsia" w:ascii="宋体" w:hAnsi="宋体"/>
          <w:sz w:val="24"/>
        </w:rPr>
        <w:t>投标人名称（盖章）：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spacing w:line="360" w:lineRule="auto"/>
        <w:rPr>
          <w:rFonts w:ascii="宋体" w:hAnsi="宋体"/>
          <w:b/>
          <w:sz w:val="28"/>
        </w:rPr>
      </w:pPr>
    </w:p>
    <w:p>
      <w:pPr>
        <w:spacing w:line="360" w:lineRule="auto"/>
        <w:rPr>
          <w:rFonts w:ascii="宋体" w:hAnsi="宋体"/>
          <w:b/>
          <w:sz w:val="28"/>
        </w:rPr>
      </w:pPr>
      <w:r>
        <w:rPr>
          <w:rFonts w:hint="eastAsia" w:ascii="宋体" w:hAnsi="宋体"/>
          <w:b/>
          <w:sz w:val="28"/>
        </w:rPr>
        <w:t>附件7</w:t>
      </w:r>
    </w:p>
    <w:p>
      <w:pPr>
        <w:pStyle w:val="91"/>
        <w:spacing w:line="360" w:lineRule="auto"/>
        <w:jc w:val="center"/>
        <w:rPr>
          <w:rFonts w:ascii="宋体" w:hAnsi="宋体"/>
          <w:b/>
          <w:sz w:val="32"/>
          <w:szCs w:val="32"/>
        </w:rPr>
      </w:pPr>
      <w:r>
        <w:rPr>
          <w:rFonts w:hint="eastAsia" w:ascii="宋体" w:hAnsi="宋体"/>
          <w:b/>
          <w:sz w:val="32"/>
          <w:szCs w:val="32"/>
        </w:rPr>
        <w:t>投标人类似项目实施情况一览表</w:t>
      </w:r>
    </w:p>
    <w:p>
      <w:pPr>
        <w:pStyle w:val="91"/>
        <w:spacing w:line="360" w:lineRule="auto"/>
        <w:jc w:val="center"/>
        <w:rPr>
          <w:rFonts w:ascii="仿宋_GB2312" w:eastAsia="仿宋_GB2312"/>
          <w:b/>
          <w:sz w:val="28"/>
          <w:szCs w:val="28"/>
        </w:rPr>
      </w:pPr>
    </w:p>
    <w:tbl>
      <w:tblPr>
        <w:tblStyle w:val="35"/>
        <w:tblW w:w="954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452"/>
        <w:gridCol w:w="1383"/>
        <w:gridCol w:w="20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91"/>
              <w:spacing w:line="360" w:lineRule="auto"/>
              <w:jc w:val="center"/>
              <w:rPr>
                <w:rFonts w:ascii="宋体" w:hAnsi="宋体" w:cs="Arial"/>
                <w:b/>
                <w:bCs/>
                <w:sz w:val="24"/>
              </w:rPr>
            </w:pPr>
            <w:r>
              <w:rPr>
                <w:rFonts w:hint="eastAsia" w:ascii="宋体" w:hAnsi="宋体" w:cs="Arial"/>
                <w:b/>
                <w:bCs/>
                <w:sz w:val="24"/>
              </w:rPr>
              <w:t>序号</w:t>
            </w:r>
          </w:p>
        </w:tc>
        <w:tc>
          <w:tcPr>
            <w:tcW w:w="1293" w:type="dxa"/>
            <w:tcBorders>
              <w:top w:val="single" w:color="auto" w:sz="6" w:space="0"/>
              <w:left w:val="single" w:color="auto" w:sz="6" w:space="0"/>
              <w:bottom w:val="single" w:color="auto" w:sz="6" w:space="0"/>
              <w:right w:val="single" w:color="auto" w:sz="6" w:space="0"/>
            </w:tcBorders>
            <w:vAlign w:val="center"/>
          </w:tcPr>
          <w:p>
            <w:pPr>
              <w:pStyle w:val="91"/>
              <w:spacing w:line="360" w:lineRule="auto"/>
              <w:jc w:val="center"/>
              <w:rPr>
                <w:rFonts w:ascii="宋体" w:hAnsi="宋体" w:cs="Arial"/>
                <w:b/>
                <w:bCs/>
                <w:sz w:val="24"/>
              </w:rPr>
            </w:pPr>
            <w:r>
              <w:rPr>
                <w:rFonts w:hint="eastAsia" w:ascii="宋体" w:hAnsi="宋体" w:cs="Arial"/>
                <w:b/>
                <w:bCs/>
                <w:sz w:val="24"/>
              </w:rPr>
              <w:t>项目名称</w:t>
            </w:r>
          </w:p>
        </w:tc>
        <w:tc>
          <w:tcPr>
            <w:tcW w:w="1575" w:type="dxa"/>
            <w:tcBorders>
              <w:top w:val="single" w:color="auto" w:sz="6" w:space="0"/>
              <w:left w:val="single" w:color="auto" w:sz="6" w:space="0"/>
              <w:bottom w:val="single" w:color="auto" w:sz="6" w:space="0"/>
              <w:right w:val="single" w:color="auto" w:sz="6" w:space="0"/>
            </w:tcBorders>
            <w:vAlign w:val="center"/>
          </w:tcPr>
          <w:p>
            <w:pPr>
              <w:pStyle w:val="91"/>
              <w:spacing w:line="360" w:lineRule="auto"/>
              <w:jc w:val="center"/>
              <w:rPr>
                <w:rFonts w:ascii="宋体" w:hAnsi="宋体" w:cs="Arial"/>
                <w:b/>
                <w:bCs/>
                <w:sz w:val="24"/>
              </w:rPr>
            </w:pPr>
            <w:r>
              <w:rPr>
                <w:rFonts w:hint="eastAsia" w:ascii="宋体" w:hAnsi="宋体" w:cs="Arial"/>
                <w:b/>
                <w:bCs/>
                <w:sz w:val="24"/>
              </w:rPr>
              <w:t>项目地址</w:t>
            </w:r>
          </w:p>
        </w:tc>
        <w:tc>
          <w:tcPr>
            <w:tcW w:w="1260" w:type="dxa"/>
            <w:tcBorders>
              <w:top w:val="single" w:color="auto" w:sz="6" w:space="0"/>
              <w:left w:val="single" w:color="auto" w:sz="6" w:space="0"/>
              <w:bottom w:val="single" w:color="auto" w:sz="6" w:space="0"/>
              <w:right w:val="single" w:color="auto" w:sz="6" w:space="0"/>
            </w:tcBorders>
            <w:vAlign w:val="center"/>
          </w:tcPr>
          <w:p>
            <w:pPr>
              <w:pStyle w:val="91"/>
              <w:spacing w:line="360" w:lineRule="auto"/>
              <w:jc w:val="center"/>
              <w:rPr>
                <w:rFonts w:ascii="宋体" w:hAnsi="宋体" w:cs="Arial"/>
                <w:b/>
                <w:bCs/>
                <w:sz w:val="24"/>
              </w:rPr>
            </w:pPr>
            <w:r>
              <w:rPr>
                <w:rFonts w:hint="eastAsia" w:ascii="宋体" w:hAnsi="宋体" w:cs="Arial"/>
                <w:b/>
                <w:bCs/>
                <w:sz w:val="24"/>
              </w:rPr>
              <w:t>合同总价</w:t>
            </w:r>
          </w:p>
        </w:tc>
        <w:tc>
          <w:tcPr>
            <w:tcW w:w="1452" w:type="dxa"/>
            <w:tcBorders>
              <w:top w:val="single" w:color="auto" w:sz="6" w:space="0"/>
              <w:left w:val="single" w:color="auto" w:sz="6" w:space="0"/>
              <w:bottom w:val="single" w:color="auto" w:sz="6" w:space="0"/>
              <w:right w:val="single" w:color="auto" w:sz="6" w:space="0"/>
            </w:tcBorders>
            <w:vAlign w:val="center"/>
          </w:tcPr>
          <w:p>
            <w:pPr>
              <w:pStyle w:val="91"/>
              <w:spacing w:line="360" w:lineRule="auto"/>
              <w:jc w:val="center"/>
              <w:rPr>
                <w:rFonts w:ascii="宋体" w:hAnsi="宋体" w:cs="Arial"/>
                <w:b/>
                <w:bCs/>
                <w:sz w:val="24"/>
              </w:rPr>
            </w:pPr>
            <w:r>
              <w:rPr>
                <w:rFonts w:hint="eastAsia" w:ascii="宋体" w:hAnsi="宋体" w:cs="Arial"/>
                <w:b/>
                <w:bCs/>
                <w:sz w:val="24"/>
              </w:rPr>
              <w:t>实施时间</w:t>
            </w:r>
          </w:p>
        </w:tc>
        <w:tc>
          <w:tcPr>
            <w:tcW w:w="1383" w:type="dxa"/>
            <w:tcBorders>
              <w:top w:val="single" w:color="auto" w:sz="6" w:space="0"/>
              <w:left w:val="single" w:color="auto" w:sz="6" w:space="0"/>
              <w:bottom w:val="single" w:color="auto" w:sz="6" w:space="0"/>
              <w:right w:val="single" w:color="auto" w:sz="6" w:space="0"/>
            </w:tcBorders>
            <w:vAlign w:val="center"/>
          </w:tcPr>
          <w:p>
            <w:pPr>
              <w:pStyle w:val="91"/>
              <w:spacing w:line="360" w:lineRule="auto"/>
              <w:jc w:val="center"/>
              <w:rPr>
                <w:rFonts w:ascii="宋体" w:hAnsi="宋体" w:cs="Arial"/>
                <w:b/>
                <w:bCs/>
                <w:sz w:val="24"/>
              </w:rPr>
            </w:pPr>
            <w:r>
              <w:rPr>
                <w:rFonts w:hint="eastAsia" w:ascii="宋体" w:hAnsi="宋体" w:cs="Arial"/>
                <w:b/>
                <w:bCs/>
                <w:sz w:val="24"/>
              </w:rPr>
              <w:t>项目质量</w:t>
            </w:r>
          </w:p>
        </w:tc>
        <w:tc>
          <w:tcPr>
            <w:tcW w:w="2037" w:type="dxa"/>
            <w:tcBorders>
              <w:top w:val="single" w:color="auto" w:sz="6" w:space="0"/>
              <w:left w:val="single" w:color="auto" w:sz="6" w:space="0"/>
              <w:bottom w:val="single" w:color="auto" w:sz="6" w:space="0"/>
              <w:right w:val="single" w:color="auto" w:sz="6" w:space="0"/>
            </w:tcBorders>
            <w:vAlign w:val="center"/>
          </w:tcPr>
          <w:p>
            <w:pPr>
              <w:pStyle w:val="91"/>
              <w:spacing w:line="360" w:lineRule="auto"/>
              <w:jc w:val="center"/>
              <w:rPr>
                <w:rFonts w:ascii="宋体" w:hAnsi="宋体" w:cs="Arial"/>
                <w:b/>
                <w:bCs/>
                <w:sz w:val="24"/>
              </w:rPr>
            </w:pPr>
            <w:r>
              <w:rPr>
                <w:rFonts w:hint="eastAsia" w:ascii="宋体" w:hAnsi="宋体" w:cs="Arial"/>
                <w:b/>
                <w:bCs/>
                <w:sz w:val="24"/>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91"/>
              <w:spacing w:line="360" w:lineRule="auto"/>
              <w:jc w:val="center"/>
              <w:rPr>
                <w:rFonts w:ascii="宋体" w:hAnsi="宋体" w:cs="Arial"/>
                <w:sz w:val="24"/>
              </w:rPr>
            </w:pPr>
            <w:r>
              <w:rPr>
                <w:rFonts w:hint="eastAsia" w:ascii="宋体" w:hAnsi="宋体" w:cs="Arial"/>
                <w:sz w:val="24"/>
              </w:rPr>
              <w:t>1</w:t>
            </w:r>
          </w:p>
        </w:tc>
        <w:tc>
          <w:tcPr>
            <w:tcW w:w="1293"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91"/>
              <w:spacing w:line="360" w:lineRule="auto"/>
              <w:jc w:val="center"/>
              <w:rPr>
                <w:rFonts w:ascii="宋体" w:hAnsi="宋体" w:cs="Arial"/>
                <w:sz w:val="24"/>
              </w:rPr>
            </w:pPr>
            <w:r>
              <w:rPr>
                <w:rFonts w:hint="eastAsia" w:ascii="宋体" w:hAnsi="宋体" w:cs="Arial"/>
                <w:sz w:val="24"/>
              </w:rPr>
              <w:t>2</w:t>
            </w:r>
          </w:p>
        </w:tc>
        <w:tc>
          <w:tcPr>
            <w:tcW w:w="1293"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91"/>
              <w:spacing w:line="360" w:lineRule="auto"/>
              <w:jc w:val="center"/>
              <w:rPr>
                <w:rFonts w:ascii="宋体" w:hAnsi="宋体" w:cs="Arial"/>
                <w:sz w:val="24"/>
              </w:rPr>
            </w:pPr>
            <w:r>
              <w:rPr>
                <w:rFonts w:hint="eastAsia" w:ascii="宋体" w:hAnsi="宋体" w:cs="Arial"/>
                <w:sz w:val="24"/>
              </w:rPr>
              <w:t>3</w:t>
            </w:r>
          </w:p>
        </w:tc>
        <w:tc>
          <w:tcPr>
            <w:tcW w:w="1293"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r>
              <w:rPr>
                <w:rFonts w:hint="eastAsia" w:ascii="宋体" w:hAnsi="宋体" w:cs="Arial"/>
                <w:sz w:val="24"/>
              </w:rPr>
              <w:t>…</w:t>
            </w:r>
          </w:p>
        </w:tc>
        <w:tc>
          <w:tcPr>
            <w:tcW w:w="1293"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293"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293"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95" w:hRule="atLeast"/>
          <w:jc w:val="center"/>
        </w:trPr>
        <w:tc>
          <w:tcPr>
            <w:tcW w:w="540" w:type="dxa"/>
            <w:tcBorders>
              <w:top w:val="single" w:color="auto" w:sz="6" w:space="0"/>
              <w:left w:val="single" w:color="auto" w:sz="6" w:space="0"/>
              <w:bottom w:val="single" w:color="auto" w:sz="4" w:space="0"/>
              <w:right w:val="single" w:color="auto" w:sz="6" w:space="0"/>
            </w:tcBorders>
          </w:tcPr>
          <w:p>
            <w:pPr>
              <w:pStyle w:val="91"/>
              <w:spacing w:line="360" w:lineRule="auto"/>
              <w:rPr>
                <w:rFonts w:ascii="宋体" w:hAnsi="宋体" w:cs="Arial"/>
                <w:sz w:val="24"/>
              </w:rPr>
            </w:pPr>
          </w:p>
        </w:tc>
        <w:tc>
          <w:tcPr>
            <w:tcW w:w="1293" w:type="dxa"/>
            <w:tcBorders>
              <w:top w:val="single" w:color="auto" w:sz="6" w:space="0"/>
              <w:left w:val="single" w:color="auto" w:sz="6" w:space="0"/>
              <w:bottom w:val="single" w:color="auto" w:sz="4" w:space="0"/>
              <w:right w:val="single" w:color="auto" w:sz="6" w:space="0"/>
            </w:tcBorders>
          </w:tcPr>
          <w:p>
            <w:pPr>
              <w:pStyle w:val="91"/>
              <w:spacing w:line="360" w:lineRule="auto"/>
              <w:rPr>
                <w:rFonts w:ascii="宋体" w:hAnsi="宋体" w:cs="Arial"/>
                <w:sz w:val="24"/>
              </w:rPr>
            </w:pPr>
          </w:p>
        </w:tc>
        <w:tc>
          <w:tcPr>
            <w:tcW w:w="1575" w:type="dxa"/>
            <w:tcBorders>
              <w:top w:val="single" w:color="auto" w:sz="6" w:space="0"/>
              <w:left w:val="single" w:color="auto" w:sz="6" w:space="0"/>
              <w:bottom w:val="single" w:color="auto" w:sz="4" w:space="0"/>
              <w:right w:val="single" w:color="auto" w:sz="6" w:space="0"/>
            </w:tcBorders>
          </w:tcPr>
          <w:p>
            <w:pPr>
              <w:pStyle w:val="91"/>
              <w:spacing w:line="360" w:lineRule="auto"/>
              <w:rPr>
                <w:rFonts w:ascii="宋体" w:hAnsi="宋体" w:cs="Arial"/>
                <w:sz w:val="24"/>
              </w:rPr>
            </w:pPr>
          </w:p>
        </w:tc>
        <w:tc>
          <w:tcPr>
            <w:tcW w:w="1260" w:type="dxa"/>
            <w:tcBorders>
              <w:top w:val="single" w:color="auto" w:sz="6" w:space="0"/>
              <w:left w:val="single" w:color="auto" w:sz="6" w:space="0"/>
              <w:bottom w:val="single" w:color="auto" w:sz="4" w:space="0"/>
              <w:right w:val="single" w:color="auto" w:sz="6" w:space="0"/>
            </w:tcBorders>
          </w:tcPr>
          <w:p>
            <w:pPr>
              <w:pStyle w:val="91"/>
              <w:spacing w:line="360" w:lineRule="auto"/>
              <w:rPr>
                <w:rFonts w:ascii="宋体" w:hAnsi="宋体" w:cs="Arial"/>
                <w:sz w:val="24"/>
              </w:rPr>
            </w:pPr>
          </w:p>
        </w:tc>
        <w:tc>
          <w:tcPr>
            <w:tcW w:w="1452" w:type="dxa"/>
            <w:tcBorders>
              <w:top w:val="single" w:color="auto" w:sz="6" w:space="0"/>
              <w:left w:val="single" w:color="auto" w:sz="6" w:space="0"/>
              <w:bottom w:val="single" w:color="auto" w:sz="4" w:space="0"/>
              <w:right w:val="single" w:color="auto" w:sz="6" w:space="0"/>
            </w:tcBorders>
          </w:tcPr>
          <w:p>
            <w:pPr>
              <w:pStyle w:val="91"/>
              <w:spacing w:line="360" w:lineRule="auto"/>
              <w:rPr>
                <w:rFonts w:ascii="宋体" w:hAnsi="宋体" w:cs="Arial"/>
                <w:sz w:val="24"/>
              </w:rPr>
            </w:pPr>
          </w:p>
        </w:tc>
        <w:tc>
          <w:tcPr>
            <w:tcW w:w="1383" w:type="dxa"/>
            <w:tcBorders>
              <w:top w:val="single" w:color="auto" w:sz="6" w:space="0"/>
              <w:left w:val="single" w:color="auto" w:sz="6" w:space="0"/>
              <w:bottom w:val="single" w:color="auto" w:sz="4" w:space="0"/>
              <w:right w:val="single" w:color="auto" w:sz="6" w:space="0"/>
            </w:tcBorders>
          </w:tcPr>
          <w:p>
            <w:pPr>
              <w:pStyle w:val="91"/>
              <w:spacing w:line="360" w:lineRule="auto"/>
              <w:rPr>
                <w:rFonts w:ascii="宋体" w:hAnsi="宋体" w:cs="Arial"/>
                <w:sz w:val="24"/>
              </w:rPr>
            </w:pPr>
          </w:p>
        </w:tc>
        <w:tc>
          <w:tcPr>
            <w:tcW w:w="2037" w:type="dxa"/>
            <w:tcBorders>
              <w:top w:val="single" w:color="auto" w:sz="6" w:space="0"/>
              <w:left w:val="single" w:color="auto" w:sz="6" w:space="0"/>
              <w:bottom w:val="single" w:color="auto" w:sz="4" w:space="0"/>
              <w:right w:val="single" w:color="auto" w:sz="6" w:space="0"/>
            </w:tcBorders>
          </w:tcPr>
          <w:p>
            <w:pPr>
              <w:pStyle w:val="91"/>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35" w:hRule="atLeast"/>
          <w:jc w:val="center"/>
        </w:trPr>
        <w:tc>
          <w:tcPr>
            <w:tcW w:w="540" w:type="dxa"/>
            <w:tcBorders>
              <w:top w:val="single" w:color="auto" w:sz="4" w:space="0"/>
              <w:left w:val="single" w:color="auto" w:sz="6" w:space="0"/>
              <w:bottom w:val="single" w:color="auto" w:sz="4" w:space="0"/>
              <w:right w:val="single" w:color="auto" w:sz="6" w:space="0"/>
            </w:tcBorders>
          </w:tcPr>
          <w:p>
            <w:pPr>
              <w:pStyle w:val="91"/>
              <w:spacing w:line="360" w:lineRule="auto"/>
              <w:rPr>
                <w:rFonts w:ascii="宋体" w:hAnsi="宋体" w:cs="Arial"/>
                <w:sz w:val="24"/>
              </w:rPr>
            </w:pPr>
          </w:p>
        </w:tc>
        <w:tc>
          <w:tcPr>
            <w:tcW w:w="1293" w:type="dxa"/>
            <w:tcBorders>
              <w:top w:val="single" w:color="auto" w:sz="4" w:space="0"/>
              <w:left w:val="single" w:color="auto" w:sz="6" w:space="0"/>
              <w:bottom w:val="single" w:color="auto" w:sz="4" w:space="0"/>
              <w:right w:val="single" w:color="auto" w:sz="6" w:space="0"/>
            </w:tcBorders>
          </w:tcPr>
          <w:p>
            <w:pPr>
              <w:pStyle w:val="91"/>
              <w:spacing w:line="360" w:lineRule="auto"/>
              <w:rPr>
                <w:rFonts w:ascii="宋体" w:hAnsi="宋体" w:cs="Arial"/>
                <w:sz w:val="24"/>
              </w:rPr>
            </w:pPr>
          </w:p>
        </w:tc>
        <w:tc>
          <w:tcPr>
            <w:tcW w:w="1575" w:type="dxa"/>
            <w:tcBorders>
              <w:top w:val="single" w:color="auto" w:sz="4" w:space="0"/>
              <w:left w:val="single" w:color="auto" w:sz="6" w:space="0"/>
              <w:bottom w:val="single" w:color="auto" w:sz="4" w:space="0"/>
              <w:right w:val="single" w:color="auto" w:sz="6" w:space="0"/>
            </w:tcBorders>
          </w:tcPr>
          <w:p>
            <w:pPr>
              <w:pStyle w:val="91"/>
              <w:spacing w:line="360" w:lineRule="auto"/>
              <w:rPr>
                <w:rFonts w:ascii="宋体" w:hAnsi="宋体" w:cs="Arial"/>
                <w:sz w:val="24"/>
              </w:rPr>
            </w:pPr>
          </w:p>
        </w:tc>
        <w:tc>
          <w:tcPr>
            <w:tcW w:w="1260" w:type="dxa"/>
            <w:tcBorders>
              <w:top w:val="single" w:color="auto" w:sz="4" w:space="0"/>
              <w:left w:val="single" w:color="auto" w:sz="6" w:space="0"/>
              <w:bottom w:val="single" w:color="auto" w:sz="4" w:space="0"/>
              <w:right w:val="single" w:color="auto" w:sz="6" w:space="0"/>
            </w:tcBorders>
          </w:tcPr>
          <w:p>
            <w:pPr>
              <w:pStyle w:val="91"/>
              <w:spacing w:line="360" w:lineRule="auto"/>
              <w:rPr>
                <w:rFonts w:ascii="宋体" w:hAnsi="宋体" w:cs="Arial"/>
                <w:sz w:val="24"/>
              </w:rPr>
            </w:pPr>
          </w:p>
        </w:tc>
        <w:tc>
          <w:tcPr>
            <w:tcW w:w="1452" w:type="dxa"/>
            <w:tcBorders>
              <w:top w:val="single" w:color="auto" w:sz="4" w:space="0"/>
              <w:left w:val="single" w:color="auto" w:sz="6" w:space="0"/>
              <w:bottom w:val="single" w:color="auto" w:sz="4" w:space="0"/>
              <w:right w:val="single" w:color="auto" w:sz="6" w:space="0"/>
            </w:tcBorders>
          </w:tcPr>
          <w:p>
            <w:pPr>
              <w:pStyle w:val="91"/>
              <w:spacing w:line="360" w:lineRule="auto"/>
              <w:rPr>
                <w:rFonts w:ascii="宋体" w:hAnsi="宋体" w:cs="Arial"/>
                <w:sz w:val="24"/>
              </w:rPr>
            </w:pPr>
          </w:p>
        </w:tc>
        <w:tc>
          <w:tcPr>
            <w:tcW w:w="1383" w:type="dxa"/>
            <w:tcBorders>
              <w:top w:val="single" w:color="auto" w:sz="4" w:space="0"/>
              <w:left w:val="single" w:color="auto" w:sz="6" w:space="0"/>
              <w:bottom w:val="single" w:color="auto" w:sz="4" w:space="0"/>
              <w:right w:val="single" w:color="auto" w:sz="6" w:space="0"/>
            </w:tcBorders>
          </w:tcPr>
          <w:p>
            <w:pPr>
              <w:pStyle w:val="91"/>
              <w:spacing w:line="360" w:lineRule="auto"/>
              <w:rPr>
                <w:rFonts w:ascii="宋体" w:hAnsi="宋体" w:cs="Arial"/>
                <w:sz w:val="24"/>
              </w:rPr>
            </w:pPr>
          </w:p>
        </w:tc>
        <w:tc>
          <w:tcPr>
            <w:tcW w:w="2037" w:type="dxa"/>
            <w:tcBorders>
              <w:top w:val="single" w:color="auto" w:sz="4" w:space="0"/>
              <w:left w:val="single" w:color="auto" w:sz="6" w:space="0"/>
              <w:bottom w:val="single" w:color="auto" w:sz="4" w:space="0"/>
              <w:right w:val="single" w:color="auto" w:sz="6" w:space="0"/>
            </w:tcBorders>
          </w:tcPr>
          <w:p>
            <w:pPr>
              <w:pStyle w:val="91"/>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0" w:hRule="atLeast"/>
          <w:jc w:val="center"/>
        </w:trPr>
        <w:tc>
          <w:tcPr>
            <w:tcW w:w="540" w:type="dxa"/>
            <w:tcBorders>
              <w:top w:val="single" w:color="auto" w:sz="4" w:space="0"/>
              <w:left w:val="single" w:color="auto" w:sz="6" w:space="0"/>
              <w:bottom w:val="single" w:color="auto" w:sz="4" w:space="0"/>
              <w:right w:val="single" w:color="auto" w:sz="6" w:space="0"/>
            </w:tcBorders>
          </w:tcPr>
          <w:p>
            <w:pPr>
              <w:pStyle w:val="91"/>
              <w:spacing w:line="360" w:lineRule="auto"/>
              <w:rPr>
                <w:rFonts w:ascii="宋体" w:hAnsi="宋体" w:cs="Arial"/>
                <w:sz w:val="24"/>
              </w:rPr>
            </w:pPr>
          </w:p>
        </w:tc>
        <w:tc>
          <w:tcPr>
            <w:tcW w:w="1293" w:type="dxa"/>
            <w:tcBorders>
              <w:top w:val="single" w:color="auto" w:sz="4" w:space="0"/>
              <w:left w:val="single" w:color="auto" w:sz="6" w:space="0"/>
              <w:bottom w:val="single" w:color="auto" w:sz="4" w:space="0"/>
              <w:right w:val="single" w:color="auto" w:sz="6" w:space="0"/>
            </w:tcBorders>
          </w:tcPr>
          <w:p>
            <w:pPr>
              <w:pStyle w:val="91"/>
              <w:spacing w:line="360" w:lineRule="auto"/>
              <w:rPr>
                <w:rFonts w:ascii="宋体" w:hAnsi="宋体" w:cs="Arial"/>
                <w:sz w:val="24"/>
              </w:rPr>
            </w:pPr>
          </w:p>
        </w:tc>
        <w:tc>
          <w:tcPr>
            <w:tcW w:w="1575" w:type="dxa"/>
            <w:tcBorders>
              <w:top w:val="single" w:color="auto" w:sz="4" w:space="0"/>
              <w:left w:val="single" w:color="auto" w:sz="6" w:space="0"/>
              <w:bottom w:val="single" w:color="auto" w:sz="4" w:space="0"/>
              <w:right w:val="single" w:color="auto" w:sz="6" w:space="0"/>
            </w:tcBorders>
          </w:tcPr>
          <w:p>
            <w:pPr>
              <w:pStyle w:val="91"/>
              <w:spacing w:line="360" w:lineRule="auto"/>
              <w:rPr>
                <w:rFonts w:ascii="宋体" w:hAnsi="宋体" w:cs="Arial"/>
                <w:sz w:val="24"/>
              </w:rPr>
            </w:pPr>
          </w:p>
        </w:tc>
        <w:tc>
          <w:tcPr>
            <w:tcW w:w="1260" w:type="dxa"/>
            <w:tcBorders>
              <w:top w:val="single" w:color="auto" w:sz="4" w:space="0"/>
              <w:left w:val="single" w:color="auto" w:sz="6" w:space="0"/>
              <w:bottom w:val="single" w:color="auto" w:sz="4" w:space="0"/>
              <w:right w:val="single" w:color="auto" w:sz="6" w:space="0"/>
            </w:tcBorders>
          </w:tcPr>
          <w:p>
            <w:pPr>
              <w:pStyle w:val="91"/>
              <w:spacing w:line="360" w:lineRule="auto"/>
              <w:rPr>
                <w:rFonts w:ascii="宋体" w:hAnsi="宋体" w:cs="Arial"/>
                <w:sz w:val="24"/>
              </w:rPr>
            </w:pPr>
          </w:p>
        </w:tc>
        <w:tc>
          <w:tcPr>
            <w:tcW w:w="1452" w:type="dxa"/>
            <w:tcBorders>
              <w:top w:val="single" w:color="auto" w:sz="4" w:space="0"/>
              <w:left w:val="single" w:color="auto" w:sz="6" w:space="0"/>
              <w:bottom w:val="single" w:color="auto" w:sz="4" w:space="0"/>
              <w:right w:val="single" w:color="auto" w:sz="6" w:space="0"/>
            </w:tcBorders>
          </w:tcPr>
          <w:p>
            <w:pPr>
              <w:pStyle w:val="91"/>
              <w:spacing w:line="360" w:lineRule="auto"/>
              <w:rPr>
                <w:rFonts w:ascii="宋体" w:hAnsi="宋体" w:cs="Arial"/>
                <w:sz w:val="24"/>
              </w:rPr>
            </w:pPr>
          </w:p>
        </w:tc>
        <w:tc>
          <w:tcPr>
            <w:tcW w:w="1383" w:type="dxa"/>
            <w:tcBorders>
              <w:top w:val="single" w:color="auto" w:sz="4" w:space="0"/>
              <w:left w:val="single" w:color="auto" w:sz="6" w:space="0"/>
              <w:bottom w:val="single" w:color="auto" w:sz="4" w:space="0"/>
              <w:right w:val="single" w:color="auto" w:sz="6" w:space="0"/>
            </w:tcBorders>
          </w:tcPr>
          <w:p>
            <w:pPr>
              <w:pStyle w:val="91"/>
              <w:spacing w:line="360" w:lineRule="auto"/>
              <w:rPr>
                <w:rFonts w:ascii="宋体" w:hAnsi="宋体" w:cs="Arial"/>
                <w:sz w:val="24"/>
              </w:rPr>
            </w:pPr>
          </w:p>
        </w:tc>
        <w:tc>
          <w:tcPr>
            <w:tcW w:w="2037" w:type="dxa"/>
            <w:tcBorders>
              <w:top w:val="single" w:color="auto" w:sz="4" w:space="0"/>
              <w:left w:val="single" w:color="auto" w:sz="6" w:space="0"/>
              <w:bottom w:val="single" w:color="auto" w:sz="4" w:space="0"/>
              <w:right w:val="single" w:color="auto" w:sz="6" w:space="0"/>
            </w:tcBorders>
          </w:tcPr>
          <w:p>
            <w:pPr>
              <w:pStyle w:val="91"/>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95" w:hRule="atLeast"/>
          <w:jc w:val="center"/>
        </w:trPr>
        <w:tc>
          <w:tcPr>
            <w:tcW w:w="540" w:type="dxa"/>
            <w:tcBorders>
              <w:top w:val="single" w:color="auto" w:sz="4"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293" w:type="dxa"/>
            <w:tcBorders>
              <w:top w:val="single" w:color="auto" w:sz="4"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575" w:type="dxa"/>
            <w:tcBorders>
              <w:top w:val="single" w:color="auto" w:sz="4"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260" w:type="dxa"/>
            <w:tcBorders>
              <w:top w:val="single" w:color="auto" w:sz="4"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452" w:type="dxa"/>
            <w:tcBorders>
              <w:top w:val="single" w:color="auto" w:sz="4"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1383" w:type="dxa"/>
            <w:tcBorders>
              <w:top w:val="single" w:color="auto" w:sz="4"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c>
          <w:tcPr>
            <w:tcW w:w="2037" w:type="dxa"/>
            <w:tcBorders>
              <w:top w:val="single" w:color="auto" w:sz="4" w:space="0"/>
              <w:left w:val="single" w:color="auto" w:sz="6" w:space="0"/>
              <w:bottom w:val="single" w:color="auto" w:sz="6" w:space="0"/>
              <w:right w:val="single" w:color="auto" w:sz="6" w:space="0"/>
            </w:tcBorders>
          </w:tcPr>
          <w:p>
            <w:pPr>
              <w:pStyle w:val="91"/>
              <w:spacing w:line="360" w:lineRule="auto"/>
              <w:rPr>
                <w:rFonts w:ascii="宋体" w:hAnsi="宋体" w:cs="Arial"/>
                <w:sz w:val="24"/>
              </w:rPr>
            </w:pPr>
          </w:p>
        </w:tc>
      </w:tr>
    </w:tbl>
    <w:p>
      <w:pPr>
        <w:autoSpaceDE w:val="0"/>
        <w:autoSpaceDN w:val="0"/>
        <w:adjustRightInd w:val="0"/>
        <w:spacing w:beforeLines="50" w:line="360" w:lineRule="auto"/>
        <w:rPr>
          <w:rFonts w:ascii="宋体" w:hAnsi="宋体" w:cs="Arial"/>
          <w:b/>
          <w:szCs w:val="21"/>
        </w:rPr>
      </w:pPr>
      <w:r>
        <w:rPr>
          <w:rFonts w:hint="eastAsia" w:ascii="宋体" w:hAnsi="宋体" w:cs="Arial"/>
          <w:b/>
          <w:szCs w:val="21"/>
        </w:rPr>
        <w:t>要求</w:t>
      </w:r>
      <w:r>
        <w:rPr>
          <w:rFonts w:ascii="宋体" w:hAnsi="宋体" w:cs="Arial"/>
          <w:b/>
          <w:szCs w:val="21"/>
        </w:rPr>
        <w:t>：</w:t>
      </w:r>
    </w:p>
    <w:p>
      <w:pPr>
        <w:autoSpaceDE w:val="0"/>
        <w:autoSpaceDN w:val="0"/>
        <w:adjustRightInd w:val="0"/>
        <w:spacing w:beforeLines="50" w:line="360" w:lineRule="auto"/>
        <w:ind w:firstLine="424" w:firstLineChars="202"/>
        <w:rPr>
          <w:rFonts w:ascii="宋体" w:hAnsi="宋体" w:cs="Arial"/>
          <w:b/>
          <w:szCs w:val="21"/>
        </w:rPr>
      </w:pPr>
      <w:r>
        <w:rPr>
          <w:rFonts w:ascii="宋体" w:hAnsi="宋体" w:cs="Arial"/>
          <w:szCs w:val="21"/>
        </w:rPr>
        <w:t>1</w:t>
      </w:r>
      <w:r>
        <w:rPr>
          <w:rFonts w:hint="eastAsia" w:ascii="宋体" w:hAnsi="宋体" w:cs="Arial"/>
          <w:szCs w:val="21"/>
        </w:rPr>
        <w:t>.</w:t>
      </w:r>
      <w:r>
        <w:rPr>
          <w:rFonts w:ascii="宋体" w:hAnsi="宋体" w:cs="Arial"/>
          <w:szCs w:val="21"/>
        </w:rPr>
        <w:t>业绩证明应提供证明材料（合同</w:t>
      </w:r>
      <w:r>
        <w:rPr>
          <w:rFonts w:hint="eastAsia" w:ascii="宋体" w:hAnsi="宋体" w:cs="Arial"/>
          <w:szCs w:val="21"/>
        </w:rPr>
        <w:t>复印件可只提供首页、含金额页、盖章页并加盖投标人公章，不按照要求提供不得分，报价时携带完整的合同原件备查</w:t>
      </w:r>
      <w:r>
        <w:rPr>
          <w:rFonts w:ascii="宋体" w:hAnsi="宋体" w:cs="Arial"/>
          <w:szCs w:val="21"/>
        </w:rPr>
        <w:t>）；</w:t>
      </w:r>
    </w:p>
    <w:p>
      <w:pPr>
        <w:spacing w:line="360" w:lineRule="auto"/>
        <w:ind w:firstLine="424" w:firstLineChars="202"/>
        <w:jc w:val="left"/>
        <w:rPr>
          <w:rFonts w:ascii="宋体" w:hAnsi="宋体" w:cs="Arial"/>
          <w:szCs w:val="21"/>
        </w:rPr>
      </w:pPr>
      <w:r>
        <w:rPr>
          <w:rFonts w:ascii="宋体" w:hAnsi="宋体" w:cs="Arial"/>
          <w:szCs w:val="21"/>
        </w:rPr>
        <w:t>2</w:t>
      </w:r>
      <w:r>
        <w:rPr>
          <w:rFonts w:hint="eastAsia" w:ascii="宋体" w:hAnsi="宋体" w:cs="Arial"/>
          <w:szCs w:val="21"/>
        </w:rPr>
        <w:t>.报价供应商</w:t>
      </w:r>
      <w:r>
        <w:rPr>
          <w:rFonts w:ascii="宋体" w:hAnsi="宋体" w:cs="Arial"/>
          <w:szCs w:val="21"/>
        </w:rPr>
        <w:t>可按此表格式复制</w:t>
      </w:r>
      <w:r>
        <w:rPr>
          <w:rFonts w:hint="eastAsia" w:ascii="宋体" w:hAnsi="宋体" w:cs="Arial"/>
          <w:szCs w:val="21"/>
        </w:rPr>
        <w:t>。</w:t>
      </w:r>
    </w:p>
    <w:p>
      <w:pPr>
        <w:spacing w:line="360" w:lineRule="auto"/>
        <w:rPr>
          <w:rFonts w:ascii="宋体" w:hAnsi="宋体"/>
          <w:sz w:val="22"/>
          <w:szCs w:val="22"/>
        </w:rPr>
      </w:pPr>
    </w:p>
    <w:p>
      <w:pPr>
        <w:spacing w:line="360" w:lineRule="auto"/>
        <w:rPr>
          <w:rFonts w:ascii="宋体" w:hAnsi="宋体"/>
          <w:sz w:val="22"/>
          <w:szCs w:val="22"/>
        </w:rPr>
      </w:pPr>
    </w:p>
    <w:p>
      <w:pPr>
        <w:spacing w:line="360" w:lineRule="auto"/>
        <w:rPr>
          <w:rFonts w:ascii="宋体" w:hAnsi="宋体"/>
          <w:sz w:val="22"/>
          <w:szCs w:val="22"/>
        </w:rPr>
      </w:pPr>
    </w:p>
    <w:p>
      <w:pPr>
        <w:spacing w:line="360" w:lineRule="auto"/>
        <w:ind w:left="420"/>
        <w:rPr>
          <w:rFonts w:ascii="宋体" w:hAnsi="宋体"/>
          <w:sz w:val="24"/>
          <w:u w:val="single"/>
        </w:rPr>
      </w:pPr>
      <w:r>
        <w:rPr>
          <w:rFonts w:hint="eastAsia" w:ascii="宋体" w:hAnsi="宋体"/>
          <w:sz w:val="24"/>
        </w:rPr>
        <w:t>投标人名称（盖章）：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职        务：</w:t>
      </w:r>
    </w:p>
    <w:p>
      <w:pPr>
        <w:spacing w:line="360" w:lineRule="auto"/>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spacing w:line="360" w:lineRule="auto"/>
        <w:ind w:right="-110"/>
        <w:jc w:val="left"/>
        <w:rPr>
          <w:rFonts w:ascii="宋体" w:hAnsi="宋体"/>
          <w:b/>
          <w:sz w:val="28"/>
        </w:rPr>
      </w:pPr>
    </w:p>
    <w:p>
      <w:pPr>
        <w:spacing w:line="360" w:lineRule="auto"/>
        <w:ind w:right="-110"/>
        <w:jc w:val="left"/>
        <w:rPr>
          <w:rFonts w:ascii="宋体" w:hAnsi="宋体"/>
          <w:sz w:val="28"/>
        </w:rPr>
      </w:pPr>
      <w:r>
        <w:rPr>
          <w:rFonts w:hint="eastAsia" w:ascii="宋体" w:hAnsi="宋体"/>
          <w:b/>
          <w:sz w:val="28"/>
        </w:rPr>
        <w:t xml:space="preserve">附件8                                         </w:t>
      </w:r>
      <w:r>
        <w:rPr>
          <w:rFonts w:hint="eastAsia" w:ascii="宋体" w:hAnsi="宋体"/>
          <w:sz w:val="28"/>
        </w:rPr>
        <w:t>本</w:t>
      </w:r>
    </w:p>
    <w:p>
      <w:pPr>
        <w:spacing w:line="360" w:lineRule="auto"/>
        <w:ind w:right="-110"/>
        <w:jc w:val="center"/>
        <w:rPr>
          <w:rFonts w:ascii="宋体" w:hAnsi="宋体"/>
          <w:spacing w:val="40"/>
          <w:sz w:val="52"/>
          <w:szCs w:val="52"/>
        </w:rPr>
      </w:pPr>
      <w:r>
        <w:rPr>
          <w:rFonts w:hint="eastAsia" w:ascii="宋体" w:hAnsi="宋体"/>
          <w:spacing w:val="40"/>
          <w:sz w:val="52"/>
          <w:szCs w:val="52"/>
        </w:rPr>
        <w:t>项目名称</w:t>
      </w:r>
    </w:p>
    <w:p>
      <w:pPr>
        <w:spacing w:beforeLines="100" w:line="360" w:lineRule="auto"/>
        <w:ind w:right="-108"/>
        <w:jc w:val="center"/>
        <w:rPr>
          <w:rFonts w:ascii="宋体" w:hAnsi="宋体"/>
          <w:sz w:val="36"/>
          <w:szCs w:val="36"/>
        </w:rPr>
      </w:pPr>
      <w:r>
        <w:rPr>
          <w:rFonts w:hint="eastAsia" w:ascii="宋体" w:hAnsi="宋体"/>
          <w:sz w:val="36"/>
          <w:szCs w:val="36"/>
        </w:rPr>
        <w:t>项目编号：（标项）</w:t>
      </w:r>
    </w:p>
    <w:p>
      <w:pPr>
        <w:autoSpaceDE w:val="0"/>
        <w:autoSpaceDN w:val="0"/>
        <w:adjustRightInd w:val="0"/>
        <w:spacing w:line="360" w:lineRule="auto"/>
        <w:jc w:val="center"/>
        <w:rPr>
          <w:rFonts w:ascii="宋体" w:hAnsi="宋体" w:cs="宋体"/>
          <w:sz w:val="84"/>
          <w:szCs w:val="84"/>
          <w:lang w:val="zh-CN"/>
        </w:rPr>
      </w:pP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投</w:t>
      </w: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标</w:t>
      </w:r>
    </w:p>
    <w:p>
      <w:pPr>
        <w:autoSpaceDE w:val="0"/>
        <w:autoSpaceDN w:val="0"/>
        <w:adjustRightInd w:val="0"/>
        <w:spacing w:line="360" w:lineRule="auto"/>
        <w:jc w:val="center"/>
        <w:rPr>
          <w:rFonts w:ascii="宋体" w:hAnsi="宋体"/>
          <w:sz w:val="84"/>
          <w:szCs w:val="84"/>
        </w:rPr>
      </w:pPr>
      <w:r>
        <w:rPr>
          <w:rFonts w:hint="eastAsia" w:ascii="宋体" w:hAnsi="宋体" w:cs="宋体"/>
          <w:sz w:val="84"/>
          <w:szCs w:val="84"/>
          <w:lang w:val="zh-CN"/>
        </w:rPr>
        <w:t>文</w:t>
      </w:r>
    </w:p>
    <w:p>
      <w:pPr>
        <w:spacing w:after="100" w:afterAutospacing="1" w:line="360" w:lineRule="auto"/>
        <w:ind w:right="-108"/>
        <w:jc w:val="center"/>
        <w:rPr>
          <w:rFonts w:ascii="宋体" w:hAnsi="宋体" w:cs="宋体"/>
          <w:sz w:val="84"/>
          <w:szCs w:val="84"/>
          <w:lang w:val="zh-CN"/>
        </w:rPr>
      </w:pPr>
      <w:r>
        <w:rPr>
          <w:rFonts w:hint="eastAsia" w:ascii="宋体" w:hAnsi="宋体" w:cs="宋体"/>
          <w:sz w:val="84"/>
          <w:szCs w:val="84"/>
          <w:lang w:val="zh-CN"/>
        </w:rPr>
        <w:t>件</w:t>
      </w:r>
    </w:p>
    <w:p>
      <w:pPr>
        <w:spacing w:after="100" w:afterAutospacing="1" w:line="360" w:lineRule="auto"/>
        <w:ind w:right="-108"/>
        <w:jc w:val="center"/>
        <w:rPr>
          <w:rFonts w:ascii="宋体" w:hAnsi="宋体"/>
          <w:b/>
          <w:spacing w:val="40"/>
          <w:sz w:val="28"/>
          <w:szCs w:val="28"/>
        </w:rPr>
      </w:pPr>
      <w:r>
        <w:rPr>
          <w:rFonts w:hint="eastAsia" w:ascii="宋体" w:hAnsi="宋体" w:cs="宋体"/>
          <w:sz w:val="28"/>
          <w:szCs w:val="28"/>
          <w:lang w:val="zh-CN"/>
        </w:rPr>
        <w:t>（</w:t>
      </w:r>
      <w:r>
        <w:rPr>
          <w:rFonts w:hint="eastAsia" w:ascii="宋体" w:hAnsi="宋体"/>
          <w:b/>
          <w:spacing w:val="40"/>
          <w:sz w:val="28"/>
          <w:szCs w:val="28"/>
        </w:rPr>
        <w:t>技术文件）</w:t>
      </w:r>
    </w:p>
    <w:p>
      <w:pPr>
        <w:spacing w:line="360" w:lineRule="auto"/>
        <w:ind w:right="532"/>
        <w:rPr>
          <w:rFonts w:ascii="宋体" w:hAnsi="宋体"/>
          <w:sz w:val="36"/>
          <w:szCs w:val="36"/>
        </w:rPr>
      </w:pPr>
    </w:p>
    <w:p>
      <w:pPr>
        <w:spacing w:line="360" w:lineRule="auto"/>
        <w:ind w:right="532"/>
        <w:rPr>
          <w:rFonts w:ascii="宋体" w:hAnsi="宋体"/>
          <w:sz w:val="36"/>
          <w:szCs w:val="36"/>
        </w:rPr>
      </w:pPr>
    </w:p>
    <w:p>
      <w:pPr>
        <w:spacing w:line="360" w:lineRule="auto"/>
        <w:ind w:right="532" w:firstLine="720" w:firstLineChars="200"/>
        <w:rPr>
          <w:rFonts w:ascii="宋体" w:hAnsi="宋体"/>
          <w:sz w:val="36"/>
          <w:szCs w:val="36"/>
        </w:rPr>
      </w:pPr>
      <w:r>
        <w:rPr>
          <w:rFonts w:hint="eastAsia" w:ascii="宋体" w:hAnsi="宋体"/>
          <w:sz w:val="36"/>
          <w:szCs w:val="36"/>
        </w:rPr>
        <w:t>投标人全称（公章）：</w:t>
      </w:r>
    </w:p>
    <w:p>
      <w:pPr>
        <w:spacing w:line="360" w:lineRule="auto"/>
        <w:ind w:right="532" w:firstLine="720" w:firstLineChars="200"/>
        <w:rPr>
          <w:rFonts w:ascii="宋体" w:hAnsi="宋体"/>
          <w:sz w:val="36"/>
          <w:szCs w:val="36"/>
        </w:rPr>
      </w:pPr>
      <w:r>
        <w:rPr>
          <w:rFonts w:hint="eastAsia" w:ascii="宋体" w:hAnsi="宋体"/>
          <w:sz w:val="36"/>
          <w:szCs w:val="36"/>
        </w:rPr>
        <w:t>地    址：</w:t>
      </w:r>
    </w:p>
    <w:p>
      <w:pPr>
        <w:spacing w:line="360" w:lineRule="auto"/>
        <w:ind w:right="532" w:firstLine="720" w:firstLineChars="200"/>
        <w:rPr>
          <w:rFonts w:ascii="宋体" w:hAnsi="宋体"/>
          <w:sz w:val="36"/>
          <w:szCs w:val="36"/>
        </w:rPr>
      </w:pPr>
      <w:r>
        <w:rPr>
          <w:rFonts w:hint="eastAsia" w:ascii="宋体" w:hAnsi="宋体"/>
          <w:sz w:val="36"/>
          <w:szCs w:val="36"/>
        </w:rPr>
        <w:t>时    间：</w:t>
      </w:r>
    </w:p>
    <w:p>
      <w:pPr>
        <w:snapToGrid w:val="0"/>
        <w:spacing w:before="50" w:after="50" w:line="360" w:lineRule="auto"/>
        <w:jc w:val="center"/>
        <w:rPr>
          <w:rFonts w:ascii="宋体" w:hAnsi="宋体"/>
          <w:b/>
          <w:bCs/>
          <w:sz w:val="36"/>
          <w:szCs w:val="36"/>
        </w:rPr>
      </w:pPr>
    </w:p>
    <w:p>
      <w:pPr>
        <w:snapToGrid w:val="0"/>
        <w:spacing w:before="50" w:after="50" w:line="360" w:lineRule="auto"/>
        <w:jc w:val="center"/>
        <w:rPr>
          <w:rFonts w:ascii="仿宋_GB2312" w:hAnsi="宋体" w:eastAsia="仿宋_GB2312"/>
          <w:b/>
          <w:bCs/>
          <w:sz w:val="36"/>
          <w:szCs w:val="36"/>
        </w:rPr>
      </w:pPr>
    </w:p>
    <w:p>
      <w:pPr>
        <w:snapToGrid w:val="0"/>
        <w:spacing w:before="50" w:after="50" w:line="360" w:lineRule="auto"/>
        <w:jc w:val="center"/>
        <w:rPr>
          <w:rFonts w:ascii="仿宋_GB2312" w:hAnsi="宋体" w:eastAsia="仿宋_GB2312"/>
          <w:b/>
          <w:bCs/>
          <w:sz w:val="36"/>
          <w:szCs w:val="36"/>
        </w:rPr>
      </w:pPr>
    </w:p>
    <w:p>
      <w:pPr>
        <w:snapToGrid w:val="0"/>
        <w:spacing w:before="50" w:after="50" w:line="360" w:lineRule="auto"/>
        <w:jc w:val="center"/>
        <w:rPr>
          <w:rFonts w:ascii="仿宋_GB2312" w:hAnsi="宋体" w:eastAsia="仿宋_GB2312"/>
          <w:b/>
          <w:bCs/>
          <w:sz w:val="36"/>
          <w:szCs w:val="36"/>
        </w:rPr>
      </w:pPr>
    </w:p>
    <w:p>
      <w:pPr>
        <w:snapToGrid w:val="0"/>
        <w:spacing w:before="50" w:after="50" w:line="360" w:lineRule="auto"/>
        <w:jc w:val="center"/>
        <w:rPr>
          <w:rFonts w:ascii="宋体" w:hAnsi="宋体"/>
          <w:b/>
          <w:bCs/>
          <w:sz w:val="32"/>
          <w:szCs w:val="32"/>
        </w:rPr>
      </w:pPr>
      <w:r>
        <w:rPr>
          <w:rFonts w:hint="eastAsia" w:ascii="宋体" w:hAnsi="宋体"/>
          <w:b/>
          <w:bCs/>
          <w:sz w:val="32"/>
          <w:szCs w:val="32"/>
        </w:rPr>
        <w:t>技术文件目录</w:t>
      </w:r>
    </w:p>
    <w:p>
      <w:pPr>
        <w:snapToGrid w:val="0"/>
        <w:spacing w:line="360" w:lineRule="auto"/>
        <w:ind w:firstLine="482" w:firstLineChars="200"/>
        <w:rPr>
          <w:rFonts w:ascii="宋体" w:hAnsi="宋体"/>
          <w:b/>
          <w:color w:val="000000"/>
          <w:sz w:val="24"/>
        </w:rPr>
      </w:pPr>
    </w:p>
    <w:p>
      <w:pPr>
        <w:snapToGrid w:val="0"/>
        <w:spacing w:line="360" w:lineRule="auto"/>
        <w:ind w:firstLine="480" w:firstLineChars="200"/>
        <w:rPr>
          <w:rFonts w:ascii="宋体" w:hAnsi="宋体"/>
          <w:sz w:val="24"/>
        </w:rPr>
      </w:pPr>
      <w:r>
        <w:rPr>
          <w:rFonts w:hint="eastAsia" w:ascii="宋体" w:hAnsi="宋体"/>
          <w:color w:val="000000"/>
          <w:sz w:val="24"/>
        </w:rPr>
        <w:t>1、</w:t>
      </w:r>
      <w:r>
        <w:rPr>
          <w:rFonts w:hint="eastAsia" w:ascii="宋体" w:hAnsi="宋体"/>
          <w:sz w:val="24"/>
        </w:rPr>
        <w:t>对本项目的具体响应方案；</w:t>
      </w:r>
    </w:p>
    <w:p>
      <w:pPr>
        <w:snapToGrid w:val="0"/>
        <w:spacing w:line="360" w:lineRule="auto"/>
        <w:ind w:firstLine="480" w:firstLineChars="200"/>
        <w:jc w:val="left"/>
        <w:rPr>
          <w:rFonts w:ascii="宋体" w:hAnsi="宋体"/>
          <w:sz w:val="24"/>
        </w:rPr>
      </w:pPr>
      <w:r>
        <w:rPr>
          <w:rFonts w:hint="eastAsia" w:ascii="宋体" w:hAnsi="宋体"/>
          <w:color w:val="000000"/>
          <w:sz w:val="24"/>
        </w:rPr>
        <w:t>2、</w:t>
      </w:r>
      <w:r>
        <w:rPr>
          <w:rFonts w:ascii="宋体" w:hAnsi="宋体"/>
          <w:sz w:val="24"/>
        </w:rPr>
        <w:t>设备配置清单；</w:t>
      </w:r>
    </w:p>
    <w:p>
      <w:pPr>
        <w:snapToGrid w:val="0"/>
        <w:spacing w:line="360" w:lineRule="auto"/>
        <w:ind w:firstLine="480" w:firstLineChars="200"/>
        <w:jc w:val="left"/>
        <w:rPr>
          <w:rFonts w:ascii="宋体" w:hAnsi="宋体"/>
          <w:sz w:val="24"/>
        </w:rPr>
      </w:pPr>
      <w:r>
        <w:rPr>
          <w:rFonts w:hint="eastAsia" w:ascii="宋体" w:hAnsi="宋体"/>
          <w:color w:val="000000"/>
          <w:sz w:val="24"/>
        </w:rPr>
        <w:t>3、</w:t>
      </w:r>
      <w:r>
        <w:rPr>
          <w:rFonts w:hint="eastAsia" w:ascii="宋体" w:hAnsi="宋体"/>
          <w:sz w:val="24"/>
        </w:rPr>
        <w:t>主要货物用材响应表</w:t>
      </w:r>
    </w:p>
    <w:p>
      <w:pPr>
        <w:snapToGrid w:val="0"/>
        <w:spacing w:line="360" w:lineRule="auto"/>
        <w:ind w:firstLine="480" w:firstLineChars="200"/>
        <w:jc w:val="left"/>
        <w:rPr>
          <w:rFonts w:ascii="宋体" w:hAnsi="宋体"/>
          <w:sz w:val="24"/>
          <w:szCs w:val="20"/>
        </w:rPr>
      </w:pPr>
      <w:r>
        <w:rPr>
          <w:rFonts w:hint="eastAsia" w:ascii="宋体" w:hAnsi="宋体"/>
          <w:sz w:val="24"/>
        </w:rPr>
        <w:t>4、</w:t>
      </w:r>
      <w:r>
        <w:rPr>
          <w:rFonts w:ascii="宋体" w:hAnsi="宋体"/>
          <w:sz w:val="24"/>
        </w:rPr>
        <w:t>技术</w:t>
      </w:r>
      <w:r>
        <w:rPr>
          <w:rFonts w:hint="eastAsia" w:ascii="宋体" w:hAnsi="宋体"/>
          <w:sz w:val="24"/>
        </w:rPr>
        <w:t>需求</w:t>
      </w:r>
      <w:r>
        <w:rPr>
          <w:rFonts w:ascii="宋体" w:hAnsi="宋体"/>
          <w:sz w:val="24"/>
        </w:rPr>
        <w:t>响应表；</w:t>
      </w:r>
    </w:p>
    <w:p>
      <w:pPr>
        <w:snapToGrid w:val="0"/>
        <w:spacing w:line="360" w:lineRule="auto"/>
        <w:ind w:firstLine="480" w:firstLineChars="200"/>
        <w:jc w:val="left"/>
        <w:rPr>
          <w:rFonts w:ascii="宋体" w:hAnsi="宋体"/>
          <w:sz w:val="24"/>
          <w:szCs w:val="20"/>
        </w:rPr>
      </w:pPr>
      <w:r>
        <w:rPr>
          <w:rFonts w:hint="eastAsia" w:ascii="宋体" w:hAnsi="宋体"/>
          <w:sz w:val="24"/>
        </w:rPr>
        <w:t>5、</w:t>
      </w:r>
      <w:r>
        <w:rPr>
          <w:rFonts w:ascii="宋体" w:hAnsi="宋体"/>
          <w:sz w:val="24"/>
        </w:rPr>
        <w:t xml:space="preserve">保证工程质量的技术力量及技术措施； </w:t>
      </w:r>
    </w:p>
    <w:p>
      <w:pPr>
        <w:snapToGrid w:val="0"/>
        <w:spacing w:line="360" w:lineRule="auto"/>
        <w:ind w:firstLine="480" w:firstLineChars="200"/>
        <w:jc w:val="left"/>
        <w:rPr>
          <w:rFonts w:ascii="宋体" w:hAnsi="宋体"/>
          <w:sz w:val="24"/>
        </w:rPr>
      </w:pPr>
      <w:r>
        <w:rPr>
          <w:rFonts w:hint="eastAsia" w:ascii="宋体" w:hAnsi="宋体"/>
          <w:sz w:val="24"/>
        </w:rPr>
        <w:t>6、</w:t>
      </w:r>
      <w:r>
        <w:rPr>
          <w:rFonts w:ascii="宋体" w:hAnsi="宋体"/>
          <w:sz w:val="24"/>
        </w:rPr>
        <w:t>保证工期的施工组织方案及人力资源安排</w:t>
      </w:r>
      <w:r>
        <w:rPr>
          <w:rFonts w:hint="eastAsia" w:ascii="宋体" w:hAnsi="宋体"/>
          <w:sz w:val="24"/>
        </w:rPr>
        <w:t>（附件6）</w:t>
      </w:r>
      <w:r>
        <w:rPr>
          <w:rFonts w:ascii="宋体" w:hAnsi="宋体"/>
          <w:sz w:val="24"/>
        </w:rPr>
        <w:t>；</w:t>
      </w:r>
    </w:p>
    <w:p>
      <w:pPr>
        <w:tabs>
          <w:tab w:val="left" w:pos="1898"/>
        </w:tabs>
        <w:autoSpaceDE w:val="0"/>
        <w:autoSpaceDN w:val="0"/>
        <w:adjustRightInd w:val="0"/>
        <w:spacing w:line="360" w:lineRule="auto"/>
        <w:ind w:firstLine="480"/>
        <w:rPr>
          <w:rFonts w:ascii="宋体" w:hAnsi="宋体"/>
          <w:kern w:val="0"/>
          <w:sz w:val="24"/>
        </w:rPr>
      </w:pPr>
      <w:r>
        <w:rPr>
          <w:rFonts w:hint="eastAsia" w:ascii="宋体" w:hAnsi="宋体"/>
          <w:sz w:val="24"/>
        </w:rPr>
        <w:t>7、</w:t>
      </w:r>
      <w:r>
        <w:rPr>
          <w:rFonts w:hint="eastAsia" w:ascii="宋体" w:hAnsi="宋体"/>
          <w:kern w:val="0"/>
          <w:sz w:val="24"/>
        </w:rPr>
        <w:t>项目实施人员一览表；</w:t>
      </w:r>
    </w:p>
    <w:p>
      <w:pPr>
        <w:tabs>
          <w:tab w:val="left" w:pos="1898"/>
        </w:tabs>
        <w:autoSpaceDE w:val="0"/>
        <w:autoSpaceDN w:val="0"/>
        <w:adjustRightInd w:val="0"/>
        <w:spacing w:line="360" w:lineRule="auto"/>
        <w:ind w:firstLine="480"/>
        <w:rPr>
          <w:rFonts w:ascii="宋体" w:hAnsi="宋体"/>
          <w:kern w:val="0"/>
          <w:sz w:val="24"/>
        </w:rPr>
      </w:pPr>
      <w:r>
        <w:rPr>
          <w:rFonts w:hint="eastAsia" w:ascii="宋体" w:hAnsi="宋体"/>
          <w:kern w:val="0"/>
          <w:sz w:val="24"/>
        </w:rPr>
        <w:t>8、项目负责人资格情况表</w:t>
      </w:r>
      <w:r>
        <w:rPr>
          <w:rFonts w:ascii="宋体" w:hAnsi="宋体"/>
          <w:kern w:val="0"/>
          <w:sz w:val="24"/>
        </w:rPr>
        <w:t>；</w:t>
      </w:r>
    </w:p>
    <w:p>
      <w:pPr>
        <w:snapToGrid w:val="0"/>
        <w:spacing w:line="360" w:lineRule="auto"/>
        <w:ind w:firstLine="480" w:firstLineChars="200"/>
        <w:jc w:val="left"/>
        <w:rPr>
          <w:rFonts w:ascii="宋体" w:hAnsi="宋体"/>
          <w:sz w:val="24"/>
        </w:rPr>
      </w:pPr>
      <w:r>
        <w:rPr>
          <w:rFonts w:hint="eastAsia" w:ascii="宋体" w:hAnsi="宋体"/>
          <w:sz w:val="24"/>
        </w:rPr>
        <w:t>9、</w:t>
      </w:r>
      <w:r>
        <w:rPr>
          <w:rFonts w:ascii="宋体" w:hAnsi="宋体"/>
          <w:sz w:val="24"/>
        </w:rPr>
        <w:t>技术服务、技术培训、售后服务的内容和措施；</w:t>
      </w:r>
    </w:p>
    <w:p>
      <w:pPr>
        <w:snapToGrid w:val="0"/>
        <w:spacing w:line="360" w:lineRule="auto"/>
        <w:ind w:firstLine="480" w:firstLineChars="200"/>
        <w:jc w:val="left"/>
        <w:rPr>
          <w:rFonts w:ascii="宋体" w:hAnsi="宋体"/>
          <w:sz w:val="24"/>
        </w:rPr>
      </w:pPr>
      <w:r>
        <w:rPr>
          <w:rFonts w:hint="eastAsia" w:ascii="宋体" w:hAnsi="宋体"/>
          <w:sz w:val="24"/>
        </w:rPr>
        <w:t>10、</w:t>
      </w:r>
      <w:r>
        <w:rPr>
          <w:rFonts w:ascii="宋体" w:hAnsi="宋体"/>
          <w:kern w:val="0"/>
          <w:sz w:val="24"/>
        </w:rPr>
        <w:t>安装、调试及验收方案</w:t>
      </w:r>
      <w:r>
        <w:rPr>
          <w:rFonts w:hint="eastAsia" w:ascii="宋体" w:hAnsi="宋体"/>
          <w:sz w:val="24"/>
        </w:rPr>
        <w:t>和措施；</w:t>
      </w:r>
    </w:p>
    <w:p>
      <w:pPr>
        <w:snapToGrid w:val="0"/>
        <w:spacing w:line="360" w:lineRule="auto"/>
        <w:ind w:firstLine="480" w:firstLineChars="200"/>
        <w:jc w:val="left"/>
        <w:rPr>
          <w:rFonts w:ascii="宋体" w:hAnsi="宋体"/>
          <w:b/>
          <w:color w:val="000000"/>
          <w:sz w:val="24"/>
        </w:rPr>
      </w:pPr>
      <w:r>
        <w:rPr>
          <w:rFonts w:hint="eastAsia" w:ascii="宋体" w:hAnsi="宋体"/>
          <w:sz w:val="24"/>
        </w:rPr>
        <w:t>11、投标人</w:t>
      </w:r>
      <w:r>
        <w:rPr>
          <w:rFonts w:ascii="宋体" w:hAnsi="宋体"/>
          <w:sz w:val="24"/>
        </w:rPr>
        <w:t>需要说明的其他</w:t>
      </w:r>
      <w:r>
        <w:rPr>
          <w:rFonts w:hint="eastAsia" w:ascii="宋体" w:hAnsi="宋体"/>
          <w:sz w:val="24"/>
        </w:rPr>
        <w:t>内容</w:t>
      </w:r>
      <w:r>
        <w:rPr>
          <w:rFonts w:ascii="宋体" w:hAnsi="宋体"/>
          <w:color w:val="000000"/>
          <w:sz w:val="24"/>
        </w:rPr>
        <w:t>。</w:t>
      </w:r>
    </w:p>
    <w:p>
      <w:pPr>
        <w:snapToGrid w:val="0"/>
        <w:spacing w:before="50" w:after="50" w:line="360" w:lineRule="auto"/>
        <w:jc w:val="left"/>
        <w:rPr>
          <w:rFonts w:ascii="仿宋_GB2312" w:hAnsi="宋体" w:eastAsia="仿宋_GB2312"/>
          <w:b/>
          <w:bCs/>
          <w:sz w:val="36"/>
          <w:szCs w:val="36"/>
        </w:rPr>
      </w:pPr>
    </w:p>
    <w:p>
      <w:pPr>
        <w:snapToGrid w:val="0"/>
        <w:spacing w:before="50" w:after="50" w:line="360" w:lineRule="auto"/>
        <w:rPr>
          <w:rFonts w:ascii="宋体" w:hAnsi="宋体"/>
          <w:b/>
          <w:sz w:val="28"/>
        </w:rPr>
      </w:pPr>
    </w:p>
    <w:p>
      <w:pPr>
        <w:snapToGrid w:val="0"/>
        <w:spacing w:before="50" w:after="50" w:line="360" w:lineRule="auto"/>
        <w:rPr>
          <w:rFonts w:ascii="宋体" w:hAnsi="宋体"/>
          <w:b/>
          <w:sz w:val="28"/>
        </w:rPr>
      </w:pPr>
      <w:r>
        <w:rPr>
          <w:rFonts w:hint="eastAsia" w:ascii="宋体" w:hAnsi="宋体"/>
          <w:b/>
          <w:sz w:val="28"/>
        </w:rPr>
        <w:t>附件9</w:t>
      </w:r>
    </w:p>
    <w:p>
      <w:pPr>
        <w:spacing w:line="360" w:lineRule="auto"/>
        <w:ind w:left="480"/>
        <w:jc w:val="center"/>
        <w:rPr>
          <w:rFonts w:ascii="宋体" w:hAnsi="宋体"/>
          <w:b/>
          <w:color w:val="000000"/>
          <w:sz w:val="32"/>
          <w:szCs w:val="32"/>
        </w:rPr>
      </w:pPr>
      <w:r>
        <w:rPr>
          <w:rFonts w:ascii="宋体" w:hAnsi="宋体"/>
          <w:b/>
          <w:color w:val="000000"/>
          <w:sz w:val="32"/>
          <w:szCs w:val="32"/>
        </w:rPr>
        <w:t>设备配置清单</w:t>
      </w:r>
      <w:r>
        <w:rPr>
          <w:rFonts w:hint="eastAsia" w:ascii="宋体" w:hAnsi="宋体"/>
          <w:b/>
          <w:color w:val="000000"/>
          <w:sz w:val="32"/>
          <w:szCs w:val="32"/>
        </w:rPr>
        <w:t xml:space="preserve"> (第 标)</w:t>
      </w:r>
    </w:p>
    <w:p>
      <w:pPr>
        <w:spacing w:line="360" w:lineRule="auto"/>
        <w:ind w:left="480"/>
        <w:rPr>
          <w:rFonts w:ascii="宋体" w:hAnsi="宋体"/>
          <w:b/>
          <w:color w:val="000000"/>
          <w:sz w:val="30"/>
        </w:rPr>
      </w:pPr>
    </w:p>
    <w:p>
      <w:pPr>
        <w:spacing w:line="360" w:lineRule="auto"/>
        <w:jc w:val="center"/>
        <w:rPr>
          <w:rFonts w:ascii="宋体" w:hAnsi="宋体"/>
          <w:color w:val="000000"/>
        </w:rPr>
      </w:pPr>
    </w:p>
    <w:p>
      <w:pPr>
        <w:spacing w:line="360" w:lineRule="auto"/>
        <w:rPr>
          <w:rFonts w:ascii="宋体" w:hAnsi="宋体"/>
          <w:color w:val="000000"/>
          <w:sz w:val="24"/>
        </w:rPr>
      </w:pPr>
      <w:r>
        <w:rPr>
          <w:rFonts w:hint="eastAsia" w:ascii="宋体" w:hAnsi="宋体"/>
          <w:color w:val="000000"/>
          <w:sz w:val="24"/>
        </w:rPr>
        <w:t xml:space="preserve">  项目编号：</w:t>
      </w:r>
    </w:p>
    <w:p>
      <w:pPr>
        <w:spacing w:line="360" w:lineRule="auto"/>
        <w:ind w:left="420"/>
        <w:rPr>
          <w:rFonts w:ascii="宋体" w:hAnsi="宋体"/>
          <w:color w:val="000000"/>
          <w:sz w:val="24"/>
        </w:rPr>
      </w:pPr>
    </w:p>
    <w:tbl>
      <w:tblPr>
        <w:tblStyle w:val="35"/>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2169"/>
        <w:gridCol w:w="1134"/>
        <w:gridCol w:w="1842"/>
        <w:gridCol w:w="99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525" w:type="dxa"/>
            <w:vAlign w:val="center"/>
          </w:tcPr>
          <w:p>
            <w:pPr>
              <w:spacing w:line="360" w:lineRule="auto"/>
              <w:rPr>
                <w:rFonts w:ascii="宋体" w:hAnsi="宋体"/>
                <w:b/>
                <w:color w:val="000000"/>
                <w:sz w:val="24"/>
              </w:rPr>
            </w:pPr>
            <w:r>
              <w:rPr>
                <w:rFonts w:hint="eastAsia" w:ascii="宋体" w:hAnsi="宋体"/>
                <w:b/>
                <w:color w:val="000000"/>
                <w:sz w:val="24"/>
              </w:rPr>
              <w:t>序号</w:t>
            </w:r>
          </w:p>
        </w:tc>
        <w:tc>
          <w:tcPr>
            <w:tcW w:w="2169" w:type="dxa"/>
            <w:vAlign w:val="center"/>
          </w:tcPr>
          <w:p>
            <w:pPr>
              <w:tabs>
                <w:tab w:val="left" w:pos="8280"/>
              </w:tabs>
              <w:autoSpaceDE w:val="0"/>
              <w:autoSpaceDN w:val="0"/>
              <w:adjustRightInd w:val="0"/>
              <w:spacing w:line="360" w:lineRule="auto"/>
              <w:ind w:right="25" w:firstLine="361" w:firstLineChars="150"/>
              <w:jc w:val="center"/>
              <w:rPr>
                <w:rFonts w:ascii="宋体" w:hAnsi="宋体"/>
                <w:b/>
                <w:color w:val="000000"/>
                <w:sz w:val="24"/>
              </w:rPr>
            </w:pPr>
            <w:r>
              <w:rPr>
                <w:rFonts w:hint="eastAsia" w:ascii="宋体" w:hAnsi="宋体"/>
                <w:b/>
                <w:color w:val="000000"/>
                <w:sz w:val="24"/>
              </w:rPr>
              <w:t>名称</w:t>
            </w:r>
          </w:p>
        </w:tc>
        <w:tc>
          <w:tcPr>
            <w:tcW w:w="1134" w:type="dxa"/>
            <w:vAlign w:val="center"/>
          </w:tcPr>
          <w:p>
            <w:pPr>
              <w:tabs>
                <w:tab w:val="left" w:pos="8280"/>
              </w:tabs>
              <w:autoSpaceDE w:val="0"/>
              <w:autoSpaceDN w:val="0"/>
              <w:adjustRightInd w:val="0"/>
              <w:spacing w:line="360" w:lineRule="auto"/>
              <w:ind w:right="25"/>
              <w:jc w:val="center"/>
              <w:rPr>
                <w:rFonts w:ascii="宋体" w:hAnsi="宋体"/>
                <w:b/>
                <w:color w:val="000000"/>
                <w:sz w:val="24"/>
              </w:rPr>
            </w:pPr>
            <w:r>
              <w:rPr>
                <w:rFonts w:hint="eastAsia" w:ascii="宋体" w:hAnsi="宋体"/>
                <w:b/>
                <w:color w:val="000000"/>
                <w:sz w:val="24"/>
              </w:rPr>
              <w:t>品牌</w:t>
            </w:r>
          </w:p>
        </w:tc>
        <w:tc>
          <w:tcPr>
            <w:tcW w:w="1842" w:type="dxa"/>
            <w:vAlign w:val="center"/>
          </w:tcPr>
          <w:p>
            <w:pPr>
              <w:tabs>
                <w:tab w:val="left" w:pos="8280"/>
              </w:tabs>
              <w:autoSpaceDE w:val="0"/>
              <w:autoSpaceDN w:val="0"/>
              <w:adjustRightInd w:val="0"/>
              <w:spacing w:line="360" w:lineRule="auto"/>
              <w:ind w:right="25"/>
              <w:jc w:val="center"/>
              <w:rPr>
                <w:rFonts w:ascii="宋体" w:hAnsi="宋体"/>
                <w:b/>
                <w:color w:val="000000"/>
                <w:sz w:val="24"/>
              </w:rPr>
            </w:pPr>
            <w:r>
              <w:rPr>
                <w:rFonts w:hint="eastAsia" w:ascii="宋体" w:hAnsi="宋体"/>
                <w:b/>
                <w:color w:val="000000"/>
                <w:sz w:val="24"/>
              </w:rPr>
              <w:t>规格型号</w:t>
            </w:r>
          </w:p>
        </w:tc>
        <w:tc>
          <w:tcPr>
            <w:tcW w:w="993" w:type="dxa"/>
            <w:vAlign w:val="center"/>
          </w:tcPr>
          <w:p>
            <w:pPr>
              <w:spacing w:line="360" w:lineRule="auto"/>
              <w:ind w:left="52"/>
              <w:jc w:val="center"/>
              <w:rPr>
                <w:rFonts w:ascii="宋体" w:hAnsi="宋体"/>
                <w:b/>
                <w:color w:val="000000"/>
                <w:sz w:val="24"/>
              </w:rPr>
            </w:pPr>
            <w:r>
              <w:rPr>
                <w:rFonts w:hint="eastAsia" w:ascii="宋体" w:hAnsi="宋体"/>
                <w:b/>
                <w:color w:val="000000"/>
                <w:sz w:val="24"/>
              </w:rPr>
              <w:t>产地</w:t>
            </w:r>
          </w:p>
        </w:tc>
        <w:tc>
          <w:tcPr>
            <w:tcW w:w="1559" w:type="dxa"/>
            <w:vAlign w:val="center"/>
          </w:tcPr>
          <w:p>
            <w:pPr>
              <w:spacing w:line="360" w:lineRule="auto"/>
              <w:ind w:left="152"/>
              <w:jc w:val="center"/>
              <w:rPr>
                <w:rFonts w:ascii="宋体" w:hAnsi="宋体"/>
                <w:b/>
                <w:color w:val="000000"/>
                <w:sz w:val="24"/>
              </w:rPr>
            </w:pPr>
            <w:r>
              <w:rPr>
                <w:rFonts w:hint="eastAsia" w:ascii="宋体" w:hAnsi="宋体"/>
                <w:b/>
                <w:color w:val="000000"/>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525" w:type="dxa"/>
            <w:vAlign w:val="center"/>
          </w:tcPr>
          <w:p>
            <w:pPr>
              <w:spacing w:line="360" w:lineRule="auto"/>
              <w:rPr>
                <w:rFonts w:ascii="宋体" w:hAnsi="宋体"/>
                <w:color w:val="000000"/>
                <w:sz w:val="24"/>
              </w:rPr>
            </w:pPr>
          </w:p>
        </w:tc>
        <w:tc>
          <w:tcPr>
            <w:tcW w:w="2169"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1842"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559" w:type="dxa"/>
            <w:vAlign w:val="center"/>
          </w:tcPr>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525" w:type="dxa"/>
            <w:vAlign w:val="center"/>
          </w:tcPr>
          <w:p>
            <w:pPr>
              <w:spacing w:line="360" w:lineRule="auto"/>
              <w:rPr>
                <w:rFonts w:ascii="宋体" w:hAnsi="宋体"/>
                <w:color w:val="000000"/>
                <w:sz w:val="24"/>
              </w:rPr>
            </w:pPr>
          </w:p>
        </w:tc>
        <w:tc>
          <w:tcPr>
            <w:tcW w:w="2169"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1842"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559" w:type="dxa"/>
            <w:vAlign w:val="center"/>
          </w:tcPr>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525" w:type="dxa"/>
            <w:vAlign w:val="center"/>
          </w:tcPr>
          <w:p>
            <w:pPr>
              <w:spacing w:line="360" w:lineRule="auto"/>
              <w:rPr>
                <w:rFonts w:ascii="宋体" w:hAnsi="宋体"/>
                <w:color w:val="000000"/>
                <w:sz w:val="24"/>
              </w:rPr>
            </w:pPr>
          </w:p>
        </w:tc>
        <w:tc>
          <w:tcPr>
            <w:tcW w:w="2169"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1842"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559" w:type="dxa"/>
            <w:vAlign w:val="center"/>
          </w:tcPr>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525" w:type="dxa"/>
            <w:vAlign w:val="center"/>
          </w:tcPr>
          <w:p>
            <w:pPr>
              <w:spacing w:line="360" w:lineRule="auto"/>
              <w:rPr>
                <w:rFonts w:ascii="宋体" w:hAnsi="宋体"/>
                <w:color w:val="000000"/>
                <w:sz w:val="24"/>
              </w:rPr>
            </w:pPr>
          </w:p>
        </w:tc>
        <w:tc>
          <w:tcPr>
            <w:tcW w:w="2169"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1842"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559" w:type="dxa"/>
            <w:vAlign w:val="center"/>
          </w:tcPr>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atLeast"/>
        </w:trPr>
        <w:tc>
          <w:tcPr>
            <w:tcW w:w="525" w:type="dxa"/>
            <w:vAlign w:val="center"/>
          </w:tcPr>
          <w:p>
            <w:pPr>
              <w:spacing w:line="360" w:lineRule="auto"/>
              <w:rPr>
                <w:rFonts w:ascii="宋体" w:hAnsi="宋体"/>
                <w:color w:val="000000"/>
                <w:sz w:val="24"/>
              </w:rPr>
            </w:pPr>
          </w:p>
        </w:tc>
        <w:tc>
          <w:tcPr>
            <w:tcW w:w="2169"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1842"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559" w:type="dxa"/>
            <w:vAlign w:val="center"/>
          </w:tcPr>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0" w:hRule="atLeast"/>
        </w:trPr>
        <w:tc>
          <w:tcPr>
            <w:tcW w:w="525" w:type="dxa"/>
            <w:vAlign w:val="center"/>
          </w:tcPr>
          <w:p>
            <w:pPr>
              <w:spacing w:line="360" w:lineRule="auto"/>
              <w:rPr>
                <w:rFonts w:ascii="宋体" w:hAnsi="宋体"/>
                <w:color w:val="000000"/>
                <w:sz w:val="24"/>
              </w:rPr>
            </w:pPr>
          </w:p>
        </w:tc>
        <w:tc>
          <w:tcPr>
            <w:tcW w:w="2169"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1842"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559" w:type="dxa"/>
            <w:vAlign w:val="center"/>
          </w:tcPr>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0" w:hRule="atLeast"/>
        </w:trPr>
        <w:tc>
          <w:tcPr>
            <w:tcW w:w="525" w:type="dxa"/>
            <w:vAlign w:val="center"/>
          </w:tcPr>
          <w:p>
            <w:pPr>
              <w:spacing w:line="360" w:lineRule="auto"/>
              <w:rPr>
                <w:rFonts w:ascii="宋体" w:hAnsi="宋体"/>
                <w:color w:val="000000"/>
                <w:sz w:val="24"/>
              </w:rPr>
            </w:pPr>
          </w:p>
        </w:tc>
        <w:tc>
          <w:tcPr>
            <w:tcW w:w="2169"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1842"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559" w:type="dxa"/>
            <w:vAlign w:val="center"/>
          </w:tcPr>
          <w:p>
            <w:pPr>
              <w:spacing w:line="360" w:lineRule="auto"/>
              <w:rPr>
                <w:rFonts w:ascii="宋体" w:hAnsi="宋体"/>
                <w:color w:val="000000"/>
                <w:sz w:val="24"/>
              </w:rPr>
            </w:pPr>
          </w:p>
        </w:tc>
      </w:tr>
    </w:tbl>
    <w:p>
      <w:pPr>
        <w:spacing w:line="360" w:lineRule="auto"/>
        <w:ind w:left="420"/>
        <w:rPr>
          <w:rFonts w:ascii="宋体" w:hAnsi="宋体"/>
          <w:color w:val="000000"/>
          <w:sz w:val="24"/>
        </w:rPr>
      </w:pPr>
    </w:p>
    <w:p>
      <w:pPr>
        <w:spacing w:line="360" w:lineRule="auto"/>
        <w:ind w:left="435"/>
        <w:rPr>
          <w:rFonts w:ascii="宋体" w:hAnsi="宋体"/>
          <w:b/>
          <w:color w:val="000000"/>
          <w:szCs w:val="21"/>
        </w:rPr>
      </w:pPr>
      <w:r>
        <w:rPr>
          <w:rFonts w:hint="eastAsia" w:ascii="宋体" w:hAnsi="宋体"/>
          <w:b/>
          <w:color w:val="000000"/>
          <w:szCs w:val="21"/>
        </w:rPr>
        <w:t>要求：</w:t>
      </w:r>
    </w:p>
    <w:p>
      <w:pPr>
        <w:spacing w:line="360" w:lineRule="auto"/>
        <w:ind w:left="435" w:firstLine="559" w:firstLineChars="265"/>
        <w:rPr>
          <w:rFonts w:ascii="宋体" w:hAnsi="宋体"/>
          <w:color w:val="000000"/>
          <w:szCs w:val="21"/>
        </w:rPr>
      </w:pPr>
      <w:r>
        <w:rPr>
          <w:rFonts w:hint="eastAsia" w:ascii="宋体" w:hAnsi="宋体"/>
          <w:b/>
          <w:color w:val="000000"/>
          <w:szCs w:val="21"/>
        </w:rPr>
        <w:t>1.</w:t>
      </w:r>
      <w:r>
        <w:rPr>
          <w:rFonts w:hint="eastAsia" w:ascii="宋体" w:hAnsi="宋体"/>
          <w:color w:val="000000"/>
          <w:szCs w:val="21"/>
        </w:rPr>
        <w:t>本表中的名称、数量应与报价明细表中相对应的报价名称、数量一致</w:t>
      </w:r>
    </w:p>
    <w:p>
      <w:pPr>
        <w:spacing w:line="360" w:lineRule="auto"/>
        <w:ind w:left="420"/>
        <w:rPr>
          <w:rFonts w:ascii="宋体" w:hAnsi="宋体"/>
          <w:color w:val="000000"/>
          <w:sz w:val="24"/>
        </w:rPr>
      </w:pPr>
    </w:p>
    <w:p>
      <w:pPr>
        <w:spacing w:line="360" w:lineRule="auto"/>
        <w:ind w:left="420"/>
        <w:rPr>
          <w:rFonts w:ascii="宋体" w:hAnsi="宋体"/>
          <w:color w:val="000000"/>
          <w:sz w:val="24"/>
        </w:rPr>
      </w:pPr>
    </w:p>
    <w:p>
      <w:pPr>
        <w:spacing w:line="360" w:lineRule="auto"/>
        <w:ind w:left="420"/>
        <w:rPr>
          <w:rFonts w:ascii="宋体" w:hAnsi="宋体"/>
          <w:color w:val="000000"/>
          <w:sz w:val="24"/>
        </w:rPr>
      </w:pPr>
    </w:p>
    <w:p>
      <w:pPr>
        <w:spacing w:line="360" w:lineRule="auto"/>
        <w:ind w:left="420"/>
        <w:rPr>
          <w:rFonts w:ascii="宋体" w:hAnsi="宋体"/>
          <w:color w:val="000000"/>
          <w:sz w:val="24"/>
        </w:rPr>
      </w:pPr>
    </w:p>
    <w:p>
      <w:pPr>
        <w:spacing w:line="360" w:lineRule="auto"/>
        <w:ind w:left="420"/>
        <w:rPr>
          <w:rFonts w:ascii="宋体" w:hAnsi="宋体"/>
          <w:color w:val="000000"/>
          <w:sz w:val="24"/>
        </w:rPr>
      </w:pPr>
    </w:p>
    <w:p>
      <w:pPr>
        <w:spacing w:line="360" w:lineRule="auto"/>
        <w:ind w:left="420" w:firstLine="571" w:firstLineChars="238"/>
        <w:rPr>
          <w:rFonts w:ascii="宋体" w:hAnsi="宋体"/>
          <w:color w:val="000000"/>
          <w:sz w:val="24"/>
          <w:u w:val="single"/>
        </w:rPr>
      </w:pPr>
      <w:r>
        <w:rPr>
          <w:rFonts w:hint="eastAsia" w:ascii="宋体" w:hAnsi="宋体"/>
          <w:color w:val="000000"/>
          <w:sz w:val="24"/>
        </w:rPr>
        <w:t>投标人名称（盖章）：</w:t>
      </w:r>
    </w:p>
    <w:p>
      <w:pPr>
        <w:spacing w:line="360" w:lineRule="auto"/>
        <w:ind w:left="420"/>
        <w:rPr>
          <w:rFonts w:ascii="宋体" w:hAnsi="宋体"/>
          <w:color w:val="000000"/>
          <w:sz w:val="24"/>
        </w:rPr>
      </w:pPr>
    </w:p>
    <w:p>
      <w:pPr>
        <w:spacing w:line="360" w:lineRule="auto"/>
        <w:ind w:firstLine="993"/>
        <w:rPr>
          <w:rFonts w:ascii="宋体" w:hAnsi="宋体"/>
          <w:color w:val="000000"/>
          <w:sz w:val="24"/>
        </w:rPr>
      </w:pPr>
      <w:r>
        <w:rPr>
          <w:rFonts w:hint="eastAsia" w:ascii="宋体" w:hAnsi="宋体"/>
          <w:color w:val="000000"/>
          <w:sz w:val="24"/>
        </w:rPr>
        <w:t>投标人代表签字：</w:t>
      </w:r>
    </w:p>
    <w:p>
      <w:pPr>
        <w:spacing w:line="360" w:lineRule="auto"/>
        <w:ind w:firstLine="435"/>
        <w:rPr>
          <w:rFonts w:ascii="宋体" w:hAnsi="宋体"/>
          <w:color w:val="000000"/>
          <w:sz w:val="24"/>
        </w:rPr>
      </w:pPr>
    </w:p>
    <w:p>
      <w:pPr>
        <w:spacing w:line="360" w:lineRule="auto"/>
        <w:ind w:firstLine="993"/>
        <w:rPr>
          <w:rFonts w:ascii="宋体" w:hAnsi="宋体"/>
          <w:color w:val="000000"/>
          <w:sz w:val="24"/>
        </w:rPr>
      </w:pPr>
      <w:r>
        <w:rPr>
          <w:rFonts w:hint="eastAsia" w:ascii="宋体" w:hAnsi="宋体"/>
          <w:color w:val="000000"/>
          <w:sz w:val="24"/>
        </w:rPr>
        <w:t>职        务：</w:t>
      </w:r>
    </w:p>
    <w:p>
      <w:pPr>
        <w:spacing w:line="360" w:lineRule="auto"/>
        <w:ind w:firstLine="435"/>
        <w:rPr>
          <w:rFonts w:ascii="宋体" w:hAnsi="宋体"/>
          <w:color w:val="000000"/>
          <w:sz w:val="24"/>
        </w:rPr>
      </w:pPr>
    </w:p>
    <w:p>
      <w:pPr>
        <w:spacing w:line="360" w:lineRule="auto"/>
        <w:ind w:firstLine="993"/>
        <w:rPr>
          <w:rFonts w:ascii="宋体" w:hAnsi="宋体"/>
          <w:color w:val="000000"/>
          <w:sz w:val="24"/>
        </w:rPr>
      </w:pPr>
      <w:r>
        <w:rPr>
          <w:rFonts w:hint="eastAsia" w:ascii="宋体" w:hAnsi="宋体"/>
          <w:color w:val="000000"/>
          <w:sz w:val="24"/>
        </w:rPr>
        <w:t>日        期：</w:t>
      </w:r>
    </w:p>
    <w:p>
      <w:pPr>
        <w:spacing w:line="360" w:lineRule="auto"/>
        <w:ind w:firstLine="435"/>
        <w:rPr>
          <w:rFonts w:ascii="宋体" w:hAnsi="宋体"/>
          <w:color w:val="000000"/>
          <w:sz w:val="24"/>
        </w:rPr>
      </w:pPr>
    </w:p>
    <w:p>
      <w:pPr>
        <w:spacing w:line="360" w:lineRule="auto"/>
        <w:ind w:firstLine="435"/>
        <w:rPr>
          <w:rFonts w:ascii="宋体" w:hAnsi="宋体"/>
          <w:color w:val="000000"/>
          <w:sz w:val="24"/>
        </w:rPr>
      </w:pPr>
    </w:p>
    <w:p>
      <w:pPr>
        <w:pStyle w:val="54"/>
        <w:spacing w:line="360" w:lineRule="auto"/>
        <w:rPr>
          <w:rFonts w:hAnsi="宋体"/>
          <w:color w:val="000000"/>
          <w:sz w:val="24"/>
        </w:rPr>
      </w:pPr>
    </w:p>
    <w:p>
      <w:pPr>
        <w:pStyle w:val="54"/>
        <w:spacing w:line="360" w:lineRule="auto"/>
        <w:rPr>
          <w:rFonts w:hAnsi="宋体"/>
          <w:b/>
          <w:color w:val="FF00FF"/>
          <w:sz w:val="28"/>
          <w:szCs w:val="28"/>
        </w:rPr>
      </w:pPr>
      <w:r>
        <w:rPr>
          <w:rFonts w:hint="eastAsia" w:hAnsi="宋体"/>
          <w:b/>
          <w:color w:val="FF00FF"/>
          <w:sz w:val="28"/>
          <w:szCs w:val="28"/>
        </w:rPr>
        <w:t xml:space="preserve">附件10              </w:t>
      </w:r>
    </w:p>
    <w:p>
      <w:pPr>
        <w:pStyle w:val="54"/>
        <w:spacing w:line="360" w:lineRule="auto"/>
        <w:jc w:val="center"/>
        <w:rPr>
          <w:rFonts w:hAnsi="宋体"/>
          <w:b/>
          <w:color w:val="FF00FF"/>
          <w:sz w:val="32"/>
          <w:szCs w:val="32"/>
          <w:lang w:val="en-GB"/>
        </w:rPr>
      </w:pPr>
      <w:r>
        <w:rPr>
          <w:rFonts w:hint="eastAsia" w:hAnsi="宋体"/>
          <w:b/>
          <w:color w:val="FF00FF"/>
          <w:sz w:val="32"/>
          <w:szCs w:val="32"/>
        </w:rPr>
        <w:t>主要货物用材响应表(类似家具类货物采用)</w:t>
      </w:r>
    </w:p>
    <w:tbl>
      <w:tblPr>
        <w:tblStyle w:val="35"/>
        <w:tblW w:w="104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980"/>
        <w:gridCol w:w="1080"/>
        <w:gridCol w:w="1260"/>
        <w:gridCol w:w="900"/>
        <w:gridCol w:w="1164"/>
        <w:gridCol w:w="1260"/>
        <w:gridCol w:w="116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r>
              <w:rPr>
                <w:rFonts w:hint="eastAsia" w:ascii="仿宋_GB2312" w:hAnsi="宋体" w:eastAsia="仿宋_GB2312"/>
                <w:sz w:val="24"/>
              </w:rPr>
              <w:t>序号</w:t>
            </w:r>
          </w:p>
        </w:tc>
        <w:tc>
          <w:tcPr>
            <w:tcW w:w="1980" w:type="dxa"/>
            <w:vMerge w:val="restart"/>
            <w:tcBorders>
              <w:top w:val="single" w:color="auto" w:sz="4" w:space="0"/>
              <w:left w:val="single" w:color="auto" w:sz="4" w:space="0"/>
              <w:bottom w:val="single" w:color="auto" w:sz="4" w:space="0"/>
              <w:right w:val="single" w:color="auto" w:sz="4" w:space="0"/>
            </w:tcBorders>
            <w:vAlign w:val="center"/>
          </w:tcPr>
          <w:p>
            <w:pPr>
              <w:pStyle w:val="55"/>
              <w:autoSpaceDE w:val="0"/>
              <w:autoSpaceDN w:val="0"/>
              <w:adjustRightInd w:val="0"/>
              <w:spacing w:line="360" w:lineRule="auto"/>
              <w:ind w:right="84" w:rightChars="40"/>
              <w:jc w:val="center"/>
              <w:rPr>
                <w:rFonts w:ascii="仿宋_GB2312" w:hAnsi="宋体" w:eastAsia="仿宋_GB2312"/>
                <w:sz w:val="24"/>
              </w:rPr>
            </w:pPr>
            <w:r>
              <w:rPr>
                <w:rFonts w:hint="eastAsia" w:ascii="仿宋_GB2312" w:hAnsi="宋体" w:eastAsia="仿宋_GB2312"/>
                <w:sz w:val="24"/>
              </w:rPr>
              <w:t>货物名称</w:t>
            </w:r>
          </w:p>
        </w:tc>
        <w:tc>
          <w:tcPr>
            <w:tcW w:w="1080" w:type="dxa"/>
            <w:vMerge w:val="restart"/>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r>
              <w:rPr>
                <w:rFonts w:hint="eastAsia" w:ascii="仿宋_GB2312" w:hAnsi="宋体" w:eastAsia="仿宋_GB2312"/>
                <w:sz w:val="24"/>
              </w:rPr>
              <w:t>产品配置</w:t>
            </w:r>
          </w:p>
        </w:tc>
        <w:tc>
          <w:tcPr>
            <w:tcW w:w="6644" w:type="dxa"/>
            <w:gridSpan w:val="6"/>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r>
              <w:rPr>
                <w:rFonts w:hint="eastAsia" w:ascii="仿宋_GB2312" w:hAnsi="宋体" w:eastAsia="仿宋_GB2312"/>
                <w:sz w:val="24"/>
              </w:rPr>
              <w:t>产品主要用材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vAlign w:val="center"/>
          </w:tcPr>
          <w:p>
            <w:pPr>
              <w:pStyle w:val="55"/>
              <w:spacing w:line="360" w:lineRule="auto"/>
              <w:rPr>
                <w:rFonts w:ascii="仿宋_GB2312" w:hAnsi="宋体" w:eastAsia="仿宋_GB2312"/>
                <w:sz w:val="24"/>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pStyle w:val="55"/>
              <w:spacing w:line="360" w:lineRule="auto"/>
              <w:rPr>
                <w:rFonts w:ascii="仿宋_GB2312" w:hAnsi="宋体" w:eastAsia="仿宋_GB2312"/>
                <w:sz w:val="24"/>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pStyle w:val="55"/>
              <w:spacing w:line="360" w:lineRule="auto"/>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r>
              <w:rPr>
                <w:rFonts w:hint="eastAsia" w:ascii="仿宋_GB2312" w:hAnsi="宋体" w:eastAsia="仿宋_GB2312" w:cs="宋体"/>
                <w:bCs/>
                <w:sz w:val="24"/>
              </w:rPr>
              <w:t>材料规格及参数</w:t>
            </w:r>
          </w:p>
        </w:tc>
        <w:tc>
          <w:tcPr>
            <w:tcW w:w="90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r>
              <w:rPr>
                <w:rFonts w:hint="eastAsia" w:ascii="仿宋_GB2312" w:hAnsi="宋体" w:eastAsia="仿宋_GB2312"/>
                <w:sz w:val="24"/>
              </w:rPr>
              <w:t>品牌</w:t>
            </w:r>
          </w:p>
          <w:p>
            <w:pPr>
              <w:pStyle w:val="55"/>
              <w:autoSpaceDE w:val="0"/>
              <w:autoSpaceDN w:val="0"/>
              <w:adjustRightInd w:val="0"/>
              <w:spacing w:line="360" w:lineRule="auto"/>
              <w:ind w:right="84" w:rightChars="40"/>
              <w:jc w:val="center"/>
              <w:rPr>
                <w:rFonts w:ascii="仿宋_GB2312" w:hAnsi="宋体" w:eastAsia="仿宋_GB2312"/>
                <w:sz w:val="24"/>
              </w:rPr>
            </w:pPr>
            <w:r>
              <w:rPr>
                <w:rFonts w:hint="eastAsia" w:ascii="仿宋_GB2312" w:hAnsi="宋体" w:eastAsia="仿宋_GB2312"/>
                <w:sz w:val="24"/>
              </w:rPr>
              <w:t>商标</w:t>
            </w:r>
          </w:p>
        </w:tc>
        <w:tc>
          <w:tcPr>
            <w:tcW w:w="1164"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r>
              <w:rPr>
                <w:rFonts w:hint="eastAsia" w:ascii="仿宋_GB2312" w:hAnsi="宋体" w:eastAsia="仿宋_GB2312"/>
                <w:sz w:val="24"/>
              </w:rPr>
              <w:t>生产厂家</w:t>
            </w:r>
          </w:p>
        </w:tc>
        <w:tc>
          <w:tcPr>
            <w:tcW w:w="12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r>
              <w:rPr>
                <w:rFonts w:hint="eastAsia" w:ascii="仿宋_GB2312" w:hAnsi="宋体" w:eastAsia="仿宋_GB2312"/>
                <w:sz w:val="24"/>
              </w:rPr>
              <w:t>符合标准</w:t>
            </w:r>
          </w:p>
        </w:tc>
        <w:tc>
          <w:tcPr>
            <w:tcW w:w="11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r>
              <w:rPr>
                <w:rFonts w:hint="eastAsia" w:ascii="仿宋_GB2312" w:hAnsi="宋体" w:eastAsia="仿宋_GB2312"/>
                <w:sz w:val="24"/>
              </w:rPr>
              <w:t>性能说明</w:t>
            </w:r>
          </w:p>
        </w:tc>
        <w:tc>
          <w:tcPr>
            <w:tcW w:w="90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vAlign w:val="center"/>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980" w:type="dxa"/>
            <w:vMerge w:val="restart"/>
            <w:tcBorders>
              <w:top w:val="single" w:color="auto" w:sz="4" w:space="0"/>
              <w:left w:val="single" w:color="auto" w:sz="4" w:space="0"/>
              <w:bottom w:val="single" w:color="auto" w:sz="4" w:space="0"/>
              <w:right w:val="single" w:color="auto" w:sz="4" w:space="0"/>
            </w:tcBorders>
            <w:vAlign w:val="center"/>
          </w:tcPr>
          <w:p>
            <w:pPr>
              <w:pStyle w:val="55"/>
              <w:spacing w:line="360" w:lineRule="auto"/>
              <w:jc w:val="center"/>
              <w:rPr>
                <w:rFonts w:ascii="仿宋_GB2312" w:hAnsi="宋体" w:eastAsia="仿宋_GB2312"/>
                <w:sz w:val="24"/>
              </w:rPr>
            </w:pPr>
          </w:p>
        </w:tc>
        <w:tc>
          <w:tcPr>
            <w:tcW w:w="1080" w:type="dxa"/>
            <w:tcBorders>
              <w:top w:val="single" w:color="auto" w:sz="4" w:space="0"/>
              <w:left w:val="single" w:color="auto" w:sz="4" w:space="0"/>
              <w:bottom w:val="single" w:color="auto" w:sz="4" w:space="0"/>
              <w:right w:val="single" w:color="auto" w:sz="4" w:space="0"/>
            </w:tcBorders>
          </w:tcPr>
          <w:p>
            <w:pPr>
              <w:pStyle w:val="55"/>
              <w:spacing w:line="360" w:lineRule="auto"/>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55"/>
              <w:spacing w:line="360" w:lineRule="auto"/>
              <w:jc w:val="center"/>
              <w:rPr>
                <w:rFonts w:ascii="仿宋_GB2312" w:hAnsi="宋体" w:eastAsia="仿宋_GB2312" w:cs="宋体"/>
                <w:sz w:val="24"/>
              </w:rPr>
            </w:pPr>
          </w:p>
        </w:tc>
        <w:tc>
          <w:tcPr>
            <w:tcW w:w="1164"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1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vAlign w:val="center"/>
          </w:tcPr>
          <w:p>
            <w:pPr>
              <w:pStyle w:val="55"/>
              <w:spacing w:line="360" w:lineRule="auto"/>
              <w:rPr>
                <w:rFonts w:ascii="仿宋_GB2312" w:hAnsi="宋体" w:eastAsia="仿宋_GB2312"/>
                <w:sz w:val="24"/>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pStyle w:val="55"/>
              <w:spacing w:line="360" w:lineRule="auto"/>
              <w:rPr>
                <w:rFonts w:ascii="仿宋_GB2312" w:hAnsi="宋体" w:eastAsia="仿宋_GB2312"/>
                <w:sz w:val="24"/>
              </w:rPr>
            </w:pPr>
          </w:p>
        </w:tc>
        <w:tc>
          <w:tcPr>
            <w:tcW w:w="1080" w:type="dxa"/>
            <w:tcBorders>
              <w:top w:val="single" w:color="auto" w:sz="4" w:space="0"/>
              <w:left w:val="single" w:color="auto" w:sz="4" w:space="0"/>
              <w:bottom w:val="single" w:color="auto" w:sz="4" w:space="0"/>
              <w:right w:val="single" w:color="auto" w:sz="4" w:space="0"/>
            </w:tcBorders>
          </w:tcPr>
          <w:p>
            <w:pPr>
              <w:pStyle w:val="55"/>
              <w:spacing w:line="360" w:lineRule="auto"/>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164"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1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vAlign w:val="center"/>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980" w:type="dxa"/>
            <w:vMerge w:val="restart"/>
            <w:tcBorders>
              <w:top w:val="single" w:color="auto" w:sz="4" w:space="0"/>
              <w:left w:val="single" w:color="auto" w:sz="4" w:space="0"/>
              <w:bottom w:val="single" w:color="auto" w:sz="4" w:space="0"/>
              <w:right w:val="single" w:color="auto" w:sz="4" w:space="0"/>
            </w:tcBorders>
            <w:vAlign w:val="center"/>
          </w:tcPr>
          <w:p>
            <w:pPr>
              <w:pStyle w:val="55"/>
              <w:spacing w:line="360" w:lineRule="auto"/>
              <w:ind w:right="84" w:rightChars="40"/>
              <w:jc w:val="center"/>
              <w:rPr>
                <w:rFonts w:ascii="仿宋_GB2312" w:hAnsi="宋体" w:eastAsia="仿宋_GB2312"/>
                <w:sz w:val="24"/>
              </w:rPr>
            </w:pPr>
          </w:p>
        </w:tc>
        <w:tc>
          <w:tcPr>
            <w:tcW w:w="1080" w:type="dxa"/>
            <w:tcBorders>
              <w:top w:val="single" w:color="auto" w:sz="4" w:space="0"/>
              <w:left w:val="single" w:color="auto" w:sz="4" w:space="0"/>
              <w:bottom w:val="single" w:color="auto" w:sz="4" w:space="0"/>
              <w:right w:val="single" w:color="auto" w:sz="4" w:space="0"/>
            </w:tcBorders>
          </w:tcPr>
          <w:p>
            <w:pPr>
              <w:pStyle w:val="55"/>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164"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1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vAlign w:val="center"/>
          </w:tcPr>
          <w:p>
            <w:pPr>
              <w:pStyle w:val="55"/>
              <w:spacing w:line="360" w:lineRule="auto"/>
              <w:rPr>
                <w:rFonts w:ascii="仿宋_GB2312" w:hAnsi="宋体" w:eastAsia="仿宋_GB2312"/>
                <w:sz w:val="24"/>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pStyle w:val="55"/>
              <w:spacing w:line="360" w:lineRule="auto"/>
              <w:rPr>
                <w:rFonts w:ascii="仿宋_GB2312" w:hAnsi="宋体" w:eastAsia="仿宋_GB2312"/>
                <w:sz w:val="24"/>
              </w:rPr>
            </w:pPr>
          </w:p>
        </w:tc>
        <w:tc>
          <w:tcPr>
            <w:tcW w:w="1080" w:type="dxa"/>
            <w:tcBorders>
              <w:top w:val="single" w:color="auto" w:sz="4" w:space="0"/>
              <w:left w:val="single" w:color="auto" w:sz="4" w:space="0"/>
              <w:bottom w:val="single" w:color="auto" w:sz="4" w:space="0"/>
              <w:right w:val="single" w:color="auto" w:sz="4" w:space="0"/>
            </w:tcBorders>
          </w:tcPr>
          <w:p>
            <w:pPr>
              <w:pStyle w:val="55"/>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164"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1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vAlign w:val="center"/>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980" w:type="dxa"/>
            <w:vMerge w:val="restart"/>
            <w:tcBorders>
              <w:top w:val="single" w:color="auto" w:sz="4" w:space="0"/>
              <w:left w:val="single" w:color="auto" w:sz="4" w:space="0"/>
              <w:bottom w:val="single" w:color="auto" w:sz="4" w:space="0"/>
              <w:right w:val="single" w:color="auto" w:sz="4" w:space="0"/>
            </w:tcBorders>
            <w:vAlign w:val="center"/>
          </w:tcPr>
          <w:p>
            <w:pPr>
              <w:pStyle w:val="55"/>
              <w:spacing w:line="360" w:lineRule="auto"/>
              <w:ind w:right="84" w:rightChars="40"/>
              <w:jc w:val="center"/>
              <w:rPr>
                <w:rFonts w:ascii="仿宋_GB2312" w:hAnsi="宋体" w:eastAsia="仿宋_GB2312"/>
                <w:sz w:val="24"/>
              </w:rPr>
            </w:pPr>
          </w:p>
        </w:tc>
        <w:tc>
          <w:tcPr>
            <w:tcW w:w="1080" w:type="dxa"/>
            <w:tcBorders>
              <w:top w:val="single" w:color="auto" w:sz="4" w:space="0"/>
              <w:left w:val="single" w:color="auto" w:sz="4" w:space="0"/>
              <w:bottom w:val="single" w:color="auto" w:sz="4" w:space="0"/>
              <w:right w:val="single" w:color="auto" w:sz="4" w:space="0"/>
            </w:tcBorders>
          </w:tcPr>
          <w:p>
            <w:pPr>
              <w:pStyle w:val="55"/>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164"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1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vAlign w:val="center"/>
          </w:tcPr>
          <w:p>
            <w:pPr>
              <w:pStyle w:val="55"/>
              <w:spacing w:line="360" w:lineRule="auto"/>
              <w:rPr>
                <w:rFonts w:ascii="仿宋_GB2312" w:hAnsi="宋体" w:eastAsia="仿宋_GB2312"/>
                <w:sz w:val="24"/>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pStyle w:val="55"/>
              <w:spacing w:line="360" w:lineRule="auto"/>
              <w:rPr>
                <w:rFonts w:ascii="仿宋_GB2312" w:hAnsi="宋体" w:eastAsia="仿宋_GB2312"/>
                <w:sz w:val="24"/>
              </w:rPr>
            </w:pPr>
          </w:p>
        </w:tc>
        <w:tc>
          <w:tcPr>
            <w:tcW w:w="1080" w:type="dxa"/>
            <w:tcBorders>
              <w:top w:val="single" w:color="auto" w:sz="4" w:space="0"/>
              <w:left w:val="single" w:color="auto" w:sz="4" w:space="0"/>
              <w:bottom w:val="single" w:color="auto" w:sz="4" w:space="0"/>
              <w:right w:val="single" w:color="auto" w:sz="4" w:space="0"/>
            </w:tcBorders>
          </w:tcPr>
          <w:p>
            <w:pPr>
              <w:pStyle w:val="55"/>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164"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1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vAlign w:val="center"/>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980" w:type="dxa"/>
            <w:vMerge w:val="restart"/>
            <w:tcBorders>
              <w:top w:val="single" w:color="auto" w:sz="4" w:space="0"/>
              <w:left w:val="single" w:color="auto" w:sz="4" w:space="0"/>
              <w:bottom w:val="single" w:color="auto" w:sz="4" w:space="0"/>
              <w:right w:val="single" w:color="auto" w:sz="4" w:space="0"/>
            </w:tcBorders>
            <w:vAlign w:val="center"/>
          </w:tcPr>
          <w:p>
            <w:pPr>
              <w:pStyle w:val="55"/>
              <w:spacing w:line="360" w:lineRule="auto"/>
              <w:ind w:right="84" w:rightChars="40"/>
              <w:jc w:val="center"/>
              <w:rPr>
                <w:rFonts w:ascii="仿宋_GB2312" w:hAnsi="宋体" w:eastAsia="仿宋_GB2312"/>
                <w:sz w:val="24"/>
              </w:rPr>
            </w:pPr>
          </w:p>
        </w:tc>
        <w:tc>
          <w:tcPr>
            <w:tcW w:w="1080" w:type="dxa"/>
            <w:tcBorders>
              <w:top w:val="single" w:color="auto" w:sz="4" w:space="0"/>
              <w:left w:val="single" w:color="auto" w:sz="4" w:space="0"/>
              <w:bottom w:val="single" w:color="auto" w:sz="4" w:space="0"/>
              <w:right w:val="single" w:color="auto" w:sz="4" w:space="0"/>
            </w:tcBorders>
          </w:tcPr>
          <w:p>
            <w:pPr>
              <w:pStyle w:val="55"/>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164"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1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vAlign w:val="center"/>
          </w:tcPr>
          <w:p>
            <w:pPr>
              <w:pStyle w:val="55"/>
              <w:spacing w:line="360" w:lineRule="auto"/>
              <w:rPr>
                <w:rFonts w:ascii="仿宋_GB2312" w:hAnsi="宋体" w:eastAsia="仿宋_GB2312"/>
                <w:sz w:val="24"/>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pStyle w:val="55"/>
              <w:spacing w:line="360" w:lineRule="auto"/>
              <w:rPr>
                <w:rFonts w:ascii="仿宋_GB2312" w:hAnsi="宋体" w:eastAsia="仿宋_GB2312"/>
                <w:sz w:val="24"/>
              </w:rPr>
            </w:pPr>
          </w:p>
        </w:tc>
        <w:tc>
          <w:tcPr>
            <w:tcW w:w="1080" w:type="dxa"/>
            <w:tcBorders>
              <w:top w:val="single" w:color="auto" w:sz="4" w:space="0"/>
              <w:left w:val="single" w:color="auto" w:sz="4" w:space="0"/>
              <w:bottom w:val="single" w:color="auto" w:sz="4" w:space="0"/>
              <w:right w:val="single" w:color="auto" w:sz="4" w:space="0"/>
            </w:tcBorders>
          </w:tcPr>
          <w:p>
            <w:pPr>
              <w:pStyle w:val="55"/>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164"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1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vAlign w:val="center"/>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980" w:type="dxa"/>
            <w:vMerge w:val="restart"/>
            <w:tcBorders>
              <w:top w:val="single" w:color="auto" w:sz="4" w:space="0"/>
              <w:left w:val="single" w:color="auto" w:sz="4" w:space="0"/>
              <w:bottom w:val="single" w:color="auto" w:sz="4" w:space="0"/>
              <w:right w:val="single" w:color="auto" w:sz="4" w:space="0"/>
            </w:tcBorders>
            <w:vAlign w:val="center"/>
          </w:tcPr>
          <w:p>
            <w:pPr>
              <w:pStyle w:val="55"/>
              <w:spacing w:line="360" w:lineRule="auto"/>
              <w:ind w:right="84" w:rightChars="40"/>
              <w:jc w:val="center"/>
              <w:rPr>
                <w:rFonts w:ascii="仿宋_GB2312" w:hAnsi="宋体" w:eastAsia="仿宋_GB2312"/>
                <w:sz w:val="24"/>
              </w:rPr>
            </w:pPr>
          </w:p>
        </w:tc>
        <w:tc>
          <w:tcPr>
            <w:tcW w:w="1080" w:type="dxa"/>
            <w:tcBorders>
              <w:top w:val="single" w:color="auto" w:sz="4" w:space="0"/>
              <w:left w:val="single" w:color="auto" w:sz="4" w:space="0"/>
              <w:bottom w:val="single" w:color="auto" w:sz="4" w:space="0"/>
              <w:right w:val="single" w:color="auto" w:sz="4" w:space="0"/>
            </w:tcBorders>
          </w:tcPr>
          <w:p>
            <w:pPr>
              <w:pStyle w:val="55"/>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164"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1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vAlign w:val="center"/>
          </w:tcPr>
          <w:p>
            <w:pPr>
              <w:pStyle w:val="55"/>
              <w:spacing w:line="360" w:lineRule="auto"/>
              <w:rPr>
                <w:rFonts w:ascii="仿宋_GB2312" w:hAnsi="宋体" w:eastAsia="仿宋_GB2312"/>
                <w:sz w:val="24"/>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pStyle w:val="55"/>
              <w:spacing w:line="360" w:lineRule="auto"/>
              <w:rPr>
                <w:rFonts w:ascii="仿宋_GB2312" w:hAnsi="宋体" w:eastAsia="仿宋_GB2312"/>
                <w:sz w:val="24"/>
              </w:rPr>
            </w:pPr>
          </w:p>
        </w:tc>
        <w:tc>
          <w:tcPr>
            <w:tcW w:w="1080" w:type="dxa"/>
            <w:tcBorders>
              <w:top w:val="single" w:color="auto" w:sz="4" w:space="0"/>
              <w:left w:val="single" w:color="auto" w:sz="4" w:space="0"/>
              <w:bottom w:val="single" w:color="auto" w:sz="4" w:space="0"/>
              <w:right w:val="single" w:color="auto" w:sz="4" w:space="0"/>
            </w:tcBorders>
          </w:tcPr>
          <w:p>
            <w:pPr>
              <w:pStyle w:val="55"/>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164"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116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55"/>
              <w:autoSpaceDE w:val="0"/>
              <w:autoSpaceDN w:val="0"/>
              <w:adjustRightInd w:val="0"/>
              <w:spacing w:line="360" w:lineRule="auto"/>
              <w:ind w:right="84" w:rightChars="40"/>
              <w:jc w:val="center"/>
              <w:rPr>
                <w:rFonts w:ascii="仿宋_GB2312" w:hAnsi="宋体" w:eastAsia="仿宋_GB2312"/>
                <w:sz w:val="24"/>
              </w:rPr>
            </w:pPr>
          </w:p>
        </w:tc>
      </w:tr>
    </w:tbl>
    <w:p>
      <w:pPr>
        <w:spacing w:line="360" w:lineRule="auto"/>
        <w:rPr>
          <w:rFonts w:ascii="宋体" w:hAnsi="宋体"/>
          <w:b/>
          <w:szCs w:val="21"/>
        </w:rPr>
      </w:pPr>
      <w:r>
        <w:rPr>
          <w:rFonts w:hint="eastAsia" w:ascii="宋体" w:hAnsi="宋体"/>
          <w:b/>
          <w:szCs w:val="21"/>
        </w:rPr>
        <w:t>要求：</w:t>
      </w:r>
    </w:p>
    <w:p>
      <w:pPr>
        <w:pStyle w:val="55"/>
        <w:spacing w:line="360" w:lineRule="auto"/>
        <w:ind w:left="719" w:leftChars="228" w:hanging="240" w:hangingChars="100"/>
        <w:rPr>
          <w:rFonts w:ascii="仿宋_GB2312" w:hAnsi="宋体" w:eastAsia="仿宋_GB2312"/>
          <w:sz w:val="24"/>
        </w:rPr>
      </w:pPr>
      <w:r>
        <w:rPr>
          <w:rFonts w:hint="eastAsia" w:ascii="仿宋_GB2312" w:eastAsia="仿宋_GB2312"/>
          <w:sz w:val="24"/>
        </w:rPr>
        <w:t>1.请列出以上</w:t>
      </w:r>
      <w:r>
        <w:rPr>
          <w:rFonts w:hint="eastAsia" w:ascii="仿宋_GB2312" w:hAnsi="宋体" w:eastAsia="仿宋_GB2312"/>
          <w:sz w:val="24"/>
        </w:rPr>
        <w:t>产品的各项主要用材、辅料、油漆、五金件等。</w:t>
      </w:r>
    </w:p>
    <w:p>
      <w:pPr>
        <w:pStyle w:val="55"/>
        <w:spacing w:line="360" w:lineRule="auto"/>
        <w:ind w:firstLine="480" w:firstLineChars="200"/>
        <w:rPr>
          <w:rFonts w:ascii="仿宋_GB2312" w:eastAsia="仿宋_GB2312"/>
          <w:sz w:val="24"/>
        </w:rPr>
      </w:pPr>
      <w:r>
        <w:rPr>
          <w:rFonts w:hint="eastAsia" w:ascii="仿宋_GB2312" w:eastAsia="仿宋_GB2312"/>
          <w:sz w:val="24"/>
        </w:rPr>
        <w:t>2.本表所列产品主要用材均为采购人抽样送检的范围。</w:t>
      </w:r>
    </w:p>
    <w:p>
      <w:pPr>
        <w:spacing w:line="360" w:lineRule="auto"/>
        <w:ind w:firstLine="480" w:firstLineChars="200"/>
        <w:rPr>
          <w:rFonts w:ascii="宋体" w:hAnsi="宋体"/>
          <w:sz w:val="24"/>
          <w:u w:val="single"/>
        </w:rPr>
      </w:pPr>
      <w:r>
        <w:rPr>
          <w:rFonts w:hint="eastAsia" w:ascii="宋体" w:hAnsi="宋体"/>
          <w:sz w:val="24"/>
        </w:rPr>
        <w:t>投标人名称（盖章）：</w:t>
      </w:r>
    </w:p>
    <w:p>
      <w:pPr>
        <w:spacing w:line="360" w:lineRule="auto"/>
        <w:ind w:left="420"/>
        <w:rPr>
          <w:rFonts w:ascii="宋体" w:hAnsi="宋体"/>
          <w:sz w:val="24"/>
        </w:rPr>
      </w:pPr>
    </w:p>
    <w:p>
      <w:pPr>
        <w:spacing w:line="360" w:lineRule="auto"/>
        <w:ind w:firstLine="480" w:firstLineChars="200"/>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80" w:firstLineChars="200"/>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80" w:firstLineChars="200"/>
        <w:rPr>
          <w:rFonts w:ascii="宋体" w:hAnsi="宋体"/>
          <w:color w:val="FF00FF"/>
          <w:sz w:val="24"/>
        </w:rPr>
      </w:pPr>
      <w:r>
        <w:rPr>
          <w:rFonts w:hint="eastAsia" w:ascii="宋体" w:hAnsi="宋体"/>
          <w:sz w:val="24"/>
        </w:rPr>
        <w:t>日        期：</w:t>
      </w:r>
    </w:p>
    <w:p>
      <w:pPr>
        <w:spacing w:line="360" w:lineRule="auto"/>
        <w:ind w:firstLine="435"/>
        <w:rPr>
          <w:rFonts w:ascii="宋体" w:hAnsi="宋体"/>
          <w:color w:val="FF00FF"/>
          <w:sz w:val="24"/>
        </w:rPr>
      </w:pPr>
    </w:p>
    <w:p>
      <w:pPr>
        <w:spacing w:line="360" w:lineRule="auto"/>
        <w:rPr>
          <w:rFonts w:ascii="宋体" w:hAnsi="宋体"/>
          <w:color w:val="000000"/>
          <w:sz w:val="24"/>
        </w:rPr>
      </w:pPr>
    </w:p>
    <w:p>
      <w:pPr>
        <w:snapToGrid w:val="0"/>
        <w:spacing w:before="50" w:after="50" w:line="360" w:lineRule="auto"/>
        <w:rPr>
          <w:rFonts w:ascii="宋体" w:hAnsi="宋体"/>
          <w:b/>
          <w:sz w:val="28"/>
        </w:rPr>
      </w:pPr>
      <w:r>
        <w:rPr>
          <w:rFonts w:hint="eastAsia" w:ascii="宋体" w:hAnsi="宋体"/>
          <w:b/>
          <w:sz w:val="28"/>
        </w:rPr>
        <w:t>附件11</w:t>
      </w:r>
    </w:p>
    <w:p>
      <w:pPr>
        <w:spacing w:line="360" w:lineRule="auto"/>
        <w:ind w:left="480"/>
        <w:jc w:val="center"/>
        <w:rPr>
          <w:rFonts w:ascii="宋体" w:hAnsi="宋体"/>
          <w:b/>
          <w:color w:val="33CCCC"/>
          <w:sz w:val="32"/>
          <w:szCs w:val="32"/>
        </w:rPr>
      </w:pPr>
      <w:r>
        <w:rPr>
          <w:rFonts w:ascii="宋体" w:hAnsi="宋体"/>
          <w:kern w:val="0"/>
          <w:sz w:val="32"/>
          <w:szCs w:val="32"/>
        </w:rPr>
        <w:t>技术</w:t>
      </w:r>
      <w:r>
        <w:rPr>
          <w:rFonts w:hint="eastAsia" w:ascii="宋体" w:hAnsi="宋体"/>
          <w:kern w:val="0"/>
          <w:sz w:val="32"/>
          <w:szCs w:val="32"/>
        </w:rPr>
        <w:t>需求</w:t>
      </w:r>
      <w:r>
        <w:rPr>
          <w:rFonts w:ascii="宋体" w:hAnsi="宋体"/>
          <w:kern w:val="0"/>
          <w:sz w:val="32"/>
          <w:szCs w:val="32"/>
        </w:rPr>
        <w:t>响应表</w:t>
      </w:r>
      <w:r>
        <w:rPr>
          <w:rFonts w:hint="eastAsia" w:ascii="宋体" w:hAnsi="宋体"/>
          <w:b/>
          <w:color w:val="33CCCC"/>
          <w:sz w:val="32"/>
          <w:szCs w:val="32"/>
        </w:rPr>
        <w:t>(第 标)</w:t>
      </w:r>
    </w:p>
    <w:p>
      <w:pPr>
        <w:spacing w:line="360" w:lineRule="auto"/>
        <w:rPr>
          <w:rFonts w:ascii="宋体" w:hAnsi="宋体"/>
          <w:sz w:val="24"/>
        </w:rPr>
      </w:pPr>
    </w:p>
    <w:tbl>
      <w:tblPr>
        <w:tblStyle w:val="35"/>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449"/>
        <w:gridCol w:w="1560"/>
        <w:gridCol w:w="140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735" w:type="dxa"/>
            <w:vAlign w:val="center"/>
          </w:tcPr>
          <w:p>
            <w:pPr>
              <w:spacing w:line="360" w:lineRule="auto"/>
              <w:rPr>
                <w:rFonts w:ascii="宋体" w:hAnsi="宋体"/>
                <w:b/>
                <w:sz w:val="24"/>
              </w:rPr>
            </w:pPr>
            <w:r>
              <w:rPr>
                <w:rFonts w:hint="eastAsia" w:ascii="宋体" w:hAnsi="宋体"/>
                <w:b/>
                <w:sz w:val="24"/>
              </w:rPr>
              <w:t>序号</w:t>
            </w:r>
          </w:p>
        </w:tc>
        <w:tc>
          <w:tcPr>
            <w:tcW w:w="1785" w:type="dxa"/>
            <w:vAlign w:val="center"/>
          </w:tcPr>
          <w:p>
            <w:pPr>
              <w:spacing w:line="360" w:lineRule="auto"/>
              <w:ind w:left="13" w:leftChars="6" w:firstLine="482" w:firstLineChars="200"/>
              <w:rPr>
                <w:rFonts w:ascii="宋体" w:hAnsi="宋体"/>
                <w:b/>
                <w:sz w:val="24"/>
              </w:rPr>
            </w:pPr>
            <w:r>
              <w:rPr>
                <w:rFonts w:hint="eastAsia" w:ascii="宋体" w:hAnsi="宋体"/>
                <w:b/>
                <w:sz w:val="24"/>
              </w:rPr>
              <w:t>名称</w:t>
            </w:r>
          </w:p>
        </w:tc>
        <w:tc>
          <w:tcPr>
            <w:tcW w:w="1449" w:type="dxa"/>
            <w:vAlign w:val="center"/>
          </w:tcPr>
          <w:p>
            <w:pPr>
              <w:spacing w:line="360" w:lineRule="auto"/>
              <w:ind w:left="52"/>
              <w:rPr>
                <w:rFonts w:ascii="宋体" w:hAnsi="宋体"/>
                <w:b/>
                <w:sz w:val="24"/>
              </w:rPr>
            </w:pPr>
            <w:r>
              <w:rPr>
                <w:rFonts w:hint="eastAsia" w:ascii="宋体" w:hAnsi="宋体"/>
                <w:b/>
                <w:sz w:val="24"/>
              </w:rPr>
              <w:t>规格型号</w:t>
            </w:r>
          </w:p>
        </w:tc>
        <w:tc>
          <w:tcPr>
            <w:tcW w:w="1560" w:type="dxa"/>
            <w:vAlign w:val="center"/>
          </w:tcPr>
          <w:p>
            <w:pPr>
              <w:spacing w:line="360" w:lineRule="auto"/>
              <w:ind w:left="152"/>
              <w:rPr>
                <w:rFonts w:ascii="宋体" w:hAnsi="宋体"/>
                <w:b/>
                <w:sz w:val="24"/>
              </w:rPr>
            </w:pPr>
            <w:r>
              <w:rPr>
                <w:rFonts w:hint="eastAsia" w:ascii="宋体" w:hAnsi="宋体"/>
                <w:b/>
                <w:sz w:val="24"/>
              </w:rPr>
              <w:t>招标参数</w:t>
            </w:r>
          </w:p>
        </w:tc>
        <w:tc>
          <w:tcPr>
            <w:tcW w:w="1401" w:type="dxa"/>
            <w:vAlign w:val="center"/>
          </w:tcPr>
          <w:p>
            <w:pPr>
              <w:spacing w:line="360" w:lineRule="auto"/>
              <w:rPr>
                <w:rFonts w:ascii="宋体" w:hAnsi="宋体"/>
                <w:b/>
                <w:sz w:val="24"/>
              </w:rPr>
            </w:pPr>
            <w:r>
              <w:rPr>
                <w:rFonts w:hint="eastAsia" w:ascii="宋体" w:hAnsi="宋体"/>
                <w:b/>
                <w:sz w:val="24"/>
              </w:rPr>
              <w:t>投标参数</w:t>
            </w:r>
          </w:p>
        </w:tc>
        <w:tc>
          <w:tcPr>
            <w:tcW w:w="1365" w:type="dxa"/>
            <w:vAlign w:val="center"/>
          </w:tcPr>
          <w:p>
            <w:pPr>
              <w:spacing w:line="360" w:lineRule="auto"/>
              <w:rPr>
                <w:rFonts w:ascii="宋体" w:hAnsi="宋体"/>
                <w:b/>
                <w:sz w:val="24"/>
              </w:rPr>
            </w:pPr>
            <w:r>
              <w:rPr>
                <w:rFonts w:hint="eastAsia" w:ascii="宋体" w:hAnsi="宋体"/>
                <w:b/>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735" w:type="dxa"/>
            <w:vAlign w:val="center"/>
          </w:tcPr>
          <w:p>
            <w:pPr>
              <w:spacing w:line="360" w:lineRule="auto"/>
              <w:rPr>
                <w:rFonts w:ascii="宋体" w:hAnsi="宋体"/>
                <w:sz w:val="24"/>
              </w:rPr>
            </w:pPr>
          </w:p>
        </w:tc>
        <w:tc>
          <w:tcPr>
            <w:tcW w:w="1785" w:type="dxa"/>
            <w:vAlign w:val="center"/>
          </w:tcPr>
          <w:p>
            <w:pPr>
              <w:spacing w:line="360" w:lineRule="auto"/>
              <w:rPr>
                <w:rFonts w:ascii="宋体" w:hAnsi="宋体"/>
                <w:sz w:val="24"/>
              </w:rPr>
            </w:pPr>
          </w:p>
        </w:tc>
        <w:tc>
          <w:tcPr>
            <w:tcW w:w="1449" w:type="dxa"/>
            <w:vAlign w:val="center"/>
          </w:tcPr>
          <w:p>
            <w:pPr>
              <w:spacing w:line="360" w:lineRule="auto"/>
              <w:rPr>
                <w:rFonts w:ascii="宋体" w:hAnsi="宋体"/>
                <w:sz w:val="24"/>
              </w:rPr>
            </w:pPr>
          </w:p>
        </w:tc>
        <w:tc>
          <w:tcPr>
            <w:tcW w:w="1560"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735" w:type="dxa"/>
            <w:vAlign w:val="center"/>
          </w:tcPr>
          <w:p>
            <w:pPr>
              <w:spacing w:line="360" w:lineRule="auto"/>
              <w:rPr>
                <w:rFonts w:ascii="宋体" w:hAnsi="宋体"/>
                <w:sz w:val="24"/>
              </w:rPr>
            </w:pPr>
          </w:p>
        </w:tc>
        <w:tc>
          <w:tcPr>
            <w:tcW w:w="1785" w:type="dxa"/>
            <w:vAlign w:val="center"/>
          </w:tcPr>
          <w:p>
            <w:pPr>
              <w:spacing w:line="360" w:lineRule="auto"/>
              <w:rPr>
                <w:rFonts w:ascii="宋体" w:hAnsi="宋体"/>
                <w:sz w:val="24"/>
              </w:rPr>
            </w:pPr>
          </w:p>
        </w:tc>
        <w:tc>
          <w:tcPr>
            <w:tcW w:w="1449" w:type="dxa"/>
            <w:vAlign w:val="center"/>
          </w:tcPr>
          <w:p>
            <w:pPr>
              <w:spacing w:line="360" w:lineRule="auto"/>
              <w:rPr>
                <w:rFonts w:ascii="宋体" w:hAnsi="宋体"/>
                <w:sz w:val="24"/>
              </w:rPr>
            </w:pPr>
          </w:p>
        </w:tc>
        <w:tc>
          <w:tcPr>
            <w:tcW w:w="1560"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spacing w:line="360" w:lineRule="auto"/>
              <w:rPr>
                <w:rFonts w:ascii="宋体" w:hAnsi="宋体"/>
                <w:sz w:val="24"/>
              </w:rPr>
            </w:pPr>
          </w:p>
        </w:tc>
        <w:tc>
          <w:tcPr>
            <w:tcW w:w="1785" w:type="dxa"/>
            <w:vAlign w:val="center"/>
          </w:tcPr>
          <w:p>
            <w:pPr>
              <w:spacing w:line="360" w:lineRule="auto"/>
              <w:rPr>
                <w:rFonts w:ascii="宋体" w:hAnsi="宋体"/>
                <w:sz w:val="24"/>
              </w:rPr>
            </w:pPr>
          </w:p>
        </w:tc>
        <w:tc>
          <w:tcPr>
            <w:tcW w:w="1449" w:type="dxa"/>
            <w:vAlign w:val="center"/>
          </w:tcPr>
          <w:p>
            <w:pPr>
              <w:spacing w:line="360" w:lineRule="auto"/>
              <w:rPr>
                <w:rFonts w:ascii="宋体" w:hAnsi="宋体"/>
                <w:sz w:val="24"/>
              </w:rPr>
            </w:pPr>
          </w:p>
        </w:tc>
        <w:tc>
          <w:tcPr>
            <w:tcW w:w="1560"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spacing w:line="360" w:lineRule="auto"/>
              <w:rPr>
                <w:rFonts w:ascii="宋体" w:hAnsi="宋体"/>
                <w:sz w:val="24"/>
              </w:rPr>
            </w:pPr>
          </w:p>
        </w:tc>
        <w:tc>
          <w:tcPr>
            <w:tcW w:w="1785" w:type="dxa"/>
            <w:vAlign w:val="center"/>
          </w:tcPr>
          <w:p>
            <w:pPr>
              <w:spacing w:line="360" w:lineRule="auto"/>
              <w:rPr>
                <w:rFonts w:ascii="宋体" w:hAnsi="宋体"/>
                <w:sz w:val="24"/>
              </w:rPr>
            </w:pPr>
          </w:p>
        </w:tc>
        <w:tc>
          <w:tcPr>
            <w:tcW w:w="1449" w:type="dxa"/>
            <w:vAlign w:val="center"/>
          </w:tcPr>
          <w:p>
            <w:pPr>
              <w:spacing w:line="360" w:lineRule="auto"/>
              <w:rPr>
                <w:rFonts w:ascii="宋体" w:hAnsi="宋体"/>
                <w:sz w:val="24"/>
              </w:rPr>
            </w:pPr>
          </w:p>
        </w:tc>
        <w:tc>
          <w:tcPr>
            <w:tcW w:w="1560"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460" w:hRule="atLeast"/>
        </w:trPr>
        <w:tc>
          <w:tcPr>
            <w:tcW w:w="735" w:type="dxa"/>
            <w:vAlign w:val="center"/>
          </w:tcPr>
          <w:p>
            <w:pPr>
              <w:spacing w:line="360" w:lineRule="auto"/>
              <w:rPr>
                <w:rFonts w:ascii="宋体" w:hAnsi="宋体"/>
                <w:sz w:val="24"/>
              </w:rPr>
            </w:pPr>
          </w:p>
        </w:tc>
        <w:tc>
          <w:tcPr>
            <w:tcW w:w="1785" w:type="dxa"/>
            <w:vAlign w:val="center"/>
          </w:tcPr>
          <w:p>
            <w:pPr>
              <w:spacing w:line="360" w:lineRule="auto"/>
              <w:rPr>
                <w:rFonts w:ascii="宋体" w:hAnsi="宋体"/>
                <w:sz w:val="24"/>
              </w:rPr>
            </w:pPr>
          </w:p>
        </w:tc>
        <w:tc>
          <w:tcPr>
            <w:tcW w:w="1449" w:type="dxa"/>
            <w:vAlign w:val="center"/>
          </w:tcPr>
          <w:p>
            <w:pPr>
              <w:spacing w:line="360" w:lineRule="auto"/>
              <w:rPr>
                <w:rFonts w:ascii="宋体" w:hAnsi="宋体"/>
                <w:sz w:val="24"/>
              </w:rPr>
            </w:pPr>
          </w:p>
        </w:tc>
        <w:tc>
          <w:tcPr>
            <w:tcW w:w="1560"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trPr>
        <w:tc>
          <w:tcPr>
            <w:tcW w:w="735" w:type="dxa"/>
            <w:vAlign w:val="center"/>
          </w:tcPr>
          <w:p>
            <w:pPr>
              <w:spacing w:line="360" w:lineRule="auto"/>
              <w:rPr>
                <w:rFonts w:ascii="宋体" w:hAnsi="宋体"/>
                <w:sz w:val="24"/>
              </w:rPr>
            </w:pPr>
          </w:p>
        </w:tc>
        <w:tc>
          <w:tcPr>
            <w:tcW w:w="1785" w:type="dxa"/>
            <w:vAlign w:val="center"/>
          </w:tcPr>
          <w:p>
            <w:pPr>
              <w:spacing w:line="360" w:lineRule="auto"/>
              <w:rPr>
                <w:rFonts w:ascii="宋体" w:hAnsi="宋体"/>
                <w:sz w:val="24"/>
              </w:rPr>
            </w:pPr>
          </w:p>
        </w:tc>
        <w:tc>
          <w:tcPr>
            <w:tcW w:w="1449" w:type="dxa"/>
            <w:vAlign w:val="center"/>
          </w:tcPr>
          <w:p>
            <w:pPr>
              <w:spacing w:line="360" w:lineRule="auto"/>
              <w:rPr>
                <w:rFonts w:ascii="宋体" w:hAnsi="宋体"/>
                <w:sz w:val="24"/>
              </w:rPr>
            </w:pPr>
          </w:p>
        </w:tc>
        <w:tc>
          <w:tcPr>
            <w:tcW w:w="1560"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735" w:type="dxa"/>
            <w:vAlign w:val="center"/>
          </w:tcPr>
          <w:p>
            <w:pPr>
              <w:spacing w:line="360" w:lineRule="auto"/>
              <w:rPr>
                <w:rFonts w:ascii="宋体" w:hAnsi="宋体"/>
                <w:sz w:val="24"/>
              </w:rPr>
            </w:pPr>
          </w:p>
        </w:tc>
        <w:tc>
          <w:tcPr>
            <w:tcW w:w="1785" w:type="dxa"/>
            <w:vAlign w:val="center"/>
          </w:tcPr>
          <w:p>
            <w:pPr>
              <w:spacing w:line="360" w:lineRule="auto"/>
              <w:rPr>
                <w:rFonts w:ascii="宋体" w:hAnsi="宋体"/>
                <w:sz w:val="24"/>
              </w:rPr>
            </w:pPr>
          </w:p>
        </w:tc>
        <w:tc>
          <w:tcPr>
            <w:tcW w:w="1449" w:type="dxa"/>
            <w:vAlign w:val="center"/>
          </w:tcPr>
          <w:p>
            <w:pPr>
              <w:spacing w:line="360" w:lineRule="auto"/>
              <w:rPr>
                <w:rFonts w:ascii="宋体" w:hAnsi="宋体"/>
                <w:sz w:val="24"/>
              </w:rPr>
            </w:pPr>
          </w:p>
        </w:tc>
        <w:tc>
          <w:tcPr>
            <w:tcW w:w="1560"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bl>
    <w:p>
      <w:pPr>
        <w:spacing w:line="360" w:lineRule="auto"/>
        <w:rPr>
          <w:rFonts w:ascii="宋体" w:hAnsi="宋体"/>
          <w:sz w:val="24"/>
        </w:rPr>
      </w:pPr>
    </w:p>
    <w:p>
      <w:pPr>
        <w:pStyle w:val="77"/>
        <w:tabs>
          <w:tab w:val="left" w:pos="360"/>
        </w:tabs>
        <w:spacing w:line="360" w:lineRule="auto"/>
        <w:ind w:right="84" w:rightChars="40"/>
        <w:rPr>
          <w:rFonts w:ascii="宋体"/>
          <w:b/>
          <w:szCs w:val="21"/>
        </w:rPr>
      </w:pPr>
      <w:r>
        <w:rPr>
          <w:rFonts w:hint="eastAsia" w:ascii="宋体"/>
          <w:b/>
          <w:szCs w:val="21"/>
        </w:rPr>
        <w:t>要求：</w:t>
      </w:r>
    </w:p>
    <w:p>
      <w:pPr>
        <w:pStyle w:val="77"/>
        <w:tabs>
          <w:tab w:val="left" w:pos="360"/>
        </w:tabs>
        <w:spacing w:line="360" w:lineRule="auto"/>
        <w:ind w:right="84" w:rightChars="40" w:firstLine="420" w:firstLineChars="200"/>
        <w:rPr>
          <w:rFonts w:ascii="宋体"/>
          <w:szCs w:val="21"/>
        </w:rPr>
      </w:pPr>
      <w:r>
        <w:rPr>
          <w:rFonts w:hint="eastAsia" w:ascii="宋体"/>
          <w:szCs w:val="21"/>
        </w:rPr>
        <w:t>1. 本表的名称须与《报价明细表》一致。</w:t>
      </w:r>
    </w:p>
    <w:p>
      <w:pPr>
        <w:pStyle w:val="77"/>
        <w:spacing w:line="360" w:lineRule="auto"/>
        <w:ind w:right="84" w:rightChars="40" w:firstLine="420" w:firstLineChars="200"/>
        <w:rPr>
          <w:rFonts w:ascii="宋体"/>
          <w:szCs w:val="21"/>
        </w:rPr>
      </w:pPr>
      <w:r>
        <w:rPr>
          <w:rFonts w:hint="eastAsia" w:ascii="宋体"/>
          <w:szCs w:val="21"/>
        </w:rPr>
        <w:t>2.本表参照本招标文件第二部分“招标需求”内第二条“具体技术需求”填制，投标人应根据投标设备的性能指标、服务指标，对照招标文件要求在“偏离情况”栏注明“正偏离”、“负偏离”或“无偏离”。</w:t>
      </w:r>
    </w:p>
    <w:p>
      <w:pPr>
        <w:pStyle w:val="77"/>
        <w:spacing w:line="360" w:lineRule="auto"/>
        <w:ind w:right="84" w:rightChars="40" w:firstLine="420" w:firstLineChars="200"/>
        <w:rPr>
          <w:rFonts w:ascii="宋体"/>
          <w:color w:val="FF0000"/>
          <w:szCs w:val="21"/>
        </w:rPr>
      </w:pPr>
      <w:r>
        <w:rPr>
          <w:rFonts w:hint="eastAsia" w:ascii="宋体"/>
          <w:color w:val="FF0000"/>
          <w:szCs w:val="21"/>
        </w:rPr>
        <w:t>3.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审小组将视偏离程度给予扣分或认定为虚假应标。</w:t>
      </w:r>
    </w:p>
    <w:p>
      <w:pPr>
        <w:spacing w:line="360" w:lineRule="auto"/>
        <w:rPr>
          <w:rFonts w:ascii="宋体" w:hAnsi="宋体"/>
          <w:sz w:val="24"/>
        </w:rPr>
      </w:pPr>
    </w:p>
    <w:p>
      <w:pPr>
        <w:spacing w:line="360" w:lineRule="auto"/>
        <w:ind w:left="420"/>
        <w:rPr>
          <w:rFonts w:ascii="宋体" w:hAnsi="宋体"/>
          <w:sz w:val="24"/>
          <w:u w:val="single"/>
        </w:rPr>
      </w:pPr>
      <w:r>
        <w:rPr>
          <w:rFonts w:hint="eastAsia" w:ascii="宋体" w:hAnsi="宋体"/>
          <w:sz w:val="24"/>
        </w:rPr>
        <w:t>投标人名称（盖章）：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职        务：</w:t>
      </w:r>
    </w:p>
    <w:p>
      <w:pPr>
        <w:spacing w:line="360" w:lineRule="auto"/>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spacing w:line="360" w:lineRule="auto"/>
        <w:ind w:left="437"/>
        <w:rPr>
          <w:rFonts w:ascii="宋体" w:hAnsi="宋体"/>
          <w:sz w:val="24"/>
        </w:rPr>
      </w:pPr>
    </w:p>
    <w:p>
      <w:pPr>
        <w:snapToGrid w:val="0"/>
        <w:spacing w:before="50" w:line="360" w:lineRule="auto"/>
        <w:jc w:val="left"/>
        <w:rPr>
          <w:rFonts w:ascii="宋体" w:hAnsi="宋体"/>
          <w:b/>
          <w:sz w:val="36"/>
          <w:szCs w:val="36"/>
        </w:rPr>
      </w:pPr>
    </w:p>
    <w:p>
      <w:pPr>
        <w:spacing w:line="360" w:lineRule="auto"/>
        <w:ind w:firstLine="435"/>
        <w:rPr>
          <w:rFonts w:ascii="宋体" w:hAnsi="宋体"/>
          <w:sz w:val="24"/>
        </w:rPr>
      </w:pPr>
      <w:r>
        <w:rPr>
          <w:rFonts w:hint="eastAsia" w:ascii="宋体" w:hAnsi="宋体"/>
          <w:b/>
          <w:sz w:val="28"/>
        </w:rPr>
        <w:t xml:space="preserve">附件12 </w:t>
      </w:r>
    </w:p>
    <w:p>
      <w:pPr>
        <w:snapToGrid w:val="0"/>
        <w:spacing w:beforeLines="50" w:after="50" w:line="360" w:lineRule="auto"/>
        <w:jc w:val="center"/>
        <w:rPr>
          <w:rFonts w:ascii="宋体" w:hAnsi="宋体"/>
          <w:b/>
          <w:color w:val="33CCCC"/>
          <w:sz w:val="32"/>
          <w:szCs w:val="32"/>
        </w:rPr>
      </w:pPr>
      <w:r>
        <w:rPr>
          <w:rFonts w:hint="eastAsia" w:ascii="宋体" w:hAnsi="宋体"/>
          <w:b/>
          <w:sz w:val="32"/>
          <w:szCs w:val="32"/>
        </w:rPr>
        <w:t>项目实施人员一览表</w:t>
      </w:r>
      <w:r>
        <w:rPr>
          <w:rFonts w:hint="eastAsia" w:ascii="宋体" w:hAnsi="宋体"/>
          <w:b/>
          <w:color w:val="33CCCC"/>
          <w:sz w:val="32"/>
          <w:szCs w:val="32"/>
        </w:rPr>
        <w:t>（第 标）</w:t>
      </w:r>
    </w:p>
    <w:p>
      <w:pPr>
        <w:snapToGrid w:val="0"/>
        <w:spacing w:beforeLines="50" w:after="50" w:line="360" w:lineRule="auto"/>
        <w:jc w:val="center"/>
        <w:rPr>
          <w:rFonts w:ascii="宋体" w:hAnsi="宋体"/>
          <w:b/>
          <w:sz w:val="36"/>
          <w:szCs w:val="36"/>
        </w:rPr>
      </w:pPr>
    </w:p>
    <w:p>
      <w:pPr>
        <w:snapToGrid w:val="0"/>
        <w:spacing w:beforeLines="50" w:after="50" w:line="360" w:lineRule="auto"/>
        <w:ind w:firstLine="2400" w:firstLineChars="1000"/>
        <w:rPr>
          <w:rFonts w:ascii="宋体" w:hAnsi="宋体"/>
          <w:sz w:val="24"/>
        </w:rPr>
      </w:pPr>
      <w:r>
        <w:rPr>
          <w:rFonts w:hint="eastAsia" w:ascii="宋体" w:hAnsi="宋体"/>
          <w:sz w:val="24"/>
        </w:rPr>
        <w:t>（主要从业人员及其技术资格）</w:t>
      </w:r>
    </w:p>
    <w:tbl>
      <w:tblPr>
        <w:tblStyle w:val="35"/>
        <w:tblW w:w="8898"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543"/>
        <w:gridCol w:w="1004"/>
        <w:gridCol w:w="795"/>
        <w:gridCol w:w="1276"/>
        <w:gridCol w:w="1275"/>
        <w:gridCol w:w="1418"/>
        <w:gridCol w:w="21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sz w:val="24"/>
                <w:szCs w:val="20"/>
              </w:rPr>
            </w:pPr>
            <w:r>
              <w:rPr>
                <w:rFonts w:hint="eastAsia" w:ascii="宋体" w:hAnsi="宋体"/>
                <w:b/>
                <w:sz w:val="24"/>
                <w:szCs w:val="20"/>
              </w:rPr>
              <w:t>序号</w:t>
            </w:r>
          </w:p>
        </w:tc>
        <w:tc>
          <w:tcPr>
            <w:tcW w:w="543"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sz w:val="24"/>
                <w:szCs w:val="20"/>
              </w:rPr>
            </w:pPr>
            <w:r>
              <w:rPr>
                <w:rFonts w:hint="eastAsia" w:ascii="宋体" w:hAnsi="宋体"/>
                <w:b/>
                <w:sz w:val="24"/>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sz w:val="24"/>
                <w:szCs w:val="20"/>
              </w:rPr>
            </w:pPr>
            <w:r>
              <w:rPr>
                <w:rFonts w:hint="eastAsia" w:ascii="宋体" w:hAnsi="宋体"/>
                <w:b/>
                <w:sz w:val="24"/>
              </w:rPr>
              <w:t>职务</w:t>
            </w:r>
          </w:p>
        </w:tc>
        <w:tc>
          <w:tcPr>
            <w:tcW w:w="795"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sz w:val="24"/>
                <w:szCs w:val="20"/>
              </w:rPr>
            </w:pPr>
            <w:r>
              <w:rPr>
                <w:rFonts w:hint="eastAsia" w:ascii="宋体" w:hAnsi="宋体"/>
                <w:b/>
                <w:sz w:val="24"/>
                <w:szCs w:val="20"/>
              </w:rPr>
              <w:t>职责</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sz w:val="24"/>
                <w:szCs w:val="20"/>
              </w:rPr>
            </w:pPr>
            <w:r>
              <w:rPr>
                <w:rFonts w:hint="eastAsia" w:ascii="宋体" w:hAnsi="宋体"/>
                <w:b/>
                <w:sz w:val="24"/>
              </w:rPr>
              <w:t>专业技术资格</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sz w:val="24"/>
                <w:szCs w:val="20"/>
              </w:rPr>
            </w:pPr>
            <w:r>
              <w:rPr>
                <w:rFonts w:hint="eastAsia" w:ascii="宋体" w:hAnsi="宋体"/>
                <w:b/>
                <w:sz w:val="24"/>
              </w:rPr>
              <w:t>证书编号</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bCs/>
                <w:sz w:val="24"/>
                <w:szCs w:val="20"/>
              </w:rPr>
            </w:pPr>
            <w:r>
              <w:rPr>
                <w:rFonts w:hint="eastAsia" w:ascii="宋体" w:hAnsi="宋体"/>
                <w:b/>
                <w:bCs/>
                <w:sz w:val="24"/>
              </w:rPr>
              <w:t>参加本单位工作时间</w:t>
            </w: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bCs/>
                <w:sz w:val="24"/>
                <w:szCs w:val="20"/>
              </w:rPr>
            </w:pPr>
            <w:r>
              <w:rPr>
                <w:rFonts w:hint="eastAsia" w:ascii="宋体" w:hAnsi="宋体"/>
                <w:b/>
                <w:sz w:val="24"/>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pStyle w:val="19"/>
              <w:snapToGrid w:val="0"/>
              <w:spacing w:beforeLines="50" w:after="50" w:line="360" w:lineRule="auto"/>
              <w:ind w:left="5250"/>
              <w:rPr>
                <w:rFonts w:ascii="宋体" w:hAnsi="宋体" w:eastAsia="宋体"/>
                <w:b/>
                <w:kern w:val="44"/>
                <w:sz w:val="24"/>
                <w:szCs w:val="24"/>
              </w:rPr>
            </w:pPr>
          </w:p>
        </w:tc>
        <w:tc>
          <w:tcPr>
            <w:tcW w:w="1276" w:type="dxa"/>
            <w:tcBorders>
              <w:top w:val="single" w:color="auto" w:sz="4" w:space="0"/>
              <w:left w:val="single" w:color="auto" w:sz="4" w:space="0"/>
              <w:bottom w:val="single" w:color="auto" w:sz="4" w:space="0"/>
              <w:right w:val="single" w:color="auto" w:sz="4" w:space="0"/>
            </w:tcBorders>
          </w:tcPr>
          <w:p>
            <w:pPr>
              <w:pStyle w:val="19"/>
              <w:snapToGrid w:val="0"/>
              <w:spacing w:beforeLines="50" w:after="50" w:line="360" w:lineRule="auto"/>
              <w:ind w:left="5250"/>
              <w:rPr>
                <w:rFonts w:ascii="宋体" w:hAnsi="宋体" w:eastAsia="宋体"/>
                <w:b/>
                <w:kern w:val="44"/>
                <w:sz w:val="24"/>
                <w:szCs w:val="24"/>
              </w:rPr>
            </w:pPr>
          </w:p>
        </w:tc>
        <w:tc>
          <w:tcPr>
            <w:tcW w:w="1275" w:type="dxa"/>
            <w:tcBorders>
              <w:top w:val="single" w:color="auto" w:sz="4" w:space="0"/>
              <w:left w:val="single" w:color="auto" w:sz="4" w:space="0"/>
              <w:bottom w:val="single" w:color="auto" w:sz="4" w:space="0"/>
              <w:right w:val="single" w:color="auto" w:sz="4" w:space="0"/>
            </w:tcBorders>
          </w:tcPr>
          <w:p>
            <w:pPr>
              <w:pStyle w:val="19"/>
              <w:spacing w:line="360" w:lineRule="auto"/>
              <w:ind w:left="5250"/>
              <w:rPr>
                <w:rFonts w:ascii="宋体" w:hAnsi="宋体"/>
                <w:sz w:val="24"/>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r>
    </w:tbl>
    <w:p>
      <w:pPr>
        <w:spacing w:line="360" w:lineRule="auto"/>
        <w:rPr>
          <w:rFonts w:ascii="宋体" w:hAnsi="宋体"/>
          <w:b/>
          <w:szCs w:val="21"/>
        </w:rPr>
      </w:pPr>
      <w:r>
        <w:rPr>
          <w:rFonts w:hint="eastAsia" w:ascii="宋体" w:hAnsi="宋体"/>
          <w:b/>
          <w:szCs w:val="21"/>
        </w:rPr>
        <w:t>要求：</w:t>
      </w:r>
    </w:p>
    <w:p>
      <w:pPr>
        <w:spacing w:line="360" w:lineRule="auto"/>
        <w:ind w:left="437"/>
        <w:rPr>
          <w:rFonts w:ascii="宋体" w:hAnsi="宋体"/>
          <w:szCs w:val="21"/>
        </w:rPr>
      </w:pPr>
      <w:r>
        <w:rPr>
          <w:rFonts w:hint="eastAsia" w:ascii="宋体" w:hAnsi="宋体"/>
          <w:b/>
          <w:szCs w:val="21"/>
        </w:rPr>
        <w:t>1.</w:t>
      </w:r>
      <w:r>
        <w:rPr>
          <w:rFonts w:hint="eastAsia" w:ascii="宋体" w:hAnsi="宋体"/>
          <w:szCs w:val="21"/>
        </w:rPr>
        <w:t>在填写时，如本表格不适合投标单位的实际情况，可根据本表格式自行划表填写。</w:t>
      </w:r>
    </w:p>
    <w:p>
      <w:pPr>
        <w:pStyle w:val="89"/>
        <w:spacing w:line="360" w:lineRule="auto"/>
        <w:ind w:left="424" w:leftChars="202"/>
        <w:rPr>
          <w:rFonts w:ascii="宋体" w:hAnsi="宋体"/>
          <w:szCs w:val="21"/>
        </w:rPr>
      </w:pPr>
      <w:r>
        <w:rPr>
          <w:rFonts w:hint="eastAsia" w:ascii="宋体" w:hAnsi="宋体"/>
          <w:szCs w:val="21"/>
        </w:rPr>
        <w:t>2.附人员证书复印件；</w:t>
      </w:r>
    </w:p>
    <w:p>
      <w:pPr>
        <w:pStyle w:val="89"/>
        <w:spacing w:line="360" w:lineRule="auto"/>
        <w:ind w:left="424" w:hanging="424" w:hangingChars="202"/>
        <w:rPr>
          <w:rFonts w:ascii="宋体" w:hAnsi="宋体"/>
          <w:szCs w:val="21"/>
        </w:rPr>
      </w:pPr>
      <w:r>
        <w:rPr>
          <w:rFonts w:hint="eastAsia" w:ascii="宋体" w:hAnsi="宋体"/>
          <w:szCs w:val="21"/>
        </w:rPr>
        <w:t>　　3.出具上述人员在本单位服务的外部证明，如：</w:t>
      </w:r>
      <w:r>
        <w:rPr>
          <w:rFonts w:ascii="宋体" w:hAnsi="宋体"/>
          <w:szCs w:val="21"/>
        </w:rPr>
        <w:t>投标截止日之前六个月以内的</w:t>
      </w:r>
      <w:r>
        <w:rPr>
          <w:rFonts w:hint="eastAsia" w:ascii="宋体" w:hAnsi="宋体"/>
          <w:szCs w:val="21"/>
        </w:rPr>
        <w:t>代缴个税税单、参加社会保险的《投保单》或《社会保险参保人员证明》等。</w:t>
      </w:r>
    </w:p>
    <w:p>
      <w:pPr>
        <w:snapToGrid w:val="0"/>
        <w:spacing w:before="50" w:afterLines="50" w:line="360" w:lineRule="auto"/>
        <w:jc w:val="left"/>
        <w:rPr>
          <w:rFonts w:ascii="宋体" w:hAnsi="宋体"/>
          <w:sz w:val="24"/>
          <w:szCs w:val="20"/>
        </w:rPr>
      </w:pPr>
    </w:p>
    <w:p>
      <w:pPr>
        <w:snapToGrid w:val="0"/>
        <w:spacing w:before="50" w:afterLines="50" w:line="360" w:lineRule="auto"/>
        <w:jc w:val="left"/>
        <w:rPr>
          <w:rFonts w:ascii="宋体" w:hAnsi="宋体"/>
          <w:sz w:val="24"/>
          <w:szCs w:val="20"/>
        </w:rPr>
      </w:pPr>
    </w:p>
    <w:p>
      <w:pPr>
        <w:spacing w:line="360" w:lineRule="auto"/>
        <w:ind w:left="420"/>
        <w:rPr>
          <w:rFonts w:ascii="宋体" w:hAnsi="宋体"/>
          <w:sz w:val="24"/>
          <w:u w:val="single"/>
        </w:rPr>
      </w:pPr>
      <w:r>
        <w:rPr>
          <w:rFonts w:hint="eastAsia" w:ascii="宋体" w:hAnsi="宋体"/>
          <w:sz w:val="24"/>
        </w:rPr>
        <w:t>投标人名称（盖章）：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spacing w:line="360" w:lineRule="auto"/>
        <w:ind w:firstLine="435"/>
        <w:rPr>
          <w:rFonts w:ascii="宋体" w:hAnsi="宋体"/>
          <w:b/>
          <w:sz w:val="28"/>
        </w:rPr>
      </w:pPr>
    </w:p>
    <w:p>
      <w:pPr>
        <w:spacing w:line="360" w:lineRule="auto"/>
        <w:ind w:firstLine="435"/>
        <w:rPr>
          <w:rFonts w:ascii="宋体" w:hAnsi="宋体"/>
        </w:rPr>
      </w:pPr>
      <w:r>
        <w:rPr>
          <w:rFonts w:hint="eastAsia" w:ascii="宋体" w:hAnsi="宋体"/>
          <w:b/>
          <w:sz w:val="28"/>
        </w:rPr>
        <w:t>附件13</w:t>
      </w:r>
    </w:p>
    <w:p>
      <w:pPr>
        <w:spacing w:beforeLines="50" w:afterLines="50" w:line="360" w:lineRule="auto"/>
        <w:ind w:right="-10"/>
        <w:jc w:val="center"/>
        <w:rPr>
          <w:rFonts w:ascii="宋体" w:hAnsi="宋体"/>
          <w:b/>
          <w:bCs/>
          <w:sz w:val="32"/>
          <w:szCs w:val="32"/>
        </w:rPr>
      </w:pPr>
      <w:r>
        <w:rPr>
          <w:rFonts w:hint="eastAsia" w:ascii="宋体" w:hAnsi="宋体"/>
          <w:b/>
          <w:bCs/>
          <w:sz w:val="32"/>
          <w:szCs w:val="32"/>
        </w:rPr>
        <w:t>项目负责人资格情况表</w:t>
      </w:r>
    </w:p>
    <w:p>
      <w:pPr>
        <w:spacing w:line="360" w:lineRule="auto"/>
        <w:rPr>
          <w:rFonts w:ascii="宋体" w:hAnsi="宋体"/>
        </w:rPr>
      </w:pPr>
      <w:r>
        <w:rPr>
          <w:rFonts w:hint="eastAsia" w:ascii="宋体" w:hAnsi="宋体"/>
        </w:rPr>
        <w:t>采购项目：                                            采购编号：</w:t>
      </w:r>
    </w:p>
    <w:tbl>
      <w:tblPr>
        <w:tblStyle w:val="35"/>
        <w:tblW w:w="8626"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trPr>
        <w:tc>
          <w:tcPr>
            <w:tcW w:w="1974" w:type="dxa"/>
            <w:tcBorders>
              <w:top w:val="single" w:color="auto" w:sz="12" w:space="0"/>
              <w:left w:val="single" w:color="auto" w:sz="12"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b/>
                <w:bCs/>
                <w:lang w:val="zh-CN"/>
              </w:rPr>
            </w:pPr>
            <w:r>
              <w:rPr>
                <w:rFonts w:hint="eastAsia" w:ascii="宋体" w:hAnsi="宋体"/>
                <w:b/>
                <w:bCs/>
                <w:lang w:val="zh-CN"/>
              </w:rPr>
              <w:t>姓名</w:t>
            </w:r>
          </w:p>
        </w:tc>
        <w:tc>
          <w:tcPr>
            <w:tcW w:w="296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lang w:val="zh-CN"/>
              </w:rPr>
            </w:pPr>
          </w:p>
        </w:tc>
        <w:tc>
          <w:tcPr>
            <w:tcW w:w="3685" w:type="dxa"/>
            <w:tcBorders>
              <w:top w:val="single" w:color="auto" w:sz="12" w:space="0"/>
              <w:left w:val="single" w:color="auto" w:sz="4" w:space="0"/>
              <w:bottom w:val="single" w:color="auto" w:sz="4" w:space="0"/>
              <w:right w:val="single" w:color="auto" w:sz="12" w:space="0"/>
            </w:tcBorders>
            <w:vAlign w:val="center"/>
          </w:tcPr>
          <w:p>
            <w:pPr>
              <w:autoSpaceDE w:val="0"/>
              <w:autoSpaceDN w:val="0"/>
              <w:adjustRightInd w:val="0"/>
              <w:spacing w:line="360" w:lineRule="auto"/>
              <w:jc w:val="center"/>
              <w:rPr>
                <w:rFonts w:ascii="宋体" w:hAnsi="宋体"/>
                <w:b/>
                <w:bCs/>
                <w:lang w:val="zh-CN"/>
              </w:rPr>
            </w:pPr>
            <w:r>
              <w:rPr>
                <w:rFonts w:hint="eastAsia" w:ascii="宋体" w:hAnsi="宋体"/>
                <w:b/>
                <w:bCs/>
                <w:lang w:val="zh-CN"/>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b/>
                <w:bCs/>
                <w:lang w:val="zh-CN"/>
              </w:rPr>
            </w:pPr>
            <w:r>
              <w:rPr>
                <w:rFonts w:hint="eastAsia" w:ascii="宋体" w:hAnsi="宋体"/>
                <w:b/>
                <w:bCs/>
                <w:lang w:val="zh-CN"/>
              </w:rPr>
              <w:t>性别</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lang w:val="zh-CN"/>
              </w:rPr>
            </w:pPr>
          </w:p>
        </w:tc>
        <w:tc>
          <w:tcPr>
            <w:tcW w:w="3685" w:type="dxa"/>
            <w:vMerge w:val="restart"/>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auto"/>
              <w:jc w:val="center"/>
              <w:rPr>
                <w:rFonts w:ascii="宋体" w:hAnsi="宋体"/>
              </w:rPr>
            </w:pPr>
            <w:r>
              <w:rPr>
                <w:rFonts w:hint="eastAsia" w:ascii="宋体" w:hAnsi="宋体"/>
              </w:rPr>
              <w:t>注：业绩证明应提供旁证材料</w:t>
            </w:r>
          </w:p>
          <w:p>
            <w:pPr>
              <w:autoSpaceDE w:val="0"/>
              <w:autoSpaceDN w:val="0"/>
              <w:adjustRightInd w:val="0"/>
              <w:spacing w:line="360" w:lineRule="auto"/>
              <w:jc w:val="center"/>
              <w:rPr>
                <w:rFonts w:ascii="宋体" w:hAnsi="宋体"/>
                <w:lang w:val="zh-CN"/>
              </w:rPr>
            </w:pPr>
            <w:r>
              <w:rPr>
                <w:rFonts w:hint="eastAsia" w:ascii="宋体" w:hAnsi="宋体"/>
              </w:rPr>
              <w:t>（供货合同或中标通知书）。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b/>
                <w:bCs/>
                <w:lang w:val="zh-CN"/>
              </w:rPr>
            </w:pPr>
            <w:r>
              <w:rPr>
                <w:rFonts w:hint="eastAsia" w:ascii="宋体" w:hAnsi="宋体"/>
                <w:b/>
                <w:bCs/>
                <w:lang w:val="zh-CN"/>
              </w:rPr>
              <w:t>年龄</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b/>
                <w:bCs/>
                <w:lang w:val="zh-CN"/>
              </w:rPr>
            </w:pPr>
            <w:r>
              <w:rPr>
                <w:rFonts w:hint="eastAsia" w:ascii="宋体" w:hAnsi="宋体"/>
                <w:b/>
                <w:bCs/>
                <w:lang w:val="zh-CN"/>
              </w:rPr>
              <w:t>职称</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b/>
                <w:bCs/>
                <w:lang w:val="zh-CN"/>
              </w:rPr>
            </w:pPr>
            <w:r>
              <w:rPr>
                <w:rFonts w:hint="eastAsia" w:ascii="宋体" w:hAnsi="宋体"/>
                <w:b/>
                <w:bCs/>
                <w:lang w:val="zh-CN"/>
              </w:rPr>
              <w:t>毕业时间</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930"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b/>
                <w:bCs/>
                <w:lang w:val="zh-CN"/>
              </w:rPr>
            </w:pPr>
            <w:r>
              <w:rPr>
                <w:rFonts w:hint="eastAsia" w:ascii="宋体" w:hAnsi="宋体"/>
                <w:b/>
                <w:bCs/>
                <w:lang w:val="zh-CN"/>
              </w:rPr>
              <w:t>学校专业</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b/>
                <w:bCs/>
                <w:lang w:val="zh-CN"/>
              </w:rPr>
            </w:pPr>
            <w:r>
              <w:rPr>
                <w:rFonts w:hint="eastAsia" w:ascii="宋体" w:hAnsi="宋体"/>
                <w:b/>
                <w:bCs/>
                <w:lang w:val="zh-CN"/>
              </w:rPr>
              <w:t>联系电话</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b/>
                <w:bCs/>
                <w:lang w:val="zh-CN"/>
              </w:rPr>
            </w:pPr>
            <w:r>
              <w:rPr>
                <w:rFonts w:hint="eastAsia" w:ascii="宋体" w:hAnsi="宋体"/>
                <w:b/>
                <w:bCs/>
              </w:rPr>
              <w:t>最近一年工作状况</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trPr>
        <w:tc>
          <w:tcPr>
            <w:tcW w:w="1974" w:type="dxa"/>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pacing w:line="360" w:lineRule="auto"/>
              <w:jc w:val="center"/>
              <w:rPr>
                <w:rFonts w:ascii="宋体" w:hAnsi="宋体"/>
                <w:b/>
                <w:bCs/>
                <w:lang w:val="zh-CN"/>
              </w:rPr>
            </w:pPr>
            <w:r>
              <w:rPr>
                <w:rFonts w:hint="eastAsia" w:ascii="宋体" w:hAnsi="宋体"/>
                <w:b/>
                <w:bCs/>
                <w:lang w:val="zh-CN"/>
              </w:rPr>
              <w:t>拟在本项目中担任主要工作</w:t>
            </w:r>
          </w:p>
        </w:tc>
        <w:tc>
          <w:tcPr>
            <w:tcW w:w="6652" w:type="dxa"/>
            <w:gridSpan w:val="2"/>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pacing w:line="360" w:lineRule="auto"/>
              <w:jc w:val="center"/>
              <w:rPr>
                <w:rFonts w:ascii="宋体" w:hAnsi="宋体"/>
                <w:lang w:val="zh-CN"/>
              </w:rPr>
            </w:pPr>
          </w:p>
        </w:tc>
      </w:tr>
    </w:tbl>
    <w:p>
      <w:pPr>
        <w:spacing w:line="360" w:lineRule="auto"/>
        <w:ind w:left="420"/>
        <w:rPr>
          <w:rFonts w:ascii="宋体" w:hAnsi="宋体"/>
          <w:sz w:val="24"/>
        </w:rPr>
      </w:pPr>
    </w:p>
    <w:p>
      <w:pPr>
        <w:spacing w:line="360" w:lineRule="auto"/>
        <w:ind w:left="420"/>
        <w:rPr>
          <w:rFonts w:ascii="宋体" w:hAnsi="宋体"/>
          <w:sz w:val="24"/>
        </w:rPr>
      </w:pPr>
    </w:p>
    <w:p>
      <w:pPr>
        <w:spacing w:line="360" w:lineRule="auto"/>
        <w:ind w:left="420"/>
        <w:rPr>
          <w:rFonts w:ascii="宋体" w:hAnsi="宋体"/>
          <w:sz w:val="24"/>
        </w:rPr>
      </w:pPr>
    </w:p>
    <w:p>
      <w:pPr>
        <w:spacing w:line="360" w:lineRule="auto"/>
        <w:ind w:left="420"/>
        <w:rPr>
          <w:rFonts w:ascii="宋体" w:hAnsi="宋体"/>
          <w:sz w:val="24"/>
          <w:u w:val="single"/>
        </w:rPr>
      </w:pPr>
      <w:r>
        <w:rPr>
          <w:rFonts w:hint="eastAsia" w:ascii="宋体" w:hAnsi="宋体"/>
          <w:sz w:val="24"/>
        </w:rPr>
        <w:t>投标人名称（盖章）：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spacing w:line="360" w:lineRule="auto"/>
        <w:ind w:firstLine="435"/>
        <w:rPr>
          <w:rFonts w:ascii="宋体" w:hAnsi="宋体"/>
          <w:b/>
          <w:sz w:val="28"/>
        </w:rPr>
      </w:pPr>
    </w:p>
    <w:p>
      <w:pPr>
        <w:tabs>
          <w:tab w:val="left" w:pos="2460"/>
        </w:tabs>
        <w:spacing w:line="360" w:lineRule="auto"/>
        <w:ind w:firstLine="435"/>
        <w:rPr>
          <w:rFonts w:ascii="宋体" w:hAnsi="宋体"/>
          <w:b/>
          <w:sz w:val="28"/>
        </w:rPr>
      </w:pPr>
      <w:r>
        <w:rPr>
          <w:rFonts w:hint="eastAsia" w:ascii="宋体" w:hAnsi="宋体"/>
          <w:b/>
          <w:sz w:val="28"/>
        </w:rPr>
        <w:t xml:space="preserve">附件14  </w:t>
      </w:r>
      <w:r>
        <w:rPr>
          <w:rFonts w:ascii="宋体" w:hAnsi="宋体"/>
          <w:b/>
          <w:sz w:val="28"/>
        </w:rPr>
        <w:tab/>
      </w:r>
    </w:p>
    <w:p>
      <w:pPr>
        <w:tabs>
          <w:tab w:val="left" w:pos="2460"/>
        </w:tabs>
        <w:spacing w:line="360" w:lineRule="auto"/>
        <w:ind w:firstLine="435"/>
        <w:rPr>
          <w:rFonts w:ascii="宋体" w:hAnsi="宋体"/>
          <w:b/>
          <w:sz w:val="28"/>
        </w:rPr>
      </w:pPr>
    </w:p>
    <w:p>
      <w:pPr>
        <w:spacing w:line="360" w:lineRule="auto"/>
        <w:ind w:firstLine="435"/>
        <w:jc w:val="center"/>
        <w:rPr>
          <w:rFonts w:ascii="宋体" w:hAnsi="宋体"/>
          <w:b/>
          <w:sz w:val="32"/>
          <w:szCs w:val="32"/>
        </w:rPr>
      </w:pPr>
      <w:r>
        <w:rPr>
          <w:rFonts w:hint="eastAsia" w:ascii="宋体" w:hAnsi="宋体"/>
          <w:b/>
          <w:sz w:val="32"/>
          <w:szCs w:val="32"/>
        </w:rPr>
        <w:t>售后服务情况表</w:t>
      </w:r>
    </w:p>
    <w:p>
      <w:pPr>
        <w:spacing w:line="360" w:lineRule="auto"/>
        <w:ind w:firstLine="435"/>
        <w:jc w:val="center"/>
        <w:rPr>
          <w:rFonts w:ascii="宋体" w:hAnsi="宋体"/>
          <w:b/>
          <w:sz w:val="36"/>
          <w:szCs w:val="36"/>
        </w:rPr>
      </w:pPr>
    </w:p>
    <w:p>
      <w:pPr>
        <w:spacing w:line="360" w:lineRule="auto"/>
        <w:ind w:firstLine="435"/>
        <w:rPr>
          <w:rFonts w:ascii="宋体" w:hAnsi="宋体"/>
          <w:b/>
          <w:sz w:val="28"/>
        </w:rPr>
      </w:pPr>
    </w:p>
    <w:tbl>
      <w:tblPr>
        <w:tblStyle w:val="35"/>
        <w:tblW w:w="8528"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9"/>
        <w:gridCol w:w="2355"/>
        <w:gridCol w:w="4061"/>
        <w:gridCol w:w="137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18" w:hRule="atLeast"/>
          <w:jc w:val="center"/>
        </w:trPr>
        <w:tc>
          <w:tcPr>
            <w:tcW w:w="739" w:type="dxa"/>
            <w:vAlign w:val="center"/>
          </w:tcPr>
          <w:p>
            <w:pPr>
              <w:pStyle w:val="55"/>
              <w:spacing w:line="360" w:lineRule="auto"/>
              <w:jc w:val="center"/>
              <w:rPr>
                <w:rFonts w:ascii="宋体" w:hAnsi="宋体" w:cs="Arial"/>
                <w:b/>
                <w:sz w:val="24"/>
              </w:rPr>
            </w:pPr>
            <w:r>
              <w:rPr>
                <w:rFonts w:hint="eastAsia" w:ascii="宋体" w:hAnsi="宋体" w:cs="Arial"/>
                <w:b/>
                <w:sz w:val="24"/>
              </w:rPr>
              <w:t>序号</w:t>
            </w:r>
          </w:p>
        </w:tc>
        <w:tc>
          <w:tcPr>
            <w:tcW w:w="2355" w:type="dxa"/>
            <w:vAlign w:val="center"/>
          </w:tcPr>
          <w:p>
            <w:pPr>
              <w:pStyle w:val="55"/>
              <w:spacing w:line="360" w:lineRule="auto"/>
              <w:jc w:val="center"/>
              <w:rPr>
                <w:rFonts w:ascii="宋体" w:hAnsi="宋体" w:cs="Arial"/>
                <w:b/>
                <w:sz w:val="24"/>
              </w:rPr>
            </w:pPr>
            <w:r>
              <w:rPr>
                <w:rFonts w:hint="eastAsia" w:ascii="宋体" w:hAnsi="宋体" w:cs="Arial"/>
                <w:b/>
                <w:sz w:val="24"/>
              </w:rPr>
              <w:t>项目</w:t>
            </w:r>
          </w:p>
        </w:tc>
        <w:tc>
          <w:tcPr>
            <w:tcW w:w="4061" w:type="dxa"/>
            <w:vAlign w:val="center"/>
          </w:tcPr>
          <w:p>
            <w:pPr>
              <w:pStyle w:val="55"/>
              <w:spacing w:line="360" w:lineRule="auto"/>
              <w:jc w:val="center"/>
              <w:rPr>
                <w:rFonts w:ascii="宋体" w:hAnsi="宋体" w:cs="Arial"/>
                <w:b/>
                <w:sz w:val="24"/>
              </w:rPr>
            </w:pPr>
            <w:r>
              <w:rPr>
                <w:rFonts w:hint="eastAsia" w:ascii="宋体" w:hAnsi="宋体" w:cs="Arial"/>
                <w:b/>
                <w:sz w:val="24"/>
              </w:rPr>
              <w:t>投标人承诺</w:t>
            </w:r>
          </w:p>
        </w:tc>
        <w:tc>
          <w:tcPr>
            <w:tcW w:w="1373" w:type="dxa"/>
            <w:vAlign w:val="center"/>
          </w:tcPr>
          <w:p>
            <w:pPr>
              <w:pStyle w:val="55"/>
              <w:spacing w:line="360" w:lineRule="auto"/>
              <w:jc w:val="center"/>
              <w:rPr>
                <w:rFonts w:ascii="宋体" w:hAnsi="宋体" w:cs="Arial"/>
                <w:b/>
                <w:sz w:val="24"/>
              </w:rPr>
            </w:pPr>
            <w:r>
              <w:rPr>
                <w:rFonts w:hint="eastAsia" w:ascii="宋体" w:hAnsi="宋体" w:cs="Arial"/>
                <w:b/>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258" w:hRule="atLeast"/>
          <w:jc w:val="center"/>
        </w:trPr>
        <w:tc>
          <w:tcPr>
            <w:tcW w:w="739" w:type="dxa"/>
            <w:vMerge w:val="restart"/>
            <w:vAlign w:val="center"/>
          </w:tcPr>
          <w:p>
            <w:pPr>
              <w:pStyle w:val="55"/>
              <w:spacing w:line="360" w:lineRule="auto"/>
              <w:jc w:val="center"/>
              <w:rPr>
                <w:rFonts w:ascii="宋体" w:hAnsi="宋体" w:cs="Arial"/>
                <w:bCs/>
                <w:sz w:val="24"/>
              </w:rPr>
            </w:pPr>
            <w:r>
              <w:rPr>
                <w:rFonts w:hint="eastAsia" w:ascii="宋体" w:hAnsi="宋体" w:cs="Arial"/>
                <w:bCs/>
                <w:sz w:val="24"/>
              </w:rPr>
              <w:t>1</w:t>
            </w:r>
          </w:p>
        </w:tc>
        <w:tc>
          <w:tcPr>
            <w:tcW w:w="2355" w:type="dxa"/>
            <w:vMerge w:val="restart"/>
            <w:vAlign w:val="center"/>
          </w:tcPr>
          <w:p>
            <w:pPr>
              <w:pStyle w:val="55"/>
              <w:widowControl/>
              <w:spacing w:line="360" w:lineRule="auto"/>
              <w:jc w:val="left"/>
              <w:rPr>
                <w:rFonts w:ascii="宋体" w:hAnsi="宋体" w:cs="Arial"/>
                <w:bCs/>
                <w:sz w:val="24"/>
              </w:rPr>
            </w:pPr>
            <w:r>
              <w:rPr>
                <w:rFonts w:hint="eastAsia" w:ascii="宋体" w:hAnsi="宋体" w:cs="Arial"/>
                <w:bCs/>
                <w:sz w:val="24"/>
              </w:rPr>
              <w:t>保修期内售后服务情况(</w:t>
            </w:r>
            <w:r>
              <w:rPr>
                <w:rFonts w:ascii="宋体" w:hAnsi="宋体" w:cs="Arial"/>
                <w:bCs/>
                <w:sz w:val="24"/>
              </w:rPr>
              <w:t>服务</w:t>
            </w:r>
            <w:r>
              <w:rPr>
                <w:rFonts w:hint="eastAsia" w:ascii="宋体" w:hAnsi="宋体" w:cs="Arial"/>
                <w:bCs/>
                <w:sz w:val="24"/>
              </w:rPr>
              <w:t>方式、服务网点</w:t>
            </w:r>
            <w:r>
              <w:rPr>
                <w:rFonts w:ascii="宋体" w:hAnsi="宋体" w:cs="Arial"/>
                <w:bCs/>
                <w:sz w:val="24"/>
              </w:rPr>
              <w:t>、售后服务的内容和措施</w:t>
            </w:r>
            <w:r>
              <w:rPr>
                <w:rFonts w:hint="eastAsia" w:ascii="宋体" w:hAnsi="宋体" w:cs="Arial"/>
                <w:bCs/>
                <w:sz w:val="24"/>
              </w:rPr>
              <w:t>等等，可用附页和宣传材料)</w:t>
            </w:r>
          </w:p>
        </w:tc>
        <w:tc>
          <w:tcPr>
            <w:tcW w:w="4061" w:type="dxa"/>
          </w:tcPr>
          <w:p>
            <w:pPr>
              <w:pStyle w:val="55"/>
              <w:spacing w:line="360" w:lineRule="auto"/>
              <w:rPr>
                <w:rFonts w:ascii="宋体" w:hAnsi="宋体" w:cs="Arial"/>
                <w:bCs/>
                <w:sz w:val="24"/>
              </w:rPr>
            </w:pPr>
            <w:r>
              <w:rPr>
                <w:rFonts w:hint="eastAsia" w:ascii="宋体" w:hAnsi="宋体" w:cs="Arial"/>
                <w:bCs/>
                <w:sz w:val="24"/>
              </w:rPr>
              <w:t>生产厂商售后服务情况：</w:t>
            </w:r>
          </w:p>
        </w:tc>
        <w:tc>
          <w:tcPr>
            <w:tcW w:w="1373" w:type="dxa"/>
          </w:tcPr>
          <w:p>
            <w:pPr>
              <w:pStyle w:val="55"/>
              <w:spacing w:line="360" w:lineRule="auto"/>
              <w:rPr>
                <w:rFonts w:ascii="宋体" w:hAnsi="宋体" w:cs="Arial"/>
                <w:bCs/>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90" w:hRule="atLeast"/>
          <w:jc w:val="center"/>
        </w:trPr>
        <w:tc>
          <w:tcPr>
            <w:tcW w:w="739" w:type="dxa"/>
            <w:vMerge w:val="continue"/>
            <w:vAlign w:val="center"/>
          </w:tcPr>
          <w:p>
            <w:pPr>
              <w:pStyle w:val="55"/>
              <w:widowControl/>
              <w:spacing w:line="360" w:lineRule="auto"/>
              <w:jc w:val="left"/>
              <w:rPr>
                <w:rFonts w:ascii="宋体" w:hAnsi="宋体" w:cs="Arial"/>
                <w:bCs/>
                <w:sz w:val="24"/>
              </w:rPr>
            </w:pPr>
          </w:p>
        </w:tc>
        <w:tc>
          <w:tcPr>
            <w:tcW w:w="2355" w:type="dxa"/>
            <w:vMerge w:val="continue"/>
            <w:vAlign w:val="center"/>
          </w:tcPr>
          <w:p>
            <w:pPr>
              <w:pStyle w:val="55"/>
              <w:widowControl/>
              <w:spacing w:line="360" w:lineRule="auto"/>
              <w:jc w:val="left"/>
              <w:rPr>
                <w:rFonts w:ascii="宋体" w:hAnsi="宋体" w:cs="Arial"/>
                <w:bCs/>
                <w:sz w:val="24"/>
              </w:rPr>
            </w:pPr>
          </w:p>
        </w:tc>
        <w:tc>
          <w:tcPr>
            <w:tcW w:w="4061" w:type="dxa"/>
          </w:tcPr>
          <w:p>
            <w:pPr>
              <w:pStyle w:val="55"/>
              <w:spacing w:line="360" w:lineRule="auto"/>
              <w:rPr>
                <w:rFonts w:ascii="宋体" w:hAnsi="宋体" w:cs="Arial"/>
                <w:bCs/>
                <w:sz w:val="24"/>
              </w:rPr>
            </w:pPr>
            <w:r>
              <w:rPr>
                <w:rFonts w:hint="eastAsia" w:ascii="宋体" w:hAnsi="宋体" w:cs="Arial"/>
                <w:bCs/>
                <w:sz w:val="24"/>
              </w:rPr>
              <w:t>投标人售后服务情况：</w:t>
            </w:r>
          </w:p>
        </w:tc>
        <w:tc>
          <w:tcPr>
            <w:tcW w:w="1373" w:type="dxa"/>
          </w:tcPr>
          <w:p>
            <w:pPr>
              <w:pStyle w:val="55"/>
              <w:spacing w:line="360" w:lineRule="auto"/>
              <w:jc w:val="left"/>
              <w:rPr>
                <w:rFonts w:ascii="宋体" w:hAnsi="宋体" w:cs="Arial"/>
                <w:bCs/>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exact"/>
          <w:jc w:val="center"/>
        </w:trPr>
        <w:tc>
          <w:tcPr>
            <w:tcW w:w="739" w:type="dxa"/>
            <w:vAlign w:val="center"/>
          </w:tcPr>
          <w:p>
            <w:pPr>
              <w:pStyle w:val="55"/>
              <w:spacing w:line="360" w:lineRule="auto"/>
              <w:jc w:val="center"/>
              <w:rPr>
                <w:rFonts w:ascii="宋体" w:hAnsi="宋体" w:cs="Arial"/>
                <w:bCs/>
                <w:sz w:val="24"/>
              </w:rPr>
            </w:pPr>
            <w:r>
              <w:rPr>
                <w:rFonts w:hint="eastAsia" w:ascii="宋体" w:hAnsi="宋体" w:cs="Arial"/>
                <w:bCs/>
                <w:sz w:val="24"/>
              </w:rPr>
              <w:t>2</w:t>
            </w:r>
          </w:p>
        </w:tc>
        <w:tc>
          <w:tcPr>
            <w:tcW w:w="2355" w:type="dxa"/>
            <w:vAlign w:val="center"/>
          </w:tcPr>
          <w:p>
            <w:pPr>
              <w:pStyle w:val="55"/>
              <w:spacing w:line="360" w:lineRule="auto"/>
              <w:rPr>
                <w:rFonts w:ascii="宋体" w:hAnsi="宋体" w:cs="Arial"/>
                <w:bCs/>
                <w:sz w:val="24"/>
              </w:rPr>
            </w:pPr>
            <w:r>
              <w:rPr>
                <w:rFonts w:hint="eastAsia" w:ascii="宋体" w:hAnsi="宋体" w:cs="Arial"/>
                <w:bCs/>
                <w:sz w:val="24"/>
              </w:rPr>
              <w:t>保修期后售后服务</w:t>
            </w:r>
          </w:p>
        </w:tc>
        <w:tc>
          <w:tcPr>
            <w:tcW w:w="4061" w:type="dxa"/>
          </w:tcPr>
          <w:p>
            <w:pPr>
              <w:pStyle w:val="55"/>
              <w:widowControl/>
              <w:spacing w:line="360" w:lineRule="auto"/>
              <w:jc w:val="left"/>
              <w:rPr>
                <w:rFonts w:ascii="宋体" w:hAnsi="宋体" w:cs="Arial"/>
                <w:bCs/>
                <w:sz w:val="24"/>
              </w:rPr>
            </w:pPr>
          </w:p>
          <w:p>
            <w:pPr>
              <w:pStyle w:val="55"/>
              <w:widowControl/>
              <w:spacing w:line="360" w:lineRule="auto"/>
              <w:jc w:val="left"/>
              <w:rPr>
                <w:rFonts w:ascii="宋体" w:hAnsi="宋体" w:cs="Arial"/>
                <w:bCs/>
                <w:sz w:val="24"/>
              </w:rPr>
            </w:pPr>
          </w:p>
          <w:p>
            <w:pPr>
              <w:pStyle w:val="55"/>
              <w:spacing w:line="360" w:lineRule="auto"/>
              <w:rPr>
                <w:rFonts w:ascii="宋体" w:hAnsi="宋体" w:cs="Arial"/>
                <w:bCs/>
                <w:sz w:val="24"/>
              </w:rPr>
            </w:pPr>
          </w:p>
        </w:tc>
        <w:tc>
          <w:tcPr>
            <w:tcW w:w="1373" w:type="dxa"/>
          </w:tcPr>
          <w:p>
            <w:pPr>
              <w:pStyle w:val="55"/>
              <w:widowControl/>
              <w:spacing w:line="360" w:lineRule="auto"/>
              <w:jc w:val="left"/>
              <w:rPr>
                <w:rFonts w:ascii="宋体" w:hAnsi="宋体" w:cs="Arial"/>
                <w:bCs/>
                <w:sz w:val="24"/>
              </w:rPr>
            </w:pPr>
          </w:p>
          <w:p>
            <w:pPr>
              <w:pStyle w:val="55"/>
              <w:widowControl/>
              <w:spacing w:line="360" w:lineRule="auto"/>
              <w:jc w:val="left"/>
              <w:rPr>
                <w:rFonts w:ascii="宋体" w:hAnsi="宋体" w:cs="Arial"/>
                <w:bCs/>
                <w:sz w:val="24"/>
              </w:rPr>
            </w:pPr>
          </w:p>
          <w:p>
            <w:pPr>
              <w:pStyle w:val="55"/>
              <w:spacing w:line="360" w:lineRule="auto"/>
              <w:rPr>
                <w:rFonts w:ascii="宋体" w:hAnsi="宋体" w:cs="Arial"/>
                <w:bCs/>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620" w:hRule="exact"/>
          <w:jc w:val="center"/>
        </w:trPr>
        <w:tc>
          <w:tcPr>
            <w:tcW w:w="739" w:type="dxa"/>
            <w:vAlign w:val="center"/>
          </w:tcPr>
          <w:p>
            <w:pPr>
              <w:pStyle w:val="55"/>
              <w:widowControl/>
              <w:spacing w:line="360" w:lineRule="auto"/>
              <w:jc w:val="left"/>
              <w:rPr>
                <w:rFonts w:ascii="宋体" w:hAnsi="宋体" w:cs="Arial"/>
                <w:bCs/>
                <w:sz w:val="24"/>
              </w:rPr>
            </w:pPr>
            <w:r>
              <w:rPr>
                <w:rFonts w:hint="eastAsia" w:ascii="宋体" w:hAnsi="宋体" w:cs="Arial"/>
                <w:bCs/>
                <w:sz w:val="24"/>
              </w:rPr>
              <w:t xml:space="preserve"> 3</w:t>
            </w:r>
          </w:p>
        </w:tc>
        <w:tc>
          <w:tcPr>
            <w:tcW w:w="2355" w:type="dxa"/>
            <w:vAlign w:val="center"/>
          </w:tcPr>
          <w:p>
            <w:pPr>
              <w:pStyle w:val="55"/>
              <w:widowControl/>
              <w:spacing w:line="360" w:lineRule="auto"/>
              <w:jc w:val="left"/>
              <w:rPr>
                <w:rFonts w:ascii="宋体" w:hAnsi="宋体" w:cs="Arial"/>
                <w:bCs/>
                <w:sz w:val="24"/>
              </w:rPr>
            </w:pPr>
            <w:r>
              <w:rPr>
                <w:rFonts w:hint="eastAsia" w:ascii="宋体" w:hAnsi="宋体" w:cs="Arial"/>
                <w:bCs/>
                <w:sz w:val="24"/>
              </w:rPr>
              <w:t>培训方案（可用附页）</w:t>
            </w:r>
          </w:p>
        </w:tc>
        <w:tc>
          <w:tcPr>
            <w:tcW w:w="4061" w:type="dxa"/>
          </w:tcPr>
          <w:p>
            <w:pPr>
              <w:pStyle w:val="55"/>
              <w:widowControl/>
              <w:spacing w:line="360" w:lineRule="auto"/>
              <w:jc w:val="left"/>
              <w:rPr>
                <w:rFonts w:ascii="宋体" w:hAnsi="宋体" w:cs="Arial"/>
                <w:bCs/>
                <w:i/>
                <w:sz w:val="24"/>
              </w:rPr>
            </w:pPr>
          </w:p>
          <w:p>
            <w:pPr>
              <w:pStyle w:val="55"/>
              <w:widowControl/>
              <w:spacing w:line="360" w:lineRule="auto"/>
              <w:jc w:val="left"/>
              <w:rPr>
                <w:rFonts w:ascii="宋体" w:hAnsi="宋体" w:cs="Arial"/>
                <w:bCs/>
                <w:i/>
                <w:sz w:val="24"/>
              </w:rPr>
            </w:pPr>
          </w:p>
        </w:tc>
        <w:tc>
          <w:tcPr>
            <w:tcW w:w="1373" w:type="dxa"/>
          </w:tcPr>
          <w:p>
            <w:pPr>
              <w:pStyle w:val="55"/>
              <w:widowControl/>
              <w:spacing w:line="360" w:lineRule="auto"/>
              <w:jc w:val="left"/>
              <w:rPr>
                <w:rFonts w:ascii="宋体" w:hAnsi="宋体" w:cs="Arial"/>
                <w:bCs/>
                <w:i/>
                <w:sz w:val="24"/>
              </w:rPr>
            </w:pPr>
          </w:p>
          <w:p>
            <w:pPr>
              <w:pStyle w:val="55"/>
              <w:widowControl/>
              <w:spacing w:line="360" w:lineRule="auto"/>
              <w:jc w:val="left"/>
              <w:rPr>
                <w:rFonts w:ascii="宋体" w:hAnsi="宋体" w:cs="Arial"/>
                <w:bCs/>
                <w:i/>
                <w:sz w:val="24"/>
              </w:rPr>
            </w:pPr>
          </w:p>
          <w:p>
            <w:pPr>
              <w:pStyle w:val="55"/>
              <w:widowControl/>
              <w:spacing w:line="360" w:lineRule="auto"/>
              <w:jc w:val="left"/>
              <w:rPr>
                <w:rFonts w:ascii="宋体" w:hAnsi="宋体" w:cs="Arial"/>
                <w:bCs/>
                <w:i/>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PrEx>
        <w:trPr>
          <w:cantSplit/>
          <w:trHeight w:val="689" w:hRule="exact"/>
          <w:jc w:val="center"/>
        </w:trPr>
        <w:tc>
          <w:tcPr>
            <w:tcW w:w="739" w:type="dxa"/>
            <w:vAlign w:val="center"/>
          </w:tcPr>
          <w:p>
            <w:pPr>
              <w:pStyle w:val="55"/>
              <w:widowControl/>
              <w:spacing w:line="360" w:lineRule="auto"/>
              <w:jc w:val="left"/>
              <w:rPr>
                <w:rFonts w:ascii="宋体" w:hAnsi="宋体" w:cs="Arial"/>
                <w:bCs/>
                <w:sz w:val="24"/>
              </w:rPr>
            </w:pPr>
            <w:r>
              <w:rPr>
                <w:rFonts w:ascii="宋体" w:hAnsi="宋体" w:cs="Arial"/>
                <w:bCs/>
                <w:sz w:val="24"/>
              </w:rPr>
              <w:t>……</w:t>
            </w:r>
          </w:p>
        </w:tc>
        <w:tc>
          <w:tcPr>
            <w:tcW w:w="2355" w:type="dxa"/>
            <w:vAlign w:val="center"/>
          </w:tcPr>
          <w:p>
            <w:pPr>
              <w:pStyle w:val="55"/>
              <w:widowControl/>
              <w:spacing w:line="360" w:lineRule="auto"/>
              <w:jc w:val="left"/>
              <w:rPr>
                <w:rFonts w:ascii="宋体" w:hAnsi="宋体" w:cs="Arial"/>
                <w:bCs/>
                <w:sz w:val="24"/>
              </w:rPr>
            </w:pPr>
            <w:r>
              <w:rPr>
                <w:rFonts w:ascii="宋体" w:hAnsi="宋体" w:cs="Arial"/>
                <w:bCs/>
                <w:sz w:val="24"/>
              </w:rPr>
              <w:t>……</w:t>
            </w:r>
          </w:p>
        </w:tc>
        <w:tc>
          <w:tcPr>
            <w:tcW w:w="4061" w:type="dxa"/>
          </w:tcPr>
          <w:p>
            <w:pPr>
              <w:pStyle w:val="55"/>
              <w:widowControl/>
              <w:spacing w:line="360" w:lineRule="auto"/>
              <w:jc w:val="left"/>
              <w:rPr>
                <w:rFonts w:ascii="宋体" w:hAnsi="宋体" w:cs="Arial"/>
                <w:bCs/>
                <w:sz w:val="24"/>
              </w:rPr>
            </w:pPr>
          </w:p>
        </w:tc>
        <w:tc>
          <w:tcPr>
            <w:tcW w:w="1373" w:type="dxa"/>
          </w:tcPr>
          <w:p>
            <w:pPr>
              <w:pStyle w:val="55"/>
              <w:widowControl/>
              <w:spacing w:line="360" w:lineRule="auto"/>
              <w:jc w:val="left"/>
              <w:rPr>
                <w:rFonts w:ascii="宋体" w:hAnsi="宋体" w:cs="Arial"/>
                <w:bCs/>
                <w:sz w:val="24"/>
              </w:rPr>
            </w:pPr>
          </w:p>
        </w:tc>
      </w:tr>
    </w:tbl>
    <w:p>
      <w:pPr>
        <w:spacing w:line="360" w:lineRule="auto"/>
        <w:ind w:left="420"/>
        <w:rPr>
          <w:rFonts w:ascii="宋体" w:hAnsi="宋体"/>
          <w:sz w:val="24"/>
        </w:rPr>
      </w:pPr>
    </w:p>
    <w:p>
      <w:pPr>
        <w:spacing w:line="360" w:lineRule="auto"/>
        <w:ind w:left="420"/>
        <w:rPr>
          <w:rFonts w:ascii="宋体" w:hAnsi="宋体"/>
          <w:sz w:val="24"/>
        </w:rPr>
      </w:pPr>
    </w:p>
    <w:p>
      <w:pPr>
        <w:spacing w:line="360" w:lineRule="auto"/>
        <w:ind w:left="420"/>
        <w:rPr>
          <w:rFonts w:ascii="宋体" w:hAnsi="宋体"/>
          <w:sz w:val="24"/>
        </w:rPr>
      </w:pPr>
    </w:p>
    <w:p>
      <w:pPr>
        <w:spacing w:line="360" w:lineRule="auto"/>
        <w:ind w:left="420"/>
        <w:rPr>
          <w:rFonts w:ascii="宋体" w:hAnsi="宋体"/>
          <w:sz w:val="24"/>
        </w:rPr>
      </w:pPr>
    </w:p>
    <w:p>
      <w:pPr>
        <w:spacing w:line="360" w:lineRule="auto"/>
        <w:ind w:left="420"/>
        <w:rPr>
          <w:rFonts w:ascii="宋体" w:hAnsi="宋体"/>
          <w:sz w:val="24"/>
        </w:rPr>
      </w:pPr>
    </w:p>
    <w:p>
      <w:pPr>
        <w:spacing w:line="360" w:lineRule="auto"/>
        <w:ind w:left="420"/>
        <w:rPr>
          <w:rFonts w:ascii="宋体" w:hAnsi="宋体"/>
          <w:sz w:val="24"/>
        </w:rPr>
      </w:pPr>
    </w:p>
    <w:p>
      <w:pPr>
        <w:spacing w:line="360" w:lineRule="auto"/>
        <w:ind w:left="420"/>
        <w:rPr>
          <w:rFonts w:ascii="宋体" w:hAnsi="宋体"/>
          <w:sz w:val="24"/>
        </w:rPr>
      </w:pPr>
    </w:p>
    <w:p>
      <w:pPr>
        <w:spacing w:line="360" w:lineRule="auto"/>
        <w:ind w:left="420"/>
        <w:rPr>
          <w:rFonts w:ascii="宋体" w:hAnsi="宋体"/>
          <w:sz w:val="24"/>
        </w:rPr>
      </w:pPr>
    </w:p>
    <w:p>
      <w:pPr>
        <w:spacing w:line="360" w:lineRule="auto"/>
        <w:ind w:left="420"/>
        <w:rPr>
          <w:rFonts w:ascii="宋体" w:hAnsi="宋体"/>
          <w:sz w:val="24"/>
          <w:u w:val="single"/>
        </w:rPr>
      </w:pPr>
      <w:r>
        <w:rPr>
          <w:rFonts w:hint="eastAsia" w:ascii="宋体" w:hAnsi="宋体"/>
          <w:sz w:val="24"/>
        </w:rPr>
        <w:t>投标人名称（盖章）：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spacing w:line="360" w:lineRule="auto"/>
        <w:ind w:right="-110"/>
        <w:rPr>
          <w:rFonts w:ascii="仿宋_GB2312" w:hAnsi="宋体" w:eastAsia="仿宋_GB2312"/>
          <w:spacing w:val="40"/>
          <w:sz w:val="52"/>
          <w:szCs w:val="52"/>
        </w:rPr>
      </w:pPr>
    </w:p>
    <w:p>
      <w:pPr>
        <w:spacing w:line="360" w:lineRule="auto"/>
        <w:ind w:right="-110"/>
        <w:jc w:val="left"/>
        <w:rPr>
          <w:rFonts w:ascii="宋体" w:hAnsi="宋体"/>
          <w:b/>
          <w:sz w:val="28"/>
        </w:rPr>
      </w:pPr>
    </w:p>
    <w:p>
      <w:pPr>
        <w:spacing w:line="360" w:lineRule="auto"/>
        <w:ind w:right="-110"/>
        <w:jc w:val="left"/>
        <w:rPr>
          <w:rFonts w:ascii="仿宋_GB2312" w:hAnsi="宋体" w:eastAsia="仿宋_GB2312"/>
          <w:spacing w:val="40"/>
          <w:sz w:val="52"/>
          <w:szCs w:val="52"/>
        </w:rPr>
      </w:pPr>
      <w:r>
        <w:rPr>
          <w:rFonts w:hint="eastAsia" w:ascii="宋体" w:hAnsi="宋体"/>
          <w:b/>
          <w:sz w:val="28"/>
        </w:rPr>
        <w:t>附件15</w:t>
      </w:r>
    </w:p>
    <w:p>
      <w:pPr>
        <w:spacing w:line="360" w:lineRule="auto"/>
        <w:ind w:right="-110"/>
        <w:jc w:val="center"/>
        <w:rPr>
          <w:rFonts w:ascii="宋体" w:hAnsi="宋体"/>
          <w:spacing w:val="40"/>
          <w:sz w:val="52"/>
          <w:szCs w:val="52"/>
        </w:rPr>
      </w:pPr>
      <w:r>
        <w:rPr>
          <w:rFonts w:hint="eastAsia" w:ascii="宋体" w:hAnsi="宋体"/>
          <w:spacing w:val="40"/>
          <w:sz w:val="52"/>
          <w:szCs w:val="52"/>
        </w:rPr>
        <w:t>项目名称</w:t>
      </w:r>
    </w:p>
    <w:p>
      <w:pPr>
        <w:spacing w:beforeLines="100" w:line="360" w:lineRule="auto"/>
        <w:ind w:right="-108"/>
        <w:jc w:val="center"/>
        <w:rPr>
          <w:rFonts w:ascii="宋体" w:hAnsi="宋体"/>
          <w:sz w:val="36"/>
          <w:szCs w:val="36"/>
        </w:rPr>
      </w:pPr>
      <w:r>
        <w:rPr>
          <w:rFonts w:hint="eastAsia" w:ascii="宋体" w:hAnsi="宋体"/>
          <w:sz w:val="36"/>
          <w:szCs w:val="36"/>
        </w:rPr>
        <w:t>项目编号：（标项）</w:t>
      </w:r>
    </w:p>
    <w:p>
      <w:pPr>
        <w:spacing w:after="100" w:afterAutospacing="1" w:line="360" w:lineRule="auto"/>
        <w:ind w:right="-108"/>
        <w:jc w:val="center"/>
        <w:rPr>
          <w:rFonts w:ascii="宋体" w:hAnsi="宋体"/>
          <w:b/>
          <w:spacing w:val="40"/>
          <w:sz w:val="84"/>
          <w:szCs w:val="84"/>
        </w:rPr>
      </w:pPr>
    </w:p>
    <w:p>
      <w:pPr>
        <w:spacing w:after="100" w:afterAutospacing="1" w:line="360" w:lineRule="auto"/>
        <w:ind w:right="-108"/>
        <w:jc w:val="center"/>
        <w:rPr>
          <w:rFonts w:ascii="宋体" w:hAnsi="宋体"/>
          <w:b/>
          <w:spacing w:val="40"/>
          <w:sz w:val="84"/>
          <w:szCs w:val="84"/>
        </w:rPr>
      </w:pPr>
      <w:r>
        <w:rPr>
          <w:rFonts w:hint="eastAsia" w:ascii="宋体" w:hAnsi="宋体"/>
          <w:b/>
          <w:spacing w:val="40"/>
          <w:sz w:val="84"/>
          <w:szCs w:val="84"/>
        </w:rPr>
        <w:t>报</w:t>
      </w:r>
    </w:p>
    <w:p>
      <w:pPr>
        <w:spacing w:after="100" w:afterAutospacing="1" w:line="360" w:lineRule="auto"/>
        <w:ind w:right="-108"/>
        <w:jc w:val="center"/>
        <w:rPr>
          <w:rFonts w:ascii="宋体" w:hAnsi="宋体"/>
          <w:b/>
          <w:spacing w:val="40"/>
          <w:sz w:val="84"/>
          <w:szCs w:val="84"/>
        </w:rPr>
      </w:pPr>
      <w:r>
        <w:rPr>
          <w:rFonts w:hint="eastAsia" w:ascii="宋体" w:hAnsi="宋体"/>
          <w:b/>
          <w:spacing w:val="40"/>
          <w:sz w:val="84"/>
          <w:szCs w:val="84"/>
        </w:rPr>
        <w:t>价</w:t>
      </w:r>
    </w:p>
    <w:p>
      <w:pPr>
        <w:spacing w:after="100" w:afterAutospacing="1" w:line="360" w:lineRule="auto"/>
        <w:ind w:right="-108"/>
        <w:jc w:val="center"/>
        <w:rPr>
          <w:rFonts w:ascii="宋体" w:hAnsi="宋体"/>
          <w:b/>
          <w:spacing w:val="40"/>
          <w:sz w:val="84"/>
          <w:szCs w:val="84"/>
        </w:rPr>
      </w:pPr>
      <w:r>
        <w:rPr>
          <w:rFonts w:hint="eastAsia" w:ascii="宋体" w:hAnsi="宋体"/>
          <w:b/>
          <w:spacing w:val="40"/>
          <w:sz w:val="84"/>
          <w:szCs w:val="84"/>
        </w:rPr>
        <w:t>文</w:t>
      </w:r>
    </w:p>
    <w:p>
      <w:pPr>
        <w:spacing w:after="100" w:afterAutospacing="1" w:line="360" w:lineRule="auto"/>
        <w:ind w:right="-108"/>
        <w:jc w:val="center"/>
        <w:rPr>
          <w:rFonts w:ascii="宋体" w:hAnsi="宋体"/>
          <w:b/>
          <w:spacing w:val="40"/>
          <w:sz w:val="84"/>
          <w:szCs w:val="84"/>
        </w:rPr>
      </w:pPr>
      <w:r>
        <w:rPr>
          <w:rFonts w:hint="eastAsia" w:ascii="宋体" w:hAnsi="宋体"/>
          <w:b/>
          <w:spacing w:val="40"/>
          <w:sz w:val="84"/>
          <w:szCs w:val="84"/>
        </w:rPr>
        <w:t>件</w:t>
      </w:r>
    </w:p>
    <w:p>
      <w:pPr>
        <w:spacing w:line="360" w:lineRule="auto"/>
        <w:ind w:right="532"/>
        <w:jc w:val="center"/>
        <w:rPr>
          <w:rFonts w:ascii="宋体" w:hAnsi="宋体"/>
          <w:sz w:val="36"/>
          <w:szCs w:val="36"/>
        </w:rPr>
      </w:pPr>
    </w:p>
    <w:p>
      <w:pPr>
        <w:spacing w:line="360" w:lineRule="auto"/>
        <w:ind w:right="532"/>
        <w:jc w:val="center"/>
        <w:rPr>
          <w:rFonts w:ascii="宋体" w:hAnsi="宋体"/>
          <w:sz w:val="36"/>
          <w:szCs w:val="36"/>
        </w:rPr>
      </w:pPr>
    </w:p>
    <w:p>
      <w:pPr>
        <w:spacing w:line="360" w:lineRule="auto"/>
        <w:ind w:right="532"/>
        <w:rPr>
          <w:rFonts w:ascii="宋体" w:hAnsi="宋体"/>
          <w:sz w:val="36"/>
          <w:szCs w:val="36"/>
        </w:rPr>
      </w:pPr>
    </w:p>
    <w:p>
      <w:pPr>
        <w:spacing w:line="360" w:lineRule="auto"/>
        <w:ind w:right="532"/>
        <w:jc w:val="center"/>
        <w:rPr>
          <w:rFonts w:ascii="宋体" w:hAnsi="宋体"/>
          <w:sz w:val="36"/>
          <w:szCs w:val="36"/>
        </w:rPr>
      </w:pPr>
    </w:p>
    <w:p>
      <w:pPr>
        <w:spacing w:line="360" w:lineRule="auto"/>
        <w:ind w:right="532" w:firstLine="720" w:firstLineChars="200"/>
        <w:rPr>
          <w:rFonts w:ascii="宋体" w:hAnsi="宋体"/>
          <w:sz w:val="36"/>
          <w:szCs w:val="36"/>
        </w:rPr>
      </w:pPr>
      <w:r>
        <w:rPr>
          <w:rFonts w:hint="eastAsia" w:ascii="宋体" w:hAnsi="宋体"/>
          <w:sz w:val="36"/>
          <w:szCs w:val="36"/>
        </w:rPr>
        <w:t>供应商全称（公章）：</w:t>
      </w:r>
    </w:p>
    <w:p>
      <w:pPr>
        <w:spacing w:line="360" w:lineRule="auto"/>
        <w:ind w:right="-108" w:firstLine="720" w:firstLineChars="200"/>
        <w:rPr>
          <w:rFonts w:ascii="宋体" w:hAnsi="宋体"/>
          <w:sz w:val="36"/>
          <w:szCs w:val="36"/>
        </w:rPr>
      </w:pPr>
      <w:r>
        <w:rPr>
          <w:rFonts w:hint="eastAsia" w:ascii="宋体" w:hAnsi="宋体"/>
          <w:sz w:val="36"/>
          <w:szCs w:val="36"/>
        </w:rPr>
        <w:t>地    址：</w:t>
      </w:r>
    </w:p>
    <w:p>
      <w:pPr>
        <w:spacing w:line="360" w:lineRule="auto"/>
        <w:ind w:right="-108" w:firstLine="720" w:firstLineChars="200"/>
        <w:rPr>
          <w:rFonts w:ascii="宋体" w:hAnsi="宋体"/>
          <w:sz w:val="36"/>
          <w:szCs w:val="36"/>
        </w:rPr>
      </w:pPr>
      <w:r>
        <w:rPr>
          <w:rFonts w:hint="eastAsia" w:ascii="宋体" w:hAnsi="宋体"/>
          <w:sz w:val="36"/>
          <w:szCs w:val="36"/>
        </w:rPr>
        <w:t>时    间：</w:t>
      </w:r>
    </w:p>
    <w:p>
      <w:pPr>
        <w:spacing w:line="360" w:lineRule="auto"/>
        <w:ind w:right="-108"/>
        <w:rPr>
          <w:rFonts w:ascii="仿宋_GB2312" w:hAnsi="宋体" w:eastAsia="仿宋_GB2312"/>
          <w:sz w:val="36"/>
          <w:szCs w:val="36"/>
        </w:rPr>
      </w:pPr>
    </w:p>
    <w:p>
      <w:pPr>
        <w:spacing w:line="360" w:lineRule="auto"/>
        <w:ind w:right="-108"/>
        <w:jc w:val="center"/>
        <w:rPr>
          <w:rFonts w:ascii="仿宋_GB2312" w:hAnsi="宋体" w:eastAsia="仿宋_GB2312"/>
          <w:b/>
          <w:sz w:val="36"/>
          <w:szCs w:val="36"/>
        </w:rPr>
      </w:pPr>
    </w:p>
    <w:p>
      <w:pPr>
        <w:spacing w:line="360" w:lineRule="auto"/>
        <w:ind w:right="-108"/>
        <w:jc w:val="center"/>
        <w:rPr>
          <w:rFonts w:ascii="仿宋_GB2312" w:hAnsi="宋体" w:eastAsia="仿宋_GB2312"/>
          <w:b/>
          <w:sz w:val="36"/>
          <w:szCs w:val="36"/>
        </w:rPr>
      </w:pPr>
    </w:p>
    <w:p>
      <w:pPr>
        <w:spacing w:line="360" w:lineRule="auto"/>
        <w:ind w:right="-108"/>
        <w:jc w:val="center"/>
        <w:rPr>
          <w:rFonts w:ascii="宋体" w:hAnsi="宋体"/>
          <w:b/>
          <w:sz w:val="32"/>
          <w:szCs w:val="32"/>
        </w:rPr>
      </w:pPr>
      <w:r>
        <w:rPr>
          <w:rFonts w:hint="eastAsia" w:ascii="宋体" w:hAnsi="宋体"/>
          <w:b/>
          <w:sz w:val="32"/>
          <w:szCs w:val="32"/>
        </w:rPr>
        <w:t>报价文件目录</w:t>
      </w:r>
    </w:p>
    <w:p>
      <w:pPr>
        <w:spacing w:line="360" w:lineRule="auto"/>
        <w:ind w:right="-108"/>
        <w:jc w:val="center"/>
        <w:rPr>
          <w:rFonts w:ascii="仿宋_GB2312" w:hAnsi="宋体" w:eastAsia="仿宋_GB2312"/>
          <w:b/>
          <w:sz w:val="36"/>
          <w:szCs w:val="36"/>
        </w:rPr>
      </w:pPr>
    </w:p>
    <w:p>
      <w:pPr>
        <w:spacing w:line="360" w:lineRule="auto"/>
        <w:rPr>
          <w:rFonts w:ascii="宋体" w:hAnsi="宋体"/>
          <w:sz w:val="24"/>
        </w:rPr>
      </w:pPr>
    </w:p>
    <w:p>
      <w:pPr>
        <w:snapToGrid w:val="0"/>
        <w:spacing w:line="360" w:lineRule="auto"/>
        <w:jc w:val="left"/>
        <w:rPr>
          <w:rFonts w:ascii="宋体" w:hAnsi="宋体"/>
          <w:sz w:val="24"/>
        </w:rPr>
      </w:pPr>
      <w:r>
        <w:rPr>
          <w:rFonts w:hint="eastAsia" w:ascii="宋体" w:hAnsi="宋体"/>
          <w:sz w:val="24"/>
        </w:rPr>
        <w:t>1、开标一览表；</w:t>
      </w:r>
    </w:p>
    <w:p>
      <w:pPr>
        <w:pStyle w:val="19"/>
        <w:snapToGrid w:val="0"/>
        <w:spacing w:line="360" w:lineRule="auto"/>
        <w:ind w:leftChars="0"/>
        <w:rPr>
          <w:rFonts w:ascii="宋体" w:hAnsi="宋体" w:eastAsia="宋体"/>
          <w:sz w:val="24"/>
          <w:szCs w:val="24"/>
        </w:rPr>
      </w:pPr>
      <w:r>
        <w:rPr>
          <w:rFonts w:hint="eastAsia" w:ascii="宋体" w:hAnsi="宋体" w:eastAsia="宋体"/>
          <w:sz w:val="24"/>
          <w:szCs w:val="24"/>
        </w:rPr>
        <w:t>2、报价明细表；</w:t>
      </w:r>
    </w:p>
    <w:p>
      <w:pPr>
        <w:snapToGrid w:val="0"/>
        <w:spacing w:line="360" w:lineRule="auto"/>
        <w:rPr>
          <w:rFonts w:ascii="宋体" w:hAnsi="宋体"/>
          <w:sz w:val="24"/>
        </w:rPr>
      </w:pPr>
      <w:r>
        <w:rPr>
          <w:rFonts w:hint="eastAsia" w:hAnsi="宋体"/>
          <w:sz w:val="24"/>
        </w:rPr>
        <w:t>3、</w:t>
      </w:r>
      <w:r>
        <w:rPr>
          <w:rFonts w:hint="eastAsia" w:ascii="宋体" w:hAnsi="宋体"/>
          <w:sz w:val="24"/>
        </w:rPr>
        <w:t>针对报价投标人认为其他需要说明的；</w:t>
      </w:r>
    </w:p>
    <w:p>
      <w:pPr>
        <w:pStyle w:val="49"/>
        <w:spacing w:line="360" w:lineRule="auto"/>
        <w:rPr>
          <w:rFonts w:hAnsi="宋体"/>
          <w:sz w:val="24"/>
        </w:rPr>
      </w:pPr>
      <w:r>
        <w:rPr>
          <w:rFonts w:hint="eastAsia" w:hAnsi="宋体"/>
          <w:sz w:val="24"/>
        </w:rPr>
        <w:t>4、</w:t>
      </w:r>
      <w:r>
        <w:rPr>
          <w:rFonts w:hAnsi="宋体"/>
          <w:sz w:val="24"/>
        </w:rPr>
        <w:t>小微企业声明函</w:t>
      </w:r>
      <w:r>
        <w:rPr>
          <w:rFonts w:hint="eastAsia" w:hAnsi="宋体"/>
          <w:sz w:val="24"/>
        </w:rPr>
        <w:t>；</w:t>
      </w:r>
    </w:p>
    <w:p>
      <w:pPr>
        <w:pStyle w:val="84"/>
        <w:spacing w:line="360" w:lineRule="auto"/>
        <w:rPr>
          <w:rFonts w:ascii="宋体" w:hAnsi="宋体"/>
          <w:kern w:val="0"/>
          <w:sz w:val="24"/>
        </w:rPr>
      </w:pPr>
      <w:r>
        <w:rPr>
          <w:rFonts w:hint="eastAsia" w:ascii="宋体" w:hAnsi="宋体"/>
          <w:kern w:val="0"/>
          <w:sz w:val="24"/>
        </w:rPr>
        <w:t>5、产品适用政府采购政策情况表。</w:t>
      </w:r>
    </w:p>
    <w:p>
      <w:pPr>
        <w:spacing w:line="360" w:lineRule="auto"/>
        <w:rPr>
          <w:rFonts w:ascii="宋体" w:hAnsi="宋体"/>
          <w:b/>
          <w:sz w:val="28"/>
        </w:rPr>
      </w:pPr>
    </w:p>
    <w:p>
      <w:pPr>
        <w:spacing w:line="360" w:lineRule="auto"/>
        <w:ind w:left="480"/>
        <w:rPr>
          <w:rFonts w:ascii="宋体" w:hAnsi="宋体"/>
          <w:b/>
          <w:sz w:val="28"/>
        </w:rPr>
      </w:pPr>
      <w:r>
        <w:rPr>
          <w:rFonts w:hint="eastAsia" w:ascii="宋体" w:hAnsi="宋体"/>
          <w:b/>
          <w:sz w:val="28"/>
        </w:rPr>
        <w:t>附件16</w:t>
      </w:r>
    </w:p>
    <w:p>
      <w:pPr>
        <w:spacing w:line="360" w:lineRule="auto"/>
        <w:ind w:left="480"/>
        <w:rPr>
          <w:rFonts w:ascii="宋体" w:hAnsi="宋体"/>
          <w:b/>
          <w:color w:val="33CCCC"/>
          <w:sz w:val="32"/>
          <w:szCs w:val="32"/>
        </w:rPr>
      </w:pPr>
      <w:r>
        <w:rPr>
          <w:rFonts w:hint="eastAsia" w:ascii="宋体" w:hAnsi="宋体"/>
          <w:b/>
          <w:sz w:val="32"/>
          <w:szCs w:val="32"/>
        </w:rPr>
        <w:t xml:space="preserve"> 开标一览表</w:t>
      </w:r>
      <w:r>
        <w:rPr>
          <w:rFonts w:hint="eastAsia" w:ascii="宋体" w:hAnsi="宋体"/>
          <w:b/>
          <w:color w:val="33CCCC"/>
          <w:sz w:val="32"/>
          <w:szCs w:val="32"/>
        </w:rPr>
        <w:t xml:space="preserve"> (第 标)</w:t>
      </w:r>
    </w:p>
    <w:p>
      <w:pPr>
        <w:spacing w:line="360" w:lineRule="auto"/>
        <w:ind w:left="480"/>
        <w:rPr>
          <w:rFonts w:ascii="宋体" w:hAnsi="宋体"/>
          <w:b/>
          <w:sz w:val="30"/>
        </w:rPr>
      </w:pPr>
    </w:p>
    <w:p>
      <w:pPr>
        <w:spacing w:line="360" w:lineRule="auto"/>
        <w:jc w:val="center"/>
        <w:rPr>
          <w:rFonts w:ascii="宋体" w:hAnsi="宋体"/>
        </w:rPr>
      </w:pPr>
    </w:p>
    <w:p>
      <w:pPr>
        <w:pStyle w:val="88"/>
        <w:spacing w:line="360" w:lineRule="auto"/>
        <w:ind w:right="480"/>
        <w:jc w:val="left"/>
        <w:rPr>
          <w:rFonts w:ascii="宋体" w:hAnsi="宋体"/>
          <w:sz w:val="24"/>
        </w:rPr>
      </w:pPr>
      <w:r>
        <w:rPr>
          <w:rFonts w:hint="eastAsia" w:ascii="宋体" w:hAnsi="宋体"/>
          <w:sz w:val="24"/>
        </w:rPr>
        <w:t xml:space="preserve">  项目编号：                    [货币单位：人民币元]</w:t>
      </w:r>
    </w:p>
    <w:p>
      <w:pPr>
        <w:spacing w:line="360" w:lineRule="auto"/>
        <w:ind w:left="420"/>
        <w:rPr>
          <w:rFonts w:ascii="宋体" w:hAnsi="宋体"/>
          <w:sz w:val="24"/>
        </w:rPr>
      </w:pPr>
    </w:p>
    <w:tbl>
      <w:tblPr>
        <w:tblStyle w:val="35"/>
        <w:tblW w:w="8820"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575"/>
        <w:gridCol w:w="1260"/>
        <w:gridCol w:w="630"/>
        <w:gridCol w:w="630"/>
        <w:gridCol w:w="525"/>
        <w:gridCol w:w="840"/>
        <w:gridCol w:w="1365"/>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27" w:hRule="atLeast"/>
        </w:trPr>
        <w:tc>
          <w:tcPr>
            <w:tcW w:w="525" w:type="dxa"/>
            <w:vAlign w:val="center"/>
          </w:tcPr>
          <w:p>
            <w:pPr>
              <w:spacing w:line="360" w:lineRule="auto"/>
              <w:rPr>
                <w:rFonts w:ascii="宋体" w:hAnsi="宋体"/>
                <w:b/>
                <w:sz w:val="24"/>
              </w:rPr>
            </w:pPr>
            <w:r>
              <w:rPr>
                <w:rFonts w:hint="eastAsia" w:ascii="宋体" w:hAnsi="宋体"/>
                <w:b/>
                <w:sz w:val="24"/>
              </w:rPr>
              <w:t>序号</w:t>
            </w:r>
          </w:p>
        </w:tc>
        <w:tc>
          <w:tcPr>
            <w:tcW w:w="1575" w:type="dxa"/>
            <w:vAlign w:val="center"/>
          </w:tcPr>
          <w:p>
            <w:pPr>
              <w:tabs>
                <w:tab w:val="left" w:pos="8280"/>
              </w:tabs>
              <w:autoSpaceDE w:val="0"/>
              <w:autoSpaceDN w:val="0"/>
              <w:adjustRightInd w:val="0"/>
              <w:spacing w:line="360" w:lineRule="auto"/>
              <w:ind w:right="25" w:firstLine="120" w:firstLineChars="50"/>
              <w:rPr>
                <w:rFonts w:ascii="宋体" w:hAnsi="宋体"/>
                <w:b/>
                <w:sz w:val="24"/>
              </w:rPr>
            </w:pPr>
            <w:r>
              <w:rPr>
                <w:rFonts w:hint="eastAsia" w:ascii="宋体" w:hAnsi="宋体"/>
                <w:b/>
                <w:sz w:val="24"/>
              </w:rPr>
              <w:t>项目名称</w:t>
            </w:r>
          </w:p>
        </w:tc>
        <w:tc>
          <w:tcPr>
            <w:tcW w:w="1260" w:type="dxa"/>
            <w:vAlign w:val="center"/>
          </w:tcPr>
          <w:p>
            <w:pPr>
              <w:tabs>
                <w:tab w:val="left" w:pos="8280"/>
              </w:tabs>
              <w:autoSpaceDE w:val="0"/>
              <w:autoSpaceDN w:val="0"/>
              <w:adjustRightInd w:val="0"/>
              <w:spacing w:line="360" w:lineRule="auto"/>
              <w:ind w:right="25"/>
              <w:rPr>
                <w:rFonts w:ascii="宋体" w:hAnsi="宋体"/>
                <w:b/>
                <w:sz w:val="24"/>
              </w:rPr>
            </w:pPr>
            <w:r>
              <w:rPr>
                <w:rFonts w:hint="eastAsia" w:ascii="宋体" w:hAnsi="宋体"/>
                <w:b/>
                <w:sz w:val="24"/>
              </w:rPr>
              <w:t>规格型号</w:t>
            </w:r>
          </w:p>
        </w:tc>
        <w:tc>
          <w:tcPr>
            <w:tcW w:w="630" w:type="dxa"/>
            <w:vAlign w:val="center"/>
          </w:tcPr>
          <w:p>
            <w:pPr>
              <w:spacing w:line="360" w:lineRule="auto"/>
              <w:ind w:left="212"/>
              <w:rPr>
                <w:rFonts w:ascii="宋体" w:hAnsi="宋体"/>
                <w:b/>
                <w:sz w:val="24"/>
              </w:rPr>
            </w:pPr>
            <w:r>
              <w:rPr>
                <w:rFonts w:hint="eastAsia" w:ascii="宋体" w:hAnsi="宋体"/>
                <w:b/>
                <w:sz w:val="24"/>
              </w:rPr>
              <w:t>产</w:t>
            </w:r>
          </w:p>
          <w:p>
            <w:pPr>
              <w:spacing w:line="360" w:lineRule="auto"/>
              <w:ind w:left="212"/>
              <w:rPr>
                <w:rFonts w:ascii="宋体" w:hAnsi="宋体"/>
                <w:b/>
                <w:sz w:val="24"/>
              </w:rPr>
            </w:pPr>
            <w:r>
              <w:rPr>
                <w:rFonts w:hint="eastAsia" w:ascii="宋体" w:hAnsi="宋体"/>
                <w:b/>
                <w:sz w:val="24"/>
              </w:rPr>
              <w:t>地</w:t>
            </w:r>
          </w:p>
        </w:tc>
        <w:tc>
          <w:tcPr>
            <w:tcW w:w="630" w:type="dxa"/>
            <w:vAlign w:val="center"/>
          </w:tcPr>
          <w:p>
            <w:pPr>
              <w:spacing w:line="360" w:lineRule="auto"/>
              <w:rPr>
                <w:rFonts w:ascii="宋体" w:hAnsi="宋体"/>
                <w:b/>
                <w:sz w:val="24"/>
              </w:rPr>
            </w:pPr>
            <w:r>
              <w:rPr>
                <w:rFonts w:hint="eastAsia" w:ascii="宋体" w:hAnsi="宋体"/>
                <w:b/>
                <w:sz w:val="24"/>
              </w:rPr>
              <w:t>单位</w:t>
            </w:r>
          </w:p>
        </w:tc>
        <w:tc>
          <w:tcPr>
            <w:tcW w:w="525" w:type="dxa"/>
            <w:vAlign w:val="center"/>
          </w:tcPr>
          <w:p>
            <w:pPr>
              <w:spacing w:line="360" w:lineRule="auto"/>
              <w:rPr>
                <w:rFonts w:ascii="宋体" w:hAnsi="宋体"/>
                <w:b/>
                <w:sz w:val="24"/>
              </w:rPr>
            </w:pPr>
            <w:r>
              <w:rPr>
                <w:rFonts w:hint="eastAsia" w:ascii="宋体" w:hAnsi="宋体"/>
                <w:b/>
                <w:sz w:val="24"/>
              </w:rPr>
              <w:t>数量</w:t>
            </w:r>
          </w:p>
        </w:tc>
        <w:tc>
          <w:tcPr>
            <w:tcW w:w="840" w:type="dxa"/>
            <w:vAlign w:val="center"/>
          </w:tcPr>
          <w:p>
            <w:pPr>
              <w:spacing w:line="360" w:lineRule="auto"/>
              <w:ind w:left="132"/>
              <w:rPr>
                <w:rFonts w:ascii="宋体" w:hAnsi="宋体"/>
                <w:b/>
                <w:sz w:val="24"/>
              </w:rPr>
            </w:pPr>
            <w:r>
              <w:rPr>
                <w:rFonts w:hint="eastAsia" w:ascii="宋体" w:hAnsi="宋体"/>
                <w:b/>
                <w:sz w:val="24"/>
              </w:rPr>
              <w:t>单价</w:t>
            </w:r>
          </w:p>
          <w:p>
            <w:pPr>
              <w:spacing w:line="360" w:lineRule="auto"/>
              <w:rPr>
                <w:rFonts w:ascii="宋体" w:hAnsi="宋体"/>
                <w:b/>
                <w:sz w:val="24"/>
              </w:rPr>
            </w:pPr>
            <w:r>
              <w:rPr>
                <w:rFonts w:hint="eastAsia" w:ascii="宋体" w:hAnsi="宋体"/>
                <w:b/>
                <w:sz w:val="24"/>
              </w:rPr>
              <w:t>（元）</w:t>
            </w:r>
          </w:p>
        </w:tc>
        <w:tc>
          <w:tcPr>
            <w:tcW w:w="1365" w:type="dxa"/>
            <w:vAlign w:val="center"/>
          </w:tcPr>
          <w:p>
            <w:pPr>
              <w:tabs>
                <w:tab w:val="left" w:pos="8280"/>
              </w:tabs>
              <w:autoSpaceDE w:val="0"/>
              <w:autoSpaceDN w:val="0"/>
              <w:adjustRightInd w:val="0"/>
              <w:spacing w:line="360" w:lineRule="auto"/>
              <w:ind w:right="25"/>
              <w:jc w:val="center"/>
              <w:rPr>
                <w:rFonts w:ascii="宋体" w:hAnsi="宋体"/>
                <w:b/>
                <w:sz w:val="24"/>
              </w:rPr>
            </w:pPr>
            <w:r>
              <w:rPr>
                <w:rFonts w:hint="eastAsia" w:ascii="宋体" w:hAnsi="宋体"/>
                <w:b/>
                <w:sz w:val="24"/>
              </w:rPr>
              <w:t>交货期</w:t>
            </w:r>
          </w:p>
          <w:p>
            <w:pPr>
              <w:tabs>
                <w:tab w:val="left" w:pos="8280"/>
              </w:tabs>
              <w:autoSpaceDE w:val="0"/>
              <w:autoSpaceDN w:val="0"/>
              <w:adjustRightInd w:val="0"/>
              <w:spacing w:line="360" w:lineRule="auto"/>
              <w:ind w:right="25"/>
              <w:jc w:val="center"/>
              <w:rPr>
                <w:rFonts w:ascii="宋体" w:hAnsi="宋体"/>
                <w:b/>
                <w:sz w:val="24"/>
              </w:rPr>
            </w:pPr>
            <w:r>
              <w:rPr>
                <w:rFonts w:hint="eastAsia" w:ascii="宋体" w:hAnsi="宋体"/>
                <w:b/>
                <w:sz w:val="18"/>
              </w:rPr>
              <w:t>合同签订后几天内</w:t>
            </w:r>
          </w:p>
        </w:tc>
        <w:tc>
          <w:tcPr>
            <w:tcW w:w="1470" w:type="dxa"/>
            <w:vAlign w:val="center"/>
          </w:tcPr>
          <w:p>
            <w:pPr>
              <w:tabs>
                <w:tab w:val="left" w:pos="8280"/>
              </w:tabs>
              <w:autoSpaceDE w:val="0"/>
              <w:autoSpaceDN w:val="0"/>
              <w:adjustRightInd w:val="0"/>
              <w:spacing w:line="360" w:lineRule="auto"/>
              <w:ind w:right="25"/>
              <w:rPr>
                <w:rFonts w:ascii="宋体" w:hAnsi="宋体"/>
                <w:b/>
                <w:sz w:val="24"/>
              </w:rPr>
            </w:pPr>
            <w:r>
              <w:rPr>
                <w:rFonts w:hint="eastAsia" w:ascii="宋体" w:hAnsi="宋体"/>
                <w:b/>
                <w:sz w:val="24"/>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7" w:hRule="atLeast"/>
        </w:trPr>
        <w:tc>
          <w:tcPr>
            <w:tcW w:w="525" w:type="dxa"/>
            <w:vAlign w:val="center"/>
          </w:tcPr>
          <w:p>
            <w:pPr>
              <w:tabs>
                <w:tab w:val="left" w:pos="8280"/>
              </w:tabs>
              <w:autoSpaceDE w:val="0"/>
              <w:autoSpaceDN w:val="0"/>
              <w:adjustRightInd w:val="0"/>
              <w:spacing w:line="360" w:lineRule="auto"/>
              <w:ind w:right="25"/>
              <w:jc w:val="center"/>
              <w:rPr>
                <w:rFonts w:ascii="宋体" w:hAnsi="宋体"/>
                <w:b/>
                <w:sz w:val="24"/>
              </w:rPr>
            </w:pPr>
          </w:p>
        </w:tc>
        <w:tc>
          <w:tcPr>
            <w:tcW w:w="1575" w:type="dxa"/>
            <w:vAlign w:val="center"/>
          </w:tcPr>
          <w:p>
            <w:pPr>
              <w:tabs>
                <w:tab w:val="left" w:pos="8280"/>
              </w:tabs>
              <w:autoSpaceDE w:val="0"/>
              <w:autoSpaceDN w:val="0"/>
              <w:adjustRightInd w:val="0"/>
              <w:spacing w:line="360" w:lineRule="auto"/>
              <w:ind w:right="25"/>
              <w:jc w:val="center"/>
              <w:rPr>
                <w:rFonts w:ascii="宋体" w:hAnsi="宋体"/>
                <w:b/>
                <w:sz w:val="24"/>
              </w:rPr>
            </w:pPr>
          </w:p>
        </w:tc>
        <w:tc>
          <w:tcPr>
            <w:tcW w:w="1260" w:type="dxa"/>
            <w:vAlign w:val="center"/>
          </w:tcPr>
          <w:p>
            <w:pPr>
              <w:tabs>
                <w:tab w:val="left" w:pos="8280"/>
              </w:tabs>
              <w:autoSpaceDE w:val="0"/>
              <w:autoSpaceDN w:val="0"/>
              <w:adjustRightInd w:val="0"/>
              <w:spacing w:line="360" w:lineRule="auto"/>
              <w:ind w:right="25"/>
              <w:jc w:val="center"/>
              <w:rPr>
                <w:rFonts w:ascii="宋体" w:hAnsi="宋体"/>
                <w:b/>
                <w:sz w:val="24"/>
              </w:rPr>
            </w:pPr>
          </w:p>
        </w:tc>
        <w:tc>
          <w:tcPr>
            <w:tcW w:w="630" w:type="dxa"/>
            <w:vAlign w:val="center"/>
          </w:tcPr>
          <w:p>
            <w:pPr>
              <w:tabs>
                <w:tab w:val="left" w:pos="8280"/>
              </w:tabs>
              <w:autoSpaceDE w:val="0"/>
              <w:autoSpaceDN w:val="0"/>
              <w:adjustRightInd w:val="0"/>
              <w:spacing w:line="360" w:lineRule="auto"/>
              <w:ind w:right="25"/>
              <w:jc w:val="center"/>
              <w:rPr>
                <w:rFonts w:ascii="宋体" w:hAnsi="宋体"/>
                <w:b/>
                <w:sz w:val="24"/>
              </w:rPr>
            </w:pPr>
          </w:p>
        </w:tc>
        <w:tc>
          <w:tcPr>
            <w:tcW w:w="630" w:type="dxa"/>
            <w:vAlign w:val="center"/>
          </w:tcPr>
          <w:p>
            <w:pPr>
              <w:tabs>
                <w:tab w:val="left" w:pos="8280"/>
              </w:tabs>
              <w:autoSpaceDE w:val="0"/>
              <w:autoSpaceDN w:val="0"/>
              <w:adjustRightInd w:val="0"/>
              <w:spacing w:line="360" w:lineRule="auto"/>
              <w:ind w:right="25"/>
              <w:jc w:val="center"/>
              <w:rPr>
                <w:rFonts w:ascii="宋体" w:hAnsi="宋体"/>
                <w:b/>
                <w:sz w:val="24"/>
              </w:rPr>
            </w:pPr>
          </w:p>
        </w:tc>
        <w:tc>
          <w:tcPr>
            <w:tcW w:w="525" w:type="dxa"/>
            <w:vAlign w:val="center"/>
          </w:tcPr>
          <w:p>
            <w:pPr>
              <w:tabs>
                <w:tab w:val="left" w:pos="8280"/>
              </w:tabs>
              <w:autoSpaceDE w:val="0"/>
              <w:autoSpaceDN w:val="0"/>
              <w:adjustRightInd w:val="0"/>
              <w:spacing w:line="360" w:lineRule="auto"/>
              <w:ind w:right="25" w:firstLine="240"/>
              <w:rPr>
                <w:rFonts w:ascii="宋体" w:hAnsi="宋体"/>
                <w:b/>
                <w:sz w:val="24"/>
              </w:rPr>
            </w:pPr>
          </w:p>
        </w:tc>
        <w:tc>
          <w:tcPr>
            <w:tcW w:w="840" w:type="dxa"/>
            <w:vAlign w:val="center"/>
          </w:tcPr>
          <w:p>
            <w:pPr>
              <w:tabs>
                <w:tab w:val="left" w:pos="8280"/>
              </w:tabs>
              <w:autoSpaceDE w:val="0"/>
              <w:autoSpaceDN w:val="0"/>
              <w:adjustRightInd w:val="0"/>
              <w:spacing w:line="360" w:lineRule="auto"/>
              <w:ind w:right="25"/>
              <w:jc w:val="center"/>
              <w:rPr>
                <w:rFonts w:ascii="宋体" w:hAnsi="宋体"/>
                <w:b/>
                <w:sz w:val="24"/>
              </w:rPr>
            </w:pPr>
          </w:p>
        </w:tc>
        <w:tc>
          <w:tcPr>
            <w:tcW w:w="1365" w:type="dxa"/>
            <w:vAlign w:val="center"/>
          </w:tcPr>
          <w:p>
            <w:pPr>
              <w:tabs>
                <w:tab w:val="left" w:pos="8280"/>
              </w:tabs>
              <w:autoSpaceDE w:val="0"/>
              <w:autoSpaceDN w:val="0"/>
              <w:adjustRightInd w:val="0"/>
              <w:spacing w:line="360" w:lineRule="auto"/>
              <w:ind w:right="25"/>
              <w:jc w:val="center"/>
              <w:rPr>
                <w:rFonts w:ascii="宋体" w:hAnsi="宋体"/>
                <w:b/>
                <w:sz w:val="24"/>
              </w:rPr>
            </w:pPr>
          </w:p>
        </w:tc>
        <w:tc>
          <w:tcPr>
            <w:tcW w:w="1470" w:type="dxa"/>
            <w:vAlign w:val="center"/>
          </w:tcPr>
          <w:p>
            <w:pPr>
              <w:tabs>
                <w:tab w:val="left" w:pos="8280"/>
              </w:tabs>
              <w:autoSpaceDE w:val="0"/>
              <w:autoSpaceDN w:val="0"/>
              <w:adjustRightInd w:val="0"/>
              <w:spacing w:line="360" w:lineRule="auto"/>
              <w:ind w:right="25"/>
              <w:jc w:val="center"/>
              <w:rPr>
                <w:rFonts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2" w:hRule="atLeast"/>
        </w:trPr>
        <w:tc>
          <w:tcPr>
            <w:tcW w:w="525" w:type="dxa"/>
            <w:vAlign w:val="center"/>
          </w:tcPr>
          <w:p>
            <w:pPr>
              <w:spacing w:line="360" w:lineRule="auto"/>
              <w:rPr>
                <w:rFonts w:ascii="宋体" w:hAnsi="宋体"/>
                <w:sz w:val="24"/>
              </w:rPr>
            </w:pPr>
          </w:p>
        </w:tc>
        <w:tc>
          <w:tcPr>
            <w:tcW w:w="1575" w:type="dxa"/>
            <w:vAlign w:val="center"/>
          </w:tcPr>
          <w:p>
            <w:pPr>
              <w:spacing w:line="360" w:lineRule="auto"/>
              <w:rPr>
                <w:rFonts w:ascii="宋体" w:hAnsi="宋体"/>
                <w:sz w:val="24"/>
              </w:rPr>
            </w:pPr>
          </w:p>
        </w:tc>
        <w:tc>
          <w:tcPr>
            <w:tcW w:w="1260" w:type="dxa"/>
            <w:vAlign w:val="center"/>
          </w:tcPr>
          <w:p>
            <w:pPr>
              <w:spacing w:line="360" w:lineRule="auto"/>
              <w:rPr>
                <w:rFonts w:ascii="宋体" w:hAnsi="宋体"/>
                <w:sz w:val="24"/>
              </w:rPr>
            </w:pPr>
          </w:p>
        </w:tc>
        <w:tc>
          <w:tcPr>
            <w:tcW w:w="630" w:type="dxa"/>
            <w:vAlign w:val="center"/>
          </w:tcPr>
          <w:p>
            <w:pPr>
              <w:spacing w:line="360" w:lineRule="auto"/>
              <w:rPr>
                <w:rFonts w:ascii="宋体" w:hAnsi="宋体"/>
                <w:sz w:val="24"/>
              </w:rPr>
            </w:pPr>
          </w:p>
        </w:tc>
        <w:tc>
          <w:tcPr>
            <w:tcW w:w="630" w:type="dxa"/>
            <w:vAlign w:val="center"/>
          </w:tcPr>
          <w:p>
            <w:pPr>
              <w:spacing w:line="360" w:lineRule="auto"/>
              <w:rPr>
                <w:rFonts w:ascii="宋体" w:hAnsi="宋体"/>
                <w:sz w:val="24"/>
              </w:rPr>
            </w:pPr>
          </w:p>
        </w:tc>
        <w:tc>
          <w:tcPr>
            <w:tcW w:w="525" w:type="dxa"/>
            <w:vAlign w:val="center"/>
          </w:tcPr>
          <w:p>
            <w:pPr>
              <w:spacing w:line="360" w:lineRule="auto"/>
              <w:rPr>
                <w:rFonts w:ascii="宋体" w:hAnsi="宋体"/>
                <w:sz w:val="24"/>
              </w:rPr>
            </w:pPr>
          </w:p>
        </w:tc>
        <w:tc>
          <w:tcPr>
            <w:tcW w:w="840"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c>
          <w:tcPr>
            <w:tcW w:w="1470"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73" w:hRule="atLeast"/>
        </w:trPr>
        <w:tc>
          <w:tcPr>
            <w:tcW w:w="8820" w:type="dxa"/>
            <w:gridSpan w:val="9"/>
            <w:tcBorders>
              <w:bottom w:val="single" w:color="auto" w:sz="4" w:space="0"/>
            </w:tcBorders>
            <w:vAlign w:val="center"/>
          </w:tcPr>
          <w:p>
            <w:pPr>
              <w:spacing w:line="360" w:lineRule="auto"/>
              <w:rPr>
                <w:rFonts w:ascii="宋体" w:hAnsi="宋体"/>
                <w:sz w:val="24"/>
              </w:rPr>
            </w:pPr>
            <w:r>
              <w:rPr>
                <w:rFonts w:hint="eastAsia" w:ascii="宋体" w:hAnsi="宋体"/>
                <w:b/>
                <w:sz w:val="24"/>
              </w:rPr>
              <w:t>合计人民币</w:t>
            </w:r>
            <w:r>
              <w:rPr>
                <w:rFonts w:hint="eastAsia" w:ascii="宋体" w:hAnsi="宋体"/>
                <w:sz w:val="24"/>
              </w:rPr>
              <w:t>：</w:t>
            </w:r>
            <w:r>
              <w:rPr>
                <w:rFonts w:hint="eastAsia" w:ascii="宋体" w:hAnsi="宋体"/>
                <w:b/>
                <w:sz w:val="24"/>
              </w:rPr>
              <w:t>大写：                          小写：</w:t>
            </w:r>
          </w:p>
        </w:tc>
      </w:tr>
    </w:tbl>
    <w:p>
      <w:pPr>
        <w:spacing w:line="360" w:lineRule="auto"/>
        <w:rPr>
          <w:rFonts w:ascii="宋体" w:hAnsi="宋体"/>
          <w:sz w:val="24"/>
        </w:rPr>
      </w:pPr>
    </w:p>
    <w:p>
      <w:pPr>
        <w:spacing w:line="360" w:lineRule="auto"/>
        <w:rPr>
          <w:rFonts w:ascii="宋体" w:hAnsi="宋体"/>
          <w:b/>
          <w:szCs w:val="21"/>
        </w:rPr>
      </w:pPr>
      <w:r>
        <w:rPr>
          <w:rFonts w:hint="eastAsia" w:ascii="宋体" w:hAnsi="宋体"/>
          <w:b/>
          <w:szCs w:val="21"/>
        </w:rPr>
        <w:t>填报要求：</w:t>
      </w:r>
    </w:p>
    <w:p>
      <w:pPr>
        <w:spacing w:line="360" w:lineRule="auto"/>
        <w:ind w:firstLine="315" w:firstLineChars="150"/>
        <w:rPr>
          <w:rFonts w:ascii="宋体" w:hAnsi="宋体"/>
          <w:b/>
          <w:i/>
          <w:szCs w:val="21"/>
          <w:u w:val="single"/>
        </w:rPr>
      </w:pPr>
      <w:r>
        <w:rPr>
          <w:rFonts w:ascii="宋体" w:hAnsi="宋体"/>
          <w:szCs w:val="21"/>
        </w:rPr>
        <w:t xml:space="preserve"> 1</w:t>
      </w:r>
      <w:r>
        <w:rPr>
          <w:rFonts w:hint="eastAsia" w:ascii="宋体" w:hAnsi="宋体"/>
          <w:szCs w:val="21"/>
        </w:rPr>
        <w:t>.报价一经涂改，应在涂改处加盖单位公章或者由法定代表人或授权委托人签字或盖章，否则其投标作无效标处理；</w:t>
      </w:r>
    </w:p>
    <w:p>
      <w:pPr>
        <w:snapToGrid w:val="0"/>
        <w:spacing w:before="50" w:after="50" w:line="360" w:lineRule="auto"/>
        <w:ind w:firstLine="420" w:firstLineChars="200"/>
        <w:jc w:val="left"/>
        <w:rPr>
          <w:rFonts w:ascii="宋体" w:hAnsi="宋体"/>
          <w:szCs w:val="21"/>
        </w:rPr>
      </w:pPr>
      <w:r>
        <w:rPr>
          <w:rFonts w:ascii="宋体" w:hAnsi="宋体"/>
          <w:szCs w:val="21"/>
        </w:rPr>
        <w:t>2</w:t>
      </w:r>
      <w:r>
        <w:rPr>
          <w:rFonts w:hint="eastAsia" w:ascii="宋体" w:hAnsi="宋体"/>
          <w:szCs w:val="21"/>
        </w:rPr>
        <w:t>.以上报价应与“报价明细表”中的“合计人民币”数相一致；</w:t>
      </w:r>
    </w:p>
    <w:p>
      <w:pPr>
        <w:snapToGrid w:val="0"/>
        <w:spacing w:before="50" w:after="50" w:line="360" w:lineRule="auto"/>
        <w:ind w:firstLine="420" w:firstLineChars="200"/>
        <w:jc w:val="left"/>
        <w:rPr>
          <w:rFonts w:ascii="宋体" w:hAnsi="宋体"/>
          <w:szCs w:val="21"/>
        </w:rPr>
      </w:pPr>
      <w:r>
        <w:rPr>
          <w:rFonts w:ascii="宋体" w:hAnsi="宋体"/>
          <w:szCs w:val="21"/>
        </w:rPr>
        <w:t>3</w:t>
      </w:r>
      <w:r>
        <w:rPr>
          <w:rFonts w:hint="eastAsia" w:ascii="宋体" w:hAnsi="宋体"/>
          <w:szCs w:val="21"/>
        </w:rPr>
        <w:t>.项目费用包括项目实施所需的工程费、工时费、服务费、运输费、安装调试费、购买及制作标书费、税费及其他一切费用。</w:t>
      </w:r>
    </w:p>
    <w:p>
      <w:pPr>
        <w:spacing w:line="360" w:lineRule="auto"/>
        <w:ind w:left="420"/>
        <w:rPr>
          <w:rFonts w:ascii="宋体" w:hAnsi="宋体"/>
          <w:sz w:val="24"/>
        </w:rPr>
      </w:pPr>
    </w:p>
    <w:p>
      <w:pPr>
        <w:spacing w:line="360" w:lineRule="auto"/>
        <w:rPr>
          <w:rFonts w:ascii="宋体" w:hAnsi="宋体"/>
          <w:sz w:val="24"/>
        </w:rPr>
      </w:pPr>
    </w:p>
    <w:p>
      <w:pPr>
        <w:spacing w:line="360" w:lineRule="auto"/>
        <w:ind w:left="420"/>
        <w:rPr>
          <w:rFonts w:ascii="宋体" w:hAnsi="宋体"/>
          <w:sz w:val="24"/>
          <w:u w:val="single"/>
        </w:rPr>
      </w:pPr>
      <w:r>
        <w:rPr>
          <w:rFonts w:hint="eastAsia" w:ascii="宋体" w:hAnsi="宋体"/>
          <w:sz w:val="24"/>
        </w:rPr>
        <w:t>投标人名称（盖章）：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spacing w:line="360" w:lineRule="auto"/>
        <w:rPr>
          <w:rFonts w:ascii="宋体" w:hAnsi="宋体"/>
          <w:b/>
          <w:sz w:val="28"/>
        </w:rPr>
      </w:pPr>
    </w:p>
    <w:p>
      <w:pPr>
        <w:spacing w:line="360" w:lineRule="auto"/>
        <w:ind w:left="480"/>
        <w:rPr>
          <w:rFonts w:ascii="宋体" w:hAnsi="宋体"/>
          <w:b/>
          <w:sz w:val="28"/>
        </w:rPr>
      </w:pPr>
      <w:r>
        <w:rPr>
          <w:rFonts w:hint="eastAsia" w:ascii="宋体" w:hAnsi="宋体"/>
          <w:b/>
          <w:sz w:val="28"/>
        </w:rPr>
        <w:t>附件17</w:t>
      </w:r>
    </w:p>
    <w:p>
      <w:pPr>
        <w:spacing w:line="360" w:lineRule="auto"/>
        <w:ind w:left="480"/>
        <w:jc w:val="center"/>
        <w:rPr>
          <w:rFonts w:ascii="宋体" w:hAnsi="宋体"/>
          <w:b/>
          <w:color w:val="33CCCC"/>
          <w:sz w:val="32"/>
          <w:szCs w:val="32"/>
        </w:rPr>
      </w:pPr>
      <w:r>
        <w:rPr>
          <w:rFonts w:hint="eastAsia" w:ascii="宋体" w:hAnsi="宋体"/>
          <w:b/>
          <w:sz w:val="32"/>
          <w:szCs w:val="32"/>
        </w:rPr>
        <w:t>报价明细表</w:t>
      </w:r>
      <w:r>
        <w:rPr>
          <w:rFonts w:hint="eastAsia" w:ascii="宋体" w:hAnsi="宋体"/>
          <w:b/>
          <w:color w:val="33CCCC"/>
          <w:sz w:val="32"/>
          <w:szCs w:val="32"/>
        </w:rPr>
        <w:t xml:space="preserve"> (第 标)</w:t>
      </w:r>
    </w:p>
    <w:p>
      <w:pPr>
        <w:pStyle w:val="88"/>
        <w:spacing w:line="360" w:lineRule="auto"/>
        <w:jc w:val="right"/>
        <w:rPr>
          <w:rFonts w:ascii="宋体" w:hAnsi="宋体"/>
          <w:sz w:val="24"/>
        </w:rPr>
      </w:pPr>
    </w:p>
    <w:p>
      <w:pPr>
        <w:spacing w:line="360" w:lineRule="auto"/>
        <w:jc w:val="center"/>
        <w:rPr>
          <w:rFonts w:ascii="宋体" w:hAnsi="宋体"/>
        </w:rPr>
      </w:pPr>
    </w:p>
    <w:p>
      <w:pPr>
        <w:spacing w:line="360" w:lineRule="auto"/>
        <w:rPr>
          <w:rFonts w:ascii="宋体" w:hAnsi="宋体"/>
          <w:sz w:val="24"/>
        </w:rPr>
      </w:pPr>
      <w:r>
        <w:rPr>
          <w:rFonts w:hint="eastAsia" w:ascii="宋体" w:hAnsi="宋体"/>
          <w:sz w:val="24"/>
        </w:rPr>
        <w:t xml:space="preserve">  项目编号：</w:t>
      </w:r>
    </w:p>
    <w:p>
      <w:pPr>
        <w:pStyle w:val="88"/>
        <w:spacing w:line="360" w:lineRule="auto"/>
        <w:ind w:right="480"/>
        <w:jc w:val="right"/>
        <w:rPr>
          <w:rFonts w:ascii="宋体" w:hAnsi="宋体"/>
          <w:sz w:val="24"/>
        </w:rPr>
      </w:pPr>
      <w:r>
        <w:rPr>
          <w:rFonts w:hint="eastAsia" w:ascii="宋体" w:hAnsi="宋体"/>
          <w:sz w:val="24"/>
        </w:rPr>
        <w:t>[货币单位：人民币元]</w:t>
      </w:r>
    </w:p>
    <w:tbl>
      <w:tblPr>
        <w:tblStyle w:val="35"/>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460"/>
        <w:gridCol w:w="1559"/>
        <w:gridCol w:w="1559"/>
        <w:gridCol w:w="851"/>
        <w:gridCol w:w="992"/>
        <w:gridCol w:w="99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525" w:type="dxa"/>
            <w:vAlign w:val="center"/>
          </w:tcPr>
          <w:p>
            <w:pPr>
              <w:spacing w:line="360" w:lineRule="auto"/>
              <w:rPr>
                <w:rFonts w:ascii="宋体" w:hAnsi="宋体"/>
                <w:b/>
                <w:sz w:val="24"/>
              </w:rPr>
            </w:pPr>
            <w:r>
              <w:rPr>
                <w:rFonts w:hint="eastAsia" w:ascii="宋体" w:hAnsi="宋体"/>
                <w:b/>
                <w:sz w:val="24"/>
              </w:rPr>
              <w:t>序号</w:t>
            </w:r>
          </w:p>
        </w:tc>
        <w:tc>
          <w:tcPr>
            <w:tcW w:w="1460" w:type="dxa"/>
            <w:vAlign w:val="center"/>
          </w:tcPr>
          <w:p>
            <w:pPr>
              <w:tabs>
                <w:tab w:val="left" w:pos="8280"/>
              </w:tabs>
              <w:autoSpaceDE w:val="0"/>
              <w:autoSpaceDN w:val="0"/>
              <w:adjustRightInd w:val="0"/>
              <w:spacing w:line="360" w:lineRule="auto"/>
              <w:ind w:right="25"/>
              <w:rPr>
                <w:rFonts w:ascii="宋体" w:hAnsi="宋体"/>
                <w:b/>
                <w:sz w:val="24"/>
              </w:rPr>
            </w:pPr>
            <w:r>
              <w:rPr>
                <w:rFonts w:hint="eastAsia" w:ascii="宋体" w:hAnsi="宋体"/>
                <w:b/>
                <w:sz w:val="24"/>
              </w:rPr>
              <w:t>报价项目</w:t>
            </w:r>
          </w:p>
        </w:tc>
        <w:tc>
          <w:tcPr>
            <w:tcW w:w="1559" w:type="dxa"/>
            <w:vAlign w:val="center"/>
          </w:tcPr>
          <w:p>
            <w:pPr>
              <w:tabs>
                <w:tab w:val="left" w:pos="8280"/>
              </w:tabs>
              <w:autoSpaceDE w:val="0"/>
              <w:autoSpaceDN w:val="0"/>
              <w:adjustRightInd w:val="0"/>
              <w:spacing w:line="360" w:lineRule="auto"/>
              <w:ind w:right="25"/>
              <w:jc w:val="center"/>
              <w:rPr>
                <w:rFonts w:ascii="宋体" w:hAnsi="宋体"/>
                <w:b/>
                <w:sz w:val="24"/>
              </w:rPr>
            </w:pPr>
            <w:r>
              <w:rPr>
                <w:rFonts w:hint="eastAsia" w:ascii="宋体" w:hAnsi="宋体"/>
                <w:b/>
                <w:sz w:val="24"/>
              </w:rPr>
              <w:t>品牌、产地</w:t>
            </w:r>
          </w:p>
        </w:tc>
        <w:tc>
          <w:tcPr>
            <w:tcW w:w="1559" w:type="dxa"/>
            <w:vAlign w:val="center"/>
          </w:tcPr>
          <w:p>
            <w:pPr>
              <w:spacing w:line="360" w:lineRule="auto"/>
              <w:ind w:left="52"/>
              <w:jc w:val="center"/>
              <w:rPr>
                <w:rFonts w:ascii="宋体" w:hAnsi="宋体"/>
                <w:b/>
                <w:sz w:val="24"/>
              </w:rPr>
            </w:pPr>
            <w:r>
              <w:rPr>
                <w:rFonts w:hint="eastAsia" w:ascii="宋体" w:hAnsi="宋体"/>
                <w:b/>
                <w:sz w:val="24"/>
              </w:rPr>
              <w:t>型号规格</w:t>
            </w:r>
          </w:p>
        </w:tc>
        <w:tc>
          <w:tcPr>
            <w:tcW w:w="851" w:type="dxa"/>
            <w:vAlign w:val="center"/>
          </w:tcPr>
          <w:p>
            <w:pPr>
              <w:spacing w:line="360" w:lineRule="auto"/>
              <w:ind w:left="152"/>
              <w:jc w:val="center"/>
              <w:rPr>
                <w:rFonts w:ascii="宋体" w:hAnsi="宋体"/>
                <w:b/>
                <w:sz w:val="24"/>
              </w:rPr>
            </w:pPr>
            <w:r>
              <w:rPr>
                <w:rFonts w:hint="eastAsia" w:ascii="宋体" w:hAnsi="宋体"/>
                <w:b/>
                <w:sz w:val="24"/>
              </w:rPr>
              <w:t>数量</w:t>
            </w:r>
          </w:p>
        </w:tc>
        <w:tc>
          <w:tcPr>
            <w:tcW w:w="992" w:type="dxa"/>
            <w:vAlign w:val="center"/>
          </w:tcPr>
          <w:p>
            <w:pPr>
              <w:spacing w:line="360" w:lineRule="auto"/>
              <w:jc w:val="center"/>
              <w:rPr>
                <w:rFonts w:ascii="宋体" w:hAnsi="宋体"/>
                <w:b/>
                <w:sz w:val="24"/>
              </w:rPr>
            </w:pPr>
            <w:r>
              <w:rPr>
                <w:rFonts w:hint="eastAsia" w:ascii="宋体" w:hAnsi="宋体"/>
                <w:b/>
                <w:sz w:val="24"/>
              </w:rPr>
              <w:t>单价</w:t>
            </w:r>
          </w:p>
        </w:tc>
        <w:tc>
          <w:tcPr>
            <w:tcW w:w="992" w:type="dxa"/>
            <w:vAlign w:val="center"/>
          </w:tcPr>
          <w:p>
            <w:pPr>
              <w:spacing w:line="360" w:lineRule="auto"/>
              <w:jc w:val="center"/>
              <w:rPr>
                <w:rFonts w:ascii="宋体" w:hAnsi="宋体"/>
                <w:b/>
                <w:sz w:val="24"/>
              </w:rPr>
            </w:pPr>
            <w:r>
              <w:rPr>
                <w:rFonts w:hint="eastAsia" w:ascii="宋体" w:hAnsi="宋体"/>
                <w:b/>
                <w:sz w:val="24"/>
              </w:rPr>
              <w:t>小计</w:t>
            </w:r>
          </w:p>
        </w:tc>
        <w:tc>
          <w:tcPr>
            <w:tcW w:w="709" w:type="dxa"/>
            <w:vAlign w:val="center"/>
          </w:tcPr>
          <w:p>
            <w:pPr>
              <w:spacing w:line="360" w:lineRule="auto"/>
              <w:jc w:val="center"/>
              <w:rPr>
                <w:rFonts w:ascii="宋体" w:hAnsi="宋体"/>
                <w:b/>
                <w:sz w:val="24"/>
              </w:rPr>
            </w:pPr>
            <w:r>
              <w:rPr>
                <w:rFonts w:hint="eastAsia" w:ascii="宋体" w:hAnsi="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525" w:type="dxa"/>
            <w:vAlign w:val="center"/>
          </w:tcPr>
          <w:p>
            <w:pPr>
              <w:spacing w:line="360" w:lineRule="auto"/>
              <w:rPr>
                <w:rFonts w:ascii="宋体" w:hAnsi="宋体"/>
                <w:sz w:val="24"/>
              </w:rPr>
            </w:pPr>
          </w:p>
        </w:tc>
        <w:tc>
          <w:tcPr>
            <w:tcW w:w="1460"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851"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709"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525" w:type="dxa"/>
            <w:vAlign w:val="center"/>
          </w:tcPr>
          <w:p>
            <w:pPr>
              <w:spacing w:line="360" w:lineRule="auto"/>
              <w:rPr>
                <w:rFonts w:ascii="宋体" w:hAnsi="宋体"/>
                <w:sz w:val="24"/>
              </w:rPr>
            </w:pPr>
          </w:p>
        </w:tc>
        <w:tc>
          <w:tcPr>
            <w:tcW w:w="1460"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851"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709"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525" w:type="dxa"/>
            <w:vAlign w:val="center"/>
          </w:tcPr>
          <w:p>
            <w:pPr>
              <w:spacing w:line="360" w:lineRule="auto"/>
              <w:rPr>
                <w:rFonts w:ascii="宋体" w:hAnsi="宋体"/>
                <w:sz w:val="24"/>
              </w:rPr>
            </w:pPr>
          </w:p>
        </w:tc>
        <w:tc>
          <w:tcPr>
            <w:tcW w:w="1460"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851"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709"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525" w:type="dxa"/>
            <w:vAlign w:val="center"/>
          </w:tcPr>
          <w:p>
            <w:pPr>
              <w:spacing w:line="360" w:lineRule="auto"/>
              <w:rPr>
                <w:rFonts w:ascii="宋体" w:hAnsi="宋体"/>
                <w:sz w:val="24"/>
              </w:rPr>
            </w:pPr>
          </w:p>
        </w:tc>
        <w:tc>
          <w:tcPr>
            <w:tcW w:w="1460"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851"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709"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460" w:hRule="atLeast"/>
        </w:trPr>
        <w:tc>
          <w:tcPr>
            <w:tcW w:w="525" w:type="dxa"/>
            <w:vAlign w:val="center"/>
          </w:tcPr>
          <w:p>
            <w:pPr>
              <w:spacing w:line="360" w:lineRule="auto"/>
              <w:rPr>
                <w:rFonts w:ascii="宋体" w:hAnsi="宋体"/>
                <w:sz w:val="24"/>
              </w:rPr>
            </w:pPr>
          </w:p>
        </w:tc>
        <w:tc>
          <w:tcPr>
            <w:tcW w:w="1460"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851"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709"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0" w:hRule="atLeast"/>
        </w:trPr>
        <w:tc>
          <w:tcPr>
            <w:tcW w:w="525" w:type="dxa"/>
            <w:vAlign w:val="center"/>
          </w:tcPr>
          <w:p>
            <w:pPr>
              <w:spacing w:line="360" w:lineRule="auto"/>
              <w:rPr>
                <w:rFonts w:ascii="宋体" w:hAnsi="宋体"/>
                <w:sz w:val="24"/>
              </w:rPr>
            </w:pPr>
          </w:p>
        </w:tc>
        <w:tc>
          <w:tcPr>
            <w:tcW w:w="1460"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851"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709"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0" w:hRule="atLeast"/>
        </w:trPr>
        <w:tc>
          <w:tcPr>
            <w:tcW w:w="525" w:type="dxa"/>
            <w:vAlign w:val="center"/>
          </w:tcPr>
          <w:p>
            <w:pPr>
              <w:spacing w:line="360" w:lineRule="auto"/>
              <w:rPr>
                <w:rFonts w:ascii="宋体" w:hAnsi="宋体"/>
                <w:sz w:val="24"/>
              </w:rPr>
            </w:pPr>
          </w:p>
        </w:tc>
        <w:tc>
          <w:tcPr>
            <w:tcW w:w="1460"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851"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709"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6" w:hRule="atLeast"/>
        </w:trPr>
        <w:tc>
          <w:tcPr>
            <w:tcW w:w="8647" w:type="dxa"/>
            <w:gridSpan w:val="8"/>
            <w:tcBorders>
              <w:bottom w:val="single" w:color="auto" w:sz="4" w:space="0"/>
            </w:tcBorders>
            <w:vAlign w:val="center"/>
          </w:tcPr>
          <w:p>
            <w:pPr>
              <w:spacing w:line="360" w:lineRule="auto"/>
              <w:rPr>
                <w:rFonts w:ascii="宋体" w:hAnsi="宋体"/>
                <w:b/>
                <w:sz w:val="24"/>
              </w:rPr>
            </w:pPr>
            <w:r>
              <w:rPr>
                <w:rFonts w:hint="eastAsia" w:ascii="宋体" w:hAnsi="宋体"/>
                <w:b/>
                <w:sz w:val="24"/>
              </w:rPr>
              <w:t>合计人民币：大写                                  小写</w:t>
            </w:r>
          </w:p>
        </w:tc>
      </w:tr>
    </w:tbl>
    <w:p>
      <w:pPr>
        <w:spacing w:line="360" w:lineRule="auto"/>
        <w:rPr>
          <w:rFonts w:ascii="宋体" w:hAnsi="宋体"/>
          <w:b/>
          <w:szCs w:val="21"/>
        </w:rPr>
      </w:pPr>
      <w:r>
        <w:rPr>
          <w:rFonts w:hint="eastAsia" w:ascii="宋体" w:hAnsi="宋体"/>
          <w:b/>
          <w:szCs w:val="21"/>
        </w:rPr>
        <w:t>要求：</w:t>
      </w:r>
    </w:p>
    <w:p>
      <w:pPr>
        <w:spacing w:line="360" w:lineRule="auto"/>
        <w:ind w:left="435"/>
        <w:rPr>
          <w:rFonts w:ascii="宋体" w:hAnsi="宋体"/>
          <w:color w:val="000000"/>
          <w:szCs w:val="21"/>
        </w:rPr>
      </w:pPr>
      <w:r>
        <w:rPr>
          <w:rFonts w:hint="eastAsia" w:ascii="宋体" w:hAnsi="宋体"/>
          <w:color w:val="000000"/>
          <w:szCs w:val="21"/>
        </w:rPr>
        <w:t>1. 本表为《开标一览表》的报价明细表，如有缺项、漏项，视为投标报价中已包含相关费用，采购人无需另外支付任何费用。</w:t>
      </w:r>
    </w:p>
    <w:p>
      <w:pPr>
        <w:spacing w:line="360" w:lineRule="auto"/>
        <w:ind w:left="435"/>
        <w:rPr>
          <w:rFonts w:ascii="宋体" w:hAnsi="宋体"/>
          <w:color w:val="000000"/>
          <w:szCs w:val="21"/>
        </w:rPr>
      </w:pPr>
      <w:r>
        <w:rPr>
          <w:rFonts w:hint="eastAsia" w:ascii="宋体" w:hAnsi="宋体"/>
          <w:color w:val="000000"/>
          <w:szCs w:val="21"/>
        </w:rPr>
        <w:t>2.本表同《开标一览表》的合计人民币数相等。</w:t>
      </w:r>
    </w:p>
    <w:p>
      <w:pPr>
        <w:spacing w:line="360" w:lineRule="auto"/>
        <w:ind w:left="435"/>
        <w:rPr>
          <w:rFonts w:ascii="宋体" w:hAnsi="宋体"/>
          <w:color w:val="FF0000"/>
          <w:szCs w:val="21"/>
        </w:rPr>
      </w:pPr>
      <w:r>
        <w:rPr>
          <w:rFonts w:hint="eastAsia" w:ascii="宋体" w:hAnsi="宋体"/>
          <w:color w:val="FF0000"/>
          <w:szCs w:val="21"/>
        </w:rPr>
        <w:t>▲3. 本表中的型号规格必须明确，招标文件中明确要求定制的除外。</w:t>
      </w:r>
    </w:p>
    <w:p>
      <w:pPr>
        <w:spacing w:line="360" w:lineRule="auto"/>
        <w:ind w:left="435"/>
        <w:rPr>
          <w:rFonts w:ascii="宋体" w:hAnsi="宋体"/>
          <w:color w:val="FF0000"/>
          <w:szCs w:val="21"/>
        </w:rPr>
      </w:pPr>
      <w:r>
        <w:rPr>
          <w:rFonts w:hint="eastAsia" w:ascii="宋体" w:hAnsi="宋体"/>
          <w:color w:val="FF0000"/>
          <w:szCs w:val="21"/>
        </w:rPr>
        <w:t>▲</w:t>
      </w:r>
      <w:r>
        <w:rPr>
          <w:rFonts w:hint="eastAsia" w:ascii="宋体" w:hAnsi="宋体"/>
          <w:color w:val="000000"/>
          <w:szCs w:val="21"/>
        </w:rPr>
        <w:t>4.供应商在投标时需提供本表的电子文档（单独封装，建议使用光盘），</w:t>
      </w:r>
      <w:r>
        <w:rPr>
          <w:rFonts w:hint="eastAsia" w:ascii="宋体" w:hAnsi="宋体"/>
          <w:color w:val="FF0000"/>
          <w:szCs w:val="21"/>
        </w:rPr>
        <w:t>提供的电子文档内容必须与此表一致，若所投产品品牌、型号等重要内容缺失的将视作无效标；电子文档将不予退还。</w:t>
      </w:r>
    </w:p>
    <w:p>
      <w:pPr>
        <w:spacing w:line="360" w:lineRule="auto"/>
        <w:rPr>
          <w:rFonts w:ascii="宋体" w:hAnsi="宋体"/>
          <w:sz w:val="24"/>
        </w:rPr>
      </w:pPr>
    </w:p>
    <w:p>
      <w:pPr>
        <w:spacing w:line="360" w:lineRule="auto"/>
        <w:ind w:left="420"/>
        <w:rPr>
          <w:rFonts w:ascii="宋体" w:hAnsi="宋体"/>
          <w:sz w:val="24"/>
          <w:u w:val="single"/>
        </w:rPr>
      </w:pPr>
      <w:r>
        <w:rPr>
          <w:rFonts w:hint="eastAsia" w:ascii="宋体" w:hAnsi="宋体"/>
          <w:sz w:val="24"/>
        </w:rPr>
        <w:t>投标人名称（盖章）：</w:t>
      </w:r>
    </w:p>
    <w:p>
      <w:pPr>
        <w:spacing w:line="360" w:lineRule="auto"/>
        <w:ind w:left="420"/>
        <w:jc w:val="center"/>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snapToGrid w:val="0"/>
        <w:spacing w:beforeLines="50" w:after="50" w:line="360" w:lineRule="auto"/>
        <w:rPr>
          <w:rFonts w:ascii="仿宋_GB2312" w:hAnsi="宋体" w:eastAsia="仿宋_GB2312"/>
          <w:bCs/>
          <w:sz w:val="30"/>
          <w:szCs w:val="30"/>
        </w:rPr>
      </w:pPr>
      <w:r>
        <w:rPr>
          <w:rFonts w:hint="eastAsia" w:ascii="宋体" w:hAnsi="宋体"/>
          <w:b/>
          <w:sz w:val="28"/>
        </w:rPr>
        <w:t>附件18</w:t>
      </w:r>
    </w:p>
    <w:p>
      <w:pPr>
        <w:spacing w:line="360" w:lineRule="auto"/>
        <w:ind w:right="-110"/>
        <w:jc w:val="center"/>
        <w:rPr>
          <w:rFonts w:ascii="宋体" w:hAnsi="宋体"/>
          <w:b/>
          <w:sz w:val="32"/>
          <w:szCs w:val="32"/>
        </w:rPr>
      </w:pPr>
      <w:r>
        <w:rPr>
          <w:rFonts w:hint="eastAsia" w:ascii="宋体" w:hAnsi="宋体"/>
          <w:b/>
          <w:sz w:val="32"/>
          <w:szCs w:val="32"/>
        </w:rPr>
        <w:t>小</w:t>
      </w:r>
      <w:r>
        <w:rPr>
          <w:rFonts w:hint="eastAsia" w:ascii="宋体" w:hAnsi="宋体"/>
          <w:b/>
          <w:sz w:val="32"/>
          <w:szCs w:val="32"/>
          <w:lang w:val="en-GB"/>
        </w:rPr>
        <w:t>微</w:t>
      </w:r>
      <w:r>
        <w:rPr>
          <w:rFonts w:hint="eastAsia" w:ascii="宋体" w:hAnsi="宋体"/>
          <w:b/>
          <w:sz w:val="32"/>
          <w:szCs w:val="32"/>
        </w:rPr>
        <w:t>企业声明函</w:t>
      </w:r>
    </w:p>
    <w:p>
      <w:pPr>
        <w:pStyle w:val="83"/>
        <w:spacing w:line="360" w:lineRule="auto"/>
        <w:ind w:firstLine="504" w:firstLineChars="200"/>
        <w:rPr>
          <w:rFonts w:ascii="宋体" w:hAnsi="宋体"/>
          <w:spacing w:val="6"/>
          <w:sz w:val="24"/>
        </w:rPr>
      </w:pPr>
      <w:r>
        <w:rPr>
          <w:rFonts w:hint="eastAsia" w:ascii="宋体" w:hAnsi="宋体"/>
          <w:spacing w:val="6"/>
          <w:sz w:val="24"/>
        </w:rPr>
        <w:t>本公司郑重声明，根据《政府采购促进中小企业发展暂行办法》（财库[2011]181号）的规定，本公司为______（请填写：小型、微型）企业。即，本公司同时满足以下条件：</w:t>
      </w:r>
    </w:p>
    <w:p>
      <w:pPr>
        <w:pStyle w:val="83"/>
        <w:spacing w:line="360" w:lineRule="auto"/>
        <w:ind w:firstLine="504" w:firstLineChars="200"/>
        <w:rPr>
          <w:rFonts w:ascii="宋体" w:hAnsi="宋体"/>
          <w:spacing w:val="6"/>
          <w:sz w:val="24"/>
        </w:rPr>
      </w:pPr>
      <w:r>
        <w:rPr>
          <w:rFonts w:hint="eastAsia" w:ascii="宋体" w:hAnsi="宋体"/>
          <w:spacing w:val="6"/>
          <w:sz w:val="24"/>
        </w:rPr>
        <w:t>1.根据《工业和信息化部、国家统计局、国家发展和改革委员会、财政部关于印发中小企业划型标准规定的通知》（工信部联企业[2011]300号）规定的划分标准：第四条第______项______行业，本公司</w:t>
      </w:r>
      <w:r>
        <w:rPr>
          <w:rFonts w:hint="eastAsia" w:ascii="宋体" w:hAnsi="宋体"/>
          <w:i/>
          <w:spacing w:val="6"/>
          <w:sz w:val="24"/>
          <w:u w:val="dash"/>
        </w:rPr>
        <w:t>（此处填写从业人员和营业收入的具体数据）</w:t>
      </w:r>
      <w:r>
        <w:rPr>
          <w:rFonts w:hint="eastAsia" w:ascii="宋体" w:hAnsi="宋体"/>
          <w:spacing w:val="6"/>
          <w:sz w:val="24"/>
        </w:rPr>
        <w:t>，为______（请填写：小型、微型）企业。</w:t>
      </w:r>
    </w:p>
    <w:p>
      <w:pPr>
        <w:pStyle w:val="83"/>
        <w:spacing w:line="360" w:lineRule="auto"/>
        <w:ind w:firstLine="504" w:firstLineChars="200"/>
        <w:rPr>
          <w:rFonts w:ascii="宋体" w:hAnsi="宋体"/>
          <w:spacing w:val="6"/>
          <w:sz w:val="24"/>
        </w:rPr>
      </w:pPr>
      <w:r>
        <w:rPr>
          <w:rFonts w:hint="eastAsia" w:ascii="宋体" w:hAnsi="宋体"/>
          <w:spacing w:val="6"/>
          <w:sz w:val="24"/>
        </w:rPr>
        <w:t>2.本公司参加</w:t>
      </w:r>
      <w:r>
        <w:rPr>
          <w:rFonts w:hint="eastAsia" w:ascii="宋体" w:hAnsi="宋体"/>
          <w:sz w:val="24"/>
        </w:rPr>
        <w:t>台州市政府采购中心组织</w:t>
      </w:r>
      <w:r>
        <w:rPr>
          <w:rFonts w:hint="eastAsia" w:ascii="宋体" w:hAnsi="宋体"/>
          <w:spacing w:val="6"/>
          <w:sz w:val="24"/>
        </w:rPr>
        <w:t>的采购项目（项目编号： ）采购活动提供本企业制造的货物，由本企业承担工程、提供服务，或者提供其他______（请填写：小型、微型）企业制造的货物。本条所称货物不包括使用大型企业注册商标的货物。</w:t>
      </w:r>
    </w:p>
    <w:p>
      <w:pPr>
        <w:pStyle w:val="83"/>
        <w:spacing w:line="360" w:lineRule="auto"/>
        <w:ind w:firstLine="504" w:firstLineChars="200"/>
        <w:rPr>
          <w:rFonts w:ascii="宋体" w:hAnsi="宋体"/>
          <w:spacing w:val="6"/>
          <w:sz w:val="24"/>
        </w:rPr>
      </w:pPr>
      <w:r>
        <w:rPr>
          <w:rFonts w:hint="eastAsia" w:ascii="宋体" w:hAnsi="宋体"/>
          <w:spacing w:val="6"/>
          <w:sz w:val="24"/>
        </w:rPr>
        <w:t>本公司对上述声明的真实性负责。如有虚假，将依法承担相应责任。</w:t>
      </w:r>
    </w:p>
    <w:p>
      <w:pPr>
        <w:pStyle w:val="83"/>
        <w:spacing w:line="360" w:lineRule="auto"/>
        <w:ind w:firstLine="504" w:firstLineChars="200"/>
        <w:rPr>
          <w:rFonts w:ascii="宋体" w:hAnsi="宋体"/>
          <w:spacing w:val="6"/>
          <w:sz w:val="24"/>
        </w:rPr>
      </w:pPr>
    </w:p>
    <w:p>
      <w:pPr>
        <w:pStyle w:val="83"/>
        <w:spacing w:line="360" w:lineRule="auto"/>
        <w:ind w:left="4253" w:leftChars="2025"/>
        <w:rPr>
          <w:rFonts w:ascii="宋体" w:hAnsi="宋体"/>
          <w:sz w:val="24"/>
        </w:rPr>
      </w:pPr>
      <w:r>
        <w:rPr>
          <w:rFonts w:hint="eastAsia" w:ascii="宋体" w:hAnsi="宋体"/>
          <w:sz w:val="24"/>
        </w:rPr>
        <w:t>投 标 人（单位公章）：</w:t>
      </w:r>
    </w:p>
    <w:p>
      <w:pPr>
        <w:pStyle w:val="83"/>
        <w:spacing w:line="360" w:lineRule="auto"/>
        <w:ind w:left="4253" w:leftChars="2025" w:right="360"/>
        <w:jc w:val="right"/>
        <w:rPr>
          <w:rFonts w:ascii="宋体" w:hAnsi="宋体"/>
          <w:spacing w:val="6"/>
          <w:sz w:val="24"/>
        </w:rPr>
      </w:pPr>
      <w:r>
        <w:rPr>
          <w:rFonts w:hint="eastAsia" w:ascii="宋体" w:hAnsi="宋体"/>
          <w:sz w:val="24"/>
        </w:rPr>
        <w:t>日期：</w:t>
      </w:r>
      <w:r>
        <w:rPr>
          <w:rFonts w:hint="eastAsia" w:ascii="宋体" w:hAnsi="宋体" w:cs="Arial"/>
          <w:sz w:val="24"/>
        </w:rPr>
        <w:t>20  年   月   日</w:t>
      </w:r>
    </w:p>
    <w:p>
      <w:pPr>
        <w:pStyle w:val="83"/>
        <w:spacing w:line="360" w:lineRule="auto"/>
        <w:rPr>
          <w:rFonts w:ascii="宋体" w:hAnsi="宋体"/>
          <w:sz w:val="24"/>
        </w:rPr>
      </w:pPr>
    </w:p>
    <w:p>
      <w:pPr>
        <w:pStyle w:val="83"/>
        <w:spacing w:line="360" w:lineRule="auto"/>
        <w:jc w:val="center"/>
        <w:rPr>
          <w:rFonts w:ascii="宋体" w:hAnsi="宋体"/>
          <w:b/>
          <w:spacing w:val="6"/>
          <w:sz w:val="32"/>
          <w:szCs w:val="32"/>
        </w:rPr>
      </w:pPr>
      <w:r>
        <w:rPr>
          <w:rFonts w:hint="eastAsia" w:ascii="宋体" w:hAnsi="宋体"/>
          <w:b/>
          <w:sz w:val="32"/>
          <w:szCs w:val="32"/>
          <w:lang w:val="en-GB"/>
        </w:rPr>
        <w:t>小微企业声明函（制造商）</w:t>
      </w:r>
    </w:p>
    <w:p>
      <w:pPr>
        <w:pStyle w:val="83"/>
        <w:spacing w:line="360" w:lineRule="auto"/>
        <w:ind w:firstLine="504" w:firstLineChars="200"/>
        <w:rPr>
          <w:rFonts w:ascii="宋体" w:hAnsi="宋体"/>
          <w:spacing w:val="6"/>
          <w:sz w:val="24"/>
        </w:rPr>
      </w:pPr>
      <w:r>
        <w:rPr>
          <w:rFonts w:hint="eastAsia" w:ascii="宋体" w:hAnsi="宋体"/>
          <w:spacing w:val="6"/>
          <w:sz w:val="24"/>
        </w:rPr>
        <w:t>本公司郑重声明，根据《政府采购促进中小企业发展暂行办法》（财库[2011]181号）的规定和《工业和信息化部、国家统计局、国家发展和改革委员会、财政部关于印发中小企业划型标准规定的通知》（工信部联企业[2011]300号）规定的划分标准：第四条第______项______行业，本公司（此处填写营业收入和从业人员的具体数据），为______（请填写：小型、微型）企业。</w:t>
      </w:r>
    </w:p>
    <w:p>
      <w:pPr>
        <w:pStyle w:val="83"/>
        <w:spacing w:line="360" w:lineRule="auto"/>
        <w:ind w:firstLine="504" w:firstLineChars="200"/>
        <w:rPr>
          <w:rFonts w:ascii="宋体" w:hAnsi="宋体"/>
          <w:spacing w:val="6"/>
          <w:sz w:val="24"/>
        </w:rPr>
      </w:pPr>
      <w:r>
        <w:rPr>
          <w:rFonts w:hint="eastAsia" w:ascii="宋体" w:hAnsi="宋体"/>
          <w:spacing w:val="6"/>
          <w:sz w:val="24"/>
        </w:rPr>
        <w:t>本公司对上述声明的真实性负责。如有虚假，将依法承担相应责任。</w:t>
      </w:r>
    </w:p>
    <w:p>
      <w:pPr>
        <w:pStyle w:val="83"/>
        <w:spacing w:line="360" w:lineRule="auto"/>
        <w:ind w:firstLine="504" w:firstLineChars="200"/>
        <w:rPr>
          <w:rFonts w:ascii="宋体" w:hAnsi="宋体"/>
          <w:spacing w:val="6"/>
          <w:sz w:val="24"/>
        </w:rPr>
      </w:pPr>
    </w:p>
    <w:p>
      <w:pPr>
        <w:pStyle w:val="83"/>
        <w:spacing w:line="360" w:lineRule="auto"/>
        <w:ind w:firstLine="504" w:firstLineChars="200"/>
        <w:jc w:val="center"/>
        <w:rPr>
          <w:rFonts w:ascii="宋体" w:hAnsi="宋体"/>
          <w:spacing w:val="6"/>
          <w:sz w:val="24"/>
        </w:rPr>
      </w:pPr>
      <w:r>
        <w:rPr>
          <w:rFonts w:hint="eastAsia" w:ascii="宋体" w:hAnsi="宋体"/>
          <w:spacing w:val="6"/>
          <w:sz w:val="24"/>
        </w:rPr>
        <w:t>企业名称（单位公章）：</w:t>
      </w:r>
    </w:p>
    <w:p>
      <w:pPr>
        <w:pStyle w:val="83"/>
        <w:spacing w:line="360" w:lineRule="auto"/>
        <w:ind w:left="4253" w:leftChars="2025" w:right="360"/>
        <w:jc w:val="center"/>
        <w:rPr>
          <w:rFonts w:ascii="宋体" w:hAnsi="宋体"/>
          <w:spacing w:val="6"/>
          <w:sz w:val="24"/>
        </w:rPr>
      </w:pPr>
      <w:r>
        <w:rPr>
          <w:rFonts w:hint="eastAsia" w:ascii="宋体" w:hAnsi="宋体"/>
          <w:sz w:val="24"/>
        </w:rPr>
        <w:t>日期：</w:t>
      </w:r>
      <w:r>
        <w:rPr>
          <w:rFonts w:hint="eastAsia" w:ascii="宋体" w:hAnsi="宋体" w:cs="Arial"/>
          <w:sz w:val="24"/>
        </w:rPr>
        <w:t>20  年   月   日</w:t>
      </w:r>
    </w:p>
    <w:p>
      <w:pPr>
        <w:pStyle w:val="83"/>
        <w:spacing w:line="360" w:lineRule="auto"/>
        <w:rPr>
          <w:rFonts w:ascii="宋体" w:hAnsi="宋体"/>
          <w:b/>
          <w:sz w:val="28"/>
          <w:szCs w:val="28"/>
        </w:rPr>
      </w:pPr>
    </w:p>
    <w:p>
      <w:pPr>
        <w:pStyle w:val="83"/>
        <w:spacing w:line="360" w:lineRule="auto"/>
        <w:rPr>
          <w:rFonts w:ascii="宋体" w:hAnsi="宋体"/>
          <w:b/>
          <w:sz w:val="28"/>
          <w:szCs w:val="28"/>
        </w:rPr>
      </w:pPr>
      <w:r>
        <w:rPr>
          <w:rFonts w:hint="eastAsia" w:ascii="宋体" w:hAnsi="宋体"/>
          <w:b/>
          <w:sz w:val="28"/>
          <w:szCs w:val="28"/>
        </w:rPr>
        <w:t>附件19</w:t>
      </w:r>
    </w:p>
    <w:p>
      <w:pPr>
        <w:pStyle w:val="82"/>
        <w:spacing w:line="360" w:lineRule="auto"/>
      </w:pPr>
    </w:p>
    <w:p>
      <w:pPr>
        <w:pStyle w:val="84"/>
        <w:spacing w:line="360" w:lineRule="auto"/>
        <w:jc w:val="center"/>
        <w:rPr>
          <w:rFonts w:ascii="宋体" w:hAnsi="宋体"/>
          <w:b/>
          <w:sz w:val="32"/>
          <w:szCs w:val="32"/>
          <w:lang w:val="en-GB"/>
        </w:rPr>
      </w:pPr>
      <w:r>
        <w:rPr>
          <w:rFonts w:hint="eastAsia" w:ascii="宋体" w:hAnsi="宋体"/>
          <w:b/>
          <w:sz w:val="32"/>
          <w:szCs w:val="32"/>
          <w:lang w:val="en-GB"/>
        </w:rPr>
        <w:t>产品适用政府采购政策情况表</w:t>
      </w:r>
    </w:p>
    <w:p>
      <w:pPr>
        <w:pStyle w:val="84"/>
        <w:spacing w:line="360" w:lineRule="auto"/>
        <w:jc w:val="center"/>
        <w:rPr>
          <w:rFonts w:ascii="宋体" w:hAnsi="宋体"/>
          <w:b/>
          <w:sz w:val="36"/>
          <w:szCs w:val="36"/>
          <w:lang w:val="en-GB"/>
        </w:rPr>
      </w:pPr>
    </w:p>
    <w:tbl>
      <w:tblPr>
        <w:tblStyle w:val="35"/>
        <w:tblW w:w="84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2472"/>
        <w:gridCol w:w="1895"/>
        <w:gridCol w:w="1622"/>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936" w:type="dxa"/>
            <w:vMerge w:val="restart"/>
            <w:vAlign w:val="center"/>
          </w:tcPr>
          <w:p>
            <w:pPr>
              <w:pStyle w:val="84"/>
              <w:tabs>
                <w:tab w:val="left" w:pos="1260"/>
              </w:tabs>
              <w:spacing w:line="360" w:lineRule="auto"/>
              <w:jc w:val="center"/>
              <w:rPr>
                <w:rFonts w:ascii="宋体" w:hAnsi="宋体"/>
                <w:sz w:val="24"/>
                <w:lang w:val="en-GB"/>
              </w:rPr>
            </w:pPr>
            <w:r>
              <w:rPr>
                <w:rFonts w:hint="eastAsia" w:ascii="宋体" w:hAnsi="宋体"/>
                <w:sz w:val="24"/>
                <w:lang w:val="en-GB"/>
              </w:rPr>
              <w:t>小企业扶持政策</w:t>
            </w:r>
          </w:p>
        </w:tc>
        <w:tc>
          <w:tcPr>
            <w:tcW w:w="7485" w:type="dxa"/>
            <w:gridSpan w:val="4"/>
            <w:vAlign w:val="center"/>
          </w:tcPr>
          <w:p>
            <w:pPr>
              <w:pStyle w:val="84"/>
              <w:tabs>
                <w:tab w:val="left" w:pos="1260"/>
              </w:tabs>
              <w:spacing w:line="360" w:lineRule="auto"/>
              <w:rPr>
                <w:rFonts w:ascii="宋体" w:hAnsi="宋体"/>
                <w:sz w:val="24"/>
                <w:lang w:val="en-GB"/>
              </w:rPr>
            </w:pPr>
            <w:r>
              <w:rPr>
                <w:rFonts w:hint="eastAsia" w:ascii="宋体" w:hAnsi="宋体"/>
                <w:sz w:val="24"/>
                <w:lang w:val="en-GB"/>
              </w:rPr>
              <w:t>如属所列情形的，请在括号内打“√”：</w:t>
            </w:r>
          </w:p>
          <w:p>
            <w:pPr>
              <w:pStyle w:val="84"/>
              <w:tabs>
                <w:tab w:val="left" w:pos="1260"/>
              </w:tabs>
              <w:spacing w:line="360" w:lineRule="auto"/>
              <w:rPr>
                <w:rFonts w:ascii="宋体" w:hAnsi="宋体"/>
                <w:sz w:val="24"/>
              </w:rPr>
            </w:pPr>
            <w:r>
              <w:rPr>
                <w:rFonts w:hint="eastAsia" w:ascii="宋体" w:hAnsi="宋体"/>
                <w:sz w:val="24"/>
              </w:rPr>
              <w:t>（  ）小型、微型企业投标且提供本企业制造的产品。</w:t>
            </w:r>
          </w:p>
          <w:p>
            <w:pPr>
              <w:pStyle w:val="84"/>
              <w:tabs>
                <w:tab w:val="left" w:pos="1260"/>
              </w:tabs>
              <w:spacing w:line="360" w:lineRule="auto"/>
              <w:rPr>
                <w:rFonts w:ascii="宋体" w:hAnsi="宋体"/>
                <w:sz w:val="24"/>
              </w:rPr>
            </w:pPr>
            <w:r>
              <w:rPr>
                <w:rFonts w:hint="eastAsia" w:ascii="宋体" w:hAnsi="宋体"/>
                <w:sz w:val="24"/>
              </w:rPr>
              <w:t>（  ）小微企业投标且提供其它小型、微型企业产品的，请填写下表内容：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936" w:type="dxa"/>
            <w:vMerge w:val="continue"/>
            <w:vAlign w:val="center"/>
          </w:tcPr>
          <w:p>
            <w:pPr>
              <w:pStyle w:val="84"/>
              <w:tabs>
                <w:tab w:val="left" w:pos="1260"/>
              </w:tabs>
              <w:spacing w:line="360" w:lineRule="auto"/>
              <w:jc w:val="center"/>
              <w:rPr>
                <w:rFonts w:ascii="宋体" w:hAnsi="宋体"/>
                <w:sz w:val="24"/>
                <w:lang w:val="en-GB"/>
              </w:rPr>
            </w:pPr>
          </w:p>
        </w:tc>
        <w:tc>
          <w:tcPr>
            <w:tcW w:w="2472" w:type="dxa"/>
            <w:vAlign w:val="center"/>
          </w:tcPr>
          <w:p>
            <w:pPr>
              <w:pStyle w:val="84"/>
              <w:tabs>
                <w:tab w:val="left" w:pos="1260"/>
              </w:tabs>
              <w:spacing w:line="360" w:lineRule="auto"/>
              <w:jc w:val="center"/>
              <w:rPr>
                <w:rFonts w:ascii="宋体" w:hAnsi="宋体"/>
                <w:sz w:val="24"/>
                <w:lang w:val="en-GB"/>
              </w:rPr>
            </w:pPr>
            <w:r>
              <w:rPr>
                <w:rFonts w:hint="eastAsia" w:ascii="宋体" w:hAnsi="宋体"/>
                <w:sz w:val="24"/>
                <w:lang w:val="en-GB"/>
              </w:rPr>
              <w:t>产品名称（品牌、型号）</w:t>
            </w:r>
          </w:p>
        </w:tc>
        <w:tc>
          <w:tcPr>
            <w:tcW w:w="1895" w:type="dxa"/>
            <w:vAlign w:val="center"/>
          </w:tcPr>
          <w:p>
            <w:pPr>
              <w:pStyle w:val="84"/>
              <w:tabs>
                <w:tab w:val="left" w:pos="1260"/>
              </w:tabs>
              <w:spacing w:line="360" w:lineRule="auto"/>
              <w:jc w:val="center"/>
              <w:rPr>
                <w:rFonts w:ascii="宋体" w:hAnsi="宋体"/>
                <w:sz w:val="24"/>
                <w:lang w:val="en-GB"/>
              </w:rPr>
            </w:pPr>
            <w:r>
              <w:rPr>
                <w:rFonts w:hint="eastAsia" w:ascii="宋体" w:hAnsi="宋体"/>
                <w:sz w:val="24"/>
                <w:lang w:val="en-GB"/>
              </w:rPr>
              <w:t>制造商</w:t>
            </w:r>
          </w:p>
        </w:tc>
        <w:tc>
          <w:tcPr>
            <w:tcW w:w="1622" w:type="dxa"/>
            <w:vAlign w:val="center"/>
          </w:tcPr>
          <w:p>
            <w:pPr>
              <w:pStyle w:val="84"/>
              <w:tabs>
                <w:tab w:val="left" w:pos="1260"/>
              </w:tabs>
              <w:spacing w:line="360" w:lineRule="auto"/>
              <w:jc w:val="center"/>
              <w:rPr>
                <w:rFonts w:ascii="宋体" w:hAnsi="宋体"/>
                <w:sz w:val="24"/>
                <w:lang w:val="en-GB"/>
              </w:rPr>
            </w:pPr>
            <w:r>
              <w:rPr>
                <w:rFonts w:hint="eastAsia" w:ascii="宋体" w:hAnsi="宋体"/>
                <w:sz w:val="24"/>
                <w:lang w:val="en-GB"/>
              </w:rPr>
              <w:t>制造商</w:t>
            </w:r>
          </w:p>
          <w:p>
            <w:pPr>
              <w:pStyle w:val="84"/>
              <w:tabs>
                <w:tab w:val="left" w:pos="1260"/>
              </w:tabs>
              <w:spacing w:line="360" w:lineRule="auto"/>
              <w:jc w:val="center"/>
              <w:rPr>
                <w:rFonts w:ascii="宋体" w:hAnsi="宋体"/>
                <w:sz w:val="24"/>
                <w:lang w:val="en-GB"/>
              </w:rPr>
            </w:pPr>
            <w:r>
              <w:rPr>
                <w:rFonts w:hint="eastAsia" w:ascii="宋体" w:hAnsi="宋体"/>
                <w:sz w:val="24"/>
                <w:lang w:val="en-GB"/>
              </w:rPr>
              <w:t>企业类型</w:t>
            </w:r>
          </w:p>
        </w:tc>
        <w:tc>
          <w:tcPr>
            <w:tcW w:w="1496" w:type="dxa"/>
            <w:vAlign w:val="center"/>
          </w:tcPr>
          <w:p>
            <w:pPr>
              <w:pStyle w:val="84"/>
              <w:tabs>
                <w:tab w:val="left" w:pos="1260"/>
              </w:tabs>
              <w:spacing w:line="360" w:lineRule="auto"/>
              <w:jc w:val="center"/>
              <w:rPr>
                <w:rFonts w:ascii="宋体" w:hAnsi="宋体"/>
                <w:sz w:val="24"/>
                <w:lang w:val="en-GB"/>
              </w:rPr>
            </w:pPr>
            <w:r>
              <w:rPr>
                <w:rFonts w:hint="eastAsia" w:ascii="宋体" w:hAnsi="宋体"/>
                <w:sz w:val="24"/>
                <w:lang w:val="en-GB"/>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936" w:type="dxa"/>
            <w:vMerge w:val="continue"/>
            <w:vAlign w:val="center"/>
          </w:tcPr>
          <w:p>
            <w:pPr>
              <w:pStyle w:val="84"/>
              <w:tabs>
                <w:tab w:val="left" w:pos="1260"/>
              </w:tabs>
              <w:spacing w:line="360" w:lineRule="auto"/>
              <w:jc w:val="center"/>
              <w:rPr>
                <w:rFonts w:ascii="宋体" w:hAnsi="宋体"/>
                <w:sz w:val="24"/>
                <w:lang w:val="en-GB"/>
              </w:rPr>
            </w:pPr>
          </w:p>
        </w:tc>
        <w:tc>
          <w:tcPr>
            <w:tcW w:w="2472" w:type="dxa"/>
            <w:vAlign w:val="center"/>
          </w:tcPr>
          <w:p>
            <w:pPr>
              <w:pStyle w:val="84"/>
              <w:tabs>
                <w:tab w:val="left" w:pos="1260"/>
              </w:tabs>
              <w:spacing w:line="360" w:lineRule="auto"/>
              <w:jc w:val="center"/>
              <w:rPr>
                <w:rFonts w:ascii="宋体" w:hAnsi="宋体"/>
                <w:sz w:val="24"/>
                <w:lang w:val="en-GB"/>
              </w:rPr>
            </w:pPr>
          </w:p>
        </w:tc>
        <w:tc>
          <w:tcPr>
            <w:tcW w:w="1895" w:type="dxa"/>
            <w:vAlign w:val="center"/>
          </w:tcPr>
          <w:p>
            <w:pPr>
              <w:pStyle w:val="84"/>
              <w:tabs>
                <w:tab w:val="left" w:pos="1260"/>
              </w:tabs>
              <w:spacing w:line="360" w:lineRule="auto"/>
              <w:jc w:val="center"/>
              <w:rPr>
                <w:rFonts w:ascii="宋体" w:hAnsi="宋体"/>
                <w:sz w:val="24"/>
                <w:lang w:val="en-GB"/>
              </w:rPr>
            </w:pPr>
          </w:p>
        </w:tc>
        <w:tc>
          <w:tcPr>
            <w:tcW w:w="1622" w:type="dxa"/>
            <w:vAlign w:val="center"/>
          </w:tcPr>
          <w:p>
            <w:pPr>
              <w:pStyle w:val="84"/>
              <w:tabs>
                <w:tab w:val="left" w:pos="1260"/>
              </w:tabs>
              <w:spacing w:line="360" w:lineRule="auto"/>
              <w:jc w:val="center"/>
              <w:rPr>
                <w:rFonts w:ascii="宋体" w:hAnsi="宋体"/>
                <w:sz w:val="24"/>
                <w:lang w:val="en-GB"/>
              </w:rPr>
            </w:pPr>
          </w:p>
        </w:tc>
        <w:tc>
          <w:tcPr>
            <w:tcW w:w="1496" w:type="dxa"/>
            <w:vAlign w:val="center"/>
          </w:tcPr>
          <w:p>
            <w:pPr>
              <w:pStyle w:val="84"/>
              <w:tabs>
                <w:tab w:val="left" w:pos="1260"/>
              </w:tabs>
              <w:spacing w:line="360" w:lineRule="auto"/>
              <w:jc w:val="center"/>
              <w:rPr>
                <w:rFonts w:ascii="宋体" w:hAnsi="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936" w:type="dxa"/>
            <w:vMerge w:val="continue"/>
            <w:vAlign w:val="center"/>
          </w:tcPr>
          <w:p>
            <w:pPr>
              <w:pStyle w:val="84"/>
              <w:tabs>
                <w:tab w:val="left" w:pos="1260"/>
              </w:tabs>
              <w:spacing w:line="360" w:lineRule="auto"/>
              <w:jc w:val="center"/>
              <w:rPr>
                <w:rFonts w:ascii="宋体" w:hAnsi="宋体"/>
                <w:sz w:val="24"/>
                <w:lang w:val="en-GB"/>
              </w:rPr>
            </w:pPr>
          </w:p>
        </w:tc>
        <w:tc>
          <w:tcPr>
            <w:tcW w:w="2472" w:type="dxa"/>
            <w:vAlign w:val="center"/>
          </w:tcPr>
          <w:p>
            <w:pPr>
              <w:pStyle w:val="84"/>
              <w:tabs>
                <w:tab w:val="left" w:pos="1260"/>
              </w:tabs>
              <w:spacing w:line="360" w:lineRule="auto"/>
              <w:jc w:val="center"/>
              <w:rPr>
                <w:rFonts w:ascii="宋体" w:hAnsi="宋体"/>
                <w:sz w:val="24"/>
                <w:lang w:val="en-GB"/>
              </w:rPr>
            </w:pPr>
          </w:p>
        </w:tc>
        <w:tc>
          <w:tcPr>
            <w:tcW w:w="1895" w:type="dxa"/>
            <w:vAlign w:val="center"/>
          </w:tcPr>
          <w:p>
            <w:pPr>
              <w:pStyle w:val="84"/>
              <w:tabs>
                <w:tab w:val="left" w:pos="1260"/>
              </w:tabs>
              <w:spacing w:line="360" w:lineRule="auto"/>
              <w:jc w:val="center"/>
              <w:rPr>
                <w:rFonts w:ascii="宋体" w:hAnsi="宋体"/>
                <w:sz w:val="24"/>
                <w:lang w:val="en-GB"/>
              </w:rPr>
            </w:pPr>
          </w:p>
        </w:tc>
        <w:tc>
          <w:tcPr>
            <w:tcW w:w="1622" w:type="dxa"/>
            <w:vAlign w:val="center"/>
          </w:tcPr>
          <w:p>
            <w:pPr>
              <w:pStyle w:val="84"/>
              <w:tabs>
                <w:tab w:val="left" w:pos="1260"/>
              </w:tabs>
              <w:spacing w:line="360" w:lineRule="auto"/>
              <w:jc w:val="center"/>
              <w:rPr>
                <w:rFonts w:ascii="宋体" w:hAnsi="宋体"/>
                <w:sz w:val="24"/>
                <w:lang w:val="en-GB"/>
              </w:rPr>
            </w:pPr>
          </w:p>
        </w:tc>
        <w:tc>
          <w:tcPr>
            <w:tcW w:w="1496" w:type="dxa"/>
            <w:vAlign w:val="center"/>
          </w:tcPr>
          <w:p>
            <w:pPr>
              <w:pStyle w:val="84"/>
              <w:tabs>
                <w:tab w:val="left" w:pos="1260"/>
              </w:tabs>
              <w:spacing w:line="360" w:lineRule="auto"/>
              <w:jc w:val="center"/>
              <w:rPr>
                <w:rFonts w:ascii="宋体" w:hAnsi="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936" w:type="dxa"/>
            <w:vMerge w:val="continue"/>
            <w:vAlign w:val="center"/>
          </w:tcPr>
          <w:p>
            <w:pPr>
              <w:pStyle w:val="84"/>
              <w:tabs>
                <w:tab w:val="left" w:pos="1260"/>
              </w:tabs>
              <w:spacing w:line="360" w:lineRule="auto"/>
              <w:jc w:val="center"/>
              <w:rPr>
                <w:rFonts w:ascii="宋体" w:hAnsi="宋体"/>
                <w:sz w:val="24"/>
                <w:lang w:val="en-GB"/>
              </w:rPr>
            </w:pPr>
          </w:p>
        </w:tc>
        <w:tc>
          <w:tcPr>
            <w:tcW w:w="2472" w:type="dxa"/>
            <w:vAlign w:val="center"/>
          </w:tcPr>
          <w:p>
            <w:pPr>
              <w:pStyle w:val="84"/>
              <w:tabs>
                <w:tab w:val="left" w:pos="1260"/>
              </w:tabs>
              <w:spacing w:line="360" w:lineRule="auto"/>
              <w:jc w:val="center"/>
              <w:rPr>
                <w:rFonts w:ascii="宋体" w:hAnsi="宋体"/>
                <w:sz w:val="24"/>
                <w:lang w:val="en-GB"/>
              </w:rPr>
            </w:pPr>
          </w:p>
        </w:tc>
        <w:tc>
          <w:tcPr>
            <w:tcW w:w="1895" w:type="dxa"/>
            <w:vAlign w:val="center"/>
          </w:tcPr>
          <w:p>
            <w:pPr>
              <w:pStyle w:val="84"/>
              <w:tabs>
                <w:tab w:val="left" w:pos="1260"/>
              </w:tabs>
              <w:spacing w:line="360" w:lineRule="auto"/>
              <w:jc w:val="center"/>
              <w:rPr>
                <w:rFonts w:ascii="宋体" w:hAnsi="宋体"/>
                <w:sz w:val="24"/>
                <w:lang w:val="en-GB"/>
              </w:rPr>
            </w:pPr>
          </w:p>
        </w:tc>
        <w:tc>
          <w:tcPr>
            <w:tcW w:w="1622" w:type="dxa"/>
            <w:vAlign w:val="center"/>
          </w:tcPr>
          <w:p>
            <w:pPr>
              <w:pStyle w:val="84"/>
              <w:tabs>
                <w:tab w:val="left" w:pos="1260"/>
              </w:tabs>
              <w:spacing w:line="360" w:lineRule="auto"/>
              <w:jc w:val="center"/>
              <w:rPr>
                <w:rFonts w:ascii="宋体" w:hAnsi="宋体"/>
                <w:sz w:val="24"/>
                <w:lang w:val="en-GB"/>
              </w:rPr>
            </w:pPr>
          </w:p>
        </w:tc>
        <w:tc>
          <w:tcPr>
            <w:tcW w:w="1496" w:type="dxa"/>
            <w:vAlign w:val="center"/>
          </w:tcPr>
          <w:p>
            <w:pPr>
              <w:pStyle w:val="84"/>
              <w:tabs>
                <w:tab w:val="left" w:pos="1260"/>
              </w:tabs>
              <w:spacing w:line="360" w:lineRule="auto"/>
              <w:jc w:val="center"/>
              <w:rPr>
                <w:rFonts w:ascii="宋体" w:hAnsi="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29" w:hRule="atLeast"/>
          <w:jc w:val="center"/>
        </w:trPr>
        <w:tc>
          <w:tcPr>
            <w:tcW w:w="936" w:type="dxa"/>
            <w:vMerge w:val="continue"/>
            <w:vAlign w:val="center"/>
          </w:tcPr>
          <w:p>
            <w:pPr>
              <w:pStyle w:val="84"/>
              <w:tabs>
                <w:tab w:val="left" w:pos="1260"/>
              </w:tabs>
              <w:spacing w:line="360" w:lineRule="auto"/>
              <w:jc w:val="center"/>
              <w:rPr>
                <w:rFonts w:ascii="宋体" w:hAnsi="宋体"/>
                <w:sz w:val="24"/>
                <w:lang w:val="en-GB"/>
              </w:rPr>
            </w:pPr>
          </w:p>
        </w:tc>
        <w:tc>
          <w:tcPr>
            <w:tcW w:w="5989" w:type="dxa"/>
            <w:gridSpan w:val="3"/>
            <w:vAlign w:val="center"/>
          </w:tcPr>
          <w:p>
            <w:pPr>
              <w:pStyle w:val="84"/>
              <w:tabs>
                <w:tab w:val="left" w:pos="1260"/>
              </w:tabs>
              <w:spacing w:line="360" w:lineRule="auto"/>
              <w:jc w:val="center"/>
              <w:rPr>
                <w:rFonts w:ascii="宋体" w:hAnsi="宋体"/>
                <w:sz w:val="24"/>
                <w:lang w:val="en-GB"/>
              </w:rPr>
            </w:pPr>
            <w:r>
              <w:rPr>
                <w:rFonts w:hint="eastAsia" w:ascii="宋体" w:hAnsi="宋体"/>
                <w:sz w:val="24"/>
              </w:rPr>
              <w:t>小型、微型企业产品</w:t>
            </w:r>
            <w:r>
              <w:rPr>
                <w:rFonts w:hint="eastAsia" w:ascii="宋体" w:hAnsi="宋体"/>
                <w:sz w:val="24"/>
                <w:lang w:val="en-GB"/>
              </w:rPr>
              <w:t>金额合计</w:t>
            </w:r>
          </w:p>
        </w:tc>
        <w:tc>
          <w:tcPr>
            <w:tcW w:w="1496" w:type="dxa"/>
            <w:vAlign w:val="center"/>
          </w:tcPr>
          <w:p>
            <w:pPr>
              <w:pStyle w:val="84"/>
              <w:tabs>
                <w:tab w:val="left" w:pos="1260"/>
              </w:tabs>
              <w:spacing w:line="360" w:lineRule="auto"/>
              <w:jc w:val="center"/>
              <w:rPr>
                <w:rFonts w:ascii="宋体" w:hAnsi="宋体"/>
                <w:sz w:val="24"/>
                <w:lang w:val="en-GB"/>
              </w:rPr>
            </w:pPr>
          </w:p>
        </w:tc>
      </w:tr>
    </w:tbl>
    <w:p>
      <w:pPr>
        <w:pStyle w:val="84"/>
        <w:spacing w:line="360" w:lineRule="auto"/>
        <w:ind w:left="718" w:hanging="718" w:hangingChars="342"/>
        <w:rPr>
          <w:rFonts w:ascii="宋体" w:hAnsi="宋体"/>
          <w:szCs w:val="21"/>
          <w:lang w:val="en-GB"/>
        </w:rPr>
      </w:pPr>
      <w:r>
        <w:rPr>
          <w:rFonts w:hint="eastAsia" w:ascii="宋体" w:hAnsi="宋体"/>
          <w:szCs w:val="21"/>
          <w:lang w:val="en-GB"/>
        </w:rPr>
        <w:t>填报要求：</w:t>
      </w:r>
    </w:p>
    <w:p>
      <w:pPr>
        <w:pStyle w:val="84"/>
        <w:widowControl/>
        <w:numPr>
          <w:ilvl w:val="0"/>
          <w:numId w:val="17"/>
        </w:numPr>
        <w:spacing w:line="360" w:lineRule="auto"/>
        <w:ind w:right="84" w:rightChars="40"/>
        <w:jc w:val="left"/>
        <w:rPr>
          <w:rFonts w:ascii="宋体" w:hAnsi="宋体"/>
          <w:szCs w:val="21"/>
          <w:lang w:val="en-GB"/>
        </w:rPr>
      </w:pPr>
      <w:r>
        <w:rPr>
          <w:rFonts w:hint="eastAsia" w:ascii="宋体" w:hAnsi="宋体"/>
          <w:szCs w:val="21"/>
          <w:lang w:val="en-GB"/>
        </w:rPr>
        <w:t>本表的产品名称、规格型号和注册商标、金额要与《报价明细表》一致。</w:t>
      </w:r>
    </w:p>
    <w:p>
      <w:pPr>
        <w:pStyle w:val="84"/>
        <w:widowControl/>
        <w:numPr>
          <w:ilvl w:val="0"/>
          <w:numId w:val="17"/>
        </w:numPr>
        <w:tabs>
          <w:tab w:val="left" w:pos="360"/>
        </w:tabs>
        <w:spacing w:line="360" w:lineRule="auto"/>
        <w:ind w:left="360" w:right="84" w:rightChars="40" w:hanging="360"/>
        <w:jc w:val="left"/>
        <w:rPr>
          <w:rFonts w:ascii="宋体" w:hAnsi="宋体"/>
          <w:szCs w:val="21"/>
          <w:lang w:val="en-GB"/>
        </w:rPr>
      </w:pPr>
      <w:r>
        <w:rPr>
          <w:rFonts w:hint="eastAsia" w:ascii="宋体" w:hAnsi="宋体"/>
          <w:szCs w:val="21"/>
          <w:lang w:val="en-GB"/>
        </w:rPr>
        <w:t>制造商为小型或微型企业时才需要填“制造商企业类型”栏，填写内容为“小型”或“微型”。</w:t>
      </w:r>
    </w:p>
    <w:p>
      <w:pPr>
        <w:pStyle w:val="84"/>
        <w:widowControl/>
        <w:numPr>
          <w:ilvl w:val="0"/>
          <w:numId w:val="17"/>
        </w:numPr>
        <w:tabs>
          <w:tab w:val="left" w:pos="360"/>
        </w:tabs>
        <w:spacing w:line="360" w:lineRule="auto"/>
        <w:ind w:left="360" w:right="84" w:rightChars="40" w:hanging="360"/>
        <w:jc w:val="left"/>
        <w:rPr>
          <w:rFonts w:ascii="宋体" w:hAnsi="宋体"/>
          <w:szCs w:val="21"/>
          <w:lang w:val="en-GB"/>
        </w:rPr>
      </w:pPr>
      <w:r>
        <w:rPr>
          <w:rFonts w:hint="eastAsia" w:ascii="宋体" w:hAnsi="宋体"/>
          <w:szCs w:val="21"/>
          <w:lang w:val="en-GB"/>
        </w:rPr>
        <w:t>请投标人正确填写本表，所填内容将作为评分的依据。其内容或数据应与对应的证明资料相符，如果不一致，可能导致该项的得分为0分。</w:t>
      </w:r>
    </w:p>
    <w:p>
      <w:pPr>
        <w:tabs>
          <w:tab w:val="left" w:pos="1418"/>
        </w:tabs>
        <w:autoSpaceDE w:val="0"/>
        <w:autoSpaceDN w:val="0"/>
        <w:adjustRightInd w:val="0"/>
        <w:spacing w:line="360" w:lineRule="auto"/>
        <w:ind w:firstLine="480" w:firstLineChars="200"/>
        <w:rPr>
          <w:rFonts w:ascii="宋体"/>
          <w:kern w:val="0"/>
          <w:sz w:val="24"/>
          <w:lang w:val="en-GB"/>
        </w:rPr>
      </w:pPr>
    </w:p>
    <w:sectPr>
      <w:head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font>
  <w:font w:name="Arial Unicode MS">
    <w:altName w:val="宋体"/>
    <w:panose1 w:val="020B0604020202020204"/>
    <w:charset w:val="86"/>
    <w:family w:val="swiss"/>
    <w:pitch w:val="default"/>
    <w:sig w:usb0="00000000" w:usb1="00000000" w:usb2="0000003F" w:usb3="00000000" w:csb0="003F01FF"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61007A87" w:usb1="80000000" w:usb2="00000008" w:usb3="00000000" w:csb0="200101FF" w:csb1="20280000"/>
  </w:font>
  <w:font w:name="方正书宋简体">
    <w:altName w:val="宋体"/>
    <w:panose1 w:val="00000000000000000000"/>
    <w:charset w:val="86"/>
    <w:family w:val="script"/>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0F3C52" w:usb2="00000016" w:usb3="00000000" w:csb0="0004001F" w:csb1="00000000"/>
  </w:font>
  <w:font w:name="新宋体">
    <w:panose1 w:val="02010609030101010101"/>
    <w:charset w:val="86"/>
    <w:family w:val="modern"/>
    <w:pitch w:val="default"/>
    <w:sig w:usb0="00000003" w:usb1="080E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Menlo Regular">
    <w:altName w:val="Courier New"/>
    <w:panose1 w:val="00000000000000000000"/>
    <w:charset w:val="00"/>
    <w:family w:val="auto"/>
    <w:pitch w:val="default"/>
    <w:sig w:usb0="00000000" w:usb1="00000000" w:usb2="02000028" w:usb3="00000000" w:csb0="000001DF" w:csb1="00000000"/>
  </w:font>
  <w:font w:name="Batang">
    <w:altName w:val="GulimChe"/>
    <w:panose1 w:val="02030600000101010101"/>
    <w:charset w:val="81"/>
    <w:family w:val="roman"/>
    <w:pitch w:val="default"/>
    <w:sig w:usb0="00000000" w:usb1="00000000" w:usb2="00000030" w:usb3="00000000" w:csb0="0008009F" w:csb1="00000000"/>
  </w:font>
  <w:font w:name="等线">
    <w:altName w:val="宋体"/>
    <w:panose1 w:val="00000000000000000000"/>
    <w:charset w:val="86"/>
    <w:family w:val="auto"/>
    <w:pitch w:val="default"/>
    <w:sig w:usb0="00000000" w:usb1="00000000" w:usb2="00000016" w:usb3="00000000" w:csb0="0004000F" w:csb1="00000000"/>
  </w:font>
  <w:font w:name="Microsoft YaHei UI">
    <w:altName w:val="宋体"/>
    <w:panose1 w:val="00000000000000000000"/>
    <w:charset w:val="86"/>
    <w:family w:val="swiss"/>
    <w:pitch w:val="default"/>
    <w:sig w:usb0="00000000" w:usb1="00000000" w:usb2="00000016" w:usb3="00000000" w:csb0="0004001F" w:csb1="00000000"/>
  </w:font>
  <w:font w:name="Franklin Gothic Book">
    <w:altName w:val="Trebuchet MS"/>
    <w:panose1 w:val="020B0503020102020204"/>
    <w:charset w:val="00"/>
    <w:family w:val="swiss"/>
    <w:pitch w:val="default"/>
    <w:sig w:usb0="00000000" w:usb1="00000000" w:usb2="00000000" w:usb3="00000000" w:csb0="0000009F" w:csb1="00000000"/>
  </w:font>
  <w:font w:name="GulimChe">
    <w:panose1 w:val="020B0609000101010101"/>
    <w:charset w:val="81"/>
    <w:family w:val="auto"/>
    <w:pitch w:val="default"/>
    <w:sig w:usb0="B00002AF" w:usb1="69D77CFB" w:usb2="00000030" w:usb3="00000000" w:csb0="4008009F" w:csb1="DFD70000"/>
  </w:font>
  <w:font w:name="Trebuchet MS">
    <w:panose1 w:val="020B0603020202020204"/>
    <w:charset w:val="00"/>
    <w:family w:val="auto"/>
    <w:pitch w:val="default"/>
    <w:sig w:usb0="000002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 PAGE   \* MERGEFORMAT </w:instrText>
    </w:r>
    <w:r>
      <w:fldChar w:fldCharType="separate"/>
    </w:r>
    <w:r>
      <w:t>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right"/>
    </w:pPr>
    <w:r>
      <w:fldChar w:fldCharType="begin"/>
    </w:r>
    <w:r>
      <w:instrText xml:space="preserve"> PAGE   \* MERGEFORMAT </w:instrText>
    </w:r>
    <w:r>
      <w:fldChar w:fldCharType="separate"/>
    </w:r>
    <w:r>
      <w:rPr>
        <w:lang w:val="zh-CN"/>
      </w:rPr>
      <w:t>143</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right"/>
    </w:pPr>
    <w:r>
      <w:rPr>
        <w:rFonts w:hint="eastAsia"/>
      </w:rPr>
      <w:t>台州市妇女儿童医院（温州医科大学附属第二医院台州院区）数据中心集成技术方案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808080"/>
        <w:w w:val="66"/>
        <w:sz w:val="10"/>
        <w:u w:val="single"/>
      </w:rPr>
    </w:pPr>
    <w:r>
      <w:rPr>
        <w:rFonts w:hint="eastAsia"/>
        <w:b/>
        <w:i/>
        <w:color w:val="808080"/>
        <w:kern w:val="0"/>
        <w:sz w:val="18"/>
        <w:u w:val="single"/>
      </w:rPr>
      <w:t xml:space="preserve">台州市政府采购公开招标文件                                                       </w:t>
    </w:r>
    <w:r>
      <w:rPr>
        <w:rFonts w:hint="eastAsia"/>
        <w:b/>
        <w:i/>
        <w:color w:val="808080"/>
        <w:w w:val="66"/>
        <w:kern w:val="0"/>
        <w:sz w:val="18"/>
        <w:u w:val="single"/>
      </w:rPr>
      <w:t>第</w:t>
    </w:r>
    <w:r>
      <w:rPr>
        <w:b/>
        <w:i/>
        <w:color w:val="808080"/>
        <w:w w:val="66"/>
        <w:kern w:val="0"/>
        <w:sz w:val="18"/>
        <w:u w:val="single"/>
      </w:rPr>
      <w:fldChar w:fldCharType="begin"/>
    </w:r>
    <w:r>
      <w:rPr>
        <w:b/>
        <w:i/>
        <w:color w:val="808080"/>
        <w:w w:val="66"/>
        <w:kern w:val="0"/>
        <w:sz w:val="18"/>
        <w:u w:val="single"/>
      </w:rPr>
      <w:instrText xml:space="preserve"> PAGE </w:instrText>
    </w:r>
    <w:r>
      <w:rPr>
        <w:b/>
        <w:i/>
        <w:color w:val="808080"/>
        <w:w w:val="66"/>
        <w:kern w:val="0"/>
        <w:sz w:val="18"/>
        <w:u w:val="single"/>
      </w:rPr>
      <w:fldChar w:fldCharType="separate"/>
    </w:r>
    <w:r>
      <w:rPr>
        <w:b/>
        <w:i/>
        <w:color w:val="808080"/>
        <w:w w:val="66"/>
        <w:kern w:val="0"/>
        <w:sz w:val="18"/>
        <w:u w:val="single"/>
      </w:rPr>
      <w:t>143</w:t>
    </w:r>
    <w:r>
      <w:rPr>
        <w:b/>
        <w:i/>
        <w:color w:val="808080"/>
        <w:w w:val="66"/>
        <w:kern w:val="0"/>
        <w:sz w:val="18"/>
        <w:u w:val="single"/>
      </w:rPr>
      <w:fldChar w:fldCharType="end"/>
    </w:r>
    <w:r>
      <w:rPr>
        <w:rFonts w:hint="eastAsia"/>
        <w:b/>
        <w:i/>
        <w:color w:val="808080"/>
        <w:w w:val="66"/>
        <w:kern w:val="0"/>
        <w:sz w:val="18"/>
        <w:u w:val="single"/>
      </w:rPr>
      <w:t>页共</w:t>
    </w:r>
    <w:r>
      <w:rPr>
        <w:b/>
        <w:i/>
        <w:color w:val="808080"/>
        <w:w w:val="66"/>
        <w:kern w:val="0"/>
        <w:sz w:val="18"/>
        <w:u w:val="single"/>
      </w:rPr>
      <w:fldChar w:fldCharType="begin"/>
    </w:r>
    <w:r>
      <w:rPr>
        <w:b/>
        <w:i/>
        <w:color w:val="808080"/>
        <w:w w:val="66"/>
        <w:kern w:val="0"/>
        <w:sz w:val="18"/>
        <w:u w:val="single"/>
      </w:rPr>
      <w:instrText xml:space="preserve"> NUMPAGES </w:instrText>
    </w:r>
    <w:r>
      <w:rPr>
        <w:b/>
        <w:i/>
        <w:color w:val="808080"/>
        <w:w w:val="66"/>
        <w:kern w:val="0"/>
        <w:sz w:val="18"/>
        <w:u w:val="single"/>
      </w:rPr>
      <w:fldChar w:fldCharType="separate"/>
    </w:r>
    <w:r>
      <w:rPr>
        <w:b/>
        <w:i/>
        <w:color w:val="808080"/>
        <w:w w:val="66"/>
        <w:kern w:val="0"/>
        <w:sz w:val="18"/>
        <w:u w:val="single"/>
      </w:rPr>
      <w:t>143</w:t>
    </w:r>
    <w:r>
      <w:rPr>
        <w:b/>
        <w:i/>
        <w:color w:val="808080"/>
        <w:w w:val="66"/>
        <w:kern w:val="0"/>
        <w:sz w:val="18"/>
        <w:u w:val="single"/>
      </w:rPr>
      <w:fldChar w:fldCharType="end"/>
    </w:r>
    <w:r>
      <w:rPr>
        <w:rFonts w:hint="eastAsia"/>
        <w:b/>
        <w:i/>
        <w:color w:val="808080"/>
        <w:w w:val="66"/>
        <w:kern w:val="0"/>
        <w:sz w:val="18"/>
        <w:u w:val="single"/>
      </w:rPr>
      <w:t>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975EC"/>
    <w:multiLevelType w:val="multilevel"/>
    <w:tmpl w:val="08E975EC"/>
    <w:lvl w:ilvl="0" w:tentative="0">
      <w:start w:val="1"/>
      <w:numFmt w:val="bullet"/>
      <w:lvlText w:val=""/>
      <w:lvlJc w:val="left"/>
      <w:pPr>
        <w:ind w:left="965" w:hanging="420"/>
      </w:pPr>
      <w:rPr>
        <w:rFonts w:hint="default" w:ascii="Wingdings" w:hAnsi="Wingdings"/>
      </w:rPr>
    </w:lvl>
    <w:lvl w:ilvl="1" w:tentative="0">
      <w:start w:val="1"/>
      <w:numFmt w:val="bullet"/>
      <w:lvlText w:val=""/>
      <w:lvlJc w:val="left"/>
      <w:pPr>
        <w:ind w:left="1385" w:hanging="420"/>
      </w:pPr>
      <w:rPr>
        <w:rFonts w:hint="default" w:ascii="Wingdings" w:hAnsi="Wingdings"/>
      </w:rPr>
    </w:lvl>
    <w:lvl w:ilvl="2" w:tentative="0">
      <w:start w:val="1"/>
      <w:numFmt w:val="bullet"/>
      <w:lvlText w:val=""/>
      <w:lvlJc w:val="left"/>
      <w:pPr>
        <w:ind w:left="1805" w:hanging="420"/>
      </w:pPr>
      <w:rPr>
        <w:rFonts w:hint="default" w:ascii="Wingdings" w:hAnsi="Wingdings"/>
      </w:rPr>
    </w:lvl>
    <w:lvl w:ilvl="3" w:tentative="0">
      <w:start w:val="1"/>
      <w:numFmt w:val="bullet"/>
      <w:lvlText w:val=""/>
      <w:lvlJc w:val="left"/>
      <w:pPr>
        <w:ind w:left="2225" w:hanging="420"/>
      </w:pPr>
      <w:rPr>
        <w:rFonts w:hint="default" w:ascii="Wingdings" w:hAnsi="Wingdings"/>
      </w:rPr>
    </w:lvl>
    <w:lvl w:ilvl="4" w:tentative="0">
      <w:start w:val="1"/>
      <w:numFmt w:val="bullet"/>
      <w:lvlText w:val=""/>
      <w:lvlJc w:val="left"/>
      <w:pPr>
        <w:ind w:left="2645" w:hanging="420"/>
      </w:pPr>
      <w:rPr>
        <w:rFonts w:hint="default" w:ascii="Wingdings" w:hAnsi="Wingdings"/>
      </w:rPr>
    </w:lvl>
    <w:lvl w:ilvl="5" w:tentative="0">
      <w:start w:val="1"/>
      <w:numFmt w:val="bullet"/>
      <w:lvlText w:val=""/>
      <w:lvlJc w:val="left"/>
      <w:pPr>
        <w:ind w:left="3065" w:hanging="420"/>
      </w:pPr>
      <w:rPr>
        <w:rFonts w:hint="default" w:ascii="Wingdings" w:hAnsi="Wingdings"/>
      </w:rPr>
    </w:lvl>
    <w:lvl w:ilvl="6" w:tentative="0">
      <w:start w:val="1"/>
      <w:numFmt w:val="bullet"/>
      <w:lvlText w:val=""/>
      <w:lvlJc w:val="left"/>
      <w:pPr>
        <w:ind w:left="3485" w:hanging="420"/>
      </w:pPr>
      <w:rPr>
        <w:rFonts w:hint="default" w:ascii="Wingdings" w:hAnsi="Wingdings"/>
      </w:rPr>
    </w:lvl>
    <w:lvl w:ilvl="7" w:tentative="0">
      <w:start w:val="1"/>
      <w:numFmt w:val="bullet"/>
      <w:lvlText w:val=""/>
      <w:lvlJc w:val="left"/>
      <w:pPr>
        <w:ind w:left="3905" w:hanging="420"/>
      </w:pPr>
      <w:rPr>
        <w:rFonts w:hint="default" w:ascii="Wingdings" w:hAnsi="Wingdings"/>
      </w:rPr>
    </w:lvl>
    <w:lvl w:ilvl="8" w:tentative="0">
      <w:start w:val="1"/>
      <w:numFmt w:val="bullet"/>
      <w:lvlText w:val=""/>
      <w:lvlJc w:val="left"/>
      <w:pPr>
        <w:ind w:left="4325" w:hanging="420"/>
      </w:pPr>
      <w:rPr>
        <w:rFonts w:hint="default" w:ascii="Wingdings" w:hAnsi="Wingdings"/>
      </w:rPr>
    </w:lvl>
  </w:abstractNum>
  <w:abstractNum w:abstractNumId="1">
    <w:nsid w:val="153A0021"/>
    <w:multiLevelType w:val="multilevel"/>
    <w:tmpl w:val="153A0021"/>
    <w:lvl w:ilvl="0" w:tentative="0">
      <w:start w:val="1"/>
      <w:numFmt w:val="decimal"/>
      <w:lvlText w:val="（%1）"/>
      <w:lvlJc w:val="left"/>
      <w:pPr>
        <w:tabs>
          <w:tab w:val="left" w:pos="1200"/>
        </w:tabs>
        <w:ind w:left="1200" w:hanging="72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
    <w:nsid w:val="18E9688C"/>
    <w:multiLevelType w:val="multilevel"/>
    <w:tmpl w:val="18E9688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08A7ABE"/>
    <w:multiLevelType w:val="multilevel"/>
    <w:tmpl w:val="208A7ABE"/>
    <w:lvl w:ilvl="0" w:tentative="0">
      <w:start w:val="1"/>
      <w:numFmt w:val="decimal"/>
      <w:pStyle w:val="105"/>
      <w:suff w:val="space"/>
      <w:lvlText w:val="表%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2E175C53"/>
    <w:multiLevelType w:val="multilevel"/>
    <w:tmpl w:val="2E175C53"/>
    <w:lvl w:ilvl="0" w:tentative="0">
      <w:start w:val="1"/>
      <w:numFmt w:val="bullet"/>
      <w:lvlText w:val=""/>
      <w:lvlJc w:val="left"/>
      <w:pPr>
        <w:ind w:left="987" w:hanging="420"/>
      </w:pPr>
      <w:rPr>
        <w:rFonts w:hint="default" w:ascii="Wingdings" w:hAnsi="Wingdings"/>
      </w:rPr>
    </w:lvl>
    <w:lvl w:ilvl="1" w:tentative="0">
      <w:start w:val="1"/>
      <w:numFmt w:val="bullet"/>
      <w:lvlText w:val=""/>
      <w:lvlJc w:val="left"/>
      <w:pPr>
        <w:ind w:left="1407" w:hanging="420"/>
      </w:pPr>
      <w:rPr>
        <w:rFonts w:hint="default" w:ascii="Wingdings" w:hAnsi="Wingdings"/>
      </w:rPr>
    </w:lvl>
    <w:lvl w:ilvl="2" w:tentative="0">
      <w:start w:val="1"/>
      <w:numFmt w:val="bullet"/>
      <w:lvlText w:val=""/>
      <w:lvlJc w:val="left"/>
      <w:pPr>
        <w:ind w:left="1827" w:hanging="420"/>
      </w:pPr>
      <w:rPr>
        <w:rFonts w:hint="default" w:ascii="Wingdings" w:hAnsi="Wingdings"/>
      </w:rPr>
    </w:lvl>
    <w:lvl w:ilvl="3" w:tentative="0">
      <w:start w:val="1"/>
      <w:numFmt w:val="bullet"/>
      <w:lvlText w:val=""/>
      <w:lvlJc w:val="left"/>
      <w:pPr>
        <w:ind w:left="2247" w:hanging="420"/>
      </w:pPr>
      <w:rPr>
        <w:rFonts w:hint="default" w:ascii="Wingdings" w:hAnsi="Wingdings"/>
      </w:rPr>
    </w:lvl>
    <w:lvl w:ilvl="4" w:tentative="0">
      <w:start w:val="1"/>
      <w:numFmt w:val="bullet"/>
      <w:lvlText w:val=""/>
      <w:lvlJc w:val="left"/>
      <w:pPr>
        <w:ind w:left="2667" w:hanging="420"/>
      </w:pPr>
      <w:rPr>
        <w:rFonts w:hint="default" w:ascii="Wingdings" w:hAnsi="Wingdings"/>
      </w:rPr>
    </w:lvl>
    <w:lvl w:ilvl="5" w:tentative="0">
      <w:start w:val="1"/>
      <w:numFmt w:val="bullet"/>
      <w:lvlText w:val=""/>
      <w:lvlJc w:val="left"/>
      <w:pPr>
        <w:ind w:left="3087" w:hanging="420"/>
      </w:pPr>
      <w:rPr>
        <w:rFonts w:hint="default" w:ascii="Wingdings" w:hAnsi="Wingdings"/>
      </w:rPr>
    </w:lvl>
    <w:lvl w:ilvl="6" w:tentative="0">
      <w:start w:val="1"/>
      <w:numFmt w:val="bullet"/>
      <w:lvlText w:val=""/>
      <w:lvlJc w:val="left"/>
      <w:pPr>
        <w:ind w:left="3507" w:hanging="420"/>
      </w:pPr>
      <w:rPr>
        <w:rFonts w:hint="default" w:ascii="Wingdings" w:hAnsi="Wingdings"/>
      </w:rPr>
    </w:lvl>
    <w:lvl w:ilvl="7" w:tentative="0">
      <w:start w:val="1"/>
      <w:numFmt w:val="bullet"/>
      <w:lvlText w:val=""/>
      <w:lvlJc w:val="left"/>
      <w:pPr>
        <w:ind w:left="3927" w:hanging="420"/>
      </w:pPr>
      <w:rPr>
        <w:rFonts w:hint="default" w:ascii="Wingdings" w:hAnsi="Wingdings"/>
      </w:rPr>
    </w:lvl>
    <w:lvl w:ilvl="8" w:tentative="0">
      <w:start w:val="1"/>
      <w:numFmt w:val="bullet"/>
      <w:lvlText w:val=""/>
      <w:lvlJc w:val="left"/>
      <w:pPr>
        <w:ind w:left="4347" w:hanging="420"/>
      </w:pPr>
      <w:rPr>
        <w:rFonts w:hint="default" w:ascii="Wingdings" w:hAnsi="Wingdings"/>
      </w:rPr>
    </w:lvl>
  </w:abstractNum>
  <w:abstractNum w:abstractNumId="5">
    <w:nsid w:val="2EC56F72"/>
    <w:multiLevelType w:val="multilevel"/>
    <w:tmpl w:val="2EC56F72"/>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
    <w:nsid w:val="30AF59D6"/>
    <w:multiLevelType w:val="multilevel"/>
    <w:tmpl w:val="30AF59D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3B363D98"/>
    <w:multiLevelType w:val="multilevel"/>
    <w:tmpl w:val="3B363D98"/>
    <w:lvl w:ilvl="0" w:tentative="0">
      <w:start w:val="1"/>
      <w:numFmt w:val="decimal"/>
      <w:pStyle w:val="12"/>
      <w:suff w:val="space"/>
      <w:lvlText w:val="图%1."/>
      <w:lvlJc w:val="left"/>
      <w:pPr>
        <w:ind w:left="2263" w:hanging="4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16"/>
        <w:szCs w:val="0"/>
        <w:u w:val="none" w:color="000000"/>
        <w:shd w:val="clear" w:color="000000" w:fill="000000"/>
        <w:vertAlign w:val="baseline"/>
      </w:r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8">
    <w:nsid w:val="471E06A1"/>
    <w:multiLevelType w:val="singleLevel"/>
    <w:tmpl w:val="471E06A1"/>
    <w:lvl w:ilvl="0" w:tentative="0">
      <w:start w:val="1"/>
      <w:numFmt w:val="japaneseCounting"/>
      <w:lvlText w:val="%1、"/>
      <w:lvlJc w:val="left"/>
      <w:pPr>
        <w:tabs>
          <w:tab w:val="left" w:pos="960"/>
        </w:tabs>
        <w:ind w:left="960" w:hanging="600"/>
      </w:pPr>
      <w:rPr>
        <w:rFonts w:hint="eastAsia"/>
      </w:rPr>
    </w:lvl>
  </w:abstractNum>
  <w:abstractNum w:abstractNumId="9">
    <w:nsid w:val="539B1D2F"/>
    <w:multiLevelType w:val="multilevel"/>
    <w:tmpl w:val="539B1D2F"/>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0">
    <w:nsid w:val="55573CED"/>
    <w:multiLevelType w:val="multilevel"/>
    <w:tmpl w:val="55573CE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67A1D6C"/>
    <w:multiLevelType w:val="singleLevel"/>
    <w:tmpl w:val="567A1D6C"/>
    <w:lvl w:ilvl="0" w:tentative="0">
      <w:start w:val="1"/>
      <w:numFmt w:val="decimalEnclosedCircleChinese"/>
      <w:suff w:val="nothing"/>
      <w:lvlText w:val="%1　"/>
      <w:lvlJc w:val="left"/>
      <w:pPr>
        <w:ind w:left="26" w:firstLine="400"/>
      </w:pPr>
      <w:rPr>
        <w:rFonts w:hint="eastAsia"/>
      </w:rPr>
    </w:lvl>
  </w:abstractNum>
  <w:abstractNum w:abstractNumId="12">
    <w:nsid w:val="5922F39E"/>
    <w:multiLevelType w:val="singleLevel"/>
    <w:tmpl w:val="5922F39E"/>
    <w:lvl w:ilvl="0" w:tentative="0">
      <w:start w:val="1"/>
      <w:numFmt w:val="decimal"/>
      <w:lvlText w:val="%1)"/>
      <w:lvlJc w:val="left"/>
      <w:pPr>
        <w:ind w:left="425" w:hanging="425"/>
      </w:pPr>
      <w:rPr>
        <w:rFonts w:hint="default"/>
      </w:rPr>
    </w:lvl>
  </w:abstractNum>
  <w:abstractNum w:abstractNumId="13">
    <w:nsid w:val="59F147CC"/>
    <w:multiLevelType w:val="singleLevel"/>
    <w:tmpl w:val="59F147CC"/>
    <w:lvl w:ilvl="0" w:tentative="0">
      <w:start w:val="2"/>
      <w:numFmt w:val="chineseCounting"/>
      <w:suff w:val="nothing"/>
      <w:lvlText w:val="%1、"/>
      <w:lvlJc w:val="left"/>
    </w:lvl>
  </w:abstractNum>
  <w:abstractNum w:abstractNumId="14">
    <w:nsid w:val="62B50A3F"/>
    <w:multiLevelType w:val="multilevel"/>
    <w:tmpl w:val="62B50A3F"/>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5">
    <w:nsid w:val="6E6F6101"/>
    <w:multiLevelType w:val="multilevel"/>
    <w:tmpl w:val="6E6F6101"/>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4"/>
        </w:tabs>
        <w:ind w:left="-4" w:hanging="420"/>
      </w:pPr>
    </w:lvl>
    <w:lvl w:ilvl="2" w:tentative="0">
      <w:start w:val="1"/>
      <w:numFmt w:val="lowerRoman"/>
      <w:lvlText w:val="%3."/>
      <w:lvlJc w:val="right"/>
      <w:pPr>
        <w:tabs>
          <w:tab w:val="left" w:pos="416"/>
        </w:tabs>
        <w:ind w:left="416" w:hanging="420"/>
      </w:pPr>
    </w:lvl>
    <w:lvl w:ilvl="3" w:tentative="0">
      <w:start w:val="1"/>
      <w:numFmt w:val="decimal"/>
      <w:lvlText w:val="%4."/>
      <w:lvlJc w:val="left"/>
      <w:pPr>
        <w:tabs>
          <w:tab w:val="left" w:pos="836"/>
        </w:tabs>
        <w:ind w:left="836" w:hanging="420"/>
      </w:pPr>
    </w:lvl>
    <w:lvl w:ilvl="4" w:tentative="0">
      <w:start w:val="1"/>
      <w:numFmt w:val="lowerLetter"/>
      <w:lvlText w:val="%5)"/>
      <w:lvlJc w:val="left"/>
      <w:pPr>
        <w:tabs>
          <w:tab w:val="left" w:pos="1256"/>
        </w:tabs>
        <w:ind w:left="1256" w:hanging="420"/>
      </w:pPr>
    </w:lvl>
    <w:lvl w:ilvl="5" w:tentative="0">
      <w:start w:val="1"/>
      <w:numFmt w:val="lowerRoman"/>
      <w:lvlText w:val="%6."/>
      <w:lvlJc w:val="right"/>
      <w:pPr>
        <w:tabs>
          <w:tab w:val="left" w:pos="1676"/>
        </w:tabs>
        <w:ind w:left="1676" w:hanging="420"/>
      </w:pPr>
    </w:lvl>
    <w:lvl w:ilvl="6" w:tentative="0">
      <w:start w:val="1"/>
      <w:numFmt w:val="decimal"/>
      <w:lvlText w:val="%7."/>
      <w:lvlJc w:val="left"/>
      <w:pPr>
        <w:tabs>
          <w:tab w:val="left" w:pos="2096"/>
        </w:tabs>
        <w:ind w:left="2096" w:hanging="420"/>
      </w:pPr>
    </w:lvl>
    <w:lvl w:ilvl="7" w:tentative="0">
      <w:start w:val="1"/>
      <w:numFmt w:val="lowerLetter"/>
      <w:lvlText w:val="%8)"/>
      <w:lvlJc w:val="left"/>
      <w:pPr>
        <w:tabs>
          <w:tab w:val="left" w:pos="2516"/>
        </w:tabs>
        <w:ind w:left="2516" w:hanging="420"/>
      </w:pPr>
    </w:lvl>
    <w:lvl w:ilvl="8" w:tentative="0">
      <w:start w:val="1"/>
      <w:numFmt w:val="lowerRoman"/>
      <w:lvlText w:val="%9."/>
      <w:lvlJc w:val="right"/>
      <w:pPr>
        <w:tabs>
          <w:tab w:val="left" w:pos="2936"/>
        </w:tabs>
        <w:ind w:left="2936" w:hanging="420"/>
      </w:pPr>
    </w:lvl>
  </w:abstractNum>
  <w:abstractNum w:abstractNumId="16">
    <w:nsid w:val="71DB2D93"/>
    <w:multiLevelType w:val="multilevel"/>
    <w:tmpl w:val="71DB2D9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3"/>
  </w:num>
  <w:num w:numId="3">
    <w:abstractNumId w:val="8"/>
  </w:num>
  <w:num w:numId="4">
    <w:abstractNumId w:val="13"/>
  </w:num>
  <w:num w:numId="5">
    <w:abstractNumId w:val="2"/>
  </w:num>
  <w:num w:numId="6">
    <w:abstractNumId w:val="0"/>
  </w:num>
  <w:num w:numId="7">
    <w:abstractNumId w:val="6"/>
  </w:num>
  <w:num w:numId="8">
    <w:abstractNumId w:val="9"/>
  </w:num>
  <w:num w:numId="9">
    <w:abstractNumId w:val="4"/>
  </w:num>
  <w:num w:numId="10">
    <w:abstractNumId w:val="5"/>
  </w:num>
  <w:num w:numId="11">
    <w:abstractNumId w:val="16"/>
  </w:num>
  <w:num w:numId="12">
    <w:abstractNumId w:val="10"/>
  </w:num>
  <w:num w:numId="13">
    <w:abstractNumId w:val="12"/>
  </w:num>
  <w:num w:numId="14">
    <w:abstractNumId w:val="11"/>
  </w:num>
  <w:num w:numId="15">
    <w:abstractNumId w:val="14"/>
  </w:num>
  <w:num w:numId="16">
    <w:abstractNumId w:val="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405A8"/>
    <w:rsid w:val="00022263"/>
    <w:rsid w:val="00025ACA"/>
    <w:rsid w:val="00027BF6"/>
    <w:rsid w:val="00037EA6"/>
    <w:rsid w:val="0004278F"/>
    <w:rsid w:val="00052DD3"/>
    <w:rsid w:val="000615F0"/>
    <w:rsid w:val="000620AF"/>
    <w:rsid w:val="0006587C"/>
    <w:rsid w:val="000713C9"/>
    <w:rsid w:val="0009309E"/>
    <w:rsid w:val="000B5415"/>
    <w:rsid w:val="000E542A"/>
    <w:rsid w:val="000F165D"/>
    <w:rsid w:val="00104C23"/>
    <w:rsid w:val="0010531B"/>
    <w:rsid w:val="00105C76"/>
    <w:rsid w:val="0010681D"/>
    <w:rsid w:val="0012113D"/>
    <w:rsid w:val="0012627A"/>
    <w:rsid w:val="00126850"/>
    <w:rsid w:val="00134B70"/>
    <w:rsid w:val="00164718"/>
    <w:rsid w:val="00165D58"/>
    <w:rsid w:val="001721E3"/>
    <w:rsid w:val="00172EA1"/>
    <w:rsid w:val="0017551C"/>
    <w:rsid w:val="0017611E"/>
    <w:rsid w:val="00195E12"/>
    <w:rsid w:val="001A000F"/>
    <w:rsid w:val="001A2CF4"/>
    <w:rsid w:val="001D2CCF"/>
    <w:rsid w:val="001E3718"/>
    <w:rsid w:val="001F3FAD"/>
    <w:rsid w:val="001F51EC"/>
    <w:rsid w:val="00213B21"/>
    <w:rsid w:val="00217BEF"/>
    <w:rsid w:val="00220062"/>
    <w:rsid w:val="00234389"/>
    <w:rsid w:val="002379E1"/>
    <w:rsid w:val="00243DB0"/>
    <w:rsid w:val="002448DB"/>
    <w:rsid w:val="002461F5"/>
    <w:rsid w:val="0025606B"/>
    <w:rsid w:val="00263DEF"/>
    <w:rsid w:val="002935F5"/>
    <w:rsid w:val="00293B94"/>
    <w:rsid w:val="00295540"/>
    <w:rsid w:val="00296224"/>
    <w:rsid w:val="002A6433"/>
    <w:rsid w:val="002B1BFD"/>
    <w:rsid w:val="002B435C"/>
    <w:rsid w:val="002B7B13"/>
    <w:rsid w:val="002C2B1C"/>
    <w:rsid w:val="002C675D"/>
    <w:rsid w:val="002D3BC5"/>
    <w:rsid w:val="002E28D6"/>
    <w:rsid w:val="002F21C2"/>
    <w:rsid w:val="00316E11"/>
    <w:rsid w:val="00324D74"/>
    <w:rsid w:val="0033170F"/>
    <w:rsid w:val="003418D7"/>
    <w:rsid w:val="00344094"/>
    <w:rsid w:val="00344A6D"/>
    <w:rsid w:val="00344BDA"/>
    <w:rsid w:val="0035398C"/>
    <w:rsid w:val="00380F09"/>
    <w:rsid w:val="00392157"/>
    <w:rsid w:val="00396A36"/>
    <w:rsid w:val="003A0C14"/>
    <w:rsid w:val="003B04A8"/>
    <w:rsid w:val="003B602B"/>
    <w:rsid w:val="003C7B54"/>
    <w:rsid w:val="003D7D3E"/>
    <w:rsid w:val="003E0B5B"/>
    <w:rsid w:val="003F0FE3"/>
    <w:rsid w:val="003F63FB"/>
    <w:rsid w:val="00400948"/>
    <w:rsid w:val="00401329"/>
    <w:rsid w:val="00402713"/>
    <w:rsid w:val="00411D7E"/>
    <w:rsid w:val="00435121"/>
    <w:rsid w:val="00442806"/>
    <w:rsid w:val="0045231F"/>
    <w:rsid w:val="0045502B"/>
    <w:rsid w:val="004552EF"/>
    <w:rsid w:val="00466FC8"/>
    <w:rsid w:val="00467830"/>
    <w:rsid w:val="0047238E"/>
    <w:rsid w:val="004A1861"/>
    <w:rsid w:val="004A54E6"/>
    <w:rsid w:val="004B6C54"/>
    <w:rsid w:val="004C0377"/>
    <w:rsid w:val="004C28EC"/>
    <w:rsid w:val="004E1D76"/>
    <w:rsid w:val="004E1EC2"/>
    <w:rsid w:val="004F24E8"/>
    <w:rsid w:val="004F2532"/>
    <w:rsid w:val="00501321"/>
    <w:rsid w:val="005027FC"/>
    <w:rsid w:val="00511336"/>
    <w:rsid w:val="00521A12"/>
    <w:rsid w:val="005315D8"/>
    <w:rsid w:val="0055254C"/>
    <w:rsid w:val="005544AE"/>
    <w:rsid w:val="00556911"/>
    <w:rsid w:val="005669C4"/>
    <w:rsid w:val="00566B8B"/>
    <w:rsid w:val="00577970"/>
    <w:rsid w:val="0058133B"/>
    <w:rsid w:val="005908E4"/>
    <w:rsid w:val="005A3043"/>
    <w:rsid w:val="005A412C"/>
    <w:rsid w:val="005B785D"/>
    <w:rsid w:val="005D0D14"/>
    <w:rsid w:val="005D3ECF"/>
    <w:rsid w:val="005E5931"/>
    <w:rsid w:val="005E7F96"/>
    <w:rsid w:val="005F6B70"/>
    <w:rsid w:val="0060299E"/>
    <w:rsid w:val="00607BAE"/>
    <w:rsid w:val="00621E7D"/>
    <w:rsid w:val="0062319C"/>
    <w:rsid w:val="006238B4"/>
    <w:rsid w:val="006307DF"/>
    <w:rsid w:val="00634ED5"/>
    <w:rsid w:val="006361FB"/>
    <w:rsid w:val="00652618"/>
    <w:rsid w:val="00653FF0"/>
    <w:rsid w:val="006629EA"/>
    <w:rsid w:val="00681347"/>
    <w:rsid w:val="0068468E"/>
    <w:rsid w:val="006911C4"/>
    <w:rsid w:val="006A4E5A"/>
    <w:rsid w:val="006A5EC7"/>
    <w:rsid w:val="006A683A"/>
    <w:rsid w:val="006B00EB"/>
    <w:rsid w:val="006C6413"/>
    <w:rsid w:val="006E0007"/>
    <w:rsid w:val="006E3B72"/>
    <w:rsid w:val="006F152A"/>
    <w:rsid w:val="006F3597"/>
    <w:rsid w:val="006F62D9"/>
    <w:rsid w:val="00720F75"/>
    <w:rsid w:val="007325C5"/>
    <w:rsid w:val="00736382"/>
    <w:rsid w:val="00741927"/>
    <w:rsid w:val="0075435D"/>
    <w:rsid w:val="00770A35"/>
    <w:rsid w:val="007930AB"/>
    <w:rsid w:val="007973AB"/>
    <w:rsid w:val="007B4EAF"/>
    <w:rsid w:val="007C2F94"/>
    <w:rsid w:val="007D73A0"/>
    <w:rsid w:val="007E7846"/>
    <w:rsid w:val="00810AA3"/>
    <w:rsid w:val="0081415D"/>
    <w:rsid w:val="008201B7"/>
    <w:rsid w:val="008405A8"/>
    <w:rsid w:val="008424A4"/>
    <w:rsid w:val="00844B0B"/>
    <w:rsid w:val="00853C74"/>
    <w:rsid w:val="00860996"/>
    <w:rsid w:val="00861838"/>
    <w:rsid w:val="00862C88"/>
    <w:rsid w:val="00867341"/>
    <w:rsid w:val="00867465"/>
    <w:rsid w:val="00872976"/>
    <w:rsid w:val="008747E6"/>
    <w:rsid w:val="008A08DC"/>
    <w:rsid w:val="008B04F9"/>
    <w:rsid w:val="008B68B1"/>
    <w:rsid w:val="008B68C0"/>
    <w:rsid w:val="008C182A"/>
    <w:rsid w:val="008D49C2"/>
    <w:rsid w:val="008E3F92"/>
    <w:rsid w:val="008E6B15"/>
    <w:rsid w:val="00933513"/>
    <w:rsid w:val="00937771"/>
    <w:rsid w:val="00941C48"/>
    <w:rsid w:val="009510CD"/>
    <w:rsid w:val="00952A8B"/>
    <w:rsid w:val="00955879"/>
    <w:rsid w:val="0096012F"/>
    <w:rsid w:val="009634B0"/>
    <w:rsid w:val="00971C8F"/>
    <w:rsid w:val="0097212B"/>
    <w:rsid w:val="0098331B"/>
    <w:rsid w:val="0099402D"/>
    <w:rsid w:val="009952C6"/>
    <w:rsid w:val="00997F4D"/>
    <w:rsid w:val="009A0DCF"/>
    <w:rsid w:val="009C37A3"/>
    <w:rsid w:val="009C5513"/>
    <w:rsid w:val="009D06EC"/>
    <w:rsid w:val="009D31D2"/>
    <w:rsid w:val="009D5137"/>
    <w:rsid w:val="009D6185"/>
    <w:rsid w:val="009E2711"/>
    <w:rsid w:val="009E3251"/>
    <w:rsid w:val="009E726A"/>
    <w:rsid w:val="009F6D79"/>
    <w:rsid w:val="00A02CA5"/>
    <w:rsid w:val="00A04F3E"/>
    <w:rsid w:val="00A076C8"/>
    <w:rsid w:val="00A10DB7"/>
    <w:rsid w:val="00A10F8E"/>
    <w:rsid w:val="00A12C22"/>
    <w:rsid w:val="00A315A2"/>
    <w:rsid w:val="00A34619"/>
    <w:rsid w:val="00A46C30"/>
    <w:rsid w:val="00A56539"/>
    <w:rsid w:val="00A60742"/>
    <w:rsid w:val="00A62390"/>
    <w:rsid w:val="00A673BA"/>
    <w:rsid w:val="00A7094F"/>
    <w:rsid w:val="00A720E7"/>
    <w:rsid w:val="00A865B0"/>
    <w:rsid w:val="00A903DA"/>
    <w:rsid w:val="00A96F5B"/>
    <w:rsid w:val="00AA6B9B"/>
    <w:rsid w:val="00AC20B7"/>
    <w:rsid w:val="00AC291D"/>
    <w:rsid w:val="00AD5309"/>
    <w:rsid w:val="00B01B2E"/>
    <w:rsid w:val="00B141A7"/>
    <w:rsid w:val="00B161BD"/>
    <w:rsid w:val="00B16842"/>
    <w:rsid w:val="00B25315"/>
    <w:rsid w:val="00B30BCE"/>
    <w:rsid w:val="00B31A3F"/>
    <w:rsid w:val="00B31EF4"/>
    <w:rsid w:val="00B40681"/>
    <w:rsid w:val="00B467EF"/>
    <w:rsid w:val="00B50DA1"/>
    <w:rsid w:val="00B73CDF"/>
    <w:rsid w:val="00B7573C"/>
    <w:rsid w:val="00B84140"/>
    <w:rsid w:val="00B95129"/>
    <w:rsid w:val="00BA1F81"/>
    <w:rsid w:val="00BB72D0"/>
    <w:rsid w:val="00BC4C06"/>
    <w:rsid w:val="00BE5FF5"/>
    <w:rsid w:val="00BF1C2C"/>
    <w:rsid w:val="00BF69DD"/>
    <w:rsid w:val="00BF6DA9"/>
    <w:rsid w:val="00C0268D"/>
    <w:rsid w:val="00C02D81"/>
    <w:rsid w:val="00C36019"/>
    <w:rsid w:val="00C55DD2"/>
    <w:rsid w:val="00C6517E"/>
    <w:rsid w:val="00C704A3"/>
    <w:rsid w:val="00C712CF"/>
    <w:rsid w:val="00C736CB"/>
    <w:rsid w:val="00C753D2"/>
    <w:rsid w:val="00C82EF6"/>
    <w:rsid w:val="00CA084C"/>
    <w:rsid w:val="00CB0EC5"/>
    <w:rsid w:val="00CB75EE"/>
    <w:rsid w:val="00CC1CD7"/>
    <w:rsid w:val="00CC6C4F"/>
    <w:rsid w:val="00CD3D57"/>
    <w:rsid w:val="00CE34C4"/>
    <w:rsid w:val="00CE6EB7"/>
    <w:rsid w:val="00CF46D6"/>
    <w:rsid w:val="00D009C8"/>
    <w:rsid w:val="00D32395"/>
    <w:rsid w:val="00D36BDA"/>
    <w:rsid w:val="00D37F78"/>
    <w:rsid w:val="00D514A4"/>
    <w:rsid w:val="00D62E72"/>
    <w:rsid w:val="00D64823"/>
    <w:rsid w:val="00D66C88"/>
    <w:rsid w:val="00D7411D"/>
    <w:rsid w:val="00D75456"/>
    <w:rsid w:val="00D81947"/>
    <w:rsid w:val="00D86617"/>
    <w:rsid w:val="00D878B6"/>
    <w:rsid w:val="00DA405A"/>
    <w:rsid w:val="00DB07C5"/>
    <w:rsid w:val="00DB373B"/>
    <w:rsid w:val="00DE56D5"/>
    <w:rsid w:val="00DE67D1"/>
    <w:rsid w:val="00DF4725"/>
    <w:rsid w:val="00E11200"/>
    <w:rsid w:val="00E15AA4"/>
    <w:rsid w:val="00E22651"/>
    <w:rsid w:val="00E2626C"/>
    <w:rsid w:val="00E311E4"/>
    <w:rsid w:val="00E32797"/>
    <w:rsid w:val="00E340E6"/>
    <w:rsid w:val="00E406B7"/>
    <w:rsid w:val="00E430E0"/>
    <w:rsid w:val="00E45CCD"/>
    <w:rsid w:val="00E50AC2"/>
    <w:rsid w:val="00E56A3A"/>
    <w:rsid w:val="00E64E30"/>
    <w:rsid w:val="00E70648"/>
    <w:rsid w:val="00E81CC5"/>
    <w:rsid w:val="00E91CD9"/>
    <w:rsid w:val="00EA1786"/>
    <w:rsid w:val="00EA4699"/>
    <w:rsid w:val="00EC7143"/>
    <w:rsid w:val="00EE1D85"/>
    <w:rsid w:val="00EE3F48"/>
    <w:rsid w:val="00F01A88"/>
    <w:rsid w:val="00F32C3F"/>
    <w:rsid w:val="00F352A7"/>
    <w:rsid w:val="00F43591"/>
    <w:rsid w:val="00F44BD5"/>
    <w:rsid w:val="00F4615B"/>
    <w:rsid w:val="00F73C49"/>
    <w:rsid w:val="00F8362D"/>
    <w:rsid w:val="00F94996"/>
    <w:rsid w:val="00F964D1"/>
    <w:rsid w:val="00FA0356"/>
    <w:rsid w:val="00FA1D43"/>
    <w:rsid w:val="00FC1405"/>
    <w:rsid w:val="00FC70CB"/>
    <w:rsid w:val="00FD7F0F"/>
    <w:rsid w:val="00FF6ABD"/>
    <w:rsid w:val="00FF6BD5"/>
    <w:rsid w:val="01442D42"/>
    <w:rsid w:val="024A2CD2"/>
    <w:rsid w:val="02A57550"/>
    <w:rsid w:val="02A8260D"/>
    <w:rsid w:val="03182F06"/>
    <w:rsid w:val="031A00FA"/>
    <w:rsid w:val="0505437B"/>
    <w:rsid w:val="053112EB"/>
    <w:rsid w:val="05377612"/>
    <w:rsid w:val="054A5039"/>
    <w:rsid w:val="05EB75B3"/>
    <w:rsid w:val="07602AF5"/>
    <w:rsid w:val="07DA7A9C"/>
    <w:rsid w:val="08B545D8"/>
    <w:rsid w:val="09752358"/>
    <w:rsid w:val="09EB748F"/>
    <w:rsid w:val="0A2D4CB1"/>
    <w:rsid w:val="0A913E47"/>
    <w:rsid w:val="0AAF758C"/>
    <w:rsid w:val="0C3D2F97"/>
    <w:rsid w:val="0C756184"/>
    <w:rsid w:val="0DB94AA5"/>
    <w:rsid w:val="0E803918"/>
    <w:rsid w:val="0F26575D"/>
    <w:rsid w:val="0F3257BC"/>
    <w:rsid w:val="0FCC625F"/>
    <w:rsid w:val="10540700"/>
    <w:rsid w:val="108F61D1"/>
    <w:rsid w:val="10F97CE8"/>
    <w:rsid w:val="11C35858"/>
    <w:rsid w:val="12E21278"/>
    <w:rsid w:val="13B46D28"/>
    <w:rsid w:val="140C1C41"/>
    <w:rsid w:val="153E4C6A"/>
    <w:rsid w:val="15CE6279"/>
    <w:rsid w:val="15EA273D"/>
    <w:rsid w:val="166359D1"/>
    <w:rsid w:val="16BC266D"/>
    <w:rsid w:val="18071501"/>
    <w:rsid w:val="1831287B"/>
    <w:rsid w:val="18CA37E0"/>
    <w:rsid w:val="195952DB"/>
    <w:rsid w:val="1A9B7C2A"/>
    <w:rsid w:val="1AFA397D"/>
    <w:rsid w:val="1B4F64A0"/>
    <w:rsid w:val="1B8B1502"/>
    <w:rsid w:val="1BC64D22"/>
    <w:rsid w:val="1BD625A4"/>
    <w:rsid w:val="1C141999"/>
    <w:rsid w:val="1C894D0E"/>
    <w:rsid w:val="1D034B56"/>
    <w:rsid w:val="1D6F0FEF"/>
    <w:rsid w:val="1DBC42F0"/>
    <w:rsid w:val="1E500B0C"/>
    <w:rsid w:val="1F802618"/>
    <w:rsid w:val="215706A4"/>
    <w:rsid w:val="225F56FA"/>
    <w:rsid w:val="23405D2C"/>
    <w:rsid w:val="24BE6CE9"/>
    <w:rsid w:val="24E360C4"/>
    <w:rsid w:val="26900E92"/>
    <w:rsid w:val="27081598"/>
    <w:rsid w:val="28100E24"/>
    <w:rsid w:val="28670269"/>
    <w:rsid w:val="28DD5B4D"/>
    <w:rsid w:val="296A0A14"/>
    <w:rsid w:val="297E3805"/>
    <w:rsid w:val="29E60722"/>
    <w:rsid w:val="2A0A674E"/>
    <w:rsid w:val="2A312C75"/>
    <w:rsid w:val="2A3B68C5"/>
    <w:rsid w:val="2A4D18C5"/>
    <w:rsid w:val="2A597892"/>
    <w:rsid w:val="2AE65E23"/>
    <w:rsid w:val="2BAD09AD"/>
    <w:rsid w:val="2C2D77C1"/>
    <w:rsid w:val="2CA61D14"/>
    <w:rsid w:val="2CC178A7"/>
    <w:rsid w:val="2CDC398B"/>
    <w:rsid w:val="2D255186"/>
    <w:rsid w:val="2D965B23"/>
    <w:rsid w:val="2DAD2A7B"/>
    <w:rsid w:val="2DC91D3F"/>
    <w:rsid w:val="2E174547"/>
    <w:rsid w:val="2E373024"/>
    <w:rsid w:val="2E5D2445"/>
    <w:rsid w:val="2EB3333E"/>
    <w:rsid w:val="2EFA2090"/>
    <w:rsid w:val="2FCA29EC"/>
    <w:rsid w:val="30187F90"/>
    <w:rsid w:val="32031AC2"/>
    <w:rsid w:val="32984AA8"/>
    <w:rsid w:val="339622D1"/>
    <w:rsid w:val="3430065E"/>
    <w:rsid w:val="34CF26B0"/>
    <w:rsid w:val="34E10E7B"/>
    <w:rsid w:val="36B95AB1"/>
    <w:rsid w:val="385A46B3"/>
    <w:rsid w:val="386F6CED"/>
    <w:rsid w:val="387C05C4"/>
    <w:rsid w:val="389D14A0"/>
    <w:rsid w:val="38C16990"/>
    <w:rsid w:val="39404B4E"/>
    <w:rsid w:val="39ED2A36"/>
    <w:rsid w:val="3A2717E3"/>
    <w:rsid w:val="3A5A223E"/>
    <w:rsid w:val="3A725AB0"/>
    <w:rsid w:val="3AC80571"/>
    <w:rsid w:val="3ADB0F29"/>
    <w:rsid w:val="3B651000"/>
    <w:rsid w:val="3B842DBE"/>
    <w:rsid w:val="3C0C5E03"/>
    <w:rsid w:val="3D2712AD"/>
    <w:rsid w:val="3D4B563F"/>
    <w:rsid w:val="3E766A7B"/>
    <w:rsid w:val="3EE01CF0"/>
    <w:rsid w:val="3EE43A87"/>
    <w:rsid w:val="3EEE48B3"/>
    <w:rsid w:val="3EFB7B47"/>
    <w:rsid w:val="3F4F7CBE"/>
    <w:rsid w:val="3FF51081"/>
    <w:rsid w:val="40EE7901"/>
    <w:rsid w:val="40F01AC5"/>
    <w:rsid w:val="410625AE"/>
    <w:rsid w:val="416E6AA9"/>
    <w:rsid w:val="418D38CE"/>
    <w:rsid w:val="4298589D"/>
    <w:rsid w:val="435C4D95"/>
    <w:rsid w:val="43793267"/>
    <w:rsid w:val="43E31DE4"/>
    <w:rsid w:val="43E42917"/>
    <w:rsid w:val="43E52286"/>
    <w:rsid w:val="450731E3"/>
    <w:rsid w:val="452667A6"/>
    <w:rsid w:val="455B72D5"/>
    <w:rsid w:val="45623AE4"/>
    <w:rsid w:val="456D0B77"/>
    <w:rsid w:val="45A945DC"/>
    <w:rsid w:val="48033548"/>
    <w:rsid w:val="48A76F1F"/>
    <w:rsid w:val="497A4659"/>
    <w:rsid w:val="49A31354"/>
    <w:rsid w:val="49EB0061"/>
    <w:rsid w:val="4A4B5510"/>
    <w:rsid w:val="4A53575E"/>
    <w:rsid w:val="4ACC3590"/>
    <w:rsid w:val="4B073A9E"/>
    <w:rsid w:val="4B242C57"/>
    <w:rsid w:val="4BFF5F82"/>
    <w:rsid w:val="4C1D56DF"/>
    <w:rsid w:val="4C71695D"/>
    <w:rsid w:val="4D3D061A"/>
    <w:rsid w:val="4D631144"/>
    <w:rsid w:val="4D7530D3"/>
    <w:rsid w:val="4E0C2EB0"/>
    <w:rsid w:val="4E366CE7"/>
    <w:rsid w:val="4E423979"/>
    <w:rsid w:val="4EA64E08"/>
    <w:rsid w:val="4EB807E9"/>
    <w:rsid w:val="4EE32C21"/>
    <w:rsid w:val="4EEF133F"/>
    <w:rsid w:val="4EF24703"/>
    <w:rsid w:val="4F59115B"/>
    <w:rsid w:val="4FA96606"/>
    <w:rsid w:val="4FC92C72"/>
    <w:rsid w:val="5089693A"/>
    <w:rsid w:val="508B0395"/>
    <w:rsid w:val="50970905"/>
    <w:rsid w:val="50AC41AB"/>
    <w:rsid w:val="513F09BC"/>
    <w:rsid w:val="51431995"/>
    <w:rsid w:val="519B5F0A"/>
    <w:rsid w:val="51F873D5"/>
    <w:rsid w:val="52091A0B"/>
    <w:rsid w:val="528B5E3A"/>
    <w:rsid w:val="52C12D4A"/>
    <w:rsid w:val="53366B15"/>
    <w:rsid w:val="53832344"/>
    <w:rsid w:val="53852E47"/>
    <w:rsid w:val="53F20F9A"/>
    <w:rsid w:val="54450B24"/>
    <w:rsid w:val="54470AD9"/>
    <w:rsid w:val="545D46C5"/>
    <w:rsid w:val="54A214AC"/>
    <w:rsid w:val="55880D55"/>
    <w:rsid w:val="56217567"/>
    <w:rsid w:val="566D1678"/>
    <w:rsid w:val="56797CC1"/>
    <w:rsid w:val="56BA2317"/>
    <w:rsid w:val="56E67111"/>
    <w:rsid w:val="56EB2D5D"/>
    <w:rsid w:val="57EA7DEA"/>
    <w:rsid w:val="57ED7428"/>
    <w:rsid w:val="580E5C0C"/>
    <w:rsid w:val="587B5286"/>
    <w:rsid w:val="5917617E"/>
    <w:rsid w:val="59316319"/>
    <w:rsid w:val="59496F03"/>
    <w:rsid w:val="5ADB5FD3"/>
    <w:rsid w:val="5AEA56CC"/>
    <w:rsid w:val="5B2A5832"/>
    <w:rsid w:val="5C441382"/>
    <w:rsid w:val="5D7E462B"/>
    <w:rsid w:val="5F014E73"/>
    <w:rsid w:val="5F27334B"/>
    <w:rsid w:val="5F3742C9"/>
    <w:rsid w:val="5F462680"/>
    <w:rsid w:val="5F626E09"/>
    <w:rsid w:val="5F665570"/>
    <w:rsid w:val="601111C4"/>
    <w:rsid w:val="632C09B9"/>
    <w:rsid w:val="63966ABA"/>
    <w:rsid w:val="648832B5"/>
    <w:rsid w:val="66DC1EC2"/>
    <w:rsid w:val="677E7D4F"/>
    <w:rsid w:val="67991CB4"/>
    <w:rsid w:val="67F446DF"/>
    <w:rsid w:val="68306174"/>
    <w:rsid w:val="68B53C60"/>
    <w:rsid w:val="68DA2B6C"/>
    <w:rsid w:val="69440588"/>
    <w:rsid w:val="699A771A"/>
    <w:rsid w:val="6B73199D"/>
    <w:rsid w:val="6BD2343E"/>
    <w:rsid w:val="6D9724A2"/>
    <w:rsid w:val="6F2075E2"/>
    <w:rsid w:val="6F812F14"/>
    <w:rsid w:val="6FDD7602"/>
    <w:rsid w:val="702614B3"/>
    <w:rsid w:val="712B593E"/>
    <w:rsid w:val="713141FA"/>
    <w:rsid w:val="71BB5CCC"/>
    <w:rsid w:val="72793702"/>
    <w:rsid w:val="73430255"/>
    <w:rsid w:val="73831B1E"/>
    <w:rsid w:val="738E50BD"/>
    <w:rsid w:val="74D00EC2"/>
    <w:rsid w:val="74E73FB1"/>
    <w:rsid w:val="75823F47"/>
    <w:rsid w:val="75D76812"/>
    <w:rsid w:val="76053EAF"/>
    <w:rsid w:val="760B3153"/>
    <w:rsid w:val="76506D4A"/>
    <w:rsid w:val="766112D5"/>
    <w:rsid w:val="76F774DE"/>
    <w:rsid w:val="774A0556"/>
    <w:rsid w:val="77C12FFD"/>
    <w:rsid w:val="78AF0D11"/>
    <w:rsid w:val="78DD2ABE"/>
    <w:rsid w:val="78E4641A"/>
    <w:rsid w:val="798F5CFE"/>
    <w:rsid w:val="79964B72"/>
    <w:rsid w:val="79C14E99"/>
    <w:rsid w:val="7A110996"/>
    <w:rsid w:val="7AC73F59"/>
    <w:rsid w:val="7AFF2E0C"/>
    <w:rsid w:val="7B4D2706"/>
    <w:rsid w:val="7B7246F5"/>
    <w:rsid w:val="7BB307B7"/>
    <w:rsid w:val="7BE45049"/>
    <w:rsid w:val="7C130030"/>
    <w:rsid w:val="7C92297C"/>
    <w:rsid w:val="7D830A7F"/>
    <w:rsid w:val="7E696EB2"/>
    <w:rsid w:val="7EFE0D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0" w:semiHidden="0" w:name="header"/>
    <w:lsdException w:qFormat="1" w:uiPriority="0"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4"/>
    <w:qFormat/>
    <w:uiPriority w:val="0"/>
    <w:pPr>
      <w:keepNext/>
      <w:keepLines/>
      <w:tabs>
        <w:tab w:val="left" w:pos="432"/>
        <w:tab w:val="left" w:pos="960"/>
      </w:tabs>
      <w:spacing w:before="340" w:after="330" w:line="578" w:lineRule="auto"/>
      <w:ind w:left="960" w:hanging="600"/>
      <w:outlineLvl w:val="0"/>
    </w:pPr>
    <w:rPr>
      <w:b/>
      <w:kern w:val="44"/>
      <w:sz w:val="44"/>
    </w:rPr>
  </w:style>
  <w:style w:type="paragraph" w:styleId="3">
    <w:name w:val="heading 2"/>
    <w:basedOn w:val="1"/>
    <w:next w:val="1"/>
    <w:link w:val="45"/>
    <w:qFormat/>
    <w:uiPriority w:val="0"/>
    <w:pPr>
      <w:keepNext/>
      <w:keepLines/>
      <w:spacing w:before="260" w:after="260" w:line="416" w:lineRule="auto"/>
      <w:outlineLvl w:val="1"/>
    </w:pPr>
    <w:rPr>
      <w:rFonts w:ascii="Arial" w:hAnsi="Arial" w:eastAsia="黑体"/>
      <w:b/>
      <w:sz w:val="32"/>
    </w:rPr>
  </w:style>
  <w:style w:type="paragraph" w:styleId="4">
    <w:name w:val="heading 3"/>
    <w:basedOn w:val="1"/>
    <w:next w:val="1"/>
    <w:link w:val="111"/>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9"/>
    <w:pPr>
      <w:keepNext/>
      <w:keepLines/>
      <w:spacing w:before="100" w:beforeAutospacing="1" w:after="100" w:afterAutospacing="1" w:line="360" w:lineRule="auto"/>
      <w:ind w:left="420" w:hanging="420"/>
      <w:outlineLvl w:val="3"/>
    </w:pPr>
    <w:rPr>
      <w:rFonts w:ascii="宋体"/>
      <w:bCs/>
      <w:sz w:val="28"/>
      <w:szCs w:val="28"/>
    </w:rPr>
  </w:style>
  <w:style w:type="paragraph" w:styleId="6">
    <w:name w:val="heading 5"/>
    <w:basedOn w:val="1"/>
    <w:next w:val="1"/>
    <w:unhideWhenUsed/>
    <w:qFormat/>
    <w:uiPriority w:val="9"/>
    <w:pPr>
      <w:keepNext/>
      <w:keepLines/>
      <w:spacing w:before="120"/>
      <w:outlineLvl w:val="4"/>
    </w:pPr>
    <w:rPr>
      <w:rFonts w:eastAsia="黑体"/>
      <w:bCs/>
      <w:szCs w:val="28"/>
    </w:rPr>
  </w:style>
  <w:style w:type="paragraph" w:styleId="7">
    <w:name w:val="heading 6"/>
    <w:basedOn w:val="1"/>
    <w:next w:val="1"/>
    <w:unhideWhenUsed/>
    <w:qFormat/>
    <w:uiPriority w:val="9"/>
    <w:pPr>
      <w:keepNext/>
      <w:keepLines/>
      <w:tabs>
        <w:tab w:val="left" w:pos="1151"/>
      </w:tabs>
      <w:outlineLvl w:val="5"/>
    </w:pPr>
    <w:rPr>
      <w:rFonts w:ascii="Cambria" w:hAnsi="Cambria"/>
      <w:b/>
      <w:bCs/>
      <w:kern w:val="0"/>
      <w:sz w:val="24"/>
    </w:rPr>
  </w:style>
  <w:style w:type="character" w:default="1" w:styleId="31">
    <w:name w:val="Default Paragraph Font"/>
    <w:semiHidden/>
    <w:unhideWhenUsed/>
    <w:qFormat/>
    <w:uiPriority w:val="1"/>
  </w:style>
  <w:style w:type="table" w:default="1" w:styleId="35">
    <w:name w:val="Normal Table"/>
    <w:semiHidden/>
    <w:unhideWhenUsed/>
    <w:qFormat/>
    <w:uiPriority w:val="99"/>
    <w:tblPr>
      <w:tblLayout w:type="fixed"/>
      <w:tblCellMar>
        <w:top w:w="0" w:type="dxa"/>
        <w:left w:w="108" w:type="dxa"/>
        <w:bottom w:w="0" w:type="dxa"/>
        <w:right w:w="108" w:type="dxa"/>
      </w:tblCellMar>
    </w:tblPr>
  </w:style>
  <w:style w:type="paragraph" w:styleId="8">
    <w:name w:val="annotation subject"/>
    <w:basedOn w:val="9"/>
    <w:next w:val="9"/>
    <w:link w:val="93"/>
    <w:unhideWhenUsed/>
    <w:qFormat/>
    <w:uiPriority w:val="99"/>
    <w:rPr>
      <w:b/>
      <w:bCs/>
    </w:rPr>
  </w:style>
  <w:style w:type="paragraph" w:styleId="9">
    <w:name w:val="annotation text"/>
    <w:basedOn w:val="1"/>
    <w:link w:val="65"/>
    <w:semiHidden/>
    <w:qFormat/>
    <w:uiPriority w:val="0"/>
    <w:pPr>
      <w:jc w:val="left"/>
    </w:pPr>
  </w:style>
  <w:style w:type="paragraph" w:styleId="10">
    <w:name w:val="List Number"/>
    <w:basedOn w:val="1"/>
    <w:qFormat/>
    <w:uiPriority w:val="0"/>
    <w:pPr>
      <w:widowControl/>
      <w:tabs>
        <w:tab w:val="left" w:pos="454"/>
        <w:tab w:val="left" w:pos="720"/>
        <w:tab w:val="left" w:pos="1200"/>
      </w:tabs>
      <w:spacing w:afterLines="50"/>
      <w:ind w:left="454" w:hanging="284"/>
      <w:jc w:val="left"/>
    </w:pPr>
    <w:rPr>
      <w:kern w:val="0"/>
      <w:sz w:val="24"/>
      <w:szCs w:val="20"/>
    </w:rPr>
  </w:style>
  <w:style w:type="paragraph" w:styleId="11">
    <w:name w:val="Normal Indent"/>
    <w:basedOn w:val="1"/>
    <w:link w:val="52"/>
    <w:qFormat/>
    <w:uiPriority w:val="0"/>
    <w:pPr>
      <w:ind w:firstLine="420"/>
    </w:pPr>
    <w:rPr>
      <w:rFonts w:asciiTheme="minorHAnsi" w:hAnsiTheme="minorHAnsi" w:eastAsiaTheme="minorEastAsia" w:cstheme="minorBidi"/>
    </w:rPr>
  </w:style>
  <w:style w:type="paragraph" w:styleId="12">
    <w:name w:val="caption"/>
    <w:basedOn w:val="1"/>
    <w:next w:val="1"/>
    <w:unhideWhenUsed/>
    <w:qFormat/>
    <w:uiPriority w:val="35"/>
    <w:pPr>
      <w:numPr>
        <w:ilvl w:val="0"/>
        <w:numId w:val="1"/>
      </w:numPr>
      <w:ind w:left="0" w:firstLine="0"/>
      <w:jc w:val="center"/>
    </w:pPr>
    <w:rPr>
      <w:rFonts w:ascii="Arial Unicode MS" w:hAnsi="Arial Unicode MS" w:cs="宋体"/>
      <w:szCs w:val="20"/>
    </w:rPr>
  </w:style>
  <w:style w:type="paragraph" w:styleId="13">
    <w:name w:val="Document Map"/>
    <w:basedOn w:val="1"/>
    <w:link w:val="66"/>
    <w:qFormat/>
    <w:uiPriority w:val="0"/>
    <w:rPr>
      <w:rFonts w:ascii="宋体" w:hAnsiTheme="minorHAnsi" w:eastAsiaTheme="minorEastAsia" w:cstheme="minorBidi"/>
      <w:sz w:val="18"/>
      <w:szCs w:val="18"/>
    </w:rPr>
  </w:style>
  <w:style w:type="paragraph" w:styleId="14">
    <w:name w:val="Body Text 3"/>
    <w:basedOn w:val="1"/>
    <w:link w:val="68"/>
    <w:qFormat/>
    <w:uiPriority w:val="0"/>
    <w:pPr>
      <w:spacing w:after="120"/>
    </w:pPr>
    <w:rPr>
      <w:sz w:val="16"/>
      <w:szCs w:val="16"/>
    </w:rPr>
  </w:style>
  <w:style w:type="paragraph" w:styleId="15">
    <w:name w:val="Body Text"/>
    <w:basedOn w:val="1"/>
    <w:link w:val="43"/>
    <w:qFormat/>
    <w:uiPriority w:val="0"/>
    <w:pPr>
      <w:spacing w:line="360" w:lineRule="exact"/>
    </w:pPr>
    <w:rPr>
      <w:sz w:val="24"/>
    </w:rPr>
  </w:style>
  <w:style w:type="paragraph" w:styleId="16">
    <w:name w:val="Body Text Indent"/>
    <w:basedOn w:val="1"/>
    <w:link w:val="72"/>
    <w:qFormat/>
    <w:uiPriority w:val="0"/>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25" w:rightChars="12" w:firstLine="720" w:firstLineChars="300"/>
      <w:jc w:val="left"/>
    </w:pPr>
    <w:rPr>
      <w:rFonts w:ascii="宋体"/>
      <w:color w:val="000000"/>
      <w:kern w:val="0"/>
      <w:sz w:val="24"/>
      <w:szCs w:val="20"/>
    </w:rPr>
  </w:style>
  <w:style w:type="paragraph" w:styleId="17">
    <w:name w:val="Block Text"/>
    <w:basedOn w:val="1"/>
    <w:qFormat/>
    <w:uiPriority w:val="0"/>
    <w:pPr>
      <w:autoSpaceDE w:val="0"/>
      <w:autoSpaceDN w:val="0"/>
      <w:adjustRightInd w:val="0"/>
      <w:spacing w:line="240" w:lineRule="atLeast"/>
      <w:ind w:left="1797" w:right="857" w:rightChars="857" w:firstLine="542" w:firstLineChars="226"/>
      <w:jc w:val="left"/>
    </w:pPr>
    <w:rPr>
      <w:rFonts w:hint="eastAsia" w:ascii="宋体"/>
      <w:color w:val="000000"/>
      <w:kern w:val="0"/>
      <w:sz w:val="24"/>
    </w:rPr>
  </w:style>
  <w:style w:type="paragraph" w:styleId="18">
    <w:name w:val="Plain Text"/>
    <w:basedOn w:val="1"/>
    <w:link w:val="40"/>
    <w:qFormat/>
    <w:uiPriority w:val="0"/>
    <w:rPr>
      <w:rFonts w:ascii="宋体" w:hAnsi="Courier New" w:cstheme="minorBidi"/>
    </w:rPr>
  </w:style>
  <w:style w:type="paragraph" w:styleId="19">
    <w:name w:val="Date"/>
    <w:basedOn w:val="1"/>
    <w:next w:val="1"/>
    <w:link w:val="69"/>
    <w:qFormat/>
    <w:uiPriority w:val="0"/>
    <w:pPr>
      <w:ind w:left="2500" w:leftChars="2500"/>
    </w:pPr>
    <w:rPr>
      <w:rFonts w:eastAsia="楷体_GB2312" w:asciiTheme="minorHAnsi" w:hAnsiTheme="minorHAnsi" w:cstheme="minorBidi"/>
      <w:sz w:val="32"/>
      <w:szCs w:val="22"/>
    </w:rPr>
  </w:style>
  <w:style w:type="paragraph" w:styleId="20">
    <w:name w:val="Body Text Indent 2"/>
    <w:basedOn w:val="1"/>
    <w:link w:val="70"/>
    <w:qFormat/>
    <w:uiPriority w:val="0"/>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5" w:rightChars="12" w:firstLine="360" w:firstLineChars="150"/>
      <w:jc w:val="left"/>
    </w:pPr>
    <w:rPr>
      <w:rFonts w:ascii="宋体"/>
      <w:color w:val="000000"/>
      <w:kern w:val="0"/>
      <w:sz w:val="24"/>
      <w:szCs w:val="20"/>
    </w:rPr>
  </w:style>
  <w:style w:type="paragraph" w:styleId="21">
    <w:name w:val="Balloon Text"/>
    <w:basedOn w:val="1"/>
    <w:link w:val="71"/>
    <w:semiHidden/>
    <w:qFormat/>
    <w:uiPriority w:val="0"/>
    <w:rPr>
      <w:sz w:val="18"/>
      <w:szCs w:val="18"/>
    </w:rPr>
  </w:style>
  <w:style w:type="paragraph" w:styleId="22">
    <w:name w:val="footer"/>
    <w:basedOn w:val="1"/>
    <w:link w:val="38"/>
    <w:unhideWhenUsed/>
    <w:qFormat/>
    <w:uiPriority w:val="0"/>
    <w:pPr>
      <w:tabs>
        <w:tab w:val="center" w:pos="4153"/>
        <w:tab w:val="right" w:pos="8306"/>
      </w:tabs>
      <w:snapToGrid w:val="0"/>
      <w:jc w:val="left"/>
    </w:pPr>
    <w:rPr>
      <w:sz w:val="18"/>
      <w:szCs w:val="18"/>
    </w:rPr>
  </w:style>
  <w:style w:type="paragraph" w:styleId="23">
    <w:name w:val="header"/>
    <w:basedOn w:val="1"/>
    <w:link w:val="37"/>
    <w:unhideWhenUsed/>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style>
  <w:style w:type="paragraph" w:styleId="25">
    <w:name w:val="Subtitle"/>
    <w:basedOn w:val="1"/>
    <w:qFormat/>
    <w:uiPriority w:val="11"/>
    <w:rPr>
      <w:sz w:val="28"/>
      <w:szCs w:val="20"/>
    </w:rPr>
  </w:style>
  <w:style w:type="paragraph" w:styleId="26">
    <w:name w:val="Body Text Indent 3"/>
    <w:basedOn w:val="1"/>
    <w:link w:val="67"/>
    <w:qFormat/>
    <w:uiPriority w:val="0"/>
    <w:pPr>
      <w:autoSpaceDE w:val="0"/>
      <w:autoSpaceDN w:val="0"/>
      <w:adjustRightInd w:val="0"/>
      <w:spacing w:line="360" w:lineRule="atLeast"/>
      <w:ind w:left="1853"/>
      <w:jc w:val="center"/>
    </w:pPr>
    <w:rPr>
      <w:rFonts w:ascii="宋体"/>
      <w:b/>
      <w:color w:val="000000"/>
      <w:kern w:val="0"/>
      <w:sz w:val="36"/>
    </w:rPr>
  </w:style>
  <w:style w:type="paragraph" w:styleId="27">
    <w:name w:val="toc 2"/>
    <w:basedOn w:val="1"/>
    <w:next w:val="1"/>
    <w:semiHidden/>
    <w:qFormat/>
    <w:uiPriority w:val="0"/>
    <w:pPr>
      <w:ind w:left="420"/>
    </w:pPr>
  </w:style>
  <w:style w:type="paragraph" w:styleId="28">
    <w:name w:val="Body Text 2"/>
    <w:basedOn w:val="1"/>
    <w:link w:val="73"/>
    <w:qFormat/>
    <w:uiPriority w:val="0"/>
    <w:pPr>
      <w:autoSpaceDE w:val="0"/>
      <w:autoSpaceDN w:val="0"/>
      <w:adjustRightInd w:val="0"/>
      <w:spacing w:line="360" w:lineRule="auto"/>
    </w:pPr>
    <w:rPr>
      <w:rFonts w:ascii="宋体"/>
      <w:color w:val="000000"/>
      <w:kern w:val="0"/>
      <w:sz w:val="24"/>
    </w:rPr>
  </w:style>
  <w:style w:type="paragraph" w:styleId="29">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30">
    <w:name w:val="Title"/>
    <w:basedOn w:val="1"/>
    <w:next w:val="1"/>
    <w:link w:val="74"/>
    <w:qFormat/>
    <w:uiPriority w:val="0"/>
    <w:pPr>
      <w:spacing w:before="240" w:after="60"/>
      <w:jc w:val="center"/>
      <w:outlineLvl w:val="0"/>
    </w:pPr>
    <w:rPr>
      <w:rFonts w:ascii="Cambria" w:hAnsi="Cambria" w:eastAsiaTheme="minorEastAsia"/>
      <w:b/>
      <w:bCs/>
      <w:sz w:val="32"/>
      <w:szCs w:val="32"/>
    </w:rPr>
  </w:style>
  <w:style w:type="character" w:styleId="32">
    <w:name w:val="page number"/>
    <w:basedOn w:val="31"/>
    <w:qFormat/>
    <w:uiPriority w:val="0"/>
  </w:style>
  <w:style w:type="character" w:styleId="33">
    <w:name w:val="Hyperlink"/>
    <w:basedOn w:val="31"/>
    <w:qFormat/>
    <w:uiPriority w:val="0"/>
    <w:rPr>
      <w:color w:val="0000FF"/>
      <w:u w:val="single"/>
    </w:rPr>
  </w:style>
  <w:style w:type="character" w:styleId="34">
    <w:name w:val="annotation reference"/>
    <w:basedOn w:val="31"/>
    <w:semiHidden/>
    <w:qFormat/>
    <w:uiPriority w:val="0"/>
    <w:rPr>
      <w:sz w:val="21"/>
    </w:rPr>
  </w:style>
  <w:style w:type="table" w:styleId="36">
    <w:name w:val="Table Grid"/>
    <w:basedOn w:val="3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7">
    <w:name w:val="页眉 Char"/>
    <w:basedOn w:val="31"/>
    <w:link w:val="23"/>
    <w:semiHidden/>
    <w:qFormat/>
    <w:uiPriority w:val="99"/>
    <w:rPr>
      <w:sz w:val="18"/>
      <w:szCs w:val="18"/>
    </w:rPr>
  </w:style>
  <w:style w:type="character" w:customStyle="1" w:styleId="38">
    <w:name w:val="页脚 Char"/>
    <w:basedOn w:val="31"/>
    <w:link w:val="22"/>
    <w:semiHidden/>
    <w:qFormat/>
    <w:uiPriority w:val="99"/>
    <w:rPr>
      <w:sz w:val="18"/>
      <w:szCs w:val="18"/>
    </w:rPr>
  </w:style>
  <w:style w:type="character" w:customStyle="1" w:styleId="39">
    <w:name w:val="纯文本 Char"/>
    <w:basedOn w:val="31"/>
    <w:link w:val="18"/>
    <w:qFormat/>
    <w:uiPriority w:val="0"/>
    <w:rPr>
      <w:rFonts w:ascii="宋体" w:hAnsi="Courier New" w:eastAsia="宋体"/>
      <w:szCs w:val="24"/>
    </w:rPr>
  </w:style>
  <w:style w:type="character" w:customStyle="1" w:styleId="40">
    <w:name w:val="纯文本 Char1"/>
    <w:basedOn w:val="31"/>
    <w:link w:val="18"/>
    <w:semiHidden/>
    <w:qFormat/>
    <w:uiPriority w:val="99"/>
    <w:rPr>
      <w:rFonts w:ascii="宋体" w:hAnsi="Courier New" w:eastAsia="宋体" w:cs="Courier New"/>
      <w:szCs w:val="21"/>
    </w:rPr>
  </w:style>
  <w:style w:type="character" w:customStyle="1" w:styleId="41">
    <w:name w:val="标题 3 Char"/>
    <w:basedOn w:val="31"/>
    <w:link w:val="4"/>
    <w:qFormat/>
    <w:uiPriority w:val="0"/>
    <w:rPr>
      <w:rFonts w:ascii="Times New Roman" w:hAnsi="Times New Roman" w:eastAsia="宋体" w:cs="Times New Roman"/>
      <w:b/>
      <w:bCs/>
      <w:sz w:val="32"/>
      <w:szCs w:val="32"/>
    </w:rPr>
  </w:style>
  <w:style w:type="paragraph" w:customStyle="1" w:styleId="42">
    <w:name w:val="列出段落1"/>
    <w:basedOn w:val="1"/>
    <w:qFormat/>
    <w:uiPriority w:val="34"/>
    <w:pPr>
      <w:ind w:firstLine="420" w:firstLineChars="200"/>
    </w:pPr>
    <w:rPr>
      <w:rFonts w:ascii="Calibri" w:hAnsi="Calibri"/>
      <w:szCs w:val="22"/>
    </w:rPr>
  </w:style>
  <w:style w:type="character" w:customStyle="1" w:styleId="43">
    <w:name w:val="正文文本 Char"/>
    <w:basedOn w:val="31"/>
    <w:link w:val="15"/>
    <w:qFormat/>
    <w:uiPriority w:val="0"/>
    <w:rPr>
      <w:rFonts w:ascii="Times New Roman" w:hAnsi="Times New Roman" w:eastAsia="宋体" w:cs="Times New Roman"/>
      <w:sz w:val="24"/>
      <w:szCs w:val="24"/>
    </w:rPr>
  </w:style>
  <w:style w:type="character" w:customStyle="1" w:styleId="44">
    <w:name w:val="标题 1 Char"/>
    <w:basedOn w:val="31"/>
    <w:link w:val="2"/>
    <w:qFormat/>
    <w:uiPriority w:val="0"/>
    <w:rPr>
      <w:rFonts w:ascii="Times New Roman" w:hAnsi="Times New Roman" w:eastAsia="宋体" w:cs="Times New Roman"/>
      <w:b/>
      <w:kern w:val="44"/>
      <w:sz w:val="44"/>
      <w:szCs w:val="24"/>
    </w:rPr>
  </w:style>
  <w:style w:type="character" w:customStyle="1" w:styleId="45">
    <w:name w:val="标题 2 Char"/>
    <w:basedOn w:val="31"/>
    <w:link w:val="3"/>
    <w:qFormat/>
    <w:uiPriority w:val="0"/>
    <w:rPr>
      <w:rFonts w:ascii="Arial" w:hAnsi="Arial" w:eastAsia="黑体" w:cs="Times New Roman"/>
      <w:b/>
      <w:sz w:val="32"/>
      <w:szCs w:val="24"/>
    </w:rPr>
  </w:style>
  <w:style w:type="character" w:customStyle="1" w:styleId="46">
    <w:name w:val="样式1 Char_1"/>
    <w:link w:val="47"/>
    <w:qFormat/>
    <w:uiPriority w:val="0"/>
    <w:rPr>
      <w:rFonts w:ascii="宋体" w:hAnsi="Arial"/>
      <w:b/>
      <w:sz w:val="32"/>
      <w:lang w:val="en-US" w:eastAsia="zh-CN"/>
    </w:rPr>
  </w:style>
  <w:style w:type="paragraph" w:customStyle="1" w:styleId="47">
    <w:name w:val="样式1_1"/>
    <w:basedOn w:val="1"/>
    <w:link w:val="46"/>
    <w:qFormat/>
    <w:uiPriority w:val="0"/>
    <w:pPr>
      <w:keepNext/>
      <w:keepLines/>
      <w:widowControl/>
      <w:tabs>
        <w:tab w:val="left" w:pos="420"/>
      </w:tabs>
      <w:adjustRightInd w:val="0"/>
      <w:snapToGrid w:val="0"/>
      <w:spacing w:line="360" w:lineRule="auto"/>
      <w:ind w:left="420" w:hanging="420"/>
      <w:jc w:val="center"/>
      <w:outlineLvl w:val="1"/>
    </w:pPr>
    <w:rPr>
      <w:rFonts w:ascii="宋体" w:hAnsi="Arial" w:eastAsiaTheme="minorEastAsia" w:cstheme="minorBidi"/>
      <w:b/>
      <w:sz w:val="32"/>
      <w:szCs w:val="22"/>
    </w:rPr>
  </w:style>
  <w:style w:type="character" w:customStyle="1" w:styleId="48">
    <w:name w:val="纯文本 Char_1_0"/>
    <w:link w:val="49"/>
    <w:qFormat/>
    <w:uiPriority w:val="0"/>
    <w:rPr>
      <w:rFonts w:ascii="宋体" w:hAnsi="Courier New"/>
      <w:szCs w:val="21"/>
    </w:rPr>
  </w:style>
  <w:style w:type="paragraph" w:customStyle="1" w:styleId="49">
    <w:name w:val="纯文本_0_1"/>
    <w:basedOn w:val="1"/>
    <w:link w:val="48"/>
    <w:qFormat/>
    <w:uiPriority w:val="0"/>
    <w:pPr>
      <w:widowControl/>
      <w:jc w:val="left"/>
    </w:pPr>
    <w:rPr>
      <w:rFonts w:ascii="宋体" w:hAnsi="Courier New" w:eastAsiaTheme="minorEastAsia" w:cstheme="minorBidi"/>
      <w:szCs w:val="21"/>
    </w:rPr>
  </w:style>
  <w:style w:type="character" w:customStyle="1" w:styleId="50">
    <w:name w:val="p141"/>
    <w:qFormat/>
    <w:uiPriority w:val="0"/>
    <w:rPr>
      <w:sz w:val="21"/>
      <w:szCs w:val="21"/>
    </w:rPr>
  </w:style>
  <w:style w:type="character" w:customStyle="1" w:styleId="51">
    <w:name w:val="日期 Char"/>
    <w:link w:val="19"/>
    <w:qFormat/>
    <w:uiPriority w:val="0"/>
    <w:rPr>
      <w:rFonts w:eastAsia="楷体_GB2312"/>
      <w:sz w:val="32"/>
    </w:rPr>
  </w:style>
  <w:style w:type="character" w:customStyle="1" w:styleId="52">
    <w:name w:val="正文缩进 Char"/>
    <w:link w:val="11"/>
    <w:qFormat/>
    <w:uiPriority w:val="0"/>
    <w:rPr>
      <w:szCs w:val="24"/>
    </w:rPr>
  </w:style>
  <w:style w:type="character" w:customStyle="1" w:styleId="53">
    <w:name w:val="纯文本 Char_3"/>
    <w:link w:val="54"/>
    <w:qFormat/>
    <w:uiPriority w:val="0"/>
    <w:rPr>
      <w:rFonts w:ascii="宋体" w:hAnsi="Courier New"/>
      <w:szCs w:val="21"/>
      <w:lang w:val="en-US" w:eastAsia="zh-CN"/>
    </w:rPr>
  </w:style>
  <w:style w:type="paragraph" w:customStyle="1" w:styleId="54">
    <w:name w:val="纯文本_3"/>
    <w:basedOn w:val="55"/>
    <w:link w:val="53"/>
    <w:qFormat/>
    <w:uiPriority w:val="0"/>
    <w:pPr>
      <w:widowControl/>
      <w:jc w:val="left"/>
    </w:pPr>
    <w:rPr>
      <w:rFonts w:ascii="宋体" w:hAnsi="Courier New" w:eastAsiaTheme="minorEastAsia" w:cstheme="minorBidi"/>
      <w:szCs w:val="21"/>
    </w:rPr>
  </w:style>
  <w:style w:type="paragraph" w:customStyle="1" w:styleId="55">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6">
    <w:name w:val="apple-converted-space"/>
    <w:basedOn w:val="31"/>
    <w:qFormat/>
    <w:uiPriority w:val="0"/>
  </w:style>
  <w:style w:type="character" w:customStyle="1" w:styleId="57">
    <w:name w:val="纯文本 Char_1"/>
    <w:link w:val="58"/>
    <w:qFormat/>
    <w:uiPriority w:val="0"/>
    <w:rPr>
      <w:rFonts w:ascii="宋体" w:hAnsi="Courier New"/>
      <w:szCs w:val="21"/>
    </w:rPr>
  </w:style>
  <w:style w:type="paragraph" w:customStyle="1" w:styleId="58">
    <w:name w:val="纯文本_1"/>
    <w:basedOn w:val="1"/>
    <w:link w:val="57"/>
    <w:qFormat/>
    <w:uiPriority w:val="0"/>
    <w:pPr>
      <w:widowControl/>
      <w:jc w:val="left"/>
    </w:pPr>
    <w:rPr>
      <w:rFonts w:ascii="宋体" w:hAnsi="Courier New" w:eastAsiaTheme="minorEastAsia" w:cstheme="minorBidi"/>
      <w:szCs w:val="21"/>
    </w:rPr>
  </w:style>
  <w:style w:type="character" w:customStyle="1" w:styleId="59">
    <w:name w:val="纯文本 Char_0_0"/>
    <w:link w:val="60"/>
    <w:qFormat/>
    <w:locked/>
    <w:uiPriority w:val="0"/>
    <w:rPr>
      <w:rFonts w:ascii="宋体" w:hAnsi="Courier New"/>
      <w:szCs w:val="21"/>
    </w:rPr>
  </w:style>
  <w:style w:type="paragraph" w:customStyle="1" w:styleId="60">
    <w:name w:val="纯文本_0"/>
    <w:basedOn w:val="1"/>
    <w:link w:val="59"/>
    <w:unhideWhenUsed/>
    <w:qFormat/>
    <w:uiPriority w:val="0"/>
    <w:pPr>
      <w:widowControl/>
      <w:jc w:val="left"/>
    </w:pPr>
    <w:rPr>
      <w:rFonts w:ascii="宋体" w:hAnsi="Courier New" w:eastAsiaTheme="minorEastAsia" w:cstheme="minorBidi"/>
      <w:szCs w:val="21"/>
    </w:rPr>
  </w:style>
  <w:style w:type="character" w:customStyle="1" w:styleId="61">
    <w:name w:val="样式1 Char"/>
    <w:link w:val="62"/>
    <w:qFormat/>
    <w:uiPriority w:val="0"/>
    <w:rPr>
      <w:rFonts w:ascii="宋体" w:hAnsi="Arial"/>
      <w:b/>
      <w:sz w:val="32"/>
    </w:rPr>
  </w:style>
  <w:style w:type="paragraph" w:customStyle="1" w:styleId="62">
    <w:name w:val="样式1_0"/>
    <w:basedOn w:val="1"/>
    <w:link w:val="61"/>
    <w:qFormat/>
    <w:uiPriority w:val="0"/>
    <w:pPr>
      <w:keepNext/>
      <w:keepLines/>
      <w:widowControl/>
      <w:tabs>
        <w:tab w:val="left" w:pos="420"/>
      </w:tabs>
      <w:adjustRightInd w:val="0"/>
      <w:snapToGrid w:val="0"/>
      <w:spacing w:line="360" w:lineRule="auto"/>
      <w:ind w:left="420" w:hanging="420"/>
      <w:jc w:val="center"/>
      <w:outlineLvl w:val="1"/>
    </w:pPr>
    <w:rPr>
      <w:rFonts w:ascii="宋体" w:hAnsi="Arial" w:eastAsiaTheme="minorEastAsia" w:cstheme="minorBidi"/>
      <w:b/>
      <w:sz w:val="32"/>
      <w:szCs w:val="22"/>
    </w:rPr>
  </w:style>
  <w:style w:type="character" w:customStyle="1" w:styleId="63">
    <w:name w:val="文档结构图 Char"/>
    <w:basedOn w:val="31"/>
    <w:link w:val="13"/>
    <w:qFormat/>
    <w:uiPriority w:val="0"/>
    <w:rPr>
      <w:rFonts w:ascii="宋体"/>
      <w:sz w:val="18"/>
      <w:szCs w:val="18"/>
    </w:rPr>
  </w:style>
  <w:style w:type="character" w:customStyle="1" w:styleId="64">
    <w:name w:val="标题 Char"/>
    <w:basedOn w:val="31"/>
    <w:link w:val="30"/>
    <w:qFormat/>
    <w:uiPriority w:val="0"/>
    <w:rPr>
      <w:rFonts w:ascii="Cambria" w:hAnsi="Cambria" w:cs="Times New Roman"/>
      <w:b/>
      <w:bCs/>
      <w:sz w:val="32"/>
      <w:szCs w:val="32"/>
    </w:rPr>
  </w:style>
  <w:style w:type="character" w:customStyle="1" w:styleId="65">
    <w:name w:val="批注文字 Char"/>
    <w:basedOn w:val="31"/>
    <w:link w:val="9"/>
    <w:semiHidden/>
    <w:qFormat/>
    <w:uiPriority w:val="0"/>
    <w:rPr>
      <w:rFonts w:ascii="Times New Roman" w:hAnsi="Times New Roman" w:eastAsia="宋体" w:cs="Times New Roman"/>
      <w:szCs w:val="24"/>
    </w:rPr>
  </w:style>
  <w:style w:type="character" w:customStyle="1" w:styleId="66">
    <w:name w:val="文档结构图 Char1"/>
    <w:basedOn w:val="31"/>
    <w:link w:val="13"/>
    <w:semiHidden/>
    <w:qFormat/>
    <w:uiPriority w:val="99"/>
    <w:rPr>
      <w:rFonts w:ascii="宋体" w:hAnsi="Times New Roman" w:eastAsia="宋体" w:cs="Times New Roman"/>
      <w:sz w:val="18"/>
      <w:szCs w:val="18"/>
    </w:rPr>
  </w:style>
  <w:style w:type="character" w:customStyle="1" w:styleId="67">
    <w:name w:val="正文文本缩进 3 Char"/>
    <w:basedOn w:val="31"/>
    <w:link w:val="26"/>
    <w:qFormat/>
    <w:uiPriority w:val="0"/>
    <w:rPr>
      <w:rFonts w:ascii="宋体" w:hAnsi="Times New Roman" w:eastAsia="宋体" w:cs="Times New Roman"/>
      <w:b/>
      <w:color w:val="000000"/>
      <w:kern w:val="0"/>
      <w:sz w:val="36"/>
      <w:szCs w:val="24"/>
    </w:rPr>
  </w:style>
  <w:style w:type="character" w:customStyle="1" w:styleId="68">
    <w:name w:val="正文文本 3 Char"/>
    <w:basedOn w:val="31"/>
    <w:link w:val="14"/>
    <w:qFormat/>
    <w:uiPriority w:val="0"/>
    <w:rPr>
      <w:rFonts w:ascii="Times New Roman" w:hAnsi="Times New Roman" w:eastAsia="宋体" w:cs="Times New Roman"/>
      <w:sz w:val="16"/>
      <w:szCs w:val="16"/>
    </w:rPr>
  </w:style>
  <w:style w:type="character" w:customStyle="1" w:styleId="69">
    <w:name w:val="日期 Char1"/>
    <w:basedOn w:val="31"/>
    <w:link w:val="19"/>
    <w:semiHidden/>
    <w:qFormat/>
    <w:uiPriority w:val="99"/>
    <w:rPr>
      <w:rFonts w:ascii="Times New Roman" w:hAnsi="Times New Roman" w:eastAsia="宋体" w:cs="Times New Roman"/>
      <w:szCs w:val="24"/>
    </w:rPr>
  </w:style>
  <w:style w:type="character" w:customStyle="1" w:styleId="70">
    <w:name w:val="正文文本缩进 2 Char"/>
    <w:basedOn w:val="31"/>
    <w:link w:val="20"/>
    <w:qFormat/>
    <w:uiPriority w:val="0"/>
    <w:rPr>
      <w:rFonts w:ascii="宋体" w:hAnsi="Times New Roman" w:eastAsia="宋体" w:cs="Times New Roman"/>
      <w:color w:val="000000"/>
      <w:kern w:val="0"/>
      <w:sz w:val="24"/>
      <w:szCs w:val="20"/>
    </w:rPr>
  </w:style>
  <w:style w:type="character" w:customStyle="1" w:styleId="71">
    <w:name w:val="批注框文本 Char"/>
    <w:basedOn w:val="31"/>
    <w:link w:val="21"/>
    <w:semiHidden/>
    <w:qFormat/>
    <w:uiPriority w:val="0"/>
    <w:rPr>
      <w:rFonts w:ascii="Times New Roman" w:hAnsi="Times New Roman" w:eastAsia="宋体" w:cs="Times New Roman"/>
      <w:sz w:val="18"/>
      <w:szCs w:val="18"/>
    </w:rPr>
  </w:style>
  <w:style w:type="character" w:customStyle="1" w:styleId="72">
    <w:name w:val="正文文本缩进 Char"/>
    <w:basedOn w:val="31"/>
    <w:link w:val="16"/>
    <w:qFormat/>
    <w:uiPriority w:val="0"/>
    <w:rPr>
      <w:rFonts w:ascii="宋体" w:hAnsi="Times New Roman" w:eastAsia="宋体" w:cs="Times New Roman"/>
      <w:color w:val="000000"/>
      <w:kern w:val="0"/>
      <w:sz w:val="24"/>
      <w:szCs w:val="20"/>
    </w:rPr>
  </w:style>
  <w:style w:type="character" w:customStyle="1" w:styleId="73">
    <w:name w:val="正文文本 2 Char"/>
    <w:basedOn w:val="31"/>
    <w:link w:val="28"/>
    <w:qFormat/>
    <w:uiPriority w:val="0"/>
    <w:rPr>
      <w:rFonts w:ascii="宋体" w:hAnsi="Times New Roman" w:eastAsia="宋体" w:cs="Times New Roman"/>
      <w:color w:val="000000"/>
      <w:kern w:val="0"/>
      <w:sz w:val="24"/>
      <w:szCs w:val="24"/>
    </w:rPr>
  </w:style>
  <w:style w:type="character" w:customStyle="1" w:styleId="74">
    <w:name w:val="标题 Char1"/>
    <w:basedOn w:val="31"/>
    <w:link w:val="30"/>
    <w:qFormat/>
    <w:uiPriority w:val="10"/>
    <w:rPr>
      <w:rFonts w:eastAsia="宋体" w:asciiTheme="majorHAnsi" w:hAnsiTheme="majorHAnsi" w:cstheme="majorBidi"/>
      <w:b/>
      <w:bCs/>
      <w:sz w:val="32"/>
      <w:szCs w:val="32"/>
    </w:rPr>
  </w:style>
  <w:style w:type="paragraph" w:customStyle="1" w:styleId="75">
    <w:name w:val="Char1"/>
    <w:basedOn w:val="1"/>
    <w:qFormat/>
    <w:uiPriority w:val="0"/>
    <w:rPr>
      <w:rFonts w:ascii="Tahoma" w:hAnsi="Tahoma"/>
      <w:sz w:val="24"/>
      <w:szCs w:val="20"/>
    </w:rPr>
  </w:style>
  <w:style w:type="paragraph" w:customStyle="1" w:styleId="76">
    <w:name w:val="默认段落字体 Para Char Char Char Char Char Char Char Char Char1 Char Char Char Char"/>
    <w:basedOn w:val="1"/>
    <w:qFormat/>
    <w:uiPriority w:val="0"/>
    <w:rPr>
      <w:rFonts w:ascii="Tahoma" w:hAnsi="Tahoma"/>
      <w:sz w:val="24"/>
      <w:szCs w:val="20"/>
    </w:rPr>
  </w:style>
  <w:style w:type="paragraph" w:customStyle="1" w:styleId="77">
    <w:name w:val="正文_14"/>
    <w:qFormat/>
    <w:uiPriority w:val="0"/>
    <w:rPr>
      <w:rFonts w:ascii="Times New Roman" w:hAnsi="Times New Roman" w:eastAsia="宋体" w:cs="Times New Roman"/>
      <w:sz w:val="21"/>
      <w:lang w:val="en-US" w:eastAsia="zh-CN" w:bidi="ar-SA"/>
    </w:rPr>
  </w:style>
  <w:style w:type="paragraph" w:customStyle="1" w:styleId="78">
    <w:name w:val="1"/>
    <w:basedOn w:val="1"/>
    <w:next w:val="18"/>
    <w:qFormat/>
    <w:uiPriority w:val="0"/>
    <w:rPr>
      <w:rFonts w:ascii="宋体" w:hAnsi="Courier New"/>
      <w:szCs w:val="22"/>
    </w:rPr>
  </w:style>
  <w:style w:type="paragraph" w:customStyle="1" w:styleId="79">
    <w:name w:val="Char"/>
    <w:basedOn w:val="1"/>
    <w:qFormat/>
    <w:uiPriority w:val="0"/>
  </w:style>
  <w:style w:type="paragraph" w:customStyle="1" w:styleId="80">
    <w:name w:val="Char Char1 Char Char Char Char Char Char Char Char"/>
    <w:basedOn w:val="1"/>
    <w:qFormat/>
    <w:uiPriority w:val="0"/>
    <w:pPr>
      <w:widowControl/>
      <w:spacing w:after="160" w:line="240" w:lineRule="exact"/>
      <w:jc w:val="left"/>
    </w:pPr>
    <w:rPr>
      <w:szCs w:val="20"/>
    </w:rPr>
  </w:style>
  <w:style w:type="paragraph" w:customStyle="1" w:styleId="81">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82">
    <w:name w:val="Normal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83">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4">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5">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6">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7">
    <w:name w:val="_Style 22"/>
    <w:basedOn w:val="1"/>
    <w:qFormat/>
    <w:uiPriority w:val="0"/>
  </w:style>
  <w:style w:type="paragraph" w:customStyle="1" w:styleId="88">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9">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
    <w:name w:val="正文_11"/>
    <w:qFormat/>
    <w:uiPriority w:val="0"/>
    <w:pPr>
      <w:widowControl w:val="0"/>
      <w:jc w:val="both"/>
    </w:pPr>
    <w:rPr>
      <w:rFonts w:ascii="Calibri" w:hAnsi="Calibri" w:eastAsia="宋体" w:cs="Times New Roman"/>
      <w:kern w:val="2"/>
      <w:sz w:val="21"/>
      <w:szCs w:val="22"/>
      <w:lang w:val="en-US" w:eastAsia="zh-CN" w:bidi="ar-SA"/>
    </w:rPr>
  </w:style>
  <w:style w:type="paragraph" w:customStyle="1" w:styleId="91">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
    <w:name w:val="zw"/>
    <w:basedOn w:val="1"/>
    <w:qFormat/>
    <w:uiPriority w:val="0"/>
    <w:pPr>
      <w:widowControl/>
      <w:spacing w:before="30"/>
      <w:ind w:left="100" w:right="100"/>
    </w:pPr>
    <w:rPr>
      <w:rFonts w:ascii="方正书宋简体" w:hAnsi="宋体" w:eastAsia="方正书宋简体"/>
      <w:color w:val="000000"/>
      <w:kern w:val="0"/>
      <w:szCs w:val="21"/>
    </w:rPr>
  </w:style>
  <w:style w:type="character" w:customStyle="1" w:styleId="93">
    <w:name w:val="批注主题 Char"/>
    <w:basedOn w:val="65"/>
    <w:link w:val="8"/>
    <w:semiHidden/>
    <w:qFormat/>
    <w:uiPriority w:val="99"/>
    <w:rPr>
      <w:b/>
      <w:bCs/>
    </w:rPr>
  </w:style>
  <w:style w:type="paragraph" w:customStyle="1" w:styleId="94">
    <w:name w:val="列出段落11"/>
    <w:basedOn w:val="1"/>
    <w:qFormat/>
    <w:uiPriority w:val="99"/>
    <w:pPr>
      <w:ind w:firstLine="200" w:firstLineChars="200"/>
    </w:pPr>
    <w:rPr>
      <w:rFonts w:ascii="Calibri" w:hAnsi="Calibri"/>
    </w:rPr>
  </w:style>
  <w:style w:type="paragraph" w:customStyle="1" w:styleId="95">
    <w:name w:val="WW-正文文字缩进 2"/>
    <w:basedOn w:val="1"/>
    <w:qFormat/>
    <w:uiPriority w:val="0"/>
    <w:pPr>
      <w:suppressAutoHyphens/>
      <w:ind w:firstLine="420"/>
    </w:pPr>
    <w:rPr>
      <w:kern w:val="1"/>
      <w:szCs w:val="20"/>
    </w:rPr>
  </w:style>
  <w:style w:type="paragraph" w:customStyle="1" w:styleId="96">
    <w:name w:val="自定义正文"/>
    <w:basedOn w:val="1"/>
    <w:qFormat/>
    <w:uiPriority w:val="0"/>
    <w:pPr>
      <w:spacing w:before="120" w:after="60" w:line="400" w:lineRule="exact"/>
      <w:ind w:firstLine="200" w:firstLineChars="200"/>
    </w:pPr>
    <w:rPr>
      <w:rFonts w:ascii="仿宋_GB2312" w:eastAsia="仿宋_GB2312"/>
    </w:rPr>
  </w:style>
  <w:style w:type="paragraph" w:customStyle="1" w:styleId="97">
    <w:name w:val="p0"/>
    <w:basedOn w:val="1"/>
    <w:qFormat/>
    <w:uiPriority w:val="0"/>
  </w:style>
  <w:style w:type="paragraph" w:customStyle="1" w:styleId="98">
    <w:name w:val="无间隔1"/>
    <w:qFormat/>
    <w:uiPriority w:val="99"/>
    <w:pPr>
      <w:adjustRightInd w:val="0"/>
      <w:snapToGrid w:val="0"/>
    </w:pPr>
    <w:rPr>
      <w:rFonts w:ascii="Tahoma" w:hAnsi="Tahoma" w:eastAsia="微软雅黑" w:cs="Tahoma"/>
      <w:sz w:val="22"/>
      <w:szCs w:val="22"/>
      <w:lang w:val="en-US" w:eastAsia="zh-CN" w:bidi="ar-SA"/>
    </w:rPr>
  </w:style>
  <w:style w:type="paragraph" w:customStyle="1" w:styleId="99">
    <w:name w:val="_Style 2"/>
    <w:qFormat/>
    <w:uiPriority w:val="99"/>
    <w:pPr>
      <w:adjustRightInd w:val="0"/>
      <w:snapToGrid w:val="0"/>
    </w:pPr>
    <w:rPr>
      <w:rFonts w:ascii="Tahoma" w:hAnsi="Tahoma" w:eastAsia="微软雅黑" w:cs="Tahoma"/>
      <w:sz w:val="22"/>
      <w:szCs w:val="22"/>
      <w:lang w:val="en-US" w:eastAsia="zh-CN" w:bidi="ar-SA"/>
    </w:rPr>
  </w:style>
  <w:style w:type="paragraph" w:customStyle="1" w:styleId="100">
    <w:name w:val="列出段落2"/>
    <w:qFormat/>
    <w:uiPriority w:val="0"/>
    <w:pPr>
      <w:ind w:firstLine="420" w:firstLineChars="200"/>
    </w:pPr>
    <w:rPr>
      <w:rFonts w:ascii="Times New Roman" w:hAnsi="Times New Roman" w:eastAsia="宋体" w:cs="Times New Roman"/>
      <w:lang w:val="en-US" w:eastAsia="zh-CN" w:bidi="ar-SA"/>
    </w:rPr>
  </w:style>
  <w:style w:type="paragraph" w:customStyle="1" w:styleId="101">
    <w:name w:val="此正文"/>
    <w:basedOn w:val="1"/>
    <w:qFormat/>
    <w:uiPriority w:val="99"/>
    <w:pPr>
      <w:spacing w:line="360" w:lineRule="auto"/>
      <w:ind w:firstLine="200" w:firstLineChars="200"/>
    </w:pPr>
    <w:rPr>
      <w:sz w:val="24"/>
    </w:rPr>
  </w:style>
  <w:style w:type="paragraph" w:customStyle="1" w:styleId="102">
    <w:name w:val="列出段落3"/>
    <w:basedOn w:val="1"/>
    <w:qFormat/>
    <w:uiPriority w:val="0"/>
    <w:pPr>
      <w:ind w:firstLine="200" w:firstLineChars="200"/>
    </w:pPr>
  </w:style>
  <w:style w:type="paragraph" w:customStyle="1" w:styleId="103">
    <w:name w:val="样式 首行缩进:  0 字符"/>
    <w:basedOn w:val="1"/>
    <w:qFormat/>
    <w:uiPriority w:val="0"/>
    <w:pPr>
      <w:ind w:firstLine="200" w:firstLineChars="200"/>
    </w:pPr>
    <w:rPr>
      <w:rFonts w:ascii="Arial" w:hAnsi="Arial" w:cs="宋体"/>
      <w:szCs w:val="20"/>
    </w:rPr>
  </w:style>
  <w:style w:type="paragraph" w:customStyle="1" w:styleId="104">
    <w:name w:val="正文四号"/>
    <w:basedOn w:val="1"/>
    <w:qFormat/>
    <w:uiPriority w:val="0"/>
    <w:pPr>
      <w:ind w:firstLine="200" w:firstLineChars="200"/>
    </w:pPr>
    <w:rPr>
      <w:rFonts w:eastAsia="仿宋_GB2312" w:cs="宋体"/>
      <w:sz w:val="28"/>
      <w:szCs w:val="20"/>
    </w:rPr>
  </w:style>
  <w:style w:type="paragraph" w:customStyle="1" w:styleId="105">
    <w:name w:val="表1"/>
    <w:basedOn w:val="1"/>
    <w:qFormat/>
    <w:uiPriority w:val="0"/>
    <w:pPr>
      <w:numPr>
        <w:ilvl w:val="0"/>
        <w:numId w:val="2"/>
      </w:numPr>
      <w:ind w:left="0" w:firstLine="0"/>
      <w:jc w:val="center"/>
    </w:pPr>
    <w:rPr>
      <w:rFonts w:ascii="Arial" w:hAnsi="Arial" w:cs="宋体"/>
      <w:szCs w:val="20"/>
    </w:rPr>
  </w:style>
  <w:style w:type="paragraph" w:customStyle="1" w:styleId="106">
    <w:name w:val="表格表头"/>
    <w:basedOn w:val="1"/>
    <w:qFormat/>
    <w:uiPriority w:val="0"/>
    <w:pPr>
      <w:jc w:val="center"/>
      <w:outlineLvl w:val="0"/>
    </w:pPr>
    <w:rPr>
      <w:rFonts w:ascii="宋体" w:hAnsi="宋体" w:eastAsia="黑体" w:cs="宋体"/>
      <w:szCs w:val="21"/>
    </w:rPr>
  </w:style>
  <w:style w:type="paragraph" w:customStyle="1" w:styleId="107">
    <w:name w:val="正文首行缩进小四宋体"/>
    <w:basedOn w:val="1"/>
    <w:qFormat/>
    <w:uiPriority w:val="0"/>
    <w:pPr>
      <w:ind w:firstLine="480" w:firstLineChars="200"/>
    </w:pPr>
    <w:rPr>
      <w:kern w:val="0"/>
    </w:rPr>
  </w:style>
  <w:style w:type="paragraph" w:customStyle="1" w:styleId="108">
    <w:name w:val="2级标题"/>
    <w:qFormat/>
    <w:uiPriority w:val="0"/>
    <w:pPr>
      <w:keepLines/>
      <w:spacing w:before="240" w:after="120" w:line="360" w:lineRule="auto"/>
      <w:contextualSpacing/>
      <w:outlineLvl w:val="1"/>
    </w:pPr>
    <w:rPr>
      <w:rFonts w:ascii="黑体" w:hAnsi="黑体" w:eastAsia="黑体" w:cstheme="minorBidi"/>
      <w:b/>
      <w:sz w:val="32"/>
      <w:szCs w:val="36"/>
      <w:lang w:val="en-US" w:eastAsia="en-US" w:bidi="en-US"/>
    </w:rPr>
  </w:style>
  <w:style w:type="paragraph" w:customStyle="1" w:styleId="109">
    <w:name w:val="3级标题"/>
    <w:basedOn w:val="110"/>
    <w:qFormat/>
    <w:uiPriority w:val="0"/>
    <w:pPr>
      <w:keepLines/>
      <w:widowControl w:val="0"/>
      <w:adjustRightInd/>
      <w:snapToGrid/>
      <w:spacing w:before="120" w:after="120" w:line="360" w:lineRule="auto"/>
      <w:ind w:firstLine="0" w:firstLineChars="0"/>
      <w:contextualSpacing/>
      <w:outlineLvl w:val="2"/>
    </w:pPr>
    <w:rPr>
      <w:rFonts w:ascii="黑体" w:hAnsi="黑体" w:eastAsia="黑体" w:cs="Times New Roman"/>
      <w:b/>
      <w:kern w:val="0"/>
      <w:sz w:val="28"/>
      <w:szCs w:val="36"/>
      <w:lang w:eastAsia="en-US" w:bidi="en-US"/>
    </w:rPr>
  </w:style>
  <w:style w:type="paragraph" w:customStyle="1" w:styleId="110">
    <w:name w:val="列出段落4"/>
    <w:basedOn w:val="1"/>
    <w:qFormat/>
    <w:uiPriority w:val="0"/>
    <w:pPr>
      <w:widowControl/>
      <w:adjustRightInd w:val="0"/>
      <w:snapToGrid w:val="0"/>
      <w:ind w:firstLine="420" w:firstLineChars="200"/>
      <w:jc w:val="left"/>
    </w:pPr>
    <w:rPr>
      <w:rFonts w:ascii="微软雅黑" w:hAnsi="微软雅黑" w:eastAsia="微软雅黑" w:cs="宋体"/>
      <w:szCs w:val="21"/>
    </w:rPr>
  </w:style>
  <w:style w:type="character" w:customStyle="1" w:styleId="111">
    <w:name w:val="标题 3 Char1"/>
    <w:basedOn w:val="31"/>
    <w:link w:val="4"/>
    <w:qFormat/>
    <w:locked/>
    <w:uiPriority w:val="99"/>
    <w:rPr>
      <w:rFonts w:cs="Times New Roman"/>
      <w:b/>
      <w:bCs/>
      <w:sz w:val="32"/>
      <w:szCs w:val="32"/>
    </w:rPr>
  </w:style>
  <w:style w:type="character" w:customStyle="1" w:styleId="112">
    <w:name w:val="font11"/>
    <w:basedOn w:val="31"/>
    <w:qFormat/>
    <w:uiPriority w:val="0"/>
    <w:rPr>
      <w:rFonts w:ascii="Calibri" w:hAnsi="Calibri" w:cs="Calibri"/>
      <w:color w:val="000000"/>
      <w:sz w:val="21"/>
      <w:szCs w:val="21"/>
      <w:u w:val="none"/>
    </w:rPr>
  </w:style>
  <w:style w:type="character" w:customStyle="1" w:styleId="113">
    <w:name w:val="font21"/>
    <w:basedOn w:val="31"/>
    <w:qFormat/>
    <w:uiPriority w:val="0"/>
    <w:rPr>
      <w:rFonts w:hint="eastAsia" w:ascii="宋体" w:hAnsi="宋体" w:eastAsia="宋体" w:cs="宋体"/>
      <w:color w:val="000000"/>
      <w:sz w:val="21"/>
      <w:szCs w:val="21"/>
      <w:u w:val="none"/>
    </w:rPr>
  </w:style>
  <w:style w:type="paragraph" w:customStyle="1" w:styleId="114">
    <w:name w:val="参数正文"/>
    <w:basedOn w:val="1"/>
    <w:qFormat/>
    <w:uiPriority w:val="99"/>
    <w:pPr>
      <w:ind w:firstLine="480" w:firstLineChars="200"/>
      <w:jc w:val="left"/>
    </w:pPr>
    <w:rPr>
      <w:rFonts w:ascii="宋体" w:hAnsi="宋体"/>
    </w:rPr>
  </w:style>
  <w:style w:type="paragraph" w:customStyle="1" w:styleId="115">
    <w:name w:val="Char2"/>
    <w:basedOn w:val="1"/>
    <w:next w:val="1"/>
    <w:qFormat/>
    <w:uiPriority w:val="0"/>
    <w:pPr>
      <w:spacing w:line="360" w:lineRule="auto"/>
      <w:ind w:firstLine="482" w:firstLineChars="200"/>
      <w:outlineLvl w:val="1"/>
    </w:pPr>
    <w:rPr>
      <w:rFonts w:ascii="宋体" w:hAnsi="宋体"/>
      <w:b/>
      <w:color w:val="000000"/>
      <w:sz w:val="24"/>
    </w:rPr>
  </w:style>
  <w:style w:type="paragraph" w:customStyle="1" w:styleId="116">
    <w:name w:val="无间隔2"/>
    <w:qFormat/>
    <w:uiPriority w:val="99"/>
    <w:pPr>
      <w:adjustRightInd w:val="0"/>
      <w:snapToGrid w:val="0"/>
    </w:pPr>
    <w:rPr>
      <w:rFonts w:ascii="Tahoma" w:hAnsi="Tahoma" w:eastAsia="微软雅黑" w:cs="Tahoma"/>
      <w:sz w:val="22"/>
      <w:szCs w:val="22"/>
      <w:lang w:val="en-US" w:eastAsia="zh-CN" w:bidi="ar-SA"/>
    </w:rPr>
  </w:style>
  <w:style w:type="paragraph" w:customStyle="1" w:styleId="117">
    <w:name w:val="段落缩进2 小四"/>
    <w:basedOn w:val="1"/>
    <w:qFormat/>
    <w:uiPriority w:val="0"/>
    <w:pPr>
      <w:ind w:firstLine="480" w:firstLineChars="200"/>
    </w:pPr>
    <w:rPr>
      <w:rFonts w:ascii="宋体" w:hAnsi="宋体"/>
    </w:rPr>
  </w:style>
  <w:style w:type="paragraph" w:customStyle="1" w:styleId="118">
    <w:name w:val="样式 标题 1h1H1标书1第*部分第A章L1bocLevel 1 Topic HeadingH11H12..."/>
    <w:basedOn w:val="2"/>
    <w:qFormat/>
    <w:uiPriority w:val="0"/>
    <w:pPr>
      <w:jc w:val="left"/>
    </w:pPr>
    <w:rPr>
      <w:rFonts w:ascii="宋体" w:hAnsi="宋体" w:cs="宋体"/>
      <w:szCs w:val="20"/>
    </w:rPr>
  </w:style>
  <w:style w:type="paragraph" w:customStyle="1" w:styleId="119">
    <w:name w:val="样式 标题 2Heading 2 HiddenHeading 2 CCBSheading 2第一章 标题 2H2h2..."/>
    <w:basedOn w:val="3"/>
    <w:qFormat/>
    <w:uiPriority w:val="0"/>
    <w:pPr>
      <w:tabs>
        <w:tab w:val="left" w:pos="576"/>
      </w:tabs>
    </w:pPr>
    <w:rPr>
      <w:rFonts w:ascii="宋体" w:hAnsi="宋体" w:eastAsia="宋体"/>
      <w:bCs/>
    </w:rPr>
  </w:style>
  <w:style w:type="paragraph" w:styleId="120">
    <w:name w:val="List Paragraph"/>
    <w:basedOn w:val="1"/>
    <w:qFormat/>
    <w:uiPriority w:val="34"/>
    <w:pPr>
      <w:ind w:firstLine="420" w:firstLineChars="200"/>
      <w:jc w:val="left"/>
    </w:pPr>
    <w:rPr>
      <w:szCs w:val="21"/>
    </w:rPr>
  </w:style>
  <w:style w:type="paragraph" w:customStyle="1" w:styleId="12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5621D3-76DE-4643-9848-7955F4B33A9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143</Pages>
  <Words>17067</Words>
  <Characters>97287</Characters>
  <Lines>810</Lines>
  <Paragraphs>228</Paragraphs>
  <TotalTime>23</TotalTime>
  <ScaleCrop>false</ScaleCrop>
  <LinksUpToDate>false</LinksUpToDate>
  <CharactersWithSpaces>114126</CharactersWithSpaces>
  <Application>WPS Office_10.1.0.7566_F1E327BC-269C-435d-A152-05C5408002CA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2017-10-12T07:42:00Z</dcterms:created>
  <dc:creator>MC SYSTEM</dc:creator>
  <cp:lastModifiedBy>Trj</cp:lastModifiedBy>
  <dcterms:modified xsi:type="dcterms:W3CDTF">2018-09-30T01:47:07Z</dcterms:modified>
  <cp:revision>164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