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CG-20</w:t>
      </w:r>
      <w:r>
        <w:rPr>
          <w:rFonts w:hint="eastAsia" w:ascii="宋体"/>
          <w:b/>
          <w:kern w:val="0"/>
          <w:sz w:val="32"/>
        </w:rPr>
        <w:t>20</w:t>
      </w:r>
      <w:r>
        <w:rPr>
          <w:rFonts w:ascii="宋体"/>
          <w:b/>
          <w:kern w:val="0"/>
          <w:sz w:val="32"/>
        </w:rPr>
        <w:t>-</w:t>
      </w:r>
      <w:r>
        <w:rPr>
          <w:rFonts w:hint="eastAsia" w:ascii="宋体"/>
          <w:b/>
          <w:kern w:val="0"/>
          <w:sz w:val="32"/>
        </w:rPr>
        <w:t>GK016D号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pStyle w:val="9"/>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240" w:firstLineChars="800"/>
        <w:rPr>
          <w:rFonts w:ascii="宋体"/>
          <w:kern w:val="0"/>
          <w:sz w:val="28"/>
        </w:rPr>
      </w:pPr>
      <w:r>
        <w:rPr>
          <w:rFonts w:hint="eastAsia" w:ascii="宋体"/>
          <w:kern w:val="0"/>
          <w:sz w:val="28"/>
        </w:rPr>
        <w:t>采购项目：视力筛查管理系统及筛查设备采购项目</w:t>
      </w:r>
    </w:p>
    <w:p>
      <w:pPr>
        <w:autoSpaceDE w:val="0"/>
        <w:autoSpaceDN w:val="0"/>
        <w:adjustRightInd w:val="0"/>
        <w:spacing w:line="360" w:lineRule="auto"/>
        <w:ind w:firstLine="2240" w:firstLineChars="800"/>
        <w:rPr>
          <w:rFonts w:ascii="宋体"/>
          <w:kern w:val="0"/>
          <w:sz w:val="28"/>
        </w:rPr>
      </w:pPr>
      <w:r>
        <w:rPr>
          <w:rFonts w:hint="eastAsia" w:ascii="宋体"/>
          <w:kern w:val="0"/>
          <w:sz w:val="28"/>
        </w:rPr>
        <w:t>采购人：台州市卫生健康委员会、台州市教育局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2020年</w:t>
      </w:r>
      <w:r>
        <w:rPr>
          <w:rFonts w:hint="eastAsia" w:ascii="宋体" w:hAnsi="宋体" w:cs="宋体"/>
          <w:kern w:val="0"/>
          <w:sz w:val="28"/>
          <w:szCs w:val="28"/>
          <w:lang w:val="en-US" w:eastAsia="zh-CN"/>
        </w:rPr>
        <w:t>9</w:t>
      </w:r>
      <w:r>
        <w:rPr>
          <w:rFonts w:hint="eastAsia" w:ascii="宋体" w:hAnsi="宋体" w:cs="宋体"/>
          <w:kern w:val="0"/>
          <w:sz w:val="28"/>
          <w:szCs w:val="28"/>
        </w:rPr>
        <w:t>月</w:t>
      </w:r>
      <w:r>
        <w:rPr>
          <w:rFonts w:hint="eastAsia" w:ascii="宋体" w:hAnsi="宋体" w:cs="宋体"/>
          <w:kern w:val="0"/>
          <w:sz w:val="28"/>
          <w:szCs w:val="28"/>
          <w:lang w:val="en-US" w:eastAsia="zh-CN"/>
        </w:rPr>
        <w:t>3</w:t>
      </w:r>
      <w:r>
        <w:rPr>
          <w:rFonts w:hint="eastAsia" w:ascii="宋体" w:hAnsi="宋体" w:cs="宋体"/>
          <w:kern w:val="0"/>
          <w:sz w:val="28"/>
          <w:szCs w:val="28"/>
        </w:rPr>
        <w:t>日</w:t>
      </w:r>
    </w:p>
    <w:p>
      <w:pPr>
        <w:spacing w:line="360" w:lineRule="auto"/>
      </w:pPr>
    </w:p>
    <w:p>
      <w:pPr>
        <w:pStyle w:val="2"/>
      </w:pPr>
    </w:p>
    <w:p>
      <w:pPr>
        <w:pStyle w:val="2"/>
      </w:pPr>
    </w:p>
    <w:p>
      <w:pPr>
        <w:spacing w:line="360" w:lineRule="auto"/>
      </w:pPr>
    </w:p>
    <w:p>
      <w:pPr>
        <w:jc w:val="center"/>
        <w:rPr>
          <w:rFonts w:ascii="宋体" w:hAnsi="宋体" w:cs="Arial"/>
          <w:b/>
          <w:bCs/>
          <w:sz w:val="36"/>
          <w:szCs w:val="36"/>
        </w:rPr>
      </w:pPr>
    </w:p>
    <w:p>
      <w:pPr>
        <w:jc w:val="center"/>
        <w:rPr>
          <w:rFonts w:ascii="宋体" w:hAnsi="宋体" w:cs="Arial"/>
          <w:b/>
          <w:bCs/>
          <w:sz w:val="36"/>
          <w:szCs w:val="36"/>
        </w:rPr>
      </w:pPr>
    </w:p>
    <w:p>
      <w:pPr>
        <w:jc w:val="center"/>
        <w:rPr>
          <w:rFonts w:ascii="宋体" w:hAnsi="宋体" w:cs="Arial"/>
          <w:b/>
          <w:bCs/>
          <w:sz w:val="36"/>
          <w:szCs w:val="36"/>
        </w:rPr>
      </w:pPr>
      <w:r>
        <w:rPr>
          <w:rFonts w:hint="eastAsia" w:ascii="宋体" w:hAnsi="宋体" w:cs="Arial"/>
          <w:b/>
          <w:bCs/>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电子投标文件格式附件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9"/>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t xml:space="preserve"> 公开</w:t>
      </w:r>
      <w:r>
        <w:rPr>
          <w:rFonts w:hint="eastAsia" w:asciiTheme="majorEastAsia" w:hAnsiTheme="majorEastAsia" w:eastAsiaTheme="majorEastAsia"/>
          <w:b/>
          <w:sz w:val="36"/>
          <w:szCs w:val="36"/>
        </w:rPr>
        <w:t>招标采购公告</w:t>
      </w:r>
    </w:p>
    <w:p>
      <w:pPr>
        <w:pStyle w:val="3"/>
        <w:numPr>
          <w:ilvl w:val="0"/>
          <w:numId w:val="0"/>
        </w:numPr>
        <w:tabs>
          <w:tab w:val="left" w:pos="0"/>
          <w:tab w:val="left" w:pos="3165"/>
          <w:tab w:val="center" w:pos="4153"/>
        </w:tabs>
        <w:autoSpaceDE w:val="0"/>
        <w:autoSpaceDN w:val="0"/>
        <w:adjustRightInd w:val="0"/>
        <w:spacing w:before="0" w:after="0"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Theme="minorEastAsia" w:hAnsiTheme="minorEastAsia" w:eastAsiaTheme="minorEastAsia" w:cstheme="minorEastAsia"/>
          <w:sz w:val="24"/>
        </w:rPr>
      </w:pPr>
      <w:r>
        <w:rPr>
          <w:rFonts w:hint="eastAsia" w:ascii="宋体" w:hAnsi="宋体"/>
          <w:b/>
          <w:bCs/>
          <w:kern w:val="0"/>
          <w:sz w:val="24"/>
        </w:rPr>
        <w:t>台州市卫生健康委员会、台州市教育局视力筛查管理系统及筛查设备采购项目</w:t>
      </w:r>
      <w:r>
        <w:rPr>
          <w:rFonts w:hint="eastAsia" w:asciiTheme="minorEastAsia" w:hAnsiTheme="minorEastAsia" w:eastAsiaTheme="minorEastAsia" w:cstheme="minorEastAsia"/>
          <w:sz w:val="24"/>
        </w:rPr>
        <w:t>的潜在投标人应在</w:t>
      </w:r>
      <w:r>
        <w:rPr>
          <w:rFonts w:hint="eastAsia" w:cs="Arial" w:asciiTheme="minorEastAsia" w:hAnsiTheme="minorEastAsia" w:eastAsiaTheme="minorEastAsia"/>
          <w:sz w:val="24"/>
        </w:rPr>
        <w:t xml:space="preserve">“浙江省政府采购网”（http:// www.zjzfcg.gov.cn）和“台州市公共资源交易中心”（ </w:t>
      </w:r>
      <w:r>
        <w:fldChar w:fldCharType="begin"/>
      </w:r>
      <w:r>
        <w:instrText xml:space="preserve"> HYPERLINK "http://www.xjztb.cn" </w:instrText>
      </w:r>
      <w:r>
        <w:fldChar w:fldCharType="separate"/>
      </w:r>
      <w:r>
        <w:rPr>
          <w:rFonts w:hint="eastAsia" w:cs="Arial" w:asciiTheme="minorEastAsia" w:hAnsiTheme="minorEastAsia" w:eastAsiaTheme="minorEastAsia"/>
          <w:sz w:val="24"/>
        </w:rPr>
        <w:t>http://www.tzztb.com</w:t>
      </w:r>
      <w:r>
        <w:rPr>
          <w:rFonts w:hint="eastAsia" w:cs="Arial" w:asciiTheme="minorEastAsia" w:hAnsiTheme="minorEastAsia" w:eastAsiaTheme="minorEastAsia"/>
          <w:sz w:val="24"/>
        </w:rPr>
        <w:fldChar w:fldCharType="end"/>
      </w:r>
      <w:r>
        <w:rPr>
          <w:rFonts w:hint="eastAsia" w:cs="Arial" w:asciiTheme="minorEastAsia" w:hAnsiTheme="minorEastAsia" w:eastAsiaTheme="minorEastAsia"/>
          <w:sz w:val="24"/>
        </w:rPr>
        <w:t>）</w:t>
      </w:r>
      <w:r>
        <w:rPr>
          <w:rFonts w:hint="eastAsia" w:asciiTheme="minorEastAsia" w:hAnsiTheme="minorEastAsia" w:eastAsiaTheme="minorEastAsia" w:cstheme="minorEastAsia"/>
          <w:sz w:val="24"/>
        </w:rPr>
        <w:t>获取招标文件，并于</w:t>
      </w:r>
      <w:r>
        <w:rPr>
          <w:rFonts w:hint="eastAsia" w:asciiTheme="minorEastAsia" w:hAnsiTheme="minorEastAsia" w:eastAsiaTheme="minorEastAsia" w:cstheme="minorEastAsia"/>
          <w:color w:val="FF0000"/>
          <w:sz w:val="24"/>
          <w:u w:val="single"/>
        </w:rPr>
        <w:t>2020</w:t>
      </w:r>
      <w:r>
        <w:rPr>
          <w:rFonts w:hint="eastAsia" w:asciiTheme="minorEastAsia" w:hAnsiTheme="minorEastAsia" w:eastAsiaTheme="minorEastAsia" w:cstheme="minorEastAsia"/>
          <w:bCs/>
          <w:color w:val="FF0000"/>
          <w:sz w:val="24"/>
          <w:u w:val="single"/>
        </w:rPr>
        <w:t>年</w:t>
      </w:r>
      <w:r>
        <w:rPr>
          <w:rFonts w:hint="eastAsia" w:asciiTheme="minorEastAsia" w:hAnsiTheme="minorEastAsia" w:eastAsiaTheme="minorEastAsia" w:cstheme="minorEastAsia"/>
          <w:bCs/>
          <w:color w:val="FF0000"/>
          <w:sz w:val="24"/>
          <w:u w:val="single"/>
          <w:lang w:val="en-US" w:eastAsia="zh-CN"/>
        </w:rPr>
        <w:t>9</w:t>
      </w:r>
      <w:r>
        <w:rPr>
          <w:rFonts w:hint="eastAsia" w:asciiTheme="minorEastAsia" w:hAnsiTheme="minorEastAsia" w:eastAsiaTheme="minorEastAsia" w:cstheme="minorEastAsia"/>
          <w:bCs/>
          <w:color w:val="FF0000"/>
          <w:sz w:val="24"/>
          <w:u w:val="single"/>
        </w:rPr>
        <w:t>月</w:t>
      </w:r>
      <w:r>
        <w:rPr>
          <w:rFonts w:hint="eastAsia" w:asciiTheme="minorEastAsia" w:hAnsiTheme="minorEastAsia" w:eastAsiaTheme="minorEastAsia" w:cstheme="minorEastAsia"/>
          <w:bCs/>
          <w:color w:val="FF0000"/>
          <w:sz w:val="24"/>
          <w:u w:val="single"/>
          <w:lang w:val="en-US" w:eastAsia="zh-CN"/>
        </w:rPr>
        <w:t>25</w:t>
      </w:r>
      <w:r>
        <w:rPr>
          <w:rFonts w:hint="eastAsia" w:asciiTheme="minorEastAsia" w:hAnsiTheme="minorEastAsia" w:eastAsiaTheme="minorEastAsia" w:cstheme="minorEastAsia"/>
          <w:bCs/>
          <w:color w:val="FF0000"/>
          <w:sz w:val="24"/>
          <w:u w:val="single"/>
        </w:rPr>
        <w:t>日</w:t>
      </w:r>
      <w:r>
        <w:rPr>
          <w:rFonts w:hint="eastAsia" w:asciiTheme="minorEastAsia" w:hAnsiTheme="minorEastAsia" w:eastAsiaTheme="minorEastAsia" w:cstheme="minorEastAsia"/>
          <w:bCs/>
          <w:sz w:val="24"/>
          <w:u w:val="single"/>
        </w:rPr>
        <w:t xml:space="preserve"> 9点00分（</w:t>
      </w:r>
      <w:r>
        <w:rPr>
          <w:rFonts w:hint="eastAsia" w:asciiTheme="minorEastAsia" w:hAnsiTheme="minorEastAsia" w:eastAsiaTheme="minorEastAsia" w:cstheme="minorEastAsia"/>
          <w:bCs/>
          <w:sz w:val="24"/>
        </w:rPr>
        <w:t>北京时间）前递交</w:t>
      </w:r>
      <w:r>
        <w:rPr>
          <w:rFonts w:hint="eastAsia"/>
          <w:sz w:val="24"/>
        </w:rPr>
        <w:t>电子</w:t>
      </w:r>
      <w:r>
        <w:rPr>
          <w:rFonts w:hint="eastAsia" w:asciiTheme="minorEastAsia" w:hAnsiTheme="minorEastAsia" w:eastAsiaTheme="minorEastAsia" w:cstheme="minorEastAsia"/>
          <w:bCs/>
          <w:sz w:val="24"/>
        </w:rPr>
        <w:t>投标文件</w:t>
      </w:r>
      <w:r>
        <w:rPr>
          <w:rFonts w:hint="eastAsia" w:asciiTheme="minorEastAsia" w:hAnsiTheme="minorEastAsia" w:eastAsiaTheme="minorEastAsia" w:cstheme="minorEastAsia"/>
          <w:sz w:val="24"/>
        </w:rPr>
        <w:t>。</w:t>
      </w:r>
    </w:p>
    <w:p>
      <w:pPr>
        <w:pStyle w:val="4"/>
        <w:rPr>
          <w:rFonts w:asciiTheme="minorEastAsia" w:hAnsiTheme="minorEastAsia" w:eastAsiaTheme="minorEastAsia" w:cstheme="minorEastAsia"/>
          <w:b w:val="0"/>
          <w:sz w:val="24"/>
          <w:szCs w:val="24"/>
        </w:rPr>
      </w:pPr>
      <w:bookmarkStart w:id="0" w:name="_Toc28359079"/>
      <w:bookmarkStart w:id="1" w:name="_Toc35393790"/>
      <w:bookmarkStart w:id="2" w:name="_Toc28359002"/>
      <w:bookmarkStart w:id="3" w:name="_Toc35393621"/>
      <w:bookmarkStart w:id="4" w:name="_Hlk24379207"/>
    </w:p>
    <w:p>
      <w:pPr>
        <w:pStyle w:val="4"/>
        <w:numPr>
          <w:ilvl w:val="0"/>
          <w:numId w:val="5"/>
        </w:numPr>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项目基本情况</w:t>
      </w:r>
      <w:bookmarkEnd w:id="0"/>
      <w:bookmarkEnd w:id="1"/>
      <w:bookmarkEnd w:id="2"/>
      <w:bookmarkEnd w:id="3"/>
    </w:p>
    <w:p>
      <w:pPr>
        <w:pStyle w:val="4"/>
        <w:rPr>
          <w:kern w:val="0"/>
          <w:sz w:val="24"/>
          <w:szCs w:val="24"/>
        </w:rPr>
      </w:pPr>
      <w:r>
        <w:rPr>
          <w:rFonts w:hint="eastAsia" w:asciiTheme="minorEastAsia" w:hAnsiTheme="minorEastAsia" w:eastAsiaTheme="minorEastAsia" w:cstheme="minorEastAsia"/>
          <w:sz w:val="24"/>
          <w:szCs w:val="24"/>
        </w:rPr>
        <w:t>项目编号：</w:t>
      </w:r>
      <w:r>
        <w:rPr>
          <w:rFonts w:hint="eastAsia"/>
          <w:kern w:val="0"/>
          <w:sz w:val="24"/>
          <w:szCs w:val="24"/>
        </w:rPr>
        <w:t>TZ</w:t>
      </w:r>
      <w:r>
        <w:rPr>
          <w:kern w:val="0"/>
          <w:sz w:val="24"/>
          <w:szCs w:val="24"/>
        </w:rPr>
        <w:t>CG-20</w:t>
      </w:r>
      <w:r>
        <w:rPr>
          <w:rFonts w:hint="eastAsia"/>
          <w:kern w:val="0"/>
          <w:sz w:val="24"/>
          <w:szCs w:val="24"/>
        </w:rPr>
        <w:t>20</w:t>
      </w:r>
      <w:r>
        <w:rPr>
          <w:kern w:val="0"/>
          <w:sz w:val="24"/>
          <w:szCs w:val="24"/>
        </w:rPr>
        <w:t>-</w:t>
      </w:r>
      <w:r>
        <w:rPr>
          <w:rFonts w:hint="eastAsia"/>
          <w:kern w:val="0"/>
          <w:sz w:val="24"/>
          <w:szCs w:val="24"/>
        </w:rPr>
        <w:t>GK016D号</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宋体" w:hAnsi="宋体"/>
          <w:b/>
          <w:bCs/>
          <w:kern w:val="0"/>
          <w:sz w:val="24"/>
        </w:rPr>
        <w:t>台州市卫生健康委员会、台州市教育局视力筛查管理系统及筛查设备采购项目</w:t>
      </w:r>
    </w:p>
    <w:bookmarkEnd w:id="4"/>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p>
    <w:tbl>
      <w:tblPr>
        <w:tblStyle w:val="24"/>
        <w:tblW w:w="9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06"/>
        <w:gridCol w:w="1080"/>
        <w:gridCol w:w="825"/>
        <w:gridCol w:w="690"/>
        <w:gridCol w:w="945"/>
        <w:gridCol w:w="14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692"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标段号</w:t>
            </w:r>
          </w:p>
        </w:tc>
        <w:tc>
          <w:tcPr>
            <w:tcW w:w="2206" w:type="dxa"/>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w:t>
            </w:r>
          </w:p>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08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简要技术要求服务要求等</w:t>
            </w:r>
          </w:p>
        </w:tc>
        <w:tc>
          <w:tcPr>
            <w:tcW w:w="82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数量</w:t>
            </w:r>
          </w:p>
        </w:tc>
        <w:tc>
          <w:tcPr>
            <w:tcW w:w="69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94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预算（万元）</w:t>
            </w:r>
          </w:p>
        </w:tc>
        <w:tc>
          <w:tcPr>
            <w:tcW w:w="1470" w:type="dxa"/>
            <w:vAlign w:val="center"/>
          </w:tcPr>
          <w:p>
            <w:pPr>
              <w:tabs>
                <w:tab w:val="left" w:pos="8280"/>
              </w:tabs>
              <w:autoSpaceDE w:val="0"/>
              <w:autoSpaceDN w:val="0"/>
              <w:adjustRightInd w:val="0"/>
              <w:spacing w:line="360" w:lineRule="auto"/>
              <w:ind w:right="25"/>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交货期（合同签订后几天内）</w:t>
            </w:r>
          </w:p>
        </w:tc>
        <w:tc>
          <w:tcPr>
            <w:tcW w:w="1350" w:type="dxa"/>
            <w:vAlign w:val="center"/>
          </w:tcPr>
          <w:p>
            <w:pPr>
              <w:tabs>
                <w:tab w:val="left" w:pos="8280"/>
              </w:tabs>
              <w:autoSpaceDE w:val="0"/>
              <w:autoSpaceDN w:val="0"/>
              <w:adjustRightInd w:val="0"/>
              <w:spacing w:line="360" w:lineRule="auto"/>
              <w:ind w:right="25"/>
              <w:jc w:val="center"/>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92"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2206" w:type="dxa"/>
            <w:vAlign w:val="center"/>
          </w:tcPr>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kern w:val="0"/>
                <w:sz w:val="24"/>
              </w:rPr>
              <w:t>视力筛查管理系统</w:t>
            </w:r>
          </w:p>
        </w:tc>
        <w:tc>
          <w:tcPr>
            <w:tcW w:w="1080" w:type="dxa"/>
            <w:vMerge w:val="restart"/>
            <w:vAlign w:val="center"/>
          </w:tcPr>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详见技术需求</w:t>
            </w:r>
          </w:p>
          <w:p>
            <w:pPr>
              <w:widowControl/>
              <w:spacing w:line="360" w:lineRule="auto"/>
              <w:jc w:val="left"/>
              <w:rPr>
                <w:rFonts w:ascii="宋体" w:hAnsi="宋体"/>
                <w:color w:val="000000" w:themeColor="text1"/>
                <w:sz w:val="24"/>
                <w14:textFill>
                  <w14:solidFill>
                    <w14:schemeClr w14:val="tx1"/>
                  </w14:solidFill>
                </w14:textFill>
              </w:rPr>
            </w:pPr>
          </w:p>
        </w:tc>
        <w:tc>
          <w:tcPr>
            <w:tcW w:w="825" w:type="dxa"/>
            <w:vAlign w:val="center"/>
          </w:tcPr>
          <w:p>
            <w:pPr>
              <w:widowControl/>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690" w:type="dxa"/>
            <w:vAlign w:val="center"/>
          </w:tcPr>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945" w:type="dxa"/>
            <w:vAlign w:val="center"/>
          </w:tcPr>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80万元</w:t>
            </w:r>
          </w:p>
        </w:tc>
        <w:tc>
          <w:tcPr>
            <w:tcW w:w="1470" w:type="dxa"/>
          </w:tcPr>
          <w:p>
            <w:pPr>
              <w:widowControl/>
              <w:spacing w:line="360" w:lineRule="auto"/>
              <w:jc w:val="center"/>
              <w:rPr>
                <w:rFonts w:ascii="宋体" w:hAnsi="宋体"/>
                <w:color w:val="0000FF"/>
                <w:sz w:val="24"/>
              </w:rPr>
            </w:pPr>
          </w:p>
          <w:p>
            <w:pPr>
              <w:widowControl/>
              <w:spacing w:line="360" w:lineRule="auto"/>
              <w:jc w:val="center"/>
              <w:rPr>
                <w:rFonts w:ascii="宋体" w:hAnsi="宋体"/>
                <w:color w:val="0000FF"/>
                <w:sz w:val="24"/>
              </w:rPr>
            </w:pPr>
            <w:r>
              <w:rPr>
                <w:rFonts w:hint="eastAsia" w:ascii="宋体" w:hAnsi="宋体"/>
                <w:color w:val="0000FF"/>
                <w:sz w:val="24"/>
                <w:lang w:val="en-US" w:eastAsia="zh-CN"/>
              </w:rPr>
              <w:t>45</w:t>
            </w:r>
            <w:r>
              <w:rPr>
                <w:rFonts w:hint="eastAsia" w:ascii="宋体" w:hAnsi="宋体"/>
                <w:color w:val="0000FF"/>
                <w:sz w:val="24"/>
              </w:rPr>
              <w:t>天</w:t>
            </w:r>
          </w:p>
        </w:tc>
        <w:tc>
          <w:tcPr>
            <w:tcW w:w="1350" w:type="dxa"/>
            <w:vMerge w:val="restart"/>
            <w:vAlign w:val="center"/>
          </w:tcPr>
          <w:p>
            <w:pPr>
              <w:tabs>
                <w:tab w:val="left" w:pos="8280"/>
              </w:tabs>
              <w:autoSpaceDE w:val="0"/>
              <w:autoSpaceDN w:val="0"/>
              <w:adjustRightInd w:val="0"/>
              <w:spacing w:line="360" w:lineRule="auto"/>
              <w:ind w:right="25"/>
              <w:jc w:val="center"/>
              <w:rPr>
                <w:color w:val="000000" w:themeColor="text1"/>
                <w:sz w:val="24"/>
                <w14:textFill>
                  <w14:solidFill>
                    <w14:schemeClr w14:val="tx1"/>
                  </w14:solidFill>
                </w14:textFill>
              </w:rPr>
            </w:pPr>
            <w:r>
              <w:rPr>
                <w:rFonts w:hint="eastAsia" w:ascii="宋体" w:hAnsi="宋体"/>
                <w:kern w:val="0"/>
                <w:sz w:val="24"/>
              </w:rPr>
              <w:t>台州市卫生健康委员会、台州市教育局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92"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2206" w:type="dxa"/>
            <w:vAlign w:val="center"/>
          </w:tcPr>
          <w:p>
            <w:pPr>
              <w:widowControl/>
              <w:spacing w:line="360" w:lineRule="auto"/>
              <w:jc w:val="left"/>
              <w:rPr>
                <w:rFonts w:ascii="宋体" w:hAnsi="宋体"/>
                <w:kern w:val="0"/>
                <w:sz w:val="24"/>
              </w:rPr>
            </w:pPr>
            <w:r>
              <w:rPr>
                <w:rFonts w:hint="eastAsia" w:ascii="宋体" w:hAnsi="宋体"/>
                <w:kern w:val="0"/>
                <w:sz w:val="24"/>
              </w:rPr>
              <w:t>视力筛查设备</w:t>
            </w:r>
          </w:p>
        </w:tc>
        <w:tc>
          <w:tcPr>
            <w:tcW w:w="1080" w:type="dxa"/>
            <w:vMerge w:val="continue"/>
            <w:vAlign w:val="center"/>
          </w:tcPr>
          <w:p>
            <w:pPr>
              <w:widowControl/>
              <w:spacing w:line="360" w:lineRule="auto"/>
              <w:jc w:val="left"/>
              <w:rPr>
                <w:rFonts w:ascii="宋体" w:hAnsi="宋体"/>
                <w:color w:val="000000" w:themeColor="text1"/>
                <w:sz w:val="24"/>
                <w14:textFill>
                  <w14:solidFill>
                    <w14:schemeClr w14:val="tx1"/>
                  </w14:solidFill>
                </w14:textFill>
              </w:rPr>
            </w:pPr>
          </w:p>
        </w:tc>
        <w:tc>
          <w:tcPr>
            <w:tcW w:w="825" w:type="dxa"/>
            <w:vAlign w:val="center"/>
          </w:tcPr>
          <w:p>
            <w:pPr>
              <w:widowControl/>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690" w:type="dxa"/>
            <w:vAlign w:val="center"/>
          </w:tcPr>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批</w:t>
            </w:r>
          </w:p>
        </w:tc>
        <w:tc>
          <w:tcPr>
            <w:tcW w:w="945" w:type="dxa"/>
            <w:vAlign w:val="center"/>
          </w:tcPr>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1660万元</w:t>
            </w:r>
          </w:p>
        </w:tc>
        <w:tc>
          <w:tcPr>
            <w:tcW w:w="1470" w:type="dxa"/>
          </w:tcPr>
          <w:p>
            <w:pPr>
              <w:widowControl/>
              <w:spacing w:line="360" w:lineRule="auto"/>
              <w:jc w:val="center"/>
              <w:rPr>
                <w:rFonts w:ascii="宋体" w:hAnsi="宋体"/>
                <w:color w:val="0000FF"/>
                <w:sz w:val="24"/>
              </w:rPr>
            </w:pPr>
            <w:r>
              <w:rPr>
                <w:rFonts w:hint="eastAsia" w:ascii="宋体" w:hAnsi="宋体"/>
                <w:color w:val="0000FF"/>
                <w:sz w:val="24"/>
                <w:lang w:val="en-US" w:eastAsia="zh-CN"/>
              </w:rPr>
              <w:t>45</w:t>
            </w:r>
            <w:r>
              <w:rPr>
                <w:rFonts w:hint="eastAsia" w:ascii="宋体" w:hAnsi="宋体"/>
                <w:color w:val="0000FF"/>
                <w:sz w:val="24"/>
              </w:rPr>
              <w:t>天</w:t>
            </w:r>
          </w:p>
        </w:tc>
        <w:tc>
          <w:tcPr>
            <w:tcW w:w="1350" w:type="dxa"/>
            <w:vMerge w:val="continue"/>
            <w:vAlign w:val="center"/>
          </w:tcPr>
          <w:p>
            <w:pPr>
              <w:tabs>
                <w:tab w:val="left" w:pos="8280"/>
              </w:tabs>
              <w:autoSpaceDE w:val="0"/>
              <w:autoSpaceDN w:val="0"/>
              <w:adjustRightInd w:val="0"/>
              <w:spacing w:line="360" w:lineRule="auto"/>
              <w:ind w:right="25"/>
              <w:jc w:val="center"/>
              <w:rPr>
                <w:rFonts w:ascii="宋体" w:hAnsi="宋体"/>
                <w:kern w:val="0"/>
                <w:sz w:val="24"/>
              </w:rPr>
            </w:pPr>
          </w:p>
        </w:tc>
      </w:tr>
    </w:tbl>
    <w:p>
      <w:pPr>
        <w:widowControl/>
        <w:tabs>
          <w:tab w:val="left" w:pos="0"/>
        </w:tabs>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1、本次采购产品为非进口产品。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2、本项目不接受联合体投标。</w:t>
      </w:r>
    </w:p>
    <w:p>
      <w:pPr>
        <w:pStyle w:val="4"/>
        <w:rPr>
          <w:rFonts w:asciiTheme="minorEastAsia" w:hAnsiTheme="minorEastAsia" w:eastAsiaTheme="minorEastAsia" w:cstheme="minorEastAsia"/>
          <w:b w:val="0"/>
          <w:sz w:val="24"/>
          <w:szCs w:val="24"/>
        </w:rPr>
      </w:pPr>
      <w:bookmarkStart w:id="5" w:name="_Toc35393622"/>
      <w:bookmarkStart w:id="6" w:name="_Toc28359003"/>
      <w:bookmarkStart w:id="7" w:name="_Toc35393791"/>
      <w:bookmarkStart w:id="8" w:name="_Toc28359080"/>
      <w:r>
        <w:rPr>
          <w:rFonts w:hint="eastAsia" w:asciiTheme="minorEastAsia" w:hAnsiTheme="minorEastAsia" w:eastAsiaTheme="minorEastAsia" w:cstheme="minorEastAsia"/>
          <w:b w:val="0"/>
          <w:sz w:val="24"/>
          <w:szCs w:val="24"/>
        </w:rPr>
        <w:t>二、申请人的资格要求：</w:t>
      </w:r>
      <w:bookmarkEnd w:id="5"/>
      <w:bookmarkEnd w:id="6"/>
      <w:bookmarkEnd w:id="7"/>
      <w:bookmarkEnd w:id="8"/>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tabs>
          <w:tab w:val="left" w:pos="180"/>
          <w:tab w:val="left" w:pos="360"/>
          <w:tab w:val="left" w:pos="540"/>
          <w:tab w:val="left" w:pos="8280"/>
        </w:tabs>
        <w:autoSpaceDE w:val="0"/>
        <w:autoSpaceDN w:val="0"/>
        <w:adjustRightInd w:val="0"/>
        <w:spacing w:before="100" w:line="360" w:lineRule="auto"/>
        <w:ind w:right="23" w:firstLine="480" w:firstLineChars="200"/>
        <w:rPr>
          <w:rFonts w:hint="eastAsia" w:asciiTheme="minorEastAsia" w:hAnsiTheme="minorEastAsia" w:eastAsiaTheme="minorEastAsia" w:cstheme="minorEastAsia"/>
          <w:sz w:val="24"/>
        </w:rPr>
      </w:pPr>
      <w:bookmarkStart w:id="9" w:name="_Toc28359081"/>
      <w:bookmarkStart w:id="10" w:name="_Toc28359004"/>
      <w:r>
        <w:rPr>
          <w:rFonts w:hint="eastAsia" w:asciiTheme="minorEastAsia" w:hAnsiTheme="minorEastAsia" w:eastAsiaTheme="minorEastAsia" w:cstheme="minorEastAsia"/>
          <w:sz w:val="24"/>
        </w:rPr>
        <w:t>2.本项目的特定资格要求：</w:t>
      </w:r>
    </w:p>
    <w:p>
      <w:pPr>
        <w:pStyle w:val="2"/>
        <w:spacing w:line="360" w:lineRule="auto"/>
        <w:rPr>
          <w:rFonts w:hint="default" w:eastAsiaTheme="minorEastAsia"/>
          <w:lang w:val="en-US" w:eastAsia="zh-CN"/>
        </w:rPr>
      </w:pPr>
      <w:r>
        <w:rPr>
          <w:rFonts w:hint="eastAsia" w:asciiTheme="minorEastAsia" w:hAnsiTheme="minorEastAsia" w:eastAsiaTheme="minorEastAsia" w:cstheme="minorEastAsia"/>
          <w:sz w:val="24"/>
          <w:lang w:val="en-US" w:eastAsia="zh-CN"/>
        </w:rPr>
        <w:t xml:space="preserve">    第二标段：投标人为生产厂商的，应提供药品监督管理部门颁发的《医疗器械生产企业许可证》；投标人为经销商的，应提供药品监督管理部门颁发的《医疗器械经营企业许可证》；</w:t>
      </w:r>
    </w:p>
    <w:p>
      <w:pPr>
        <w:pStyle w:val="4"/>
        <w:spacing w:line="360" w:lineRule="auto"/>
        <w:rPr>
          <w:rFonts w:asciiTheme="minorEastAsia" w:hAnsiTheme="minorEastAsia" w:eastAsiaTheme="minorEastAsia" w:cstheme="minorEastAsia"/>
          <w:b w:val="0"/>
          <w:sz w:val="24"/>
          <w:szCs w:val="24"/>
        </w:rPr>
      </w:pPr>
      <w:bookmarkStart w:id="11" w:name="_Toc35393623"/>
      <w:bookmarkStart w:id="12" w:name="_Toc35393792"/>
      <w:r>
        <w:rPr>
          <w:rFonts w:hint="eastAsia" w:asciiTheme="minorEastAsia" w:hAnsiTheme="minorEastAsia" w:eastAsiaTheme="minorEastAsia" w:cstheme="minorEastAsia"/>
          <w:b w:val="0"/>
          <w:sz w:val="24"/>
          <w:szCs w:val="24"/>
        </w:rPr>
        <w:t>三、获取招标文件</w:t>
      </w:r>
      <w:bookmarkEnd w:id="9"/>
      <w:bookmarkEnd w:id="10"/>
      <w:bookmarkEnd w:id="11"/>
      <w:bookmarkEnd w:id="12"/>
    </w:p>
    <w:p>
      <w:pPr>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2020年</w:t>
      </w:r>
      <w:r>
        <w:rPr>
          <w:rFonts w:hint="eastAsia" w:asciiTheme="minorEastAsia" w:hAnsiTheme="minorEastAsia" w:eastAsiaTheme="minorEastAsia" w:cstheme="minorEastAsia"/>
          <w:sz w:val="24"/>
          <w:u w:val="single"/>
          <w:lang w:val="en-US" w:eastAsia="zh-CN"/>
        </w:rPr>
        <w:t>9</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4</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rPr>
        <w:t>2020年</w:t>
      </w:r>
      <w:r>
        <w:rPr>
          <w:rFonts w:hint="eastAsia" w:asciiTheme="minorEastAsia" w:hAnsiTheme="minorEastAsia" w:eastAsiaTheme="minorEastAsia" w:cstheme="minorEastAsia"/>
          <w:sz w:val="24"/>
          <w:u w:val="single"/>
          <w:lang w:val="en-US" w:eastAsia="zh-CN"/>
        </w:rPr>
        <w:t>9</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10</w:t>
      </w:r>
      <w:r>
        <w:rPr>
          <w:rFonts w:hint="eastAsia" w:asciiTheme="minorEastAsia" w:hAnsiTheme="minorEastAsia" w:eastAsiaTheme="minorEastAsia" w:cstheme="minorEastAsia"/>
          <w:sz w:val="24"/>
          <w:u w:val="single"/>
        </w:rPr>
        <w:t>日</w:t>
      </w:r>
    </w:p>
    <w:p>
      <w:pPr>
        <w:snapToGrid w:val="0"/>
        <w:spacing w:line="360" w:lineRule="auto"/>
        <w:ind w:firstLine="480" w:firstLineChars="200"/>
        <w:rPr>
          <w:rFonts w:cs="Arial" w:asciiTheme="minorEastAsia" w:hAnsiTheme="minorEastAsia" w:eastAsiaTheme="minorEastAsia"/>
          <w:sz w:val="24"/>
        </w:rPr>
      </w:pPr>
      <w:r>
        <w:rPr>
          <w:rFonts w:hint="eastAsia" w:asciiTheme="minorEastAsia" w:hAnsiTheme="minorEastAsia" w:eastAsiaTheme="minorEastAsia" w:cstheme="minorEastAsia"/>
          <w:sz w:val="24"/>
        </w:rPr>
        <w:t>方式：</w:t>
      </w:r>
      <w:r>
        <w:rPr>
          <w:rFonts w:hint="eastAsia" w:cs="Arial" w:asciiTheme="minorEastAsia" w:hAnsiTheme="minorEastAsia" w:eastAsiaTheme="minorEastAsia"/>
          <w:sz w:val="24"/>
        </w:rPr>
        <w:t>投标人在浙江政府采购云平台（</w:t>
      </w:r>
      <w:r>
        <w:rPr>
          <w:rStyle w:val="27"/>
          <w:rFonts w:hint="eastAsia" w:ascii="FangSong_GB2312" w:hAnsi="新宋体" w:eastAsia="FangSong_GB2312" w:cs="Arial"/>
          <w:bCs/>
          <w:color w:val="auto"/>
          <w:sz w:val="24"/>
        </w:rPr>
        <w:t>http://www.zcygov.cn）</w:t>
      </w:r>
      <w:r>
        <w:rPr>
          <w:rFonts w:hint="eastAsia" w:cs="Arial" w:asciiTheme="minorEastAsia" w:hAnsiTheme="minorEastAsia" w:eastAsiaTheme="minorEastAsia"/>
          <w:sz w:val="24"/>
        </w:rPr>
        <w:t>进行网上报名后可免费下载。</w:t>
      </w:r>
      <w:r>
        <w:rPr>
          <w:rFonts w:hint="eastAsia" w:cs="Arial" w:asciiTheme="minorEastAsia" w:hAnsiTheme="minorEastAsia" w:eastAsiaTheme="minorEastAsia"/>
          <w:b/>
          <w:bCs/>
          <w:sz w:val="24"/>
        </w:rPr>
        <w:t>提示：采购机构将拒绝非报名供应商的电子投标文件。</w:t>
      </w:r>
    </w:p>
    <w:p>
      <w:pPr>
        <w:pStyle w:val="4"/>
        <w:rPr>
          <w:rFonts w:asciiTheme="minorEastAsia" w:hAnsiTheme="minorEastAsia" w:eastAsiaTheme="minorEastAsia" w:cstheme="minorEastAsia"/>
          <w:b w:val="0"/>
          <w:sz w:val="24"/>
          <w:szCs w:val="24"/>
        </w:rPr>
      </w:pPr>
      <w:bookmarkStart w:id="13" w:name="_Toc28359005"/>
      <w:bookmarkStart w:id="14" w:name="_Toc28359082"/>
      <w:bookmarkStart w:id="15" w:name="_Toc35393624"/>
      <w:bookmarkStart w:id="16" w:name="_Toc35393793"/>
      <w:r>
        <w:rPr>
          <w:rFonts w:hint="eastAsia" w:asciiTheme="minorEastAsia" w:hAnsiTheme="minorEastAsia" w:eastAsiaTheme="minorEastAsia" w:cstheme="minorEastAsia"/>
          <w:b w:val="0"/>
          <w:sz w:val="24"/>
          <w:szCs w:val="24"/>
        </w:rPr>
        <w:t>四、提交投标文件</w:t>
      </w:r>
      <w:bookmarkEnd w:id="13"/>
      <w:bookmarkEnd w:id="14"/>
      <w:r>
        <w:rPr>
          <w:rFonts w:hint="eastAsia" w:asciiTheme="minorEastAsia" w:hAnsiTheme="minorEastAsia" w:eastAsiaTheme="minorEastAsia" w:cstheme="minorEastAsia"/>
          <w:b w:val="0"/>
          <w:sz w:val="24"/>
          <w:szCs w:val="24"/>
        </w:rPr>
        <w:t>截止时间、开标时间和地点</w:t>
      </w:r>
      <w:bookmarkEnd w:id="15"/>
      <w:bookmarkEnd w:id="16"/>
    </w:p>
    <w:p>
      <w:pPr>
        <w:spacing w:line="360" w:lineRule="auto"/>
        <w:ind w:firstLine="480" w:firstLineChars="200"/>
        <w:rPr>
          <w:rFonts w:asciiTheme="minorEastAsia" w:hAnsiTheme="minorEastAsia" w:eastAsiaTheme="minorEastAsia" w:cstheme="minorEastAsia"/>
          <w:bCs/>
          <w:iCs/>
          <w:sz w:val="24"/>
          <w:u w:val="single"/>
        </w:rPr>
      </w:pPr>
      <w:r>
        <w:rPr>
          <w:rFonts w:hint="eastAsia" w:asciiTheme="minorEastAsia" w:hAnsiTheme="minorEastAsia" w:eastAsiaTheme="minorEastAsia" w:cstheme="minorEastAsia"/>
          <w:bCs/>
          <w:color w:val="FF0000"/>
          <w:sz w:val="24"/>
          <w:u w:val="single"/>
        </w:rPr>
        <w:t xml:space="preserve"> 2020年</w:t>
      </w:r>
      <w:r>
        <w:rPr>
          <w:rFonts w:hint="eastAsia" w:asciiTheme="minorEastAsia" w:hAnsiTheme="minorEastAsia" w:eastAsiaTheme="minorEastAsia" w:cstheme="minorEastAsia"/>
          <w:bCs/>
          <w:color w:val="FF0000"/>
          <w:sz w:val="24"/>
          <w:u w:val="single"/>
          <w:lang w:val="en-US" w:eastAsia="zh-CN"/>
        </w:rPr>
        <w:t>9</w:t>
      </w:r>
      <w:r>
        <w:rPr>
          <w:rFonts w:hint="eastAsia" w:asciiTheme="minorEastAsia" w:hAnsiTheme="minorEastAsia" w:eastAsiaTheme="minorEastAsia" w:cstheme="minorEastAsia"/>
          <w:bCs/>
          <w:color w:val="FF0000"/>
          <w:sz w:val="24"/>
          <w:u w:val="single"/>
        </w:rPr>
        <w:t>月</w:t>
      </w:r>
      <w:r>
        <w:rPr>
          <w:rFonts w:hint="eastAsia" w:asciiTheme="minorEastAsia" w:hAnsiTheme="minorEastAsia" w:eastAsiaTheme="minorEastAsia" w:cstheme="minorEastAsia"/>
          <w:bCs/>
          <w:color w:val="FF0000"/>
          <w:sz w:val="24"/>
          <w:u w:val="single"/>
          <w:lang w:val="en-US" w:eastAsia="zh-CN"/>
        </w:rPr>
        <w:t>25</w:t>
      </w:r>
      <w:r>
        <w:rPr>
          <w:rFonts w:hint="eastAsia" w:asciiTheme="minorEastAsia" w:hAnsiTheme="minorEastAsia" w:eastAsiaTheme="minorEastAsia" w:cstheme="minorEastAsia"/>
          <w:bCs/>
          <w:color w:val="FF0000"/>
          <w:sz w:val="24"/>
          <w:u w:val="single"/>
        </w:rPr>
        <w:t>日</w:t>
      </w:r>
      <w:r>
        <w:rPr>
          <w:rFonts w:hint="eastAsia" w:asciiTheme="minorEastAsia" w:hAnsiTheme="minorEastAsia" w:eastAsiaTheme="minorEastAsia" w:cstheme="minorEastAsia"/>
          <w:bCs/>
          <w:sz w:val="24"/>
          <w:u w:val="single"/>
        </w:rPr>
        <w:t>9点00分</w:t>
      </w:r>
      <w:r>
        <w:rPr>
          <w:rFonts w:hint="eastAsia" w:asciiTheme="minorEastAsia" w:hAnsiTheme="minorEastAsia" w:eastAsiaTheme="minorEastAsia" w:cstheme="minorEastAsia"/>
          <w:bCs/>
          <w:sz w:val="24"/>
        </w:rPr>
        <w:t>（北京时间）</w:t>
      </w:r>
    </w:p>
    <w:p>
      <w:pPr>
        <w:pStyle w:val="9"/>
        <w:spacing w:line="360" w:lineRule="auto"/>
        <w:rPr>
          <w:rFonts w:asciiTheme="minorEastAsia" w:hAnsiTheme="minorEastAsia" w:eastAsiaTheme="minorEastAsia" w:cstheme="minorEastAsia"/>
          <w:sz w:val="24"/>
          <w:szCs w:val="24"/>
        </w:rPr>
      </w:pPr>
      <w:bookmarkStart w:id="17" w:name="_Toc28359084"/>
      <w:bookmarkStart w:id="18" w:name="_Toc35393625"/>
      <w:bookmarkStart w:id="19" w:name="_Toc35393794"/>
      <w:bookmarkStart w:id="20" w:name="_Toc28359007"/>
      <w:r>
        <w:rPr>
          <w:rFonts w:hint="eastAsia" w:asciiTheme="minorEastAsia" w:hAnsiTheme="minorEastAsia" w:eastAsiaTheme="minorEastAsia" w:cstheme="minorEastAsia"/>
          <w:sz w:val="24"/>
          <w:szCs w:val="24"/>
        </w:rPr>
        <w:t>本项目只接受电子投标文件，具体操作要求见前附表。请在开标当日09:00至09:30完成电子投标文件解密。</w:t>
      </w:r>
    </w:p>
    <w:p>
      <w:pPr>
        <w:pStyle w:val="4"/>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五、公告期限</w:t>
      </w:r>
      <w:bookmarkEnd w:id="17"/>
      <w:bookmarkEnd w:id="18"/>
      <w:bookmarkEnd w:id="19"/>
      <w:bookmarkEnd w:id="20"/>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pStyle w:val="4"/>
        <w:rPr>
          <w:rFonts w:asciiTheme="minorEastAsia" w:hAnsiTheme="minorEastAsia" w:eastAsiaTheme="minorEastAsia" w:cstheme="minorEastAsia"/>
          <w:b w:val="0"/>
          <w:sz w:val="24"/>
          <w:szCs w:val="24"/>
        </w:rPr>
      </w:pPr>
      <w:bookmarkStart w:id="21" w:name="_Toc35393626"/>
      <w:bookmarkStart w:id="22" w:name="_Toc35393795"/>
      <w:r>
        <w:rPr>
          <w:rFonts w:hint="eastAsia" w:asciiTheme="minorEastAsia" w:hAnsiTheme="minorEastAsia" w:eastAsiaTheme="minorEastAsia" w:cstheme="minorEastAsia"/>
          <w:b w:val="0"/>
          <w:sz w:val="24"/>
          <w:szCs w:val="24"/>
        </w:rPr>
        <w:t>六、其他补充事宜</w:t>
      </w:r>
      <w:bookmarkEnd w:id="21"/>
      <w:bookmarkEnd w:id="22"/>
    </w:p>
    <w:p>
      <w:pPr>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供应商认为采购文件使自己的权益受到损害的，可以自收到采购文件之日（获取截止日之后收到采购文件的，以获取截止日为准）起7个工作日内且应当在采购投标截止时间之前，以书面形式一次性向采购人和集中采构机构提出同一环节的质疑。否则，被质疑人可不予接受。质疑供应商对采购人、集中采构机构的答复不满意或者采购人、集中采构机构未在规定的时间内作出答复的，可以在答复期满后十五个工作日内向同级政府采购监督管理部门投诉。</w:t>
      </w:r>
    </w:p>
    <w:p>
      <w:pPr>
        <w:spacing w:line="360" w:lineRule="auto"/>
        <w:ind w:firstLine="480" w:firstLineChars="200"/>
        <w:rPr>
          <w:rFonts w:ascii="宋体" w:hAnsi="宋体" w:cs="Arial"/>
          <w:sz w:val="24"/>
        </w:rPr>
      </w:pPr>
      <w:r>
        <w:rPr>
          <w:rFonts w:hint="eastAsia" w:ascii="宋体" w:hAnsi="宋体" w:cs="Arial"/>
          <w:sz w:val="24"/>
        </w:rPr>
        <w:t>2、根据《浙江省政府采购供应商注册及诚信管理暂行办法》浙财采监【2009】28号文件，请各投标供应商及时办理浙江政府采购网“政府采购供应商注册”手续。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rPr>
          <w:rFonts w:asciiTheme="minorEastAsia" w:hAnsiTheme="minorEastAsia" w:eastAsiaTheme="minorEastAsia" w:cstheme="minorEastAsia"/>
          <w:sz w:val="24"/>
        </w:rPr>
      </w:pPr>
      <w:r>
        <w:rPr>
          <w:rFonts w:hint="eastAsia" w:ascii="宋体" w:hAnsi="宋体" w:cs="Arial"/>
          <w:sz w:val="24"/>
        </w:rPr>
        <w:t>3、</w:t>
      </w:r>
      <w:r>
        <w:rPr>
          <w:rFonts w:cs="Arial" w:asciiTheme="minorEastAsia" w:hAnsiTheme="minorEastAsia" w:eastAsiaTheme="minorEastAsia"/>
          <w:sz w:val="24"/>
        </w:rPr>
        <w:t>参与政府采购项目的注册供应商，</w:t>
      </w:r>
      <w:r>
        <w:rPr>
          <w:rFonts w:hint="eastAsia" w:cs="Arial" w:asciiTheme="minorEastAsia" w:hAnsiTheme="minorEastAsia" w:eastAsiaTheme="minorEastAsia"/>
          <w:sz w:val="24"/>
        </w:rPr>
        <w:t>需登录浙江省政府采购网（</w:t>
      </w:r>
      <w:r>
        <w:rPr>
          <w:rFonts w:hint="eastAsia"/>
          <w:sz w:val="24"/>
        </w:rPr>
        <w:fldChar w:fldCharType="begin"/>
      </w:r>
      <w:r>
        <w:rPr>
          <w:sz w:val="24"/>
        </w:rPr>
        <w:instrText xml:space="preserve"> HYPERLINK "http://www.tzztb.com/tzcms/zfcg.jhtml" </w:instrText>
      </w:r>
      <w:r>
        <w:rPr>
          <w:rFonts w:hint="eastAsia"/>
          <w:sz w:val="24"/>
        </w:rPr>
        <w:fldChar w:fldCharType="separate"/>
      </w:r>
      <w:r>
        <w:rPr>
          <w:rFonts w:hint="eastAsia" w:cs="Arial" w:asciiTheme="minorEastAsia" w:hAnsiTheme="minorEastAsia" w:eastAsiaTheme="minorEastAsia"/>
          <w:sz w:val="24"/>
        </w:rPr>
        <w:t>http://www.zjzfcg.gov.cn</w:t>
      </w:r>
      <w:r>
        <w:rPr>
          <w:rFonts w:hint="eastAsia" w:cs="Arial" w:asciiTheme="minorEastAsia" w:hAnsiTheme="minorEastAsia" w:eastAsiaTheme="minorEastAsia"/>
          <w:sz w:val="24"/>
        </w:rPr>
        <w:fldChar w:fldCharType="end"/>
      </w:r>
      <w:r>
        <w:rPr>
          <w:rFonts w:hint="eastAsia" w:cs="Arial" w:asciiTheme="minorEastAsia" w:hAnsiTheme="minorEastAsia" w:eastAsiaTheme="minorEastAsia"/>
          <w:sz w:val="24"/>
        </w:rPr>
        <w:t>）进行网上报名；尚未注册的供应商应当先在浙江政府采购网上申请注册，注册后再进行网</w:t>
      </w:r>
      <w:r>
        <w:rPr>
          <w:rFonts w:cs="Arial" w:asciiTheme="minorEastAsia" w:hAnsiTheme="minorEastAsia" w:eastAsiaTheme="minorEastAsia"/>
          <w:sz w:val="24"/>
        </w:rPr>
        <w:t>上报名</w:t>
      </w:r>
      <w:r>
        <w:rPr>
          <w:rFonts w:hint="eastAsia" w:cs="Arial" w:asciiTheme="minorEastAsia" w:hAnsiTheme="minorEastAsia" w:eastAsiaTheme="minorEastAsia"/>
          <w:sz w:val="24"/>
        </w:rPr>
        <w:t>。</w:t>
      </w:r>
    </w:p>
    <w:p>
      <w:pPr>
        <w:pStyle w:val="4"/>
        <w:rPr>
          <w:rFonts w:asciiTheme="minorEastAsia" w:hAnsiTheme="minorEastAsia" w:eastAsiaTheme="minorEastAsia" w:cstheme="minorEastAsia"/>
          <w:b w:val="0"/>
          <w:sz w:val="24"/>
          <w:szCs w:val="24"/>
        </w:rPr>
      </w:pPr>
      <w:bookmarkStart w:id="23" w:name="_Toc35393627"/>
      <w:bookmarkStart w:id="24" w:name="_Toc28359085"/>
      <w:bookmarkStart w:id="25" w:name="_Toc35393796"/>
      <w:bookmarkStart w:id="26" w:name="_Toc28359008"/>
      <w:r>
        <w:rPr>
          <w:rFonts w:hint="eastAsia" w:asciiTheme="minorEastAsia" w:hAnsiTheme="minorEastAsia" w:eastAsiaTheme="minorEastAsia" w:cstheme="minorEastAsia"/>
          <w:b w:val="0"/>
          <w:sz w:val="24"/>
          <w:szCs w:val="24"/>
        </w:rPr>
        <w:t>七、对本次招标提出询问，请按以下方式联系。</w:t>
      </w:r>
      <w:bookmarkEnd w:id="23"/>
      <w:bookmarkEnd w:id="24"/>
      <w:bookmarkEnd w:id="25"/>
      <w:bookmarkEnd w:id="26"/>
    </w:p>
    <w:p>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　　</w:t>
      </w:r>
      <w:r>
        <w:rPr>
          <w:rFonts w:hint="eastAsia" w:asciiTheme="minorEastAsia" w:hAnsiTheme="minorEastAsia" w:eastAsiaTheme="minorEastAsia" w:cstheme="minorEastAsia"/>
          <w:b/>
          <w:bCs/>
          <w:sz w:val="24"/>
        </w:rPr>
        <w:t>　1.采购人</w:t>
      </w:r>
      <w:r>
        <w:rPr>
          <w:rFonts w:hint="eastAsia" w:cs="Arial" w:asciiTheme="minorEastAsia" w:hAnsiTheme="minorEastAsia" w:eastAsiaTheme="minorEastAsia"/>
          <w:b/>
          <w:bCs/>
          <w:sz w:val="24"/>
        </w:rPr>
        <w:t xml:space="preserve">（受理采购文件相关质疑及答复） </w:t>
      </w:r>
    </w:p>
    <w:p>
      <w:pPr>
        <w:snapToGrid w:val="0"/>
        <w:spacing w:line="360" w:lineRule="auto"/>
        <w:ind w:firstLine="720" w:firstLineChars="300"/>
        <w:rPr>
          <w:rFonts w:asciiTheme="minorEastAsia" w:hAnsiTheme="minorEastAsia" w:eastAsiaTheme="minorEastAsia"/>
          <w:kern w:val="0"/>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kern w:val="0"/>
          <w:sz w:val="24"/>
        </w:rPr>
        <w:t>台州市卫生健康委员会</w:t>
      </w:r>
    </w:p>
    <w:p>
      <w:pPr>
        <w:snapToGrid w:val="0"/>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kern w:val="0"/>
          <w:sz w:val="24"/>
        </w:rPr>
        <w:t>台州市椒江区东海大道608号</w:t>
      </w:r>
    </w:p>
    <w:p>
      <w:pPr>
        <w:snapToGrid w:val="0"/>
        <w:spacing w:line="360" w:lineRule="auto"/>
        <w:ind w:firstLine="720" w:firstLineChars="30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联系人：崔</w:t>
      </w:r>
      <w:r>
        <w:rPr>
          <w:rFonts w:hint="eastAsia" w:ascii="Arial" w:hAnsi="Arial" w:cs="Arial"/>
          <w:color w:val="000000"/>
          <w:sz w:val="24"/>
        </w:rPr>
        <w:t>老师</w:t>
      </w:r>
      <w:r>
        <w:rPr>
          <w:rFonts w:hint="eastAsia" w:cs="Arial" w:asciiTheme="minorEastAsia" w:hAnsiTheme="minorEastAsia" w:eastAsiaTheme="minorEastAsia"/>
          <w:color w:val="000000" w:themeColor="text1"/>
          <w:sz w:val="24"/>
          <w14:textFill>
            <w14:solidFill>
              <w14:schemeClr w14:val="tx1"/>
            </w14:solidFill>
          </w14:textFill>
        </w:rPr>
        <w:t xml:space="preserve"> </w:t>
      </w:r>
      <w:bookmarkStart w:id="27" w:name="_Toc28359086"/>
      <w:bookmarkStart w:id="28" w:name="_Toc28359009"/>
    </w:p>
    <w:p>
      <w:pPr>
        <w:snapToGrid w:val="0"/>
        <w:spacing w:line="360" w:lineRule="auto"/>
        <w:ind w:firstLine="720" w:firstLineChars="300"/>
        <w:rPr>
          <w:rFonts w:ascii="Arial" w:hAnsi="Arial" w:cs="Arial"/>
          <w:color w:val="000000"/>
          <w:sz w:val="24"/>
        </w:rPr>
      </w:pPr>
      <w:r>
        <w:rPr>
          <w:rFonts w:hint="eastAsia" w:asciiTheme="minorEastAsia" w:hAnsiTheme="minorEastAsia" w:eastAsiaTheme="minorEastAsia" w:cstheme="minorEastAsia"/>
          <w:sz w:val="24"/>
        </w:rPr>
        <w:t>联系电话：</w:t>
      </w:r>
      <w:r>
        <w:rPr>
          <w:rFonts w:hint="eastAsia" w:ascii="宋体" w:hAnsi="宋体"/>
          <w:color w:val="000000" w:themeColor="text1"/>
          <w:sz w:val="24"/>
          <w14:textFill>
            <w14:solidFill>
              <w14:schemeClr w14:val="tx1"/>
            </w14:solidFill>
          </w14:textFill>
        </w:rPr>
        <w:t>18857633337</w:t>
      </w:r>
    </w:p>
    <w:p>
      <w:pPr>
        <w:spacing w:line="360" w:lineRule="auto"/>
        <w:ind w:firstLine="720" w:firstLineChars="300"/>
        <w:rPr>
          <w:rFonts w:asciiTheme="minorEastAsia" w:hAnsiTheme="minorEastAsia" w:eastAsiaTheme="minorEastAsia"/>
          <w:b/>
          <w:sz w:val="24"/>
        </w:rPr>
      </w:pPr>
      <w:r>
        <w:rPr>
          <w:rFonts w:hint="eastAsia" w:asciiTheme="minorEastAsia" w:hAnsiTheme="minorEastAsia" w:eastAsiaTheme="minorEastAsia" w:cstheme="minorEastAsia"/>
          <w:sz w:val="24"/>
        </w:rPr>
        <w:t>2.</w:t>
      </w:r>
      <w:bookmarkEnd w:id="27"/>
      <w:bookmarkEnd w:id="28"/>
      <w:r>
        <w:rPr>
          <w:rFonts w:hint="eastAsia" w:asciiTheme="minorEastAsia" w:hAnsiTheme="minorEastAsia" w:eastAsiaTheme="minorEastAsia"/>
          <w:b/>
          <w:sz w:val="24"/>
        </w:rPr>
        <w:t>集中采购机构</w:t>
      </w:r>
    </w:p>
    <w:p>
      <w:pPr>
        <w:spacing w:line="360" w:lineRule="auto"/>
        <w:ind w:firstLine="720" w:firstLineChars="300"/>
        <w:rPr>
          <w:rFonts w:ascii="宋体"/>
          <w:color w:val="000000" w:themeColor="text1"/>
          <w:kern w:val="0"/>
          <w:sz w:val="24"/>
          <w14:textFill>
            <w14:solidFill>
              <w14:schemeClr w14:val="tx1"/>
            </w14:solidFill>
          </w14:textFill>
        </w:rPr>
      </w:pPr>
      <w:r>
        <w:rPr>
          <w:rFonts w:hint="eastAsia" w:asciiTheme="minorEastAsia" w:hAnsiTheme="minorEastAsia" w:eastAsiaTheme="minorEastAsia" w:cstheme="minorEastAsia"/>
          <w:sz w:val="24"/>
        </w:rPr>
        <w:t>名 称：</w:t>
      </w:r>
      <w:r>
        <w:rPr>
          <w:rFonts w:hint="eastAsia" w:ascii="Arial" w:hAnsi="Arial" w:cs="Arial"/>
          <w:color w:val="000000" w:themeColor="text1"/>
          <w:sz w:val="24"/>
          <w:shd w:val="clear" w:color="auto" w:fill="FFFFFF"/>
          <w14:textFill>
            <w14:solidFill>
              <w14:schemeClr w14:val="tx1"/>
            </w14:solidFill>
          </w14:textFill>
        </w:rPr>
        <w:t>台州市政府采购中心</w:t>
      </w:r>
      <w:r>
        <w:rPr>
          <w:rFonts w:ascii="宋体"/>
          <w:color w:val="000000" w:themeColor="text1"/>
          <w:kern w:val="0"/>
          <w:sz w:val="24"/>
          <w14:textFill>
            <w14:solidFill>
              <w14:schemeClr w14:val="tx1"/>
            </w14:solidFill>
          </w14:textFill>
        </w:rPr>
        <w:t xml:space="preserve">  </w:t>
      </w:r>
    </w:p>
    <w:p>
      <w:pPr>
        <w:snapToGrid w:val="0"/>
        <w:spacing w:line="360" w:lineRule="auto"/>
        <w:ind w:firstLine="720" w:firstLineChars="300"/>
        <w:rPr>
          <w:rFonts w:asciiTheme="minorEastAsia" w:hAnsiTheme="minorEastAsia" w:eastAsiaTheme="minorEastAsia"/>
          <w:kern w:val="0"/>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kern w:val="0"/>
          <w:sz w:val="24"/>
        </w:rPr>
        <w:t>台州市公共资源交易中心</w:t>
      </w:r>
    </w:p>
    <w:p>
      <w:pPr>
        <w:snapToGrid w:val="0"/>
        <w:spacing w:line="360" w:lineRule="auto"/>
        <w:ind w:firstLine="720" w:firstLineChars="30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项目联系人：</w:t>
      </w:r>
      <w:bookmarkStart w:id="29" w:name="_Toc28359087"/>
      <w:bookmarkStart w:id="30" w:name="_Toc28359010"/>
      <w:r>
        <w:rPr>
          <w:rFonts w:hint="eastAsia" w:cs="Arial" w:asciiTheme="minorEastAsia" w:hAnsiTheme="minorEastAsia" w:eastAsiaTheme="minorEastAsia"/>
          <w:color w:val="000000" w:themeColor="text1"/>
          <w:sz w:val="24"/>
          <w14:textFill>
            <w14:solidFill>
              <w14:schemeClr w14:val="tx1"/>
            </w14:solidFill>
          </w14:textFill>
        </w:rPr>
        <w:t>陶先生</w:t>
      </w:r>
    </w:p>
    <w:p>
      <w:pPr>
        <w:spacing w:line="360" w:lineRule="auto"/>
        <w:ind w:firstLine="720" w:firstLineChars="3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联系电话：</w:t>
      </w:r>
      <w:r>
        <w:rPr>
          <w:rFonts w:hint="eastAsia" w:cs="Arial" w:asciiTheme="minorEastAsia" w:hAnsiTheme="minorEastAsia" w:eastAsiaTheme="minorEastAsia"/>
          <w:color w:val="000000" w:themeColor="text1"/>
          <w:sz w:val="24"/>
          <w14:textFill>
            <w14:solidFill>
              <w14:schemeClr w14:val="tx1"/>
            </w14:solidFill>
          </w14:textFill>
        </w:rPr>
        <w:t>0576-88685172</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窗口联系人：候女士（受理供应商注册、中标结果相关质疑及答复）</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联系电话：0576-88685121  </w:t>
      </w:r>
    </w:p>
    <w:p>
      <w:pPr>
        <w:pStyle w:val="9"/>
        <w:spacing w:line="360" w:lineRule="auto"/>
        <w:rPr>
          <w:rFonts w:eastAsiaTheme="minorEastAsia"/>
          <w:sz w:val="24"/>
          <w:szCs w:val="24"/>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kern w:val="0"/>
          <w:sz w:val="24"/>
        </w:rPr>
      </w:pPr>
      <w:r>
        <w:rPr>
          <w:rFonts w:hint="eastAsia" w:ascii="Arial" w:hAnsi="Arial" w:cs="Arial"/>
          <w:sz w:val="24"/>
          <w:shd w:val="clear" w:color="auto" w:fill="FFFFFF"/>
        </w:rPr>
        <w:t xml:space="preserve">                                 台州市政府采购中心</w:t>
      </w:r>
      <w:r>
        <w:rPr>
          <w:rFonts w:ascii="宋体"/>
          <w:kern w:val="0"/>
          <w:sz w:val="24"/>
        </w:rPr>
        <w:t xml:space="preserve"> </w:t>
      </w:r>
    </w:p>
    <w:p>
      <w:pPr>
        <w:widowControl/>
        <w:spacing w:line="360" w:lineRule="auto"/>
        <w:jc w:val="left"/>
        <w:rPr>
          <w:rFonts w:asciiTheme="minorEastAsia" w:hAnsiTheme="minorEastAsia" w:eastAsiaTheme="minorEastAsia" w:cstheme="minorEastAsia"/>
          <w:sz w:val="24"/>
        </w:rPr>
      </w:pPr>
      <w:r>
        <w:rPr>
          <w:rFonts w:hint="eastAsia" w:ascii="宋体"/>
          <w:kern w:val="0"/>
          <w:sz w:val="24"/>
        </w:rPr>
        <w:t xml:space="preserve">                                                 2020 年</w:t>
      </w:r>
      <w:r>
        <w:rPr>
          <w:rFonts w:hint="eastAsia" w:ascii="宋体" w:hAnsi="宋体"/>
          <w:sz w:val="24"/>
        </w:rPr>
        <w:t xml:space="preserve"> </w:t>
      </w:r>
      <w:r>
        <w:rPr>
          <w:rFonts w:hint="eastAsia" w:ascii="宋体" w:hAnsi="宋体"/>
          <w:sz w:val="24"/>
          <w:lang w:val="en-US" w:eastAsia="zh-CN"/>
        </w:rPr>
        <w:t>9</w:t>
      </w:r>
      <w:r>
        <w:rPr>
          <w:rFonts w:hint="eastAsia" w:ascii="宋体"/>
          <w:kern w:val="0"/>
          <w:sz w:val="24"/>
        </w:rPr>
        <w:t>月</w:t>
      </w:r>
      <w:r>
        <w:rPr>
          <w:rFonts w:hint="eastAsia" w:ascii="宋体" w:hAnsi="宋体"/>
          <w:sz w:val="24"/>
          <w:lang w:val="en-US" w:eastAsia="zh-CN"/>
        </w:rPr>
        <w:t>3</w:t>
      </w:r>
      <w:r>
        <w:rPr>
          <w:rFonts w:hint="eastAsia" w:ascii="宋体"/>
          <w:kern w:val="0"/>
          <w:sz w:val="24"/>
        </w:rPr>
        <w:t>日</w:t>
      </w:r>
    </w:p>
    <w:p>
      <w:pPr>
        <w:pStyle w:val="9"/>
        <w:spacing w:line="360" w:lineRule="auto"/>
        <w:rPr>
          <w:rFonts w:eastAsiaTheme="minorEastAsia"/>
          <w:sz w:val="24"/>
          <w:szCs w:val="24"/>
        </w:rPr>
      </w:pPr>
    </w:p>
    <w:p>
      <w:pPr>
        <w:pStyle w:val="9"/>
        <w:spacing w:line="360" w:lineRule="auto"/>
        <w:rPr>
          <w:rFonts w:eastAsiaTheme="minorEastAsia"/>
          <w:sz w:val="24"/>
          <w:szCs w:val="24"/>
        </w:rPr>
      </w:pPr>
    </w:p>
    <w:p>
      <w:pPr>
        <w:pStyle w:val="9"/>
        <w:spacing w:line="360" w:lineRule="auto"/>
        <w:rPr>
          <w:rFonts w:eastAsiaTheme="minorEastAsia"/>
          <w:sz w:val="24"/>
          <w:szCs w:val="24"/>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rPr>
          <w:rFonts w:eastAsiaTheme="minorEastAsia"/>
        </w:rPr>
      </w:pPr>
    </w:p>
    <w:p>
      <w:pPr>
        <w:pStyle w:val="9"/>
        <w:ind w:firstLine="0"/>
        <w:rPr>
          <w:rFonts w:eastAsiaTheme="minorEastAsia"/>
        </w:rPr>
      </w:pPr>
    </w:p>
    <w:bookmarkEnd w:id="29"/>
    <w:bookmarkEnd w:id="30"/>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4"/>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54"/>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供应商特定</w:t>
            </w:r>
          </w:p>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资格要求</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答疑会或</w:t>
            </w:r>
          </w:p>
          <w:p>
            <w:pPr>
              <w:spacing w:line="360" w:lineRule="auto"/>
              <w:jc w:val="center"/>
              <w:rPr>
                <w:rFonts w:asciiTheme="majorEastAsia" w:hAnsiTheme="majorEastAsia" w:eastAsiaTheme="majorEastAsia" w:cstheme="majorEastAsia"/>
                <w:sz w:val="24"/>
                <w:highlight w:val="yellow"/>
              </w:rPr>
            </w:pPr>
            <w:r>
              <w:rPr>
                <w:rFonts w:hint="eastAsia" w:asciiTheme="majorEastAsia" w:hAnsiTheme="majorEastAsia" w:eastAsiaTheme="majorEastAsia" w:cstheme="majorEastAsia"/>
                <w:sz w:val="24"/>
              </w:rPr>
              <w:t>现场踏勘</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电子投标要求</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投标人须按照采购文件和电子交易平台的要求编制并加密电子投标文件。截止时间：</w:t>
            </w:r>
            <w:r>
              <w:rPr>
                <w:rFonts w:hint="eastAsia" w:ascii="宋体" w:hAnsi="宋体" w:cs="宋体"/>
                <w:sz w:val="24"/>
                <w:lang w:val="en-US" w:eastAsia="zh-CN"/>
              </w:rPr>
              <w:t>开标当日</w:t>
            </w:r>
            <w:r>
              <w:rPr>
                <w:rFonts w:hint="eastAsia" w:ascii="宋体" w:hAnsi="宋体" w:cs="Arial"/>
                <w:sz w:val="24"/>
              </w:rPr>
              <w:t>09:00</w:t>
            </w:r>
          </w:p>
          <w:p>
            <w:pPr>
              <w:pStyle w:val="23"/>
              <w:spacing w:line="360" w:lineRule="auto"/>
              <w:ind w:left="0" w:leftChars="0" w:firstLine="0"/>
              <w:jc w:val="left"/>
              <w:rPr>
                <w:rFonts w:ascii="宋体" w:hAnsi="宋体" w:cs="宋体"/>
                <w:sz w:val="24"/>
              </w:rPr>
            </w:pPr>
            <w:r>
              <w:rPr>
                <w:rFonts w:hint="eastAsia" w:ascii="宋体" w:hAnsi="宋体" w:cs="宋体"/>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p>
            <w:pPr>
              <w:pStyle w:val="11"/>
              <w:spacing w:line="360" w:lineRule="auto"/>
              <w:rPr>
                <w:rFonts w:hint="eastAsia" w:eastAsia="宋体"/>
                <w:sz w:val="24"/>
                <w:lang w:val="en-US" w:eastAsia="zh-CN"/>
              </w:rPr>
            </w:pPr>
            <w:r>
              <w:rPr>
                <w:rFonts w:hint="eastAsia"/>
                <w:b/>
                <w:bCs/>
                <w:sz w:val="24"/>
              </w:rPr>
              <w:t>温馨提醒：供应商应提前上传，以便在上传时遇到技术问题，有充足的时间请教平台的技术人员。</w:t>
            </w:r>
            <w:r>
              <w:rPr>
                <w:rFonts w:hint="eastAsia"/>
                <w:sz w:val="24"/>
              </w:rPr>
              <w:t>平台技术人员联系人：</w:t>
            </w:r>
            <w:r>
              <w:rPr>
                <w:rFonts w:hint="eastAsia"/>
                <w:sz w:val="24"/>
                <w:lang w:val="en-US" w:eastAsia="zh-CN"/>
              </w:rPr>
              <w:t>徐女士</w:t>
            </w:r>
            <w:r>
              <w:rPr>
                <w:rFonts w:hint="eastAsia"/>
                <w:sz w:val="24"/>
              </w:rPr>
              <w:t>；联系电话：0576-88685161</w:t>
            </w:r>
            <w:r>
              <w:rPr>
                <w:rFonts w:hint="eastAsia"/>
                <w:sz w:val="24"/>
                <w:lang w:val="en-US" w:eastAsia="zh-CN"/>
              </w:rPr>
              <w:t>/</w:t>
            </w:r>
            <w:r>
              <w:rPr>
                <w:rFonts w:hint="eastAsia"/>
                <w:color w:val="auto"/>
                <w:sz w:val="24"/>
                <w:szCs w:val="24"/>
                <w:lang w:val="en-US" w:eastAsia="zh-CN"/>
              </w:rPr>
              <w:t>18806862938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954"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0" w:leftChars="0" w:firstLine="0"/>
              <w:jc w:val="left"/>
              <w:rPr>
                <w:rFonts w:ascii="宋体" w:hAnsi="宋体" w:cs="宋体"/>
                <w:sz w:val="24"/>
              </w:rPr>
            </w:pPr>
            <w:r>
              <w:rPr>
                <w:rFonts w:hint="eastAsia" w:ascii="宋体" w:hAnsi="宋体" w:cs="宋体"/>
                <w:sz w:val="24"/>
              </w:rPr>
              <w:t>电子投标文件解密要求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0" w:leftChars="0" w:firstLine="0"/>
              <w:jc w:val="left"/>
              <w:rPr>
                <w:rFonts w:ascii="宋体" w:hAnsi="宋体" w:cs="宋体"/>
                <w:sz w:val="24"/>
              </w:rPr>
            </w:pPr>
            <w:r>
              <w:rPr>
                <w:rFonts w:hint="eastAsia" w:ascii="宋体" w:hAnsi="宋体" w:cs="宋体"/>
                <w:sz w:val="24"/>
              </w:rPr>
              <w:t>电子投标文件在线解密时间：</w:t>
            </w:r>
            <w:r>
              <w:rPr>
                <w:rFonts w:hint="eastAsia" w:ascii="宋体" w:hAnsi="宋体" w:cs="宋体"/>
                <w:sz w:val="24"/>
                <w:lang w:val="en-US" w:eastAsia="zh-CN"/>
              </w:rPr>
              <w:t>开标当日</w:t>
            </w:r>
            <w:r>
              <w:rPr>
                <w:rFonts w:hint="eastAsia" w:ascii="宋体" w:hAnsi="宋体" w:cs="宋体"/>
                <w:sz w:val="24"/>
              </w:rPr>
              <w:t>09:00至09:30；</w:t>
            </w:r>
          </w:p>
          <w:p>
            <w:pPr>
              <w:pStyle w:val="23"/>
              <w:spacing w:line="360" w:lineRule="auto"/>
              <w:ind w:left="0" w:leftChars="0" w:firstLine="0"/>
              <w:jc w:val="left"/>
              <w:rPr>
                <w:rFonts w:ascii="宋体" w:hAnsi="宋体" w:cs="宋体"/>
                <w:sz w:val="24"/>
              </w:rPr>
            </w:pPr>
            <w:r>
              <w:rPr>
                <w:rFonts w:hint="eastAsia" w:ascii="宋体" w:hAnsi="宋体" w:cs="宋体"/>
                <w:sz w:val="24"/>
              </w:rPr>
              <w:t>投标人应当按规定及时解密，若因技术原因导致电子投标文件未能及时解密的，应联系我中心技术人员在</w:t>
            </w:r>
            <w:r>
              <w:rPr>
                <w:rFonts w:hint="eastAsia" w:ascii="宋体" w:hAnsi="宋体" w:cs="宋体"/>
                <w:b/>
                <w:bCs/>
                <w:sz w:val="24"/>
              </w:rPr>
              <w:t>监管人员</w:t>
            </w:r>
            <w:r>
              <w:rPr>
                <w:rFonts w:hint="eastAsia" w:ascii="宋体" w:hAnsi="宋体" w:cs="宋体"/>
                <w:sz w:val="24"/>
              </w:rPr>
              <w:t>监督下远程协助其完成解密，仍无法完成解密的，应按规定及时递交备份电子投标文件，否则，视同放弃投标。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954"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0" w:leftChars="0" w:firstLine="0"/>
              <w:jc w:val="left"/>
              <w:rPr>
                <w:rFonts w:ascii="宋体" w:hAnsi="宋体" w:cs="宋体"/>
                <w:sz w:val="24"/>
              </w:rPr>
            </w:pPr>
            <w:r>
              <w:rPr>
                <w:rFonts w:hint="eastAsia" w:ascii="宋体" w:hAnsi="宋体" w:cs="宋体"/>
                <w:sz w:val="24"/>
              </w:rPr>
              <w:t>备份电子投标</w:t>
            </w:r>
          </w:p>
          <w:p>
            <w:pPr>
              <w:pStyle w:val="23"/>
              <w:spacing w:line="360" w:lineRule="auto"/>
              <w:ind w:left="0" w:leftChars="0" w:firstLine="0"/>
              <w:jc w:val="left"/>
              <w:rPr>
                <w:rFonts w:asciiTheme="majorEastAsia" w:hAnsiTheme="majorEastAsia" w:eastAsiaTheme="majorEastAsia" w:cstheme="majorEastAsia"/>
                <w:sz w:val="24"/>
              </w:rPr>
            </w:pPr>
            <w:r>
              <w:rPr>
                <w:rFonts w:hint="eastAsia" w:ascii="宋体" w:hAnsi="宋体" w:cs="宋体"/>
                <w:sz w:val="24"/>
              </w:rPr>
              <w:t>文件制作要求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0" w:leftChars="0" w:firstLine="0"/>
              <w:jc w:val="left"/>
              <w:rPr>
                <w:rFonts w:asciiTheme="majorEastAsia" w:hAnsiTheme="majorEastAsia" w:eastAsiaTheme="majorEastAsia" w:cstheme="majorEastAsia"/>
                <w:b/>
                <w:bCs/>
                <w:sz w:val="24"/>
              </w:rPr>
            </w:pPr>
            <w:r>
              <w:rPr>
                <w:rFonts w:hint="eastAsia" w:ascii="宋体" w:hAnsi="宋体" w:cs="宋体"/>
                <w:sz w:val="24"/>
              </w:rPr>
              <w:t>备份电子投标文件是通过“政采云”平台电子投标工具制作电子投标文件产生的备份文件，请投标人自行妥善保管。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954"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0" w:leftChars="0" w:firstLine="0"/>
              <w:jc w:val="left"/>
              <w:rPr>
                <w:rFonts w:asciiTheme="majorEastAsia" w:hAnsiTheme="majorEastAsia" w:eastAsiaTheme="majorEastAsia" w:cstheme="majorEastAsia"/>
                <w:sz w:val="24"/>
              </w:rPr>
            </w:pPr>
            <w:r>
              <w:rPr>
                <w:rFonts w:hint="eastAsia" w:ascii="宋体" w:hAnsi="宋体" w:cs="宋体"/>
                <w:sz w:val="24"/>
              </w:rPr>
              <w:t>备份电子投标文件使用、递交有关规定</w:t>
            </w:r>
          </w:p>
        </w:tc>
        <w:tc>
          <w:tcPr>
            <w:tcW w:w="6729"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left="0" w:leftChars="0" w:firstLine="0"/>
              <w:jc w:val="left"/>
              <w:rPr>
                <w:rFonts w:ascii="宋体" w:hAnsi="宋体" w:cs="宋体"/>
                <w:sz w:val="24"/>
              </w:rPr>
            </w:pPr>
            <w:r>
              <w:rPr>
                <w:rFonts w:hint="eastAsia" w:ascii="宋体" w:hAnsi="宋体" w:cs="宋体"/>
                <w:sz w:val="24"/>
              </w:rPr>
              <w:t>1.使用前提：投标人自行在线解密操作失败无法按时寻求技术人员帮助解密，或者投标人寻求技术人员帮助仍无法按时完成解密；</w:t>
            </w:r>
          </w:p>
          <w:p>
            <w:pPr>
              <w:pStyle w:val="23"/>
              <w:spacing w:line="360" w:lineRule="auto"/>
              <w:ind w:left="0" w:leftChars="0" w:firstLine="0"/>
              <w:jc w:val="left"/>
              <w:rPr>
                <w:rFonts w:ascii="宋体" w:hAnsi="宋体" w:cs="宋体"/>
                <w:sz w:val="24"/>
              </w:rPr>
            </w:pPr>
            <w:r>
              <w:rPr>
                <w:rFonts w:hint="eastAsia" w:ascii="宋体" w:hAnsi="宋体" w:cs="宋体"/>
                <w:sz w:val="24"/>
              </w:rPr>
              <w:t>2.递交截止时间：</w:t>
            </w:r>
            <w:r>
              <w:rPr>
                <w:rFonts w:hint="eastAsia" w:ascii="宋体" w:hAnsi="宋体" w:cs="宋体"/>
                <w:color w:val="auto"/>
                <w:sz w:val="24"/>
                <w:lang w:val="en-US" w:eastAsia="zh-CN"/>
              </w:rPr>
              <w:t>开标当日</w:t>
            </w:r>
            <w:r>
              <w:rPr>
                <w:rFonts w:hint="eastAsia" w:ascii="宋体" w:hAnsi="宋体" w:cs="宋体"/>
                <w:sz w:val="24"/>
              </w:rPr>
              <w:t>09:50；</w:t>
            </w:r>
          </w:p>
          <w:p>
            <w:pPr>
              <w:pStyle w:val="23"/>
              <w:spacing w:line="360" w:lineRule="auto"/>
              <w:ind w:left="0" w:leftChars="0" w:firstLine="0"/>
              <w:jc w:val="left"/>
              <w:rPr>
                <w:rFonts w:ascii="宋体" w:hAnsi="宋体" w:cs="宋体"/>
                <w:sz w:val="24"/>
              </w:rPr>
            </w:pPr>
            <w:r>
              <w:rPr>
                <w:rFonts w:hint="eastAsia" w:ascii="宋体" w:hAnsi="宋体" w:cs="宋体"/>
                <w:sz w:val="24"/>
              </w:rPr>
              <w:t>3.投递邮箱：开标当日钉钉直播群公布的指定邮箱；</w:t>
            </w:r>
          </w:p>
          <w:p>
            <w:pPr>
              <w:pStyle w:val="23"/>
              <w:spacing w:line="360" w:lineRule="auto"/>
              <w:ind w:left="0" w:leftChars="0" w:firstLine="0"/>
              <w:jc w:val="left"/>
              <w:rPr>
                <w:rFonts w:ascii="宋体" w:hAnsi="宋体" w:cs="宋体"/>
                <w:sz w:val="24"/>
              </w:rPr>
            </w:pPr>
            <w:r>
              <w:rPr>
                <w:rFonts w:hint="eastAsia" w:ascii="宋体" w:hAnsi="宋体" w:cs="宋体"/>
                <w:sz w:val="24"/>
              </w:rPr>
              <w:t>4.未按上述要求递交备份电子投标文件或所提供的的备份电子投标文件不符合要求的视同放弃投标。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样品递交要求（第二标段）</w:t>
            </w:r>
          </w:p>
        </w:tc>
        <w:tc>
          <w:tcPr>
            <w:tcW w:w="672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color w:val="FF0000"/>
                <w:sz w:val="24"/>
              </w:rPr>
            </w:pPr>
            <w:r>
              <w:rPr>
                <w:rFonts w:hint="eastAsia" w:ascii="宋体" w:hAnsi="宋体" w:cs="宋体"/>
                <w:sz w:val="24"/>
              </w:rPr>
              <w:t>截止时间：</w:t>
            </w:r>
            <w:r>
              <w:rPr>
                <w:rFonts w:hint="eastAsia" w:ascii="宋体" w:hAnsi="宋体" w:cs="宋体"/>
                <w:color w:val="FF0000"/>
                <w:sz w:val="24"/>
              </w:rPr>
              <w:t>开标当日08：30-</w:t>
            </w:r>
            <w:r>
              <w:rPr>
                <w:rFonts w:hint="eastAsia" w:ascii="宋体" w:hAnsi="宋体" w:cs="Arial"/>
                <w:color w:val="FF0000"/>
                <w:sz w:val="24"/>
              </w:rPr>
              <w:t>10：00</w:t>
            </w:r>
            <w:r>
              <w:rPr>
                <w:rFonts w:hint="eastAsia" w:ascii="宋体" w:hAnsi="宋体" w:cs="Arial"/>
                <w:sz w:val="24"/>
              </w:rPr>
              <w:t>接收样品</w:t>
            </w:r>
            <w:r>
              <w:rPr>
                <w:rFonts w:hint="eastAsia"/>
                <w:sz w:val="24"/>
              </w:rPr>
              <w:t>（供应商应提前留足时间，</w:t>
            </w:r>
            <w:r>
              <w:rPr>
                <w:rFonts w:hint="eastAsia" w:ascii="宋体" w:hAnsi="宋体"/>
                <w:kern w:val="0"/>
                <w:sz w:val="24"/>
              </w:rPr>
              <w:t>逾期或不符合规定的样品及小样恕不接受。</w:t>
            </w:r>
            <w:r>
              <w:rPr>
                <w:rFonts w:hint="eastAsia"/>
                <w:sz w:val="24"/>
              </w:rPr>
              <w:t>）</w:t>
            </w:r>
          </w:p>
          <w:p>
            <w:pPr>
              <w:pStyle w:val="11"/>
              <w:spacing w:line="360" w:lineRule="auto"/>
              <w:rPr>
                <w:rFonts w:ascii="宋体" w:hAnsi="宋体"/>
                <w:kern w:val="0"/>
                <w:sz w:val="24"/>
              </w:rPr>
            </w:pPr>
            <w:r>
              <w:rPr>
                <w:rFonts w:hint="eastAsia"/>
                <w:sz w:val="24"/>
              </w:rPr>
              <w:t>递交地点：</w:t>
            </w:r>
            <w:r>
              <w:rPr>
                <w:rFonts w:hint="eastAsia" w:ascii="宋体" w:hAnsi="宋体"/>
                <w:kern w:val="0"/>
                <w:sz w:val="24"/>
              </w:rPr>
              <w:t>台州市市府大道777号台州市公共资源交易中心(电信大楼南面)西大厅</w:t>
            </w:r>
          </w:p>
          <w:p>
            <w:pPr>
              <w:pStyle w:val="11"/>
              <w:spacing w:line="360" w:lineRule="auto"/>
              <w:rPr>
                <w:color w:val="FF0000"/>
                <w:sz w:val="24"/>
              </w:rPr>
            </w:pPr>
            <w:r>
              <w:rPr>
                <w:rFonts w:hint="eastAsia"/>
                <w:sz w:val="24"/>
              </w:rPr>
              <w:t>接收人：</w:t>
            </w:r>
            <w:r>
              <w:rPr>
                <w:rFonts w:hint="eastAsia"/>
                <w:color w:val="FF0000"/>
                <w:sz w:val="24"/>
              </w:rPr>
              <w:t>陶先生</w:t>
            </w:r>
          </w:p>
          <w:p>
            <w:pPr>
              <w:pStyle w:val="11"/>
              <w:spacing w:line="360" w:lineRule="auto"/>
              <w:rPr>
                <w:sz w:val="24"/>
              </w:rPr>
            </w:pPr>
            <w:r>
              <w:rPr>
                <w:rFonts w:hint="eastAsia"/>
                <w:sz w:val="24"/>
              </w:rPr>
              <w:t>样品搭建要求：北京时间开标当日</w:t>
            </w:r>
            <w:r>
              <w:rPr>
                <w:rFonts w:hint="eastAsia"/>
                <w:color w:val="FF0000"/>
                <w:sz w:val="24"/>
              </w:rPr>
              <w:t>11：00</w:t>
            </w:r>
            <w:r>
              <w:rPr>
                <w:rFonts w:hint="eastAsia"/>
                <w:sz w:val="24"/>
              </w:rPr>
              <w:t>之前自行完成样品拆封、搭建</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投标有效期为开标后90天，</w:t>
            </w:r>
            <w:r>
              <w:rPr>
                <w:rFonts w:hint="eastAsia" w:asciiTheme="majorEastAsia" w:hAnsiTheme="majorEastAsia" w:eastAsiaTheme="majorEastAsia" w:cstheme="majorEastAsia"/>
                <w:kern w:val="0"/>
                <w:sz w:val="24"/>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FF0000"/>
                <w:sz w:val="24"/>
              </w:rPr>
              <w:t>远程在线演示要求（第一标段）</w:t>
            </w:r>
          </w:p>
        </w:tc>
        <w:tc>
          <w:tcPr>
            <w:tcW w:w="672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cs="宋体"/>
                <w:sz w:val="24"/>
              </w:rPr>
            </w:pPr>
            <w:r>
              <w:rPr>
                <w:rFonts w:hint="eastAsia" w:ascii="宋体" w:hAnsi="宋体" w:cs="宋体"/>
                <w:sz w:val="24"/>
              </w:rPr>
              <w:t>投标人需在项目开标前建立钉钉直播群，并将群号通过邮件的形式发送至项目负责人邮箱，于开标当日，根据评审小组电话通知进行远程视频直播。</w:t>
            </w:r>
          </w:p>
          <w:p>
            <w:pPr>
              <w:pStyle w:val="11"/>
              <w:spacing w:line="360" w:lineRule="auto"/>
              <w:rPr>
                <w:sz w:val="24"/>
              </w:rPr>
            </w:pPr>
            <w:r>
              <w:rPr>
                <w:rFonts w:hint="eastAsia" w:ascii="宋体" w:hAnsi="宋体" w:cs="宋体"/>
                <w:sz w:val="24"/>
              </w:rPr>
              <w:t>邮件截止时间：开标当日</w:t>
            </w:r>
            <w:r>
              <w:rPr>
                <w:rFonts w:hint="eastAsia" w:ascii="宋体" w:hAnsi="宋体" w:cs="Arial"/>
                <w:color w:val="FF0000"/>
                <w:sz w:val="24"/>
              </w:rPr>
              <w:t>9：00</w:t>
            </w:r>
            <w:r>
              <w:rPr>
                <w:rFonts w:hint="eastAsia" w:ascii="宋体" w:hAnsi="宋体" w:cs="Arial"/>
                <w:sz w:val="24"/>
              </w:rPr>
              <w:t>之前</w:t>
            </w:r>
            <w:r>
              <w:rPr>
                <w:rFonts w:hint="eastAsia"/>
                <w:sz w:val="24"/>
              </w:rPr>
              <w:t>（</w:t>
            </w:r>
            <w:r>
              <w:rPr>
                <w:rFonts w:hint="eastAsia" w:ascii="宋体" w:hAnsi="宋体"/>
                <w:kern w:val="0"/>
                <w:sz w:val="24"/>
              </w:rPr>
              <w:t>逾期发送的群号恕不接受，不接受其他形式的演示直播，具体操作要求见《投标人演示直播指南》</w:t>
            </w:r>
            <w:r>
              <w:rPr>
                <w:rFonts w:hint="eastAsia"/>
                <w:sz w:val="24"/>
              </w:rPr>
              <w:t>）</w:t>
            </w:r>
          </w:p>
          <w:p>
            <w:pPr>
              <w:pStyle w:val="11"/>
              <w:spacing w:line="360" w:lineRule="auto"/>
              <w:rPr>
                <w:rFonts w:ascii="宋体" w:hAnsi="宋体" w:cs="Arial"/>
                <w:b/>
                <w:bCs/>
                <w:sz w:val="24"/>
              </w:rPr>
            </w:pPr>
            <w:r>
              <w:rPr>
                <w:rFonts w:hint="eastAsia"/>
                <w:sz w:val="24"/>
              </w:rPr>
              <w:t>邮件标题</w:t>
            </w:r>
            <w:r>
              <w:rPr>
                <w:rFonts w:hint="eastAsia" w:ascii="宋体" w:hAnsi="宋体" w:cs="Arial"/>
                <w:sz w:val="24"/>
              </w:rPr>
              <w:t>：</w:t>
            </w:r>
            <w:r>
              <w:rPr>
                <w:rFonts w:hint="eastAsia" w:ascii="宋体" w:hAnsi="宋体" w:cs="Arial"/>
                <w:b/>
                <w:bCs/>
                <w:sz w:val="24"/>
              </w:rPr>
              <w:t>所投项目名称（投标人名称）演示</w:t>
            </w:r>
          </w:p>
          <w:p>
            <w:pPr>
              <w:pStyle w:val="11"/>
              <w:spacing w:line="360" w:lineRule="auto"/>
              <w:rPr>
                <w:rFonts w:ascii="宋体" w:hAnsi="宋体"/>
                <w:kern w:val="0"/>
                <w:sz w:val="24"/>
              </w:rPr>
            </w:pPr>
            <w:r>
              <w:rPr>
                <w:rFonts w:hint="eastAsia"/>
                <w:sz w:val="24"/>
              </w:rPr>
              <w:t>发送地点：</w:t>
            </w:r>
            <w:r>
              <w:rPr>
                <w:rFonts w:hint="eastAsia" w:ascii="宋体" w:hAnsi="宋体" w:cs="宋体"/>
                <w:sz w:val="24"/>
                <w:u w:val="single"/>
              </w:rPr>
              <w:t>tzzfcg006@dingtalk.com</w:t>
            </w:r>
          </w:p>
          <w:p>
            <w:pPr>
              <w:pStyle w:val="11"/>
              <w:spacing w:line="360" w:lineRule="auto"/>
              <w:rPr>
                <w:rFonts w:ascii="宋体" w:hAnsi="宋体" w:cs="宋体"/>
                <w:sz w:val="24"/>
              </w:rPr>
            </w:pPr>
            <w:r>
              <w:rPr>
                <w:rFonts w:hint="eastAsia"/>
                <w:sz w:val="24"/>
              </w:rPr>
              <w:t>接收人：陶先生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954"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rPr>
                <w:rFonts w:ascii="宋体" w:hAnsi="宋体" w:cs="宋体"/>
                <w:sz w:val="24"/>
                <w:szCs w:val="24"/>
              </w:rPr>
            </w:pPr>
            <w:r>
              <w:rPr>
                <w:rFonts w:hint="eastAsia" w:ascii="宋体" w:hAnsi="宋体" w:cs="宋体"/>
                <w:sz w:val="24"/>
                <w:szCs w:val="24"/>
              </w:rPr>
              <w:t>不见面开标直播</w:t>
            </w:r>
          </w:p>
          <w:p>
            <w:pPr>
              <w:spacing w:line="360" w:lineRule="auto"/>
              <w:jc w:val="center"/>
              <w:rPr>
                <w:rFonts w:asciiTheme="majorEastAsia" w:hAnsiTheme="majorEastAsia" w:eastAsiaTheme="majorEastAsia" w:cstheme="majorEastAsia"/>
                <w:sz w:val="24"/>
              </w:rPr>
            </w:pPr>
          </w:p>
        </w:tc>
        <w:tc>
          <w:tcPr>
            <w:tcW w:w="6729"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rPr>
                <w:rFonts w:asciiTheme="majorEastAsia" w:hAnsiTheme="majorEastAsia" w:eastAsiaTheme="majorEastAsia" w:cstheme="majorEastAsia"/>
                <w:sz w:val="24"/>
                <w:szCs w:val="24"/>
              </w:rPr>
            </w:pPr>
            <w:r>
              <w:rPr>
                <w:rFonts w:hint="eastAsia" w:ascii="宋体" w:hAnsi="宋体" w:cs="宋体"/>
                <w:sz w:val="24"/>
                <w:szCs w:val="24"/>
              </w:rPr>
              <w:t xml:space="preserve"> 本项目开评标环节实行全流程电子化，采取不见面钉钉直播开标，投标人可自行下载“钉钉软件”观看。（钉钉直播群号为：</w:t>
            </w:r>
            <w:r>
              <w:rPr>
                <w:rFonts w:hint="eastAsia" w:ascii="宋体" w:hAnsi="宋体" w:cs="宋体"/>
                <w:color w:val="FF0000"/>
                <w:sz w:val="24"/>
                <w:szCs w:val="24"/>
                <w:lang w:val="en-US" w:eastAsia="zh-CN"/>
              </w:rPr>
              <w:t>33106961</w:t>
            </w:r>
            <w:r>
              <w:rPr>
                <w:rFonts w:hint="eastAsia" w:ascii="宋体" w:hAnsi="宋体" w:cs="宋体"/>
                <w:sz w:val="24"/>
                <w:szCs w:val="24"/>
              </w:rPr>
              <w:t>，投标人只能于开标当天</w:t>
            </w:r>
            <w:r>
              <w:rPr>
                <w:rFonts w:hint="eastAsia" w:hAnsi="宋体" w:cs="宋体"/>
                <w:sz w:val="24"/>
                <w:szCs w:val="24"/>
              </w:rPr>
              <w:t>8</w:t>
            </w:r>
            <w:r>
              <w:rPr>
                <w:rFonts w:hint="eastAsia" w:ascii="宋体" w:hAnsi="宋体" w:cs="宋体"/>
                <w:sz w:val="24"/>
                <w:szCs w:val="24"/>
              </w:rPr>
              <w:t>：</w:t>
            </w:r>
            <w:r>
              <w:rPr>
                <w:rFonts w:hint="eastAsia" w:hAnsi="宋体" w:cs="宋体"/>
                <w:sz w:val="24"/>
                <w:szCs w:val="24"/>
              </w:rPr>
              <w:t>45</w:t>
            </w:r>
            <w:r>
              <w:rPr>
                <w:rFonts w:hint="eastAsia" w:ascii="宋体" w:hAnsi="宋体" w:cs="宋体"/>
                <w:sz w:val="24"/>
                <w:szCs w:val="24"/>
              </w:rPr>
              <w:t>以后搜索到群号，并申请进群。所有供应商均应当准时在线参加。</w:t>
            </w:r>
            <w:r>
              <w:rPr>
                <w:rFonts w:hint="eastAsia" w:hAnsi="宋体" w:cs="宋体"/>
                <w:color w:val="FF0000"/>
                <w:sz w:val="24"/>
                <w:szCs w:val="24"/>
              </w:rPr>
              <w:t>如未参加，</w:t>
            </w:r>
            <w:r>
              <w:rPr>
                <w:rFonts w:hint="eastAsia" w:ascii="宋体" w:hAnsi="宋体" w:cs="宋体"/>
                <w:bCs/>
                <w:color w:val="FF0000"/>
                <w:sz w:val="24"/>
                <w:szCs w:val="24"/>
              </w:rPr>
              <w:t>造成无法投标或投标失败等后果由供应商自行承担</w:t>
            </w:r>
            <w:r>
              <w:rPr>
                <w:rFonts w:hint="eastAsia" w:hAnsi="宋体" w:cs="宋体"/>
                <w:bCs/>
                <w:color w:val="FF0000"/>
                <w:sz w:val="24"/>
                <w:szCs w:val="24"/>
              </w:rPr>
              <w:t>。</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cs="Arial" w:asciiTheme="minorEastAsia" w:hAnsiTheme="minorEastAsia" w:eastAsiaTheme="minorEastAsia"/>
                <w:sz w:val="24"/>
              </w:rPr>
              <w:t>投标与开标注意事项</w:t>
            </w:r>
          </w:p>
        </w:tc>
        <w:tc>
          <w:tcPr>
            <w:tcW w:w="672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bCs/>
                <w:sz w:val="24"/>
              </w:rPr>
            </w:pPr>
            <w:r>
              <w:rPr>
                <w:rFonts w:hint="eastAsia" w:hAnsi="宋体" w:cs="宋体"/>
                <w:bCs/>
                <w:sz w:val="24"/>
              </w:rPr>
              <w:t>1.本项目实行电子采购，采用电子投标文件。若供应商参与投标，自行承担投标一切费用。</w:t>
            </w:r>
          </w:p>
          <w:p>
            <w:pPr>
              <w:pStyle w:val="14"/>
              <w:adjustRightInd w:val="0"/>
              <w:snapToGrid w:val="0"/>
              <w:spacing w:line="360" w:lineRule="auto"/>
              <w:rPr>
                <w:rFonts w:hAnsi="宋体" w:cs="宋体"/>
                <w:bCs/>
                <w:sz w:val="24"/>
              </w:rPr>
            </w:pPr>
            <w:r>
              <w:rPr>
                <w:rFonts w:hint="eastAsia" w:hAnsi="宋体" w:cs="宋体"/>
                <w:bCs/>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pPr>
              <w:spacing w:line="360" w:lineRule="auto"/>
              <w:rPr>
                <w:rFonts w:ascii="宋体" w:hAnsi="宋体" w:cs="宋体"/>
                <w:bCs/>
                <w:sz w:val="24"/>
              </w:rPr>
            </w:pPr>
            <w:r>
              <w:rPr>
                <w:rFonts w:hint="eastAsia" w:ascii="宋体" w:hAnsi="宋体" w:cs="宋体"/>
                <w:bCs/>
                <w:sz w:val="24"/>
              </w:rPr>
              <w:t>3.电子投标文件制作：</w:t>
            </w:r>
          </w:p>
          <w:p>
            <w:pPr>
              <w:spacing w:line="360" w:lineRule="auto"/>
              <w:rPr>
                <w:rFonts w:ascii="宋体" w:hAnsi="宋体" w:cs="宋体"/>
                <w:bCs/>
                <w:sz w:val="24"/>
              </w:rPr>
            </w:pPr>
            <w:r>
              <w:rPr>
                <w:rFonts w:hint="eastAsia" w:ascii="宋体" w:hAnsi="宋体" w:cs="宋体"/>
                <w:bCs/>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pPr>
              <w:spacing w:line="360" w:lineRule="auto"/>
              <w:rPr>
                <w:rFonts w:asciiTheme="majorEastAsia" w:hAnsiTheme="majorEastAsia" w:eastAsiaTheme="majorEastAsia" w:cstheme="majorEastAsia"/>
                <w:sz w:val="24"/>
              </w:rPr>
            </w:pPr>
            <w:r>
              <w:rPr>
                <w:rFonts w:hint="eastAsia" w:ascii="宋体" w:hAnsi="宋体" w:cs="宋体"/>
                <w:bCs/>
                <w:sz w:val="24"/>
              </w:rPr>
              <w:t>3.2投标人通过“政采云”平台电子投标工具制作电子投标文件，电子投标工具请供应商自行前往浙江省政府采购网下载并安装，（下载网址：http://www.zjzfcg.gov.cn/bidClientTemplate/2019-09-24/12975.html），电子投标文件制作具体流程详见本招标公告附件：“政采云供应商项目采购-电子招投标操作指南.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bCs/>
                <w:sz w:val="24"/>
              </w:rPr>
            </w:pPr>
            <w:r>
              <w:rPr>
                <w:rFonts w:cs="Arial" w:asciiTheme="minorEastAsia" w:hAnsiTheme="minorEastAsia" w:eastAsiaTheme="minorEastAsia"/>
                <w:bCs/>
                <w:sz w:val="24"/>
              </w:rPr>
              <w:t>投标人信用信息查询渠道及截止时点、信用信息查询记录和证据留存的具体方式、信用信息的使用规则</w:t>
            </w:r>
          </w:p>
          <w:p>
            <w:pPr>
              <w:autoSpaceDE w:val="0"/>
              <w:autoSpaceDN w:val="0"/>
              <w:adjustRightInd w:val="0"/>
              <w:spacing w:line="360" w:lineRule="auto"/>
              <w:jc w:val="center"/>
              <w:rPr>
                <w:rFonts w:asciiTheme="majorEastAsia" w:hAnsiTheme="majorEastAsia" w:eastAsiaTheme="majorEastAsia" w:cstheme="majorEastAsia"/>
                <w:sz w:val="24"/>
              </w:rPr>
            </w:pP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 w:val="24"/>
              </w:rPr>
            </w:pPr>
            <w:r>
              <w:rPr>
                <w:rFonts w:hint="eastAsia" w:cs="Arial" w:asciiTheme="minorEastAsia" w:hAnsiTheme="minorEastAsia" w:eastAsiaTheme="minorEastAsia"/>
                <w:sz w:val="24"/>
              </w:rPr>
              <w:t>1、查询渠道：信用中国（网址：</w:t>
            </w:r>
            <w:r>
              <w:rPr>
                <w:sz w:val="24"/>
              </w:rPr>
              <w:fldChar w:fldCharType="begin"/>
            </w:r>
            <w:r>
              <w:rPr>
                <w:sz w:val="24"/>
              </w:rPr>
              <w:instrText xml:space="preserve"> HYPERLINK "http://www.creditchina.gov.cn" </w:instrText>
            </w:r>
            <w:r>
              <w:rPr>
                <w:sz w:val="24"/>
              </w:rPr>
              <w:fldChar w:fldCharType="separate"/>
            </w:r>
            <w:r>
              <w:rPr>
                <w:rFonts w:cs="Arial" w:asciiTheme="minorEastAsia" w:hAnsiTheme="minorEastAsia" w:eastAsiaTheme="minorEastAsia"/>
                <w:sz w:val="24"/>
              </w:rPr>
              <w:t>http://www.creditchina.gov.cn</w:t>
            </w:r>
            <w:r>
              <w:rPr>
                <w:rFonts w:cs="Arial" w:asciiTheme="minorEastAsia" w:hAnsiTheme="minorEastAsia" w:eastAsiaTheme="minorEastAsia"/>
                <w:sz w:val="24"/>
              </w:rPr>
              <w:fldChar w:fldCharType="end"/>
            </w:r>
            <w:r>
              <w:rPr>
                <w:rFonts w:hint="eastAsia" w:cs="Arial" w:asciiTheme="minorEastAsia" w:hAnsiTheme="minorEastAsia" w:eastAsiaTheme="minorEastAsia"/>
                <w:sz w:val="24"/>
              </w:rPr>
              <w:t>）、中国政府采购网(网址：</w:t>
            </w:r>
            <w:r>
              <w:rPr>
                <w:rFonts w:cs="Arial" w:asciiTheme="minorEastAsia" w:hAnsiTheme="minorEastAsia" w:eastAsiaTheme="minorEastAsia"/>
                <w:sz w:val="24"/>
              </w:rPr>
              <w:t>http://www.ccgp.gov.cn</w:t>
            </w:r>
            <w:r>
              <w:rPr>
                <w:rFonts w:hint="eastAsia" w:cs="Arial" w:asciiTheme="minorEastAsia" w:hAnsiTheme="minorEastAsia" w:eastAsiaTheme="minorEastAsia"/>
                <w:sz w:val="24"/>
              </w:rPr>
              <w:t>）、</w:t>
            </w:r>
            <w:r>
              <w:rPr>
                <w:rFonts w:hint="eastAsia" w:ascii="宋体" w:hAnsi="宋体" w:cs="Arial"/>
                <w:sz w:val="24"/>
              </w:rPr>
              <w:t>国家企业信用信息公示系统（http://www.gsxt.gov.cn/index.html）等。</w:t>
            </w:r>
          </w:p>
          <w:p>
            <w:pPr>
              <w:snapToGrid w:val="0"/>
              <w:spacing w:line="360" w:lineRule="auto"/>
              <w:rPr>
                <w:rFonts w:cs="Arial" w:asciiTheme="minorEastAsia" w:hAnsiTheme="minorEastAsia" w:eastAsiaTheme="minorEastAsia"/>
                <w:b/>
                <w:bCs/>
                <w:sz w:val="24"/>
                <w:shd w:val="clear" w:color="FFFFFF" w:fill="D9D9D9"/>
              </w:rPr>
            </w:pPr>
            <w:r>
              <w:rPr>
                <w:rFonts w:hint="eastAsia" w:cs="Arial" w:asciiTheme="minorEastAsia" w:hAnsiTheme="minorEastAsia" w:eastAsiaTheme="minorEastAsia"/>
                <w:sz w:val="24"/>
              </w:rPr>
              <w:t>2、截止时点：评审结束前。</w:t>
            </w:r>
          </w:p>
          <w:p>
            <w:pPr>
              <w:snapToGrid w:val="0"/>
              <w:spacing w:line="360" w:lineRule="auto"/>
              <w:rPr>
                <w:rFonts w:cs="Arial" w:asciiTheme="minorEastAsia" w:hAnsiTheme="minorEastAsia" w:eastAsiaTheme="minorEastAsia"/>
                <w:sz w:val="24"/>
              </w:rPr>
            </w:pPr>
            <w:r>
              <w:rPr>
                <w:rFonts w:hint="eastAsia" w:cs="Arial" w:asciiTheme="minorEastAsia" w:hAnsiTheme="minorEastAsia" w:eastAsiaTheme="minorEastAsia"/>
                <w:sz w:val="24"/>
              </w:rPr>
              <w:t>3、</w:t>
            </w:r>
            <w:r>
              <w:rPr>
                <w:rFonts w:cs="Arial" w:asciiTheme="minorEastAsia" w:hAnsiTheme="minorEastAsia" w:eastAsiaTheme="minorEastAsia"/>
                <w:sz w:val="24"/>
              </w:rPr>
              <w:t>信用信息查询记录和证据留存的具体方式</w:t>
            </w:r>
            <w:r>
              <w:rPr>
                <w:rFonts w:hint="eastAsia" w:cs="Arial" w:asciiTheme="minorEastAsia" w:hAnsiTheme="minorEastAsia" w:eastAsiaTheme="minorEastAsia"/>
                <w:sz w:val="24"/>
              </w:rPr>
              <w:t>：由采购组织机构在规定查询时间内打印信用信息查询记录并归入项目档案。</w:t>
            </w:r>
          </w:p>
          <w:p>
            <w:pPr>
              <w:snapToGrid w:val="0"/>
              <w:spacing w:line="360" w:lineRule="auto"/>
              <w:rPr>
                <w:rFonts w:asciiTheme="majorEastAsia" w:hAnsiTheme="majorEastAsia" w:cstheme="majorEastAsia"/>
                <w:sz w:val="24"/>
              </w:rPr>
            </w:pPr>
            <w:r>
              <w:rPr>
                <w:rFonts w:hint="eastAsia" w:cs="Arial" w:asciiTheme="minorEastAsia" w:hAnsiTheme="minorEastAsia" w:eastAsiaTheme="minorEastAsia"/>
                <w:sz w:val="24"/>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sz w:val="24"/>
              </w:rPr>
              <w:t>将被</w:t>
            </w:r>
            <w:r>
              <w:rPr>
                <w:rFonts w:hint="eastAsia" w:cs="Arial" w:asciiTheme="minorEastAsia" w:hAnsiTheme="minorEastAsia" w:eastAsiaTheme="minorEastAsia"/>
                <w:sz w:val="24"/>
              </w:rPr>
              <w:t>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投标保证金</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sz w:val="24"/>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14</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履约保证金</w:t>
            </w:r>
          </w:p>
        </w:tc>
        <w:tc>
          <w:tcPr>
            <w:tcW w:w="672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cs="宋体"/>
                <w:sz w:val="24"/>
              </w:rPr>
            </w:pPr>
            <w:r>
              <w:rPr>
                <w:rFonts w:hint="eastAsia" w:asciiTheme="majorEastAsia" w:hAnsiTheme="majorEastAsia" w:cstheme="majorEastAsia"/>
                <w:color w:val="auto"/>
                <w:sz w:val="24"/>
              </w:rPr>
              <w:t>中标后签订合同前5个工作日内，中标人需支付合同金额的5%作为履约保证金，</w:t>
            </w:r>
            <w:r>
              <w:rPr>
                <w:rFonts w:hint="eastAsia" w:ascii="宋体" w:hAnsi="宋体" w:cs="宋体"/>
                <w:color w:val="auto"/>
                <w:sz w:val="24"/>
              </w:rPr>
              <w:t>履约保证金</w:t>
            </w:r>
            <w:r>
              <w:rPr>
                <w:rFonts w:hint="eastAsia" w:ascii="宋体" w:hAnsi="宋体"/>
                <w:color w:val="auto"/>
                <w:sz w:val="24"/>
              </w:rPr>
              <w:t>在项目质保期满</w:t>
            </w:r>
            <w:r>
              <w:rPr>
                <w:rFonts w:hint="eastAsia"/>
                <w:color w:val="auto"/>
                <w:sz w:val="24"/>
                <w:u w:val="single"/>
              </w:rPr>
              <w:t>且无违约扣除情况</w:t>
            </w:r>
            <w:r>
              <w:rPr>
                <w:rFonts w:hint="eastAsia" w:ascii="宋体" w:hAnsi="宋体"/>
                <w:color w:val="auto"/>
                <w:sz w:val="24"/>
              </w:rPr>
              <w:t>后30</w:t>
            </w:r>
            <w:r>
              <w:rPr>
                <w:rFonts w:hint="eastAsia" w:ascii="宋体" w:hAnsi="宋体"/>
                <w:color w:val="auto"/>
                <w:sz w:val="24"/>
                <w:lang w:val="zh-CN"/>
              </w:rPr>
              <w:t>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实质性条款</w:t>
            </w:r>
          </w:p>
        </w:tc>
        <w:tc>
          <w:tcPr>
            <w:tcW w:w="67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val="zh-CN"/>
              </w:rPr>
              <w:t>带“</w:t>
            </w:r>
            <w:r>
              <w:rPr>
                <w:rFonts w:hint="eastAsia" w:asciiTheme="majorEastAsia" w:hAnsiTheme="majorEastAsia" w:eastAsiaTheme="majorEastAsia" w:cstheme="majorEastAsia"/>
                <w:bCs/>
                <w:sz w:val="24"/>
              </w:rPr>
              <w:t>▲”的条款是实质性条款，电子投标文件须作出实质性响应，否则作无效投标处理。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16</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67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本招标文件解释权属于采购人和</w:t>
            </w:r>
            <w:r>
              <w:rPr>
                <w:rFonts w:hint="eastAsia" w:ascii="宋体" w:hAnsi="宋体" w:cs="Arial"/>
                <w:sz w:val="24"/>
              </w:rPr>
              <w:t>台州市政府采购中心</w:t>
            </w:r>
          </w:p>
        </w:tc>
      </w:tr>
    </w:tbl>
    <w:p>
      <w:pPr>
        <w:pStyle w:val="14"/>
        <w:snapToGrid w:val="0"/>
        <w:spacing w:before="120" w:after="120" w:line="360" w:lineRule="auto"/>
        <w:rPr>
          <w:rFonts w:asciiTheme="minorEastAsia" w:hAnsiTheme="minorEastAsia" w:eastAsiaTheme="minorEastAsia"/>
          <w:b/>
          <w:sz w:val="24"/>
        </w:rPr>
      </w:pP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一 、总  则</w:t>
      </w:r>
    </w:p>
    <w:p>
      <w:pPr>
        <w:snapToGrid w:val="0"/>
        <w:spacing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（一）</w:t>
      </w:r>
      <w:r>
        <w:rPr>
          <w:rFonts w:asciiTheme="minorEastAsia" w:hAnsiTheme="minorEastAsia" w:eastAsiaTheme="minorEastAsia"/>
          <w:b/>
          <w:sz w:val="24"/>
        </w:rPr>
        <w:t xml:space="preserve">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Theme="minorEastAsia" w:hAnsiTheme="minorEastAsia" w:eastAsiaTheme="minorEastAsia"/>
          <w:b/>
          <w:sz w:val="24"/>
        </w:rPr>
      </w:pPr>
      <w:r>
        <w:rPr>
          <w:rFonts w:hint="eastAsia" w:asciiTheme="minorEastAsia" w:hAnsiTheme="minorEastAsia" w:eastAsiaTheme="minorEastAsia"/>
          <w:b/>
          <w:sz w:val="24"/>
        </w:rPr>
        <w:t>（二）定义</w:t>
      </w:r>
    </w:p>
    <w:p>
      <w:pPr>
        <w:pStyle w:val="5"/>
        <w:keepNext w:val="0"/>
        <w:keepLines w:val="0"/>
        <w:tabs>
          <w:tab w:val="left" w:pos="0"/>
          <w:tab w:val="left" w:pos="851"/>
        </w:tabs>
        <w:snapToGrid w:val="0"/>
        <w:spacing w:before="0" w:after="0" w:line="360" w:lineRule="auto"/>
        <w:ind w:firstLine="566" w:firstLineChars="236"/>
        <w:jc w:val="left"/>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“采购组织机构”指采购人委托组织招标的集中采购机构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2、采购人：是指委托</w:t>
      </w:r>
      <w:r>
        <w:rPr>
          <w:rFonts w:hint="eastAsia" w:ascii="宋体" w:hAnsi="宋体"/>
          <w:sz w:val="24"/>
          <w:lang w:val="zh-CN"/>
        </w:rPr>
        <w:t>集中采购机构</w:t>
      </w:r>
      <w:r>
        <w:rPr>
          <w:rFonts w:hint="eastAsia" w:ascii="宋体" w:hAnsi="宋体" w:cs="Arial"/>
          <w:sz w:val="24"/>
        </w:rPr>
        <w:t>/</w:t>
      </w:r>
      <w:r>
        <w:rPr>
          <w:rFonts w:hint="eastAsia" w:asciiTheme="minorEastAsia" w:hAnsiTheme="minorEastAsia" w:eastAsiaTheme="minorEastAsia"/>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w:t>
      </w:r>
      <w:r>
        <w:rPr>
          <w:rFonts w:hint="eastAsia" w:ascii="宋体" w:hAnsi="宋体"/>
          <w:sz w:val="24"/>
          <w:lang w:val="zh-CN"/>
        </w:rPr>
        <w:t>组织</w:t>
      </w:r>
      <w:r>
        <w:rPr>
          <w:rFonts w:hint="eastAsia" w:asciiTheme="minorEastAsia" w:hAnsiTheme="minorEastAsia" w:eastAsiaTheme="minorEastAsia"/>
          <w:sz w:val="24"/>
        </w:rPr>
        <w:t>机构</w:t>
      </w:r>
      <w:r>
        <w:rPr>
          <w:rFonts w:asciiTheme="minorEastAsia" w:hAnsiTheme="minorEastAsia" w:eastAsiaTheme="minorEastAsia"/>
          <w:sz w:val="24"/>
        </w:rPr>
        <w:t>提交</w:t>
      </w:r>
      <w:r>
        <w:rPr>
          <w:rFonts w:hint="eastAsia" w:asciiTheme="minorEastAsia" w:hAnsiTheme="minorEastAsia" w:eastAsiaTheme="minorEastAsia"/>
          <w:sz w:val="24"/>
        </w:rPr>
        <w:t>电子投标文件</w:t>
      </w:r>
      <w:r>
        <w:rPr>
          <w:rFonts w:asciiTheme="minorEastAsia" w:hAnsiTheme="minorEastAsia" w:eastAsiaTheme="minorEastAsia"/>
          <w:sz w:val="24"/>
        </w:rPr>
        <w:t>的单位或个人。</w:t>
      </w:r>
    </w:p>
    <w:p>
      <w:pPr>
        <w:snapToGrid w:val="0"/>
        <w:spacing w:line="360" w:lineRule="auto"/>
        <w:ind w:left="424" w:leftChars="202" w:firstLine="143"/>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before="120" w:beforeLines="50"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（三）投标费用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不论投标结果如何，投标人均应自行承担所有与投标有关的全部费用（招标文件有相关规定除外）。</w:t>
      </w:r>
    </w:p>
    <w:p>
      <w:pPr>
        <w:pStyle w:val="14"/>
        <w:snapToGrid w:val="0"/>
        <w:spacing w:line="360" w:lineRule="auto"/>
        <w:ind w:left="2" w:leftChars="1" w:firstLine="482" w:firstLineChars="200"/>
        <w:rPr>
          <w:rFonts w:hAnsi="宋体"/>
          <w:b/>
          <w:sz w:val="24"/>
        </w:rPr>
      </w:pPr>
      <w:r>
        <w:rPr>
          <w:rFonts w:hint="eastAsia" w:hAnsi="宋体"/>
          <w:b/>
          <w:sz w:val="24"/>
        </w:rPr>
        <w:t>（四）特别说明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投标供应商所投产品除招标文件中明确规定要求“提供官网截图或相应检测报告的证明材料”以外，所有技术参数描述均以电子投标文件为准。投标供应商对所投产品技术参数的真实性承担法律责任。项目招标结束后、质疑期限内，如有质疑供应商认为中标供应商所投产品、电子投标文件技术参数与招标需求存在重大偏离、错误、甚至造假的情况，应提供具体有效的证明材料。</w:t>
      </w:r>
      <w:r>
        <w:rPr>
          <w:rFonts w:hint="eastAsia" w:asciiTheme="minorEastAsia" w:hAnsiTheme="minorEastAsia" w:eastAsiaTheme="minorEastAsia" w:cstheme="minorBidi"/>
          <w:sz w:val="24"/>
        </w:rPr>
        <w:tab/>
      </w:r>
    </w:p>
    <w:p>
      <w:pPr>
        <w:pStyle w:val="31"/>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sz w:val="24"/>
          <w:szCs w:val="24"/>
        </w:rPr>
        <w:t>4、投标人被列入“黑名单”的，采购组织单位将根据《浙江省政府采购供应商注册及诚信管理暂行办法》第四十六条之规定，在处罚有效期内，资格审查时不予通过。</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6、为采购项目提供整体设计、规范编制或者项目管理、监理、检测等服务的供应商，不得再参加该采购项目的其他采购活动。</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7、电子投标文件格式中的表格式样可以根据项目差别做适当调整,但应当保持表格样式基本形态不变。</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8、单位负责人为同一人或者存在直接控股、管理关系的不同供应商，不得参加同一合同项下的政府采购活动。</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采购组织机构可视采购具体情况对已发出的招标文件进行必要的澄清或者修改。澄清或者修改的内容可能影响电子投标文件编制的，采购人或者采购组织机构应当在投标截止时间至少15日前，在原公告发布媒体上发布澄清公告，澄清或者修改的内容为招标文件的组成部分；不足15日的，采购人或者采购组织机构应当顺延提交电子投标文件的截止时间。 </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asciiTheme="minorEastAsia" w:hAnsiTheme="minorEastAsia" w:eastAsia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rPr>
        <w:t>。</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 三、电子投标文件</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宋体"/>
          <w:b/>
          <w:sz w:val="24"/>
          <w:lang w:val="zh-CN"/>
        </w:rPr>
        <w:t>（一）电子</w:t>
      </w:r>
      <w:r>
        <w:rPr>
          <w:rFonts w:hint="eastAsia" w:asciiTheme="minorEastAsia" w:hAnsiTheme="minorEastAsia" w:eastAsiaTheme="minorEastAsia"/>
          <w:b/>
          <w:bCs/>
          <w:kern w:val="0"/>
          <w:sz w:val="24"/>
        </w:rPr>
        <w:t>投标文件的组成</w:t>
      </w:r>
    </w:p>
    <w:p>
      <w:pPr>
        <w:snapToGrid w:val="0"/>
        <w:spacing w:line="360" w:lineRule="auto"/>
        <w:ind w:firstLine="480" w:firstLineChars="200"/>
        <w:rPr>
          <w:rFonts w:ascii="FangSong_GB2312" w:hAnsi="FangSong_GB2312" w:eastAsia="FangSong_GB2312" w:cs="FangSong_GB2312"/>
          <w:sz w:val="24"/>
          <w:lang w:val="zh-CN"/>
        </w:rPr>
      </w:pPr>
      <w:r>
        <w:rPr>
          <w:rFonts w:hint="eastAsia" w:asciiTheme="minorEastAsia" w:hAnsiTheme="minorEastAsia" w:eastAsiaTheme="minorEastAsia"/>
          <w:kern w:val="0"/>
          <w:sz w:val="24"/>
        </w:rPr>
        <w:t xml:space="preserve">  投标人接到招标文件后，按照采购组织机构的要求提供：资格证明电子文件、商务与技术电子文件和报价电子文件。</w:t>
      </w:r>
      <w:r>
        <w:rPr>
          <w:rFonts w:hint="eastAsia" w:asciiTheme="minorEastAsia" w:hAnsiTheme="minorEastAsia" w:eastAsiaTheme="minorEastAsia"/>
          <w:kern w:val="0"/>
          <w:sz w:val="24"/>
          <w:lang w:val="zh-CN"/>
        </w:rPr>
        <w:t>【特别提示：如在投标时有要求提供资料原件的，将原件扫描放入电子投标文件。】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1、资格证明电子</w:t>
      </w:r>
      <w:r>
        <w:rPr>
          <w:rFonts w:asciiTheme="minorEastAsia" w:hAnsiTheme="minorEastAsia" w:eastAsiaTheme="minorEastAsia"/>
          <w:b/>
          <w:sz w:val="24"/>
        </w:rPr>
        <w:t>文件</w:t>
      </w:r>
      <w:r>
        <w:rPr>
          <w:rFonts w:hint="eastAsia" w:ascii="宋体" w:hAnsi="宋体"/>
          <w:b/>
          <w:sz w:val="24"/>
        </w:rPr>
        <w:t>的组成：</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投标声明书；</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授权委托书（法定代表人亲自办理投标事宜的，则无需提交)；</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法人或者其他组织的营业执照等证明文件，自然人的身份证明；</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财务状况报告，依法缴纳税收和社会保障资金的相关材料；</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具备履行合同所必需的设备和专业技术能力的证明材料(根据项目性质提供)；</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提供采购公告中符合供应商特定条件的有效资质证书扫描件（投标供应商特定条件中有要求的必须提供），以及需要说明的其他资料；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商务与技术电子文件的组成：</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（1）投标人情况介绍（人员与技术力量、企业规模、经营业绩等）。</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（2）投标方案描述：</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B.项目组织实施方案（包括项目工期、确保项目供货的措施或方案、项目实施进度安排、项目实施人员及项目负责人的资质、类似经验及社保证明等）。</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C.</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（3）投标产品描述及相关资料：</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A.</w:t>
      </w:r>
      <w:r>
        <w:rPr>
          <w:rFonts w:asciiTheme="minorEastAsia" w:hAnsiTheme="minorEastAsia" w:eastAsiaTheme="minorEastAsia"/>
          <w:sz w:val="24"/>
          <w:szCs w:val="24"/>
        </w:rPr>
        <w:t>设备配置</w:t>
      </w:r>
      <w:r>
        <w:rPr>
          <w:rFonts w:hint="eastAsia" w:asciiTheme="minorEastAsia" w:hAnsiTheme="minorEastAsia" w:eastAsiaTheme="minorEastAsia"/>
          <w:sz w:val="24"/>
          <w:szCs w:val="24"/>
        </w:rPr>
        <w:t>（或服务事项）</w:t>
      </w:r>
      <w:r>
        <w:rPr>
          <w:rFonts w:asciiTheme="minorEastAsia" w:hAnsiTheme="minorEastAsia" w:eastAsiaTheme="minorEastAsia"/>
          <w:sz w:val="24"/>
          <w:szCs w:val="24"/>
        </w:rPr>
        <w:t>清单（</w:t>
      </w:r>
      <w:r>
        <w:rPr>
          <w:rFonts w:hint="eastAsia" w:asciiTheme="minorEastAsia" w:hAnsiTheme="minorEastAsia" w:eastAsiaTheme="minorEastAsia"/>
          <w:sz w:val="24"/>
          <w:szCs w:val="24"/>
        </w:rPr>
        <w:t>均</w:t>
      </w:r>
      <w:r>
        <w:rPr>
          <w:rFonts w:asciiTheme="minorEastAsia" w:hAnsiTheme="minorEastAsia" w:eastAsiaTheme="minorEastAsia"/>
          <w:sz w:val="24"/>
          <w:szCs w:val="24"/>
        </w:rPr>
        <w:t>不含报价）</w:t>
      </w:r>
      <w:r>
        <w:rPr>
          <w:rFonts w:hint="eastAsia" w:asciiTheme="minorEastAsia" w:hAnsiTheme="minorEastAsia" w:eastAsiaTheme="minorEastAsia"/>
          <w:sz w:val="24"/>
          <w:szCs w:val="24"/>
        </w:rPr>
        <w:t>。</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B.产品品牌及型号、技术参数指标、性能特点、图片资料以及所遵循的技术规范、产品质保期、出厂标准、产品质量相关检测报告等内容。</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注：该项视产品或服务内容设置提供。</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C.商务及技术响应表。</w:t>
      </w:r>
    </w:p>
    <w:p>
      <w:pPr>
        <w:spacing w:line="360" w:lineRule="auto"/>
        <w:ind w:left="218" w:leftChars="104" w:firstLine="619" w:firstLineChars="258"/>
        <w:rPr>
          <w:rFonts w:ascii="宋体" w:hAnsi="宋体" w:cs="宋体"/>
          <w:sz w:val="24"/>
        </w:rPr>
      </w:pPr>
      <w:r>
        <w:rPr>
          <w:rFonts w:hint="eastAsia" w:ascii="宋体" w:hAnsi="宋体" w:cs="宋体"/>
          <w:sz w:val="24"/>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sz w:val="24"/>
        </w:rPr>
      </w:pPr>
      <w:r>
        <w:rPr>
          <w:rFonts w:hint="eastAsia" w:ascii="宋体" w:hAnsi="宋体" w:cs="宋体"/>
          <w:sz w:val="24"/>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sz w:val="24"/>
        </w:rPr>
      </w:pPr>
      <w:r>
        <w:rPr>
          <w:rFonts w:hint="eastAsia" w:asciiTheme="minorEastAsia" w:hAnsiTheme="minorEastAsia" w:eastAsiaTheme="minorEastAsia"/>
          <w:kern w:val="0"/>
          <w:sz w:val="24"/>
        </w:rPr>
        <w:t>（4）</w:t>
      </w:r>
      <w:r>
        <w:rPr>
          <w:rFonts w:asciiTheme="minorEastAsia" w:hAnsiTheme="minorEastAsia" w:eastAsiaTheme="minorEastAsia"/>
          <w:kern w:val="0"/>
          <w:sz w:val="24"/>
        </w:rPr>
        <w:t>投标人通过的</w:t>
      </w:r>
      <w:r>
        <w:rPr>
          <w:rFonts w:hint="eastAsia" w:asciiTheme="minorEastAsia" w:hAnsiTheme="minorEastAsia" w:eastAsiaTheme="minorEastAsia"/>
          <w:kern w:val="0"/>
          <w:sz w:val="24"/>
        </w:rPr>
        <w:t>质量管理和</w:t>
      </w:r>
      <w:r>
        <w:rPr>
          <w:rFonts w:asciiTheme="minorEastAsia" w:hAnsiTheme="minorEastAsia" w:eastAsiaTheme="minorEastAsia"/>
          <w:kern w:val="0"/>
          <w:sz w:val="24"/>
        </w:rPr>
        <w:t>质量</w:t>
      </w:r>
      <w:r>
        <w:rPr>
          <w:rFonts w:hint="eastAsia" w:asciiTheme="minorEastAsia" w:hAnsiTheme="minorEastAsia" w:eastAsiaTheme="minorEastAsia"/>
          <w:kern w:val="0"/>
          <w:sz w:val="24"/>
        </w:rPr>
        <w:t>保证</w:t>
      </w:r>
      <w:r>
        <w:rPr>
          <w:rFonts w:asciiTheme="minorEastAsia" w:hAnsiTheme="minorEastAsia" w:eastAsiaTheme="minorEastAsia"/>
          <w:kern w:val="0"/>
          <w:sz w:val="24"/>
        </w:rPr>
        <w:t>体系、环保体系、</w:t>
      </w:r>
      <w:r>
        <w:rPr>
          <w:rFonts w:hint="eastAsia" w:asciiTheme="minorEastAsia" w:hAnsiTheme="minorEastAsia" w:eastAsiaTheme="minorEastAsia"/>
          <w:sz w:val="24"/>
        </w:rPr>
        <w:t>自主创新相关证书、软件著作权证等等与本项目相关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p>
    <w:p>
      <w:pPr>
        <w:pStyle w:val="9"/>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（5）近三年来类似项目的成功案例（投标人类似项目实施情况一览表、合同复印件及其相应的发票、用户验收报告等；</w:t>
      </w:r>
    </w:p>
    <w:p>
      <w:pPr>
        <w:snapToGrid w:val="0"/>
        <w:spacing w:line="360" w:lineRule="auto"/>
        <w:ind w:firstLine="480" w:firstLineChars="200"/>
        <w:rPr>
          <w:rFonts w:ascii="宋体"/>
          <w:sz w:val="24"/>
          <w:lang w:val="zh-CN"/>
        </w:rPr>
      </w:pPr>
      <w:r>
        <w:rPr>
          <w:rFonts w:hint="eastAsia" w:ascii="宋体" w:hAnsi="宋体" w:cs="宋体"/>
          <w:sz w:val="24"/>
        </w:rPr>
        <w:t>（6）投标人认为需要提供的其他资料（包括可能影响投标人商务与技术文件评分的各类证明材料）。</w:t>
      </w:r>
    </w:p>
    <w:p>
      <w:pPr>
        <w:pStyle w:val="9"/>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（7）售后服务描述及承诺：</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9"/>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3、报价电子文件的组成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3</w:t>
      </w:r>
      <w:r>
        <w:rPr>
          <w:rFonts w:hint="eastAsia" w:asciiTheme="minorEastAsia" w:hAnsiTheme="minorEastAsia" w:eastAsiaTheme="minorEastAsia"/>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4</w:t>
      </w: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政府采购优惠政策相关资料、产品适用政府采购政策情况表（如有）。</w:t>
      </w:r>
    </w:p>
    <w:p>
      <w:pPr>
        <w:pStyle w:val="11"/>
        <w:spacing w:line="360" w:lineRule="auto"/>
        <w:ind w:firstLine="480" w:firstLineChars="200"/>
        <w:rPr>
          <w:sz w:val="24"/>
        </w:rPr>
      </w:pPr>
      <w:r>
        <w:rPr>
          <w:rFonts w:hint="eastAsia" w:asciiTheme="minorEastAsia" w:hAnsiTheme="minorEastAsia" w:eastAsiaTheme="minorEastAsia"/>
          <w:kern w:val="0"/>
          <w:sz w:val="24"/>
        </w:rPr>
        <w:t>（5）</w:t>
      </w:r>
      <w:r>
        <w:rPr>
          <w:rFonts w:hint="eastAsia"/>
          <w:sz w:val="24"/>
        </w:rPr>
        <w:t>投标报价单填写需清楚明了，并加盖电子印章。因</w:t>
      </w:r>
      <w:r>
        <w:rPr>
          <w:rFonts w:hint="eastAsia" w:asciiTheme="minorEastAsia" w:hAnsiTheme="minorEastAsia" w:eastAsiaTheme="minorEastAsia"/>
          <w:kern w:val="0"/>
          <w:sz w:val="24"/>
        </w:rPr>
        <w:t>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kern w:val="0"/>
          <w:sz w:val="24"/>
        </w:rPr>
        <w:t>6</w:t>
      </w:r>
      <w:r>
        <w:rPr>
          <w:rFonts w:hint="eastAsia" w:asciiTheme="minorEastAsia" w:hAnsiTheme="minorEastAsia" w:eastAsiaTheme="minorEastAsia"/>
          <w:sz w:val="24"/>
        </w:rPr>
        <w:t>）</w:t>
      </w:r>
      <w:r>
        <w:rPr>
          <w:rFonts w:asciiTheme="minorEastAsia" w:hAnsiTheme="minorEastAsia" w:eastAsiaTheme="minorEastAsia"/>
          <w:sz w:val="24"/>
        </w:rPr>
        <w:t>投标报价应按招标文件中相关附表格式填写。</w:t>
      </w:r>
    </w:p>
    <w:p>
      <w:pPr>
        <w:numPr>
          <w:ilvl w:val="0"/>
          <w:numId w:val="8"/>
        </w:num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电子投标文件的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sz w:val="24"/>
        </w:rPr>
      </w:pPr>
      <w:r>
        <w:rPr>
          <w:rFonts w:hint="eastAsia" w:asciiTheme="minorEastAsia" w:hAnsiTheme="minorEastAsia"/>
          <w:b/>
          <w:bCs/>
          <w:sz w:val="24"/>
        </w:rPr>
        <w:t>1、电子投标文件的制作要求</w:t>
      </w:r>
    </w:p>
    <w:p>
      <w:pPr>
        <w:spacing w:line="360" w:lineRule="auto"/>
        <w:ind w:firstLine="480" w:firstLineChars="200"/>
        <w:jc w:val="left"/>
        <w:rPr>
          <w:rFonts w:asciiTheme="minorEastAsia" w:hAnsiTheme="minorEastAsia"/>
          <w:kern w:val="0"/>
          <w:sz w:val="24"/>
        </w:rPr>
      </w:pPr>
      <w:r>
        <w:rPr>
          <w:rFonts w:hint="eastAsia" w:asciiTheme="minorEastAsia" w:hAnsiTheme="minorEastAsia"/>
          <w:sz w:val="24"/>
        </w:rPr>
        <w:t>（1）</w:t>
      </w:r>
      <w:r>
        <w:rPr>
          <w:rFonts w:hint="eastAsia" w:asciiTheme="minorEastAsia" w:hAnsiTheme="minorEastAsia" w:eastAsiaTheme="minorEastAsia"/>
          <w:sz w:val="24"/>
        </w:rPr>
        <w:t>投标人</w:t>
      </w:r>
      <w:r>
        <w:rPr>
          <w:rFonts w:hint="eastAsia" w:asciiTheme="minorEastAsia" w:hAnsiTheme="minorEastAsia"/>
          <w:sz w:val="24"/>
        </w:rPr>
        <w:t>应</w:t>
      </w:r>
      <w:r>
        <w:rPr>
          <w:rFonts w:hint="eastAsia" w:asciiTheme="minorEastAsia" w:hAnsiTheme="minorEastAsia" w:eastAsiaTheme="minorEastAsia"/>
          <w:sz w:val="24"/>
        </w:rPr>
        <w:t>按照电子投标文件</w:t>
      </w:r>
      <w:r>
        <w:rPr>
          <w:rFonts w:hint="eastAsia" w:asciiTheme="minorEastAsia" w:hAnsiTheme="minorEastAsia"/>
          <w:sz w:val="24"/>
        </w:rPr>
        <w:t>组成内容</w:t>
      </w:r>
      <w:r>
        <w:rPr>
          <w:rFonts w:hint="eastAsia" w:asciiTheme="minorEastAsia" w:hAnsiTheme="minorEastAsia" w:eastAsiaTheme="minorEastAsia"/>
          <w:sz w:val="24"/>
        </w:rPr>
        <w:t>及项目招标需求和浙江政府采购云平台要求制作电子投标文件，</w:t>
      </w:r>
      <w:r>
        <w:rPr>
          <w:rFonts w:hint="eastAsia" w:asciiTheme="minorEastAsia" w:hAnsiTheme="minorEastAsia" w:eastAsiaTheme="minorEastAsia"/>
          <w:kern w:val="0"/>
          <w:sz w:val="24"/>
        </w:rPr>
        <w:t>不按招标文件</w:t>
      </w:r>
      <w:r>
        <w:rPr>
          <w:rFonts w:hint="eastAsia" w:asciiTheme="minorEastAsia" w:hAnsiTheme="minorEastAsia" w:eastAsiaTheme="minorEastAsia"/>
          <w:sz w:val="24"/>
        </w:rPr>
        <w:t>和浙江政府采购云平台</w:t>
      </w:r>
      <w:r>
        <w:rPr>
          <w:rFonts w:hint="eastAsia" w:asciiTheme="minorEastAsia" w:hAnsiTheme="minorEastAsia" w:eastAsiaTheme="minorEastAsia"/>
          <w:kern w:val="0"/>
          <w:sz w:val="24"/>
        </w:rPr>
        <w:t>要求制作电子投标文件的将视情</w:t>
      </w:r>
      <w:r>
        <w:rPr>
          <w:rFonts w:hint="eastAsia" w:asciiTheme="minorEastAsia" w:hAnsiTheme="minorEastAsia"/>
          <w:kern w:val="0"/>
          <w:sz w:val="24"/>
        </w:rPr>
        <w:t>处理（拒收、扣分等），由此产生的责任由投标人自行承担。</w:t>
      </w:r>
    </w:p>
    <w:p>
      <w:pPr>
        <w:spacing w:line="360" w:lineRule="auto"/>
        <w:ind w:firstLine="482" w:firstLineChars="200"/>
        <w:jc w:val="left"/>
        <w:rPr>
          <w:rFonts w:ascii="FangSong_GB2312" w:hAnsi="FangSong_GB2312" w:eastAsia="FangSong_GB2312" w:cs="FangSong_GB2312"/>
          <w:b/>
          <w:sz w:val="24"/>
        </w:rPr>
      </w:pPr>
      <w:r>
        <w:rPr>
          <w:rFonts w:hint="eastAsia" w:ascii="FangSong_GB2312" w:hAnsi="FangSong_GB2312" w:eastAsia="FangSong_GB2312" w:cs="FangSong_GB2312"/>
          <w:b/>
          <w:sz w:val="24"/>
        </w:rPr>
        <w:t>电子投标文件部分：投标人应根据“政采云供应商项目采购-电子招投标操作指南”及本招标文件规定的格式和顺序编制电子投标文件并进行关联定位。</w:t>
      </w:r>
    </w:p>
    <w:p>
      <w:pPr>
        <w:spacing w:line="360" w:lineRule="auto"/>
        <w:ind w:firstLine="480" w:firstLineChars="200"/>
        <w:jc w:val="left"/>
        <w:rPr>
          <w:rFonts w:ascii="宋体" w:hAnsi="宋体" w:cs="宋体"/>
          <w:bCs/>
          <w:sz w:val="24"/>
        </w:rPr>
      </w:pPr>
      <w:r>
        <w:rPr>
          <w:rFonts w:hint="eastAsia" w:ascii="宋体" w:hAnsi="宋体"/>
          <w:kern w:val="0"/>
          <w:sz w:val="24"/>
        </w:rPr>
        <w:t>备份电子投标文件：</w:t>
      </w:r>
      <w:r>
        <w:rPr>
          <w:rFonts w:hint="eastAsia" w:ascii="宋体" w:hAnsi="宋体" w:cs="宋体"/>
          <w:bCs/>
          <w:sz w:val="24"/>
        </w:rPr>
        <w:t>通过“政采云”平台电子投标工具制作电子投标文件所产生的备份文件</w:t>
      </w:r>
    </w:p>
    <w:p>
      <w:pPr>
        <w:pStyle w:val="11"/>
        <w:spacing w:line="360" w:lineRule="auto"/>
        <w:ind w:firstLine="480" w:firstLineChars="200"/>
        <w:rPr>
          <w:sz w:val="24"/>
        </w:rPr>
      </w:pPr>
      <w:r>
        <w:rPr>
          <w:rFonts w:hint="eastAsia" w:ascii="宋体" w:hAnsi="宋体"/>
          <w:sz w:val="24"/>
        </w:rPr>
        <w:t>（2）投标人应对所提供的全部资料的真实性、有效性承担法律责任，电子投标文件中盖章之处必须加盖公章（采用CA签章）。</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w:t>
      </w:r>
      <w:r>
        <w:rPr>
          <w:rFonts w:hint="eastAsia" w:asciiTheme="minorEastAsia" w:hAnsiTheme="minorEastAsia" w:eastAsiaTheme="minorEastAsia"/>
          <w:sz w:val="24"/>
        </w:rPr>
        <w:t>电子投标文件</w:t>
      </w:r>
      <w:r>
        <w:rPr>
          <w:rFonts w:asciiTheme="minorEastAsia" w:hAnsiTheme="minorEastAsia" w:eastAsiaTheme="minorEastAsia"/>
          <w:sz w:val="24"/>
        </w:rPr>
        <w:t>以及投标人与</w:t>
      </w:r>
      <w:r>
        <w:rPr>
          <w:rFonts w:hint="eastAsia" w:asciiTheme="minorEastAsia" w:hAnsiTheme="minorEastAsia" w:eastAsiaTheme="minorEastAsia"/>
          <w:sz w:val="24"/>
        </w:rPr>
        <w:t>采购组织机构</w:t>
      </w:r>
      <w:r>
        <w:rPr>
          <w:rFonts w:asciiTheme="minorEastAsia" w:hAnsiTheme="minorEastAsia" w:eastAsiaTheme="minorEastAsia"/>
          <w:sz w:val="24"/>
        </w:rPr>
        <w:t>就有关投标事宜的所有来往函电，均应以中文汉语书写。除</w:t>
      </w:r>
      <w:r>
        <w:rPr>
          <w:rFonts w:hint="eastAsia" w:asciiTheme="minorEastAsia" w:hAnsiTheme="minorEastAsia" w:eastAsiaTheme="minorEastAsia"/>
          <w:sz w:val="24"/>
        </w:rPr>
        <w:t>签字</w:t>
      </w:r>
      <w:r>
        <w:rPr>
          <w:rFonts w:asciiTheme="minorEastAsia" w:hAnsiTheme="minorEastAsia" w:eastAsiaTheme="minorEastAsia"/>
          <w:sz w:val="24"/>
        </w:rPr>
        <w:t>、盖章、专用名称等特殊情形外，以中文汉语以外的文字表述的</w:t>
      </w:r>
      <w:r>
        <w:rPr>
          <w:rFonts w:hint="eastAsia" w:asciiTheme="minorEastAsia" w:hAnsiTheme="minorEastAsia" w:eastAsiaTheme="minorEastAsia"/>
          <w:sz w:val="24"/>
        </w:rPr>
        <w:t>电子投标文件</w:t>
      </w:r>
      <w:r>
        <w:rPr>
          <w:rFonts w:asciiTheme="minorEastAsia" w:hAnsiTheme="minorEastAsia" w:eastAsiaTheme="minorEastAsia"/>
          <w:sz w:val="24"/>
        </w:rPr>
        <w:t>视同未提供。</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sz w:val="24"/>
        </w:rPr>
        <w:t>（4）</w:t>
      </w:r>
      <w:r>
        <w:rPr>
          <w:rFonts w:asciiTheme="minorEastAsia" w:hAnsiTheme="minorEastAsia" w:eastAsiaTheme="minorEastAsia"/>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sz w:val="24"/>
        </w:rPr>
        <w:t>（5）</w:t>
      </w:r>
      <w:r>
        <w:rPr>
          <w:rFonts w:asciiTheme="minorEastAsia" w:hAnsiTheme="minorEastAsia" w:eastAsiaTheme="minorEastAsia"/>
          <w:sz w:val="24"/>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kern w:val="0"/>
          <w:sz w:val="24"/>
        </w:rPr>
        <w:t>（6）</w:t>
      </w:r>
      <w:r>
        <w:rPr>
          <w:rFonts w:hint="eastAsia" w:asciiTheme="minorEastAsia" w:hAnsiTheme="minorEastAsia" w:eastAsiaTheme="minorEastAsia"/>
          <w:sz w:val="24"/>
        </w:rPr>
        <w:t>与本次投标无关的内容请不要制作在内，确保电子投标文件有针对性、简洁明了。</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2、</w:t>
      </w:r>
      <w:r>
        <w:rPr>
          <w:rFonts w:hint="eastAsia" w:asciiTheme="minorEastAsia" w:hAnsiTheme="minorEastAsia" w:eastAsiaTheme="minorEastAsia"/>
          <w:b/>
          <w:bCs/>
          <w:sz w:val="24"/>
        </w:rPr>
        <w:t>电子投标文件</w:t>
      </w:r>
      <w:r>
        <w:rPr>
          <w:rFonts w:hint="eastAsia" w:asciiTheme="minorEastAsia" w:hAnsiTheme="minorEastAsia"/>
          <w:b/>
          <w:bCs/>
          <w:sz w:val="24"/>
        </w:rPr>
        <w:t>的递交要求</w:t>
      </w:r>
    </w:p>
    <w:p>
      <w:pPr>
        <w:spacing w:line="360" w:lineRule="auto"/>
        <w:ind w:firstLine="480" w:firstLineChars="200"/>
        <w:rPr>
          <w:sz w:val="24"/>
        </w:rPr>
      </w:pPr>
      <w:r>
        <w:rPr>
          <w:rFonts w:hint="eastAsia" w:asciiTheme="majorEastAsia" w:hAnsiTheme="majorEastAsia" w:eastAsiaTheme="majorEastAsia" w:cstheme="majorEastAsia"/>
          <w:sz w:val="24"/>
        </w:rPr>
        <w:t>（1）投标人须按照采购文件和政采云平台的要求编制并加密电子投标文件。在电子投标文件递交截止时间以前完成电子投标文件的传输递交。</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3、电子投标文件的补充、修改和撤回。</w:t>
      </w:r>
    </w:p>
    <w:p>
      <w:pPr>
        <w:tabs>
          <w:tab w:val="left" w:pos="960"/>
          <w:tab w:val="left" w:pos="1418"/>
        </w:tabs>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hint="eastAsia" w:asciiTheme="minorEastAsia" w:hAnsiTheme="minorEastAsia" w:eastAsiaTheme="minorEastAsia"/>
          <w:kern w:val="0"/>
          <w:sz w:val="24"/>
        </w:rPr>
        <w:t>补充或者修改电子投标文件的，应当先行撤回原文件，补充、修改后重新传输递交。投标截止时间前未完成传输的，视为撤回电子投标文件。</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（三）电子投标文件的有效期</w:t>
      </w:r>
    </w:p>
    <w:p>
      <w:pPr>
        <w:pStyle w:val="8"/>
        <w:tabs>
          <w:tab w:val="left" w:pos="454"/>
          <w:tab w:val="left" w:pos="720"/>
          <w:tab w:val="left" w:pos="1200"/>
        </w:tabs>
        <w:snapToGrid w:val="0"/>
        <w:spacing w:line="360" w:lineRule="auto"/>
        <w:ind w:left="0" w:firstLine="480" w:firstLineChars="200"/>
        <w:rPr>
          <w:rFonts w:ascii="FangSong_GB2312" w:hAnsi="FangSong_GB2312" w:eastAsia="FangSong_GB2312" w:cs="FangSong_GB2312"/>
          <w:sz w:val="24"/>
          <w:lang w:val="en-GB"/>
        </w:rPr>
      </w:pPr>
      <w:r>
        <w:rPr>
          <w:rFonts w:hint="eastAsia" w:ascii="宋体" w:hAnsi="宋体"/>
          <w:sz w:val="24"/>
          <w:lang w:val="en-GB"/>
        </w:rPr>
        <w:t>自投标截止日起90天电子投标文件应保持有效。有效期不足的电子投标文件将被拒绝。</w:t>
      </w:r>
    </w:p>
    <w:p>
      <w:pPr>
        <w:pStyle w:val="8"/>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在特殊情况下，采购人可与投标人协商延长电子投标文件的有效期，这种要求和答复均以书面形式进行。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电子投标文件</w:t>
      </w:r>
      <w:r>
        <w:rPr>
          <w:rFonts w:asciiTheme="minorEastAsia" w:hAnsiTheme="minorEastAsia" w:eastAsiaTheme="minorEastAsia"/>
          <w:sz w:val="24"/>
        </w:rPr>
        <w:t>自开标之日起至合同履行完毕均应保持有效。</w:t>
      </w:r>
    </w:p>
    <w:p>
      <w:pPr>
        <w:snapToGrid w:val="0"/>
        <w:spacing w:line="360" w:lineRule="auto"/>
        <w:ind w:firstLine="472" w:firstLineChars="196"/>
        <w:rPr>
          <w:rFonts w:asciiTheme="minorEastAsia" w:hAnsiTheme="minorEastAsia" w:eastAsiaTheme="minorEastAsia"/>
          <w:b/>
          <w:kern w:val="0"/>
          <w:sz w:val="24"/>
        </w:rPr>
      </w:pPr>
      <w:r>
        <w:rPr>
          <w:rFonts w:hint="eastAsia" w:asciiTheme="minorEastAsia" w:hAnsiTheme="minorEastAsia" w:eastAsiaTheme="minorEastAsia"/>
          <w:b/>
          <w:kern w:val="0"/>
          <w:sz w:val="24"/>
        </w:rPr>
        <w:t>四、开标</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（一）开标事项</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kern w:val="0"/>
          <w:sz w:val="24"/>
        </w:rPr>
        <w:t>采购组织机构在“招标公告”规定的时间和地点公开开标，</w:t>
      </w:r>
      <w:r>
        <w:rPr>
          <w:rFonts w:hint="eastAsia" w:asciiTheme="minorEastAsia" w:hAnsiTheme="minorEastAsia" w:eastAsiaTheme="minorEastAsia"/>
          <w:bCs/>
          <w:sz w:val="24"/>
        </w:rPr>
        <w:t>采购组织机构</w:t>
      </w:r>
      <w:r>
        <w:rPr>
          <w:rFonts w:asciiTheme="minorEastAsia" w:hAnsiTheme="minorEastAsia" w:eastAsiaTheme="minorEastAsia"/>
          <w:bCs/>
          <w:sz w:val="24"/>
        </w:rPr>
        <w:t>工作人员接收</w:t>
      </w:r>
      <w:r>
        <w:rPr>
          <w:rFonts w:hint="eastAsia" w:asciiTheme="minorEastAsia" w:hAnsiTheme="minorEastAsia" w:eastAsiaTheme="minorEastAsia"/>
          <w:bCs/>
          <w:sz w:val="24"/>
        </w:rPr>
        <w:t>电子投标文件</w:t>
      </w:r>
      <w:r>
        <w:rPr>
          <w:rFonts w:asciiTheme="minorEastAsia" w:hAnsiTheme="minorEastAsia" w:eastAsiaTheme="minorEastAsia"/>
          <w:bCs/>
          <w:sz w:val="24"/>
        </w:rPr>
        <w:t>并登记。</w:t>
      </w:r>
      <w:r>
        <w:rPr>
          <w:rFonts w:hint="eastAsia" w:asciiTheme="minorEastAsia" w:hAnsiTheme="minorEastAsia" w:eastAsiaTheme="minorEastAsia"/>
          <w:bCs/>
          <w:sz w:val="24"/>
        </w:rPr>
        <w:t>评标委员会成员不得参加开标活动。</w:t>
      </w:r>
      <w:r>
        <w:rPr>
          <w:rFonts w:hint="eastAsia" w:asciiTheme="minorEastAsia" w:hAnsiTheme="minorEastAsia" w:eastAsiaTheme="minorEastAsia"/>
          <w:b/>
          <w:bCs/>
          <w:kern w:val="0"/>
          <w:sz w:val="24"/>
        </w:rPr>
        <w:t>（本次招标</w:t>
      </w:r>
      <w:r>
        <w:rPr>
          <w:rFonts w:cs="Arial" w:asciiTheme="minorEastAsia" w:hAnsiTheme="minorEastAsia" w:eastAsiaTheme="minorEastAsia"/>
          <w:b/>
          <w:bCs/>
          <w:sz w:val="24"/>
        </w:rPr>
        <w:t>采用先评审商务资格</w:t>
      </w:r>
      <w:r>
        <w:rPr>
          <w:rFonts w:hint="eastAsia" w:cs="Arial" w:asciiTheme="minorEastAsia" w:hAnsiTheme="minorEastAsia" w:eastAsiaTheme="minorEastAsia"/>
          <w:b/>
          <w:bCs/>
          <w:sz w:val="24"/>
        </w:rPr>
        <w:t>和</w:t>
      </w:r>
      <w:r>
        <w:rPr>
          <w:rFonts w:cs="Arial" w:asciiTheme="minorEastAsia" w:hAnsiTheme="minorEastAsia" w:eastAsiaTheme="minorEastAsia"/>
          <w:b/>
          <w:bCs/>
          <w:sz w:val="24"/>
        </w:rPr>
        <w:t>技术服务方案</w:t>
      </w:r>
      <w:r>
        <w:rPr>
          <w:rFonts w:hint="eastAsia" w:cs="Arial" w:asciiTheme="minorEastAsia" w:hAnsiTheme="minorEastAsia" w:eastAsiaTheme="minorEastAsia"/>
          <w:b/>
          <w:bCs/>
          <w:sz w:val="24"/>
        </w:rPr>
        <w:t>，</w:t>
      </w:r>
      <w:r>
        <w:rPr>
          <w:rFonts w:cs="Arial" w:asciiTheme="minorEastAsia" w:hAnsiTheme="minorEastAsia" w:eastAsiaTheme="minorEastAsia"/>
          <w:b/>
          <w:bCs/>
          <w:sz w:val="24"/>
        </w:rPr>
        <w:t>后公开并评审商务报价的办法</w:t>
      </w:r>
      <w:r>
        <w:rPr>
          <w:rFonts w:hint="eastAsia" w:asciiTheme="minorEastAsia" w:hAnsiTheme="minorEastAsia" w:eastAsiaTheme="minorEastAsia"/>
          <w:b/>
          <w:bCs/>
          <w:kern w:val="0"/>
          <w:sz w:val="24"/>
        </w:rPr>
        <w:t>实施。各位供应商投标时必须根据菜单对应上传，切勿误传，否则一切后果自行承担）</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（二） 开</w:t>
      </w:r>
      <w:r>
        <w:rPr>
          <w:rFonts w:hint="eastAsia" w:asciiTheme="minorEastAsia" w:hAnsiTheme="minorEastAsia" w:eastAsiaTheme="minorEastAsia"/>
          <w:bCs/>
          <w:sz w:val="24"/>
        </w:rPr>
        <w:t>标</w:t>
      </w:r>
      <w:r>
        <w:rPr>
          <w:rFonts w:asciiTheme="minorEastAsia" w:hAnsiTheme="minorEastAsia" w:eastAsiaTheme="minorEastAsia"/>
          <w:bCs/>
          <w:sz w:val="24"/>
        </w:rPr>
        <w:t>程序：</w:t>
      </w:r>
    </w:p>
    <w:p>
      <w:pPr>
        <w:pStyle w:val="14"/>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1、开标时间到后，招标项目负责人准时组织开标；</w:t>
      </w:r>
    </w:p>
    <w:p>
      <w:pPr>
        <w:snapToGrid w:val="0"/>
        <w:spacing w:line="360" w:lineRule="auto"/>
        <w:ind w:firstLine="480" w:firstLineChars="200"/>
        <w:jc w:val="left"/>
        <w:rPr>
          <w:rFonts w:ascii="宋体" w:hAnsi="宋体" w:cs="宋体"/>
          <w:sz w:val="24"/>
        </w:rPr>
      </w:pPr>
      <w:r>
        <w:rPr>
          <w:rFonts w:hint="eastAsia" w:ascii="宋体" w:hAnsi="宋体" w:cs="宋体"/>
          <w:sz w:val="24"/>
        </w:rPr>
        <w:t>2、投标人登录政采云平台，用“项目采购-开标评标”功能对电子投标文件进行在线解密。在线解密电子投标文件时间为开标时间起半个小时内。</w:t>
      </w:r>
    </w:p>
    <w:p>
      <w:pPr>
        <w:snapToGrid w:val="0"/>
        <w:spacing w:line="360" w:lineRule="auto"/>
        <w:ind w:firstLine="480" w:firstLineChars="200"/>
        <w:jc w:val="left"/>
        <w:rPr>
          <w:rFonts w:ascii="宋体" w:hAnsi="宋体" w:cs="宋体"/>
          <w:sz w:val="24"/>
        </w:rPr>
      </w:pPr>
      <w:r>
        <w:rPr>
          <w:rFonts w:hint="eastAsia" w:ascii="宋体" w:hAnsi="宋体" w:cs="宋体"/>
          <w:sz w:val="24"/>
        </w:rPr>
        <w:t>3、公布开标结果。</w:t>
      </w:r>
    </w:p>
    <w:p>
      <w:pPr>
        <w:snapToGrid w:val="0"/>
        <w:spacing w:line="360" w:lineRule="auto"/>
        <w:ind w:firstLine="480" w:firstLineChars="200"/>
        <w:jc w:val="left"/>
        <w:rPr>
          <w:rFonts w:ascii="宋体" w:hAnsi="宋体" w:cs="宋体"/>
          <w:sz w:val="24"/>
        </w:rPr>
      </w:pPr>
      <w:r>
        <w:rPr>
          <w:rFonts w:hint="eastAsia" w:ascii="宋体" w:hAnsi="宋体" w:cs="宋体"/>
          <w:sz w:val="24"/>
        </w:rPr>
        <w:t>4、特别说明：本项目原则上采用政采云电子招投标开标及评审程序，但有下情形之一的，按以下情况处理：</w:t>
      </w:r>
    </w:p>
    <w:p>
      <w:pPr>
        <w:numPr>
          <w:ilvl w:val="0"/>
          <w:numId w:val="9"/>
        </w:numPr>
        <w:snapToGrid w:val="0"/>
        <w:spacing w:line="360" w:lineRule="auto"/>
        <w:ind w:firstLine="480" w:firstLineChars="200"/>
        <w:jc w:val="left"/>
        <w:rPr>
          <w:rFonts w:ascii="宋体" w:hAnsi="宋体" w:cs="宋体"/>
          <w:sz w:val="24"/>
        </w:rPr>
      </w:pPr>
      <w:r>
        <w:rPr>
          <w:rFonts w:hint="eastAsia" w:ascii="宋体" w:hAnsi="宋体" w:cs="宋体"/>
          <w:sz w:val="24"/>
        </w:rPr>
        <w:t>投标人应当按规定及时解密，若因技术原因导致电子投标文件未能及时解密的，应联系我中心技术人员（陈工：15167606512）在采监处的监督下远程协助其完成解密，仍无法完成解密的，应按规定及时递交备份电子投标文件，否则，视同放弃投标。</w:t>
      </w:r>
    </w:p>
    <w:p>
      <w:pPr>
        <w:snapToGrid w:val="0"/>
        <w:spacing w:line="360" w:lineRule="auto"/>
        <w:ind w:firstLine="480" w:firstLineChars="200"/>
        <w:jc w:val="left"/>
        <w:rPr>
          <w:rFonts w:ascii="FangSong_GB2312" w:hAnsi="宋体" w:eastAsia="FangSong_GB2312"/>
          <w:b/>
          <w:sz w:val="24"/>
        </w:rPr>
      </w:pPr>
      <w:r>
        <w:rPr>
          <w:rFonts w:hint="eastAsia" w:ascii="宋体" w:hAnsi="宋体" w:cs="宋体"/>
          <w:sz w:val="24"/>
        </w:rPr>
        <w:t>（2）</w:t>
      </w:r>
      <w:r>
        <w:rPr>
          <w:rFonts w:hint="eastAsia" w:asciiTheme="minorEastAsia" w:hAnsiTheme="minorEastAsia" w:eastAsiaTheme="minorEastAsia"/>
          <w:sz w:val="24"/>
        </w:rPr>
        <w:t>开评标细则按政采云电子评标流程进行。</w:t>
      </w:r>
      <w:r>
        <w:rPr>
          <w:rFonts w:hint="eastAsia" w:ascii="FangSong_GB2312" w:hAnsi="宋体" w:eastAsia="FangSong_GB2312"/>
          <w:b/>
          <w:sz w:val="24"/>
        </w:rPr>
        <w:t>特别说明：政采云公司如对电子化开标及评审程序有调整的，按调整后的程序操作。</w:t>
      </w:r>
    </w:p>
    <w:p>
      <w:pPr>
        <w:pStyle w:val="14"/>
        <w:snapToGrid w:val="0"/>
        <w:spacing w:line="360" w:lineRule="auto"/>
        <w:ind w:firstLine="480" w:firstLineChars="200"/>
        <w:rPr>
          <w:sz w:val="24"/>
        </w:rPr>
      </w:pPr>
    </w:p>
    <w:p>
      <w:pPr>
        <w:pStyle w:val="14"/>
        <w:snapToGrid w:val="0"/>
        <w:spacing w:line="360" w:lineRule="auto"/>
        <w:outlineLvl w:val="1"/>
        <w:rPr>
          <w:rFonts w:asciiTheme="minorEastAsia" w:hAnsiTheme="minorEastAsia" w:eastAsiaTheme="minorEastAsia"/>
          <w:b/>
          <w:sz w:val="24"/>
        </w:rPr>
      </w:pPr>
      <w:r>
        <w:rPr>
          <w:rFonts w:hint="eastAsia" w:asciiTheme="minorEastAsia" w:hAnsiTheme="minorEastAsia" w:eastAsiaTheme="minorEastAsia"/>
          <w:b/>
          <w:sz w:val="24"/>
        </w:rPr>
        <w:t>五、评标</w:t>
      </w:r>
    </w:p>
    <w:p>
      <w:pPr>
        <w:pStyle w:val="14"/>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（一）组建评标委员会</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本项目评标委员会由政府采购评审专家</w:t>
      </w:r>
      <w:r>
        <w:rPr>
          <w:rFonts w:hint="eastAsia" w:asciiTheme="minorEastAsia" w:hAnsiTheme="minorEastAsia" w:eastAsiaTheme="minorEastAsia"/>
          <w:sz w:val="24"/>
        </w:rPr>
        <w:t>和采购单位评审代表</w:t>
      </w:r>
      <w:r>
        <w:rPr>
          <w:rFonts w:asciiTheme="minorEastAsia" w:hAnsiTheme="minorEastAsia" w:eastAsiaTheme="minorEastAsia"/>
          <w:sz w:val="24"/>
        </w:rPr>
        <w:t>组成。</w:t>
      </w:r>
    </w:p>
    <w:p>
      <w:pPr>
        <w:pStyle w:val="14"/>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二</w:t>
      </w:r>
      <w:r>
        <w:rPr>
          <w:rFonts w:asciiTheme="minorEastAsia" w:hAnsiTheme="minorEastAsia" w:eastAsiaTheme="minorEastAsia"/>
          <w:b/>
          <w:sz w:val="24"/>
        </w:rPr>
        <w:t>）</w:t>
      </w:r>
      <w:r>
        <w:rPr>
          <w:rFonts w:asciiTheme="minorEastAsia" w:hAnsiTheme="minorEastAsia" w:eastAsiaTheme="minorEastAsia"/>
          <w:b/>
          <w:bCs/>
          <w:sz w:val="24"/>
        </w:rPr>
        <w:t>评标程序</w:t>
      </w:r>
    </w:p>
    <w:p>
      <w:pPr>
        <w:snapToGrid w:val="0"/>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1、资格</w:t>
      </w:r>
      <w:r>
        <w:rPr>
          <w:rFonts w:asciiTheme="minorEastAsia" w:hAnsiTheme="minorEastAsia" w:eastAsiaTheme="minorEastAsia"/>
          <w:b/>
          <w:bCs/>
          <w:sz w:val="24"/>
        </w:rPr>
        <w:t>审查</w:t>
      </w:r>
    </w:p>
    <w:p>
      <w:pPr>
        <w:pStyle w:val="11"/>
        <w:spacing w:line="360" w:lineRule="auto"/>
        <w:jc w:val="both"/>
        <w:rPr>
          <w:rFonts w:asciiTheme="minorEastAsia" w:hAnsiTheme="minorEastAsia" w:eastAsiaTheme="minorEastAsia"/>
          <w:sz w:val="24"/>
        </w:rPr>
      </w:pPr>
      <w:r>
        <w:rPr>
          <w:rFonts w:asciiTheme="minorEastAsia" w:hAnsiTheme="minorEastAsia" w:eastAsiaTheme="minorEastAsia"/>
          <w:sz w:val="24"/>
        </w:rPr>
        <w:t>公开招标采购项目开标结束后，采购人或者采购组织机构应当依法对投标人的资格进行审查，对审查发现无效的进行必要的询标，</w:t>
      </w:r>
      <w:r>
        <w:rPr>
          <w:rFonts w:hint="eastAsia"/>
          <w:sz w:val="24"/>
        </w:rPr>
        <w:t>由政采云在线公布</w:t>
      </w:r>
      <w:r>
        <w:rPr>
          <w:rFonts w:asciiTheme="minorEastAsia" w:hAnsiTheme="minorEastAsia" w:eastAsiaTheme="minorEastAsia"/>
          <w:sz w:val="24"/>
        </w:rPr>
        <w:t>无效投标的投标人名单、投标无效的原因。</w:t>
      </w:r>
      <w:r>
        <w:rPr>
          <w:rFonts w:hint="eastAsia"/>
          <w:sz w:val="24"/>
        </w:rPr>
        <w:t>（若系统原因无法公布的，将由录音电话代为公布）</w:t>
      </w:r>
    </w:p>
    <w:p>
      <w:pPr>
        <w:pStyle w:val="11"/>
        <w:numPr>
          <w:ilvl w:val="0"/>
          <w:numId w:val="10"/>
        </w:numPr>
        <w:spacing w:line="360" w:lineRule="auto"/>
        <w:rPr>
          <w:rFonts w:asciiTheme="minorEastAsia" w:hAnsiTheme="minorEastAsia" w:eastAsiaTheme="minorEastAsia"/>
          <w:b/>
          <w:bCs/>
          <w:sz w:val="24"/>
        </w:rPr>
      </w:pPr>
      <w:r>
        <w:rPr>
          <w:rFonts w:asciiTheme="minorEastAsia" w:hAnsiTheme="minorEastAsia" w:eastAsiaTheme="minorEastAsia"/>
          <w:b/>
          <w:bCs/>
          <w:sz w:val="24"/>
        </w:rPr>
        <w:t>符合性审查</w:t>
      </w:r>
    </w:p>
    <w:p>
      <w:pPr>
        <w:pStyle w:val="11"/>
        <w:spacing w:line="360" w:lineRule="auto"/>
        <w:rPr>
          <w:rFonts w:eastAsiaTheme="minorEastAsia"/>
          <w:sz w:val="24"/>
        </w:rPr>
      </w:pPr>
      <w:r>
        <w:rPr>
          <w:rFonts w:asciiTheme="minorEastAsia" w:hAnsiTheme="minorEastAsia" w:eastAsiaTheme="minorEastAsia"/>
          <w:sz w:val="24"/>
        </w:rPr>
        <w:t>评标委员会应当对符合资格的投标人的</w:t>
      </w:r>
      <w:r>
        <w:rPr>
          <w:rFonts w:hint="eastAsia" w:asciiTheme="minorEastAsia" w:hAnsiTheme="minorEastAsia" w:eastAsiaTheme="minorEastAsia"/>
          <w:sz w:val="24"/>
        </w:rPr>
        <w:t>电子</w:t>
      </w:r>
      <w:r>
        <w:rPr>
          <w:rFonts w:asciiTheme="minorEastAsia" w:hAnsiTheme="minorEastAsia" w:eastAsiaTheme="minorEastAsia"/>
          <w:sz w:val="24"/>
        </w:rPr>
        <w:t>投标文件进行符合性审查，以确定其是否满足招标文件的实质性要求，对审查发现无效的进行必要的询标，</w:t>
      </w:r>
      <w:r>
        <w:rPr>
          <w:rFonts w:hint="eastAsia"/>
          <w:sz w:val="24"/>
        </w:rPr>
        <w:t>对</w:t>
      </w:r>
      <w:r>
        <w:rPr>
          <w:rFonts w:asciiTheme="minorEastAsia" w:hAnsiTheme="minorEastAsia" w:eastAsiaTheme="minorEastAsia"/>
          <w:sz w:val="24"/>
        </w:rPr>
        <w:t>无效投标的投标人名单</w:t>
      </w:r>
      <w:r>
        <w:rPr>
          <w:rFonts w:hint="eastAsia" w:asciiTheme="minorEastAsia" w:hAnsiTheme="minorEastAsia" w:eastAsiaTheme="minorEastAsia"/>
          <w:sz w:val="24"/>
        </w:rPr>
        <w:t>及</w:t>
      </w:r>
      <w:r>
        <w:rPr>
          <w:rFonts w:asciiTheme="minorEastAsia" w:hAnsiTheme="minorEastAsia" w:eastAsiaTheme="minorEastAsia"/>
          <w:sz w:val="24"/>
        </w:rPr>
        <w:t>投标无效原因</w:t>
      </w:r>
      <w:r>
        <w:rPr>
          <w:rFonts w:hint="eastAsia" w:asciiTheme="minorEastAsia" w:hAnsiTheme="minorEastAsia" w:eastAsiaTheme="minorEastAsia"/>
          <w:sz w:val="24"/>
        </w:rPr>
        <w:t>的公布方式同上。</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b/>
          <w:bCs/>
        </w:rPr>
        <w:t>3、</w:t>
      </w:r>
      <w:r>
        <w:rPr>
          <w:rFonts w:hint="default" w:ascii="Arial" w:hAnsi="Arial" w:cs="Arial"/>
          <w:b/>
          <w:bCs/>
        </w:rPr>
        <w:t>综合比较与评价</w:t>
      </w:r>
    </w:p>
    <w:p>
      <w:pPr>
        <w:pStyle w:val="20"/>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（1）对于电子投标文件中含义不明确、同类问题表述不一致或者有明显文字和计算错误的内容，评标委员会应当以在线询标形式要求投标人作出必要的澄清、说明或者补正。</w:t>
      </w:r>
    </w:p>
    <w:p>
      <w:pPr>
        <w:pStyle w:val="20"/>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（2）评标委员会应当按照招标文件中规定的评标方法和标准，对符合性审查合格的电子投标文件进行商务和技术评估，综合比较与评价。</w:t>
      </w:r>
    </w:p>
    <w:p>
      <w:pPr>
        <w:snapToGri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（3）评标时，评标委员会各成员应当独立对每个投标人的电子投标文件进行评价，并汇总每个投标人的得分。</w:t>
      </w:r>
    </w:p>
    <w:p>
      <w:pPr>
        <w:numPr>
          <w:ilvl w:val="255"/>
          <w:numId w:val="0"/>
        </w:numPr>
        <w:snapToGrid w:val="0"/>
        <w:spacing w:line="360" w:lineRule="auto"/>
        <w:ind w:firstLine="482" w:firstLineChars="200"/>
        <w:rPr>
          <w:rFonts w:ascii="Arial" w:hAnsi="Arial" w:cs="Arial"/>
          <w:b/>
          <w:bCs/>
          <w:sz w:val="24"/>
        </w:rPr>
      </w:pPr>
      <w:r>
        <w:rPr>
          <w:rFonts w:hint="eastAsia" w:ascii="Arial" w:hAnsi="Arial" w:cs="Arial"/>
          <w:b/>
          <w:bCs/>
          <w:sz w:val="24"/>
        </w:rPr>
        <w:t>4、得分确认及评审报告编写</w:t>
      </w:r>
    </w:p>
    <w:p>
      <w:pPr>
        <w:pStyle w:val="14"/>
        <w:snapToGrid w:val="0"/>
        <w:spacing w:line="360" w:lineRule="auto"/>
        <w:ind w:firstLine="420" w:firstLineChars="175"/>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评标委员会对报价文件进行复核，对于系统计算出的价格分及总得分进行确认；</w:t>
      </w:r>
    </w:p>
    <w:p>
      <w:pPr>
        <w:pStyle w:val="20"/>
        <w:spacing w:before="0" w:beforeAutospacing="0" w:after="0" w:afterAutospacing="0" w:line="360" w:lineRule="auto"/>
        <w:ind w:firstLine="420" w:firstLineChars="175"/>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（2）评标委员会应当按照招标文件中规定的评标方法和标准，对符合性审查合格的电子投标文件进行商务和技术评估，综合比较与评价。</w:t>
      </w:r>
    </w:p>
    <w:p>
      <w:pPr>
        <w:snapToGrid w:val="0"/>
        <w:spacing w:line="360" w:lineRule="auto"/>
        <w:ind w:firstLine="480" w:firstLineChars="200"/>
        <w:rPr>
          <w:rFonts w:ascii="Arial" w:hAnsi="Arial" w:cs="Arial"/>
          <w:b/>
          <w:bCs/>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kern w:val="0"/>
          <w:sz w:val="24"/>
        </w:rPr>
        <w:t>评标委员会</w:t>
      </w:r>
      <w:r>
        <w:rPr>
          <w:rFonts w:asciiTheme="minorEastAsia" w:hAnsiTheme="minorEastAsia" w:eastAsiaTheme="minorEastAsia"/>
          <w:sz w:val="24"/>
        </w:rPr>
        <w:t>按评标原则</w:t>
      </w:r>
      <w:r>
        <w:rPr>
          <w:rFonts w:hint="eastAsia" w:asciiTheme="minorEastAsia" w:hAnsiTheme="minorEastAsia" w:eastAsiaTheme="minorEastAsia"/>
          <w:sz w:val="24"/>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5、评价</w:t>
      </w:r>
    </w:p>
    <w:p>
      <w:pPr>
        <w:snapToGri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sz w:val="24"/>
        </w:rPr>
        <w:t>采购组织机构对评标委员会评审专家进行评价。</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b/>
          <w:sz w:val="24"/>
        </w:rPr>
        <w:t>（三）澄清问题的形式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sz w:val="24"/>
        </w:rPr>
        <w:t>投标人的澄清、说明或者补正应当采用电子询标形式，并加盖公章（电子印章），并不得超出电子投标文件的范围或者改变电子投标文件的实质性内容。</w:t>
      </w:r>
    </w:p>
    <w:p>
      <w:pPr>
        <w:pStyle w:val="14"/>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（四）错误修正</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电子投标文件报价出现前后不一致的，除招标文件另有规定外，按照下列规定修正：</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1、电子投标文件中开标一览表（报价表）内容与电子投标文件中相应内容不一致的，以开标一览表（报价表）为准；</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3、单价金额小数点或者百分比有明显错位的，以开标一览表的总价为准，并修改单价；</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同时出现两种以上不一致的，按照前款规定的顺序修正。修正应当采用电子询标的形式，并加盖公章</w:t>
      </w:r>
      <w:r>
        <w:rPr>
          <w:rFonts w:asciiTheme="minorEastAsia" w:hAnsiTheme="minorEastAsia"/>
        </w:rPr>
        <w:t>（电子印章）</w:t>
      </w:r>
      <w:r>
        <w:rPr>
          <w:rFonts w:asciiTheme="minorEastAsia" w:hAnsiTheme="minorEastAsia" w:eastAsiaTheme="minorEastAsia"/>
        </w:rPr>
        <w:t>。</w:t>
      </w:r>
    </w:p>
    <w:p>
      <w:pPr>
        <w:pStyle w:val="20"/>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（五）</w:t>
      </w:r>
      <w:r>
        <w:rPr>
          <w:rFonts w:asciiTheme="minorEastAsia" w:hAnsiTheme="minorEastAsia" w:eastAsiaTheme="minorEastAsia"/>
          <w:b/>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sz w:val="24"/>
        </w:rPr>
      </w:pPr>
      <w:r>
        <w:rPr>
          <w:rFonts w:asciiTheme="minorEastAsia" w:hAnsiTheme="minorEastAsia" w:eastAsiaTheme="minorEastAsia"/>
          <w:sz w:val="24"/>
        </w:rPr>
        <w:t>1、</w:t>
      </w:r>
      <w:r>
        <w:rPr>
          <w:rFonts w:hint="eastAsia" w:asciiTheme="minorEastAsia" w:hAnsiTheme="minorEastAsia" w:eastAsiaTheme="minorEastAsia"/>
          <w:b/>
          <w:bCs/>
          <w:kern w:val="0"/>
          <w:sz w:val="24"/>
        </w:rPr>
        <w:t>在资格证明模块或商务与技术模块中出现投标报价的</w:t>
      </w:r>
      <w:r>
        <w:rPr>
          <w:rFonts w:hint="eastAsia" w:asciiTheme="minorEastAsia" w:hAnsiTheme="minorEastAsia" w:eastAsiaTheme="minorEastAsia"/>
          <w:kern w:val="0"/>
          <w:sz w:val="24"/>
        </w:rPr>
        <w:t>，或者报价文件中报价的货物跟商务与技术文件中的投标货物出现重大偏差的；</w:t>
      </w:r>
    </w:p>
    <w:p>
      <w:pPr>
        <w:pStyle w:val="20"/>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3、电子投标文件含有采购人不能接受的附加条件的。</w:t>
      </w:r>
    </w:p>
    <w:p>
      <w:pPr>
        <w:pStyle w:val="11"/>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4</w:t>
      </w:r>
      <w:r>
        <w:rPr>
          <w:rFonts w:hint="eastAsia" w:asciiTheme="minorEastAsia" w:hAnsiTheme="minorEastAsia" w:eastAsiaTheme="minorEastAsia"/>
          <w:sz w:val="24"/>
        </w:rPr>
        <w:t>、</w:t>
      </w:r>
      <w:r>
        <w:rPr>
          <w:rFonts w:asciiTheme="minorEastAsia" w:hAnsiTheme="minorEastAsia" w:eastAsiaTheme="minorEastAsia"/>
          <w:sz w:val="24"/>
        </w:rPr>
        <w:t>评标委员会认为投标人的报价明显低于其他通过符合性审查投标人的报价，有可能影响产品质量或者不能诚信履约的，应当要求其在合理的时间内提供</w:t>
      </w:r>
      <w:r>
        <w:rPr>
          <w:rFonts w:hint="eastAsia"/>
          <w:sz w:val="24"/>
        </w:rPr>
        <w:t>进行电子答复</w:t>
      </w:r>
      <w:r>
        <w:rPr>
          <w:rFonts w:asciiTheme="minorEastAsia" w:hAnsiTheme="minorEastAsia" w:eastAsiaTheme="minorEastAsia"/>
          <w:sz w:val="24"/>
        </w:rPr>
        <w:t>，必要时提交相关证明材料；投标人不能证明其报价合理性的，评标委员会应当将其作为无效投标处理。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5、报价超过招标文件中规定的预算金额/最高限价。 </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6、主要性能参数指标负偏离</w:t>
      </w:r>
      <w:r>
        <w:rPr>
          <w:rFonts w:asciiTheme="minorEastAsia" w:hAnsiTheme="minorEastAsia" w:eastAsiaTheme="minorEastAsia"/>
          <w:u w:val="single"/>
        </w:rPr>
        <w:t xml:space="preserve"> 5 </w:t>
      </w:r>
      <w:r>
        <w:rPr>
          <w:rFonts w:asciiTheme="minorEastAsia" w:hAnsiTheme="minorEastAsia" w:eastAsiaTheme="minorEastAsia"/>
        </w:rPr>
        <w:t>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8、电子投标文件提供虚假材料的。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9</w:t>
      </w:r>
      <w:r>
        <w:rPr>
          <w:rFonts w:asciiTheme="minorEastAsia" w:hAnsiTheme="minorEastAsia" w:eastAsiaTheme="minorEastAsia"/>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（1）不同投标人的电子投标文件由同一单位或者个人编制；</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（2）不同投标人委托同一单位或者个人办理投标事宜；</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（3）不同投标人的电子投标文件载明的项目管理成员或者联系人员为同一人；</w:t>
      </w:r>
    </w:p>
    <w:p>
      <w:pPr>
        <w:pStyle w:val="2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（4）不同投标人的电子投标文件异常一致或者投标报价呈规律性差异；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中打“▲”内容及被拒绝的条款）。</w:t>
      </w:r>
    </w:p>
    <w:p>
      <w:pPr>
        <w:pStyle w:val="9"/>
        <w:spacing w:line="360" w:lineRule="auto"/>
        <w:rPr>
          <w:rFonts w:eastAsiaTheme="minorEastAsia"/>
          <w:sz w:val="24"/>
          <w:szCs w:val="24"/>
        </w:rPr>
      </w:pPr>
      <w:r>
        <w:rPr>
          <w:rFonts w:hint="eastAsia" w:asciiTheme="minorEastAsia" w:hAnsiTheme="minorEastAsia" w:eastAsiaTheme="minorEastAsia"/>
          <w:kern w:val="0"/>
          <w:sz w:val="24"/>
          <w:szCs w:val="24"/>
        </w:rPr>
        <w:t>11、商务条款不响应。</w:t>
      </w:r>
    </w:p>
    <w:p>
      <w:pPr>
        <w:numPr>
          <w:ilvl w:val="0"/>
          <w:numId w:val="11"/>
        </w:numPr>
        <w:tabs>
          <w:tab w:val="right" w:pos="8306"/>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供应商仅提交备份电子电子投标文件的。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（六）有下列情况之一的，本次招标作为废标处理</w:t>
      </w:r>
    </w:p>
    <w:p>
      <w:pPr>
        <w:pStyle w:val="2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20"/>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 xml:space="preserve">2、评标委员会发现招标文件存在歧义、重大缺陷导致评标工作无法进行，或者招标文件内容违反国家有关强制性规定的； </w:t>
      </w:r>
    </w:p>
    <w:p>
      <w:pPr>
        <w:pStyle w:val="2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2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4、法律、法规和招标文件规定的其他导致评标结果无效的。</w:t>
      </w:r>
    </w:p>
    <w:p>
      <w:pPr>
        <w:pStyle w:val="14"/>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）评标原则和评标办法</w:t>
      </w:r>
    </w:p>
    <w:p>
      <w:pPr>
        <w:pStyle w:val="14"/>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评标办法。具体评标内容及评分标准等详见《第</w:t>
      </w:r>
      <w:r>
        <w:rPr>
          <w:rFonts w:hint="eastAsia" w:asciiTheme="minorEastAsia" w:hAnsiTheme="minorEastAsia" w:eastAsiaTheme="minorEastAsia"/>
          <w:sz w:val="24"/>
        </w:rPr>
        <w:t>三章</w:t>
      </w:r>
      <w:r>
        <w:rPr>
          <w:rFonts w:asciiTheme="minorEastAsia" w:hAnsiTheme="minorEastAsia" w:eastAsiaTheme="minorEastAsia"/>
          <w:sz w:val="24"/>
        </w:rPr>
        <w:t>：评标</w:t>
      </w:r>
      <w:r>
        <w:rPr>
          <w:rFonts w:hint="eastAsia" w:asciiTheme="minorEastAsia" w:hAnsiTheme="minorEastAsia" w:eastAsiaTheme="minorEastAsia"/>
          <w:sz w:val="24"/>
        </w:rPr>
        <w:t>方</w:t>
      </w:r>
      <w:r>
        <w:rPr>
          <w:rFonts w:asciiTheme="minorEastAsia" w:hAnsiTheme="minorEastAsia" w:eastAsiaTheme="minorEastAsia"/>
          <w:sz w:val="24"/>
        </w:rPr>
        <w:t>法及评分标准》。</w:t>
      </w:r>
    </w:p>
    <w:p>
      <w:pPr>
        <w:pStyle w:val="14"/>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八</w:t>
      </w:r>
      <w:r>
        <w:rPr>
          <w:rFonts w:asciiTheme="minorEastAsia" w:hAnsiTheme="minorEastAsia" w:eastAsiaTheme="minorEastAsia"/>
          <w:b/>
          <w:sz w:val="24"/>
        </w:rPr>
        <w:t>）评标过程的监控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本项目评标过程实行全程录音、录像监控，政府采购监管部门视情进行现场监督，投标人在评标过程中所进行的试图影响评标结果的不公正活动，可能导致其投标被拒绝。</w:t>
      </w:r>
    </w:p>
    <w:p>
      <w:pPr>
        <w:pStyle w:val="20"/>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rPr>
        <w:t>六、定标</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1、</w:t>
      </w:r>
      <w:r>
        <w:t>确定中标供应商。</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kern w:val="0"/>
          <w:sz w:val="24"/>
        </w:rPr>
      </w:pPr>
      <w:r>
        <w:rPr>
          <w:rFonts w:asciiTheme="minorEastAsia" w:hAnsiTheme="minorEastAsia" w:eastAsiaTheme="minorEastAsia"/>
          <w:sz w:val="24"/>
        </w:rPr>
        <w:t>2、</w:t>
      </w:r>
      <w:r>
        <w:rPr>
          <w:rFonts w:hint="eastAsia" w:ascii="宋体" w:hAnsi="宋体"/>
          <w:kern w:val="0"/>
          <w:sz w:val="24"/>
        </w:rPr>
        <w:t>发布</w:t>
      </w:r>
      <w:r>
        <w:rPr>
          <w:sz w:val="24"/>
        </w:rPr>
        <w:t>中标</w:t>
      </w:r>
      <w:r>
        <w:rPr>
          <w:rFonts w:hint="eastAsia" w:ascii="宋体" w:hAnsi="宋体"/>
          <w:kern w:val="0"/>
          <w:sz w:val="24"/>
        </w:rPr>
        <w:t>结果公告。采购组织机构应当自中标人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中标结果，招标文件应当随中标结果同时公告。</w:t>
      </w:r>
    </w:p>
    <w:p>
      <w:pPr>
        <w:pStyle w:val="11"/>
        <w:spacing w:line="360" w:lineRule="auto"/>
        <w:ind w:firstLine="480" w:firstLineChars="200"/>
        <w:rPr>
          <w:sz w:val="24"/>
        </w:rPr>
      </w:pPr>
      <w:r>
        <w:rPr>
          <w:rFonts w:hint="eastAsia" w:ascii="宋体" w:hAnsi="宋体"/>
          <w:kern w:val="0"/>
          <w:sz w:val="24"/>
        </w:rPr>
        <w:t>3、</w:t>
      </w:r>
      <w:r>
        <w:rPr>
          <w:rFonts w:hint="eastAsia"/>
          <w:sz w:val="24"/>
        </w:rPr>
        <w:t>通过政采云平台发放电子中标通知书</w:t>
      </w:r>
      <w:r>
        <w:rPr>
          <w:rFonts w:hint="eastAsia" w:ascii="宋体" w:hAnsi="宋体"/>
          <w:kern w:val="0"/>
          <w:sz w:val="24"/>
        </w:rPr>
        <w:t>。采购组织机构在发布中标结果公告的同时，向中标人发出中标通知书。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600" w:firstLineChars="250"/>
        <w:jc w:val="both"/>
        <w:rPr>
          <w:rFonts w:hint="default"/>
        </w:rPr>
      </w:pPr>
      <w:r>
        <w:t>1、采购人应当自中标通知书发出之日起10个工作日内，按照招标文件和中标人电子投标文件的规定，与中标人签订书面合同或者电子合同。所签订的合同不得对招标文件确定的事项和中标人电子投标文件作实质性修改。</w:t>
      </w:r>
    </w:p>
    <w:p>
      <w:pPr>
        <w:pStyle w:val="20"/>
        <w:spacing w:before="0" w:beforeAutospacing="0" w:after="0" w:afterAutospacing="0" w:line="360" w:lineRule="auto"/>
        <w:ind w:firstLine="600" w:firstLineChars="250"/>
        <w:jc w:val="both"/>
        <w:rPr>
          <w:rFonts w:hint="default"/>
        </w:rPr>
      </w:pPr>
      <w:r>
        <w:t>2、采购人不得向中标人提出任何不合理的要求作为签订合同的条件。</w:t>
      </w:r>
    </w:p>
    <w:p>
      <w:pPr>
        <w:pStyle w:val="20"/>
        <w:spacing w:before="0" w:beforeAutospacing="0" w:after="0" w:afterAutospacing="0" w:line="360" w:lineRule="auto"/>
        <w:ind w:firstLine="420" w:firstLineChars="175"/>
        <w:jc w:val="both"/>
        <w:rPr>
          <w:rFonts w:hint="default"/>
        </w:rPr>
      </w:pPr>
      <w:r>
        <w:t>3、中标供应商无故拖延、拒签合同的,将取消中标资格。</w:t>
      </w:r>
    </w:p>
    <w:p>
      <w:pPr>
        <w:pStyle w:val="20"/>
        <w:spacing w:before="0" w:beforeAutospacing="0" w:after="0" w:afterAutospacing="0" w:line="360" w:lineRule="auto"/>
        <w:ind w:firstLine="480" w:firstLineChars="200"/>
        <w:jc w:val="both"/>
        <w:rPr>
          <w:rFonts w:hint="default"/>
        </w:rPr>
      </w:pPr>
      <w: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0"/>
        <w:spacing w:line="360" w:lineRule="auto"/>
        <w:ind w:firstLine="480" w:firstLineChars="200"/>
        <w:rPr>
          <w:rFonts w:hint="default" w:cs="FangSong_GB2312"/>
        </w:rPr>
      </w:pPr>
      <w:r>
        <w:t>5、询问或者质疑事项可能影响中标结果的，采购人应当暂停签订合同，已经签订合同的，应当中止履行合同（中标结果的质疑期为中标结果公告期限届满之日起七个工作日）。</w:t>
      </w:r>
    </w:p>
    <w:p>
      <w:pPr>
        <w:pStyle w:val="20"/>
        <w:spacing w:line="360" w:lineRule="auto"/>
        <w:ind w:firstLine="424" w:firstLineChars="176"/>
        <w:rPr>
          <w:rFonts w:hint="default" w:cs="FangSong_GB2312"/>
          <w:b/>
        </w:rPr>
      </w:pPr>
      <w:r>
        <w:rPr>
          <w:b/>
        </w:rPr>
        <w:t>（二）合同公告及备案</w:t>
      </w:r>
    </w:p>
    <w:p>
      <w:pPr>
        <w:pStyle w:val="13"/>
        <w:spacing w:line="360" w:lineRule="auto"/>
        <w:ind w:left="0" w:leftChars="0" w:firstLine="480" w:firstLineChars="200"/>
        <w:jc w:val="left"/>
        <w:rPr>
          <w:rFonts w:ascii="宋体" w:hAnsi="宋体"/>
          <w:sz w:val="24"/>
        </w:rPr>
      </w:pPr>
      <w:r>
        <w:rPr>
          <w:rFonts w:hint="eastAsia" w:ascii="宋体" w:hAnsi="宋体"/>
          <w:sz w:val="24"/>
        </w:rPr>
        <w:t>1、采购人应当自政府采购合同签订之日起2个工作日内，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20" w:firstLineChars="175"/>
        <w:rPr>
          <w:rFonts w:ascii="宋体" w:hAnsi="宋体"/>
          <w:sz w:val="24"/>
        </w:rPr>
      </w:pPr>
      <w:r>
        <w:rPr>
          <w:rFonts w:hint="eastAsia" w:ascii="宋体" w:hAnsi="宋体"/>
          <w:sz w:val="24"/>
        </w:rPr>
        <w:t>2、采购人应当自政府采购合同签订之日起7个工作日内，</w:t>
      </w:r>
      <w:r>
        <w:rPr>
          <w:rFonts w:hint="eastAsia"/>
          <w:sz w:val="24"/>
        </w:rPr>
        <w:t>将政府采购合同通过政采云网站提交至</w:t>
      </w:r>
      <w:r>
        <w:rPr>
          <w:rFonts w:hint="eastAsia" w:ascii="宋体" w:hAnsi="宋体"/>
          <w:sz w:val="24"/>
        </w:rPr>
        <w:t>同级人民政府财政部门备案存档。</w:t>
      </w:r>
    </w:p>
    <w:p>
      <w:pPr>
        <w:spacing w:line="360" w:lineRule="auto"/>
        <w:rPr>
          <w:rFonts w:ascii="宋体" w:hAnsi="宋体"/>
          <w:sz w:val="24"/>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kern w:val="0"/>
          <w:sz w:val="24"/>
        </w:rPr>
      </w:pPr>
      <w:r>
        <w:rPr>
          <w:rFonts w:hint="eastAsia" w:asciiTheme="minorEastAsia" w:hAnsiTheme="minorEastAsia" w:eastAsiaTheme="minorEastAsia"/>
          <w:kern w:val="0"/>
          <w:sz w:val="24"/>
        </w:rPr>
        <w:t>一、采购组织机构将组织评标委员会，对投标人提供的电子投标文件进行综合评审。</w:t>
      </w:r>
    </w:p>
    <w:p>
      <w:pPr>
        <w:autoSpaceDE w:val="0"/>
        <w:autoSpaceDN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二、本次招标项目的评标方法为综合评分法，总计100分。评标标准按以下6项内容及分值进行评审。</w:t>
      </w:r>
    </w:p>
    <w:tbl>
      <w:tblPr>
        <w:tblStyle w:val="24"/>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210"/>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111" w:type="dxa"/>
            <w:tcBorders>
              <w:tl2br w:val="single" w:color="auto" w:sz="4" w:space="0"/>
            </w:tcBorders>
          </w:tcPr>
          <w:p>
            <w:pPr>
              <w:autoSpaceDE w:val="0"/>
              <w:autoSpaceDN w:val="0"/>
              <w:adjustRightInd w:val="0"/>
              <w:jc w:val="left"/>
              <w:rPr>
                <w:rFonts w:ascii="宋体" w:hAnsi="宋体" w:cs="Arial"/>
                <w:sz w:val="24"/>
              </w:rPr>
            </w:pPr>
            <w:r>
              <w:rPr>
                <w:rFonts w:hint="eastAsia" w:ascii="宋体" w:hAnsi="宋体" w:cs="Arial"/>
                <w:sz w:val="24"/>
              </w:rPr>
              <w:t xml:space="preserve">          标段</w:t>
            </w:r>
          </w:p>
          <w:p>
            <w:pPr>
              <w:autoSpaceDE w:val="0"/>
              <w:autoSpaceDN w:val="0"/>
              <w:adjustRightInd w:val="0"/>
              <w:jc w:val="left"/>
              <w:rPr>
                <w:rFonts w:ascii="宋体" w:hAnsi="宋体" w:cs="Arial"/>
                <w:sz w:val="24"/>
              </w:rPr>
            </w:pPr>
            <w:r>
              <w:rPr>
                <w:rFonts w:hint="eastAsia" w:ascii="宋体" w:hAnsi="宋体" w:cs="Arial"/>
                <w:sz w:val="24"/>
              </w:rPr>
              <w:t>类别</w:t>
            </w:r>
          </w:p>
        </w:tc>
        <w:tc>
          <w:tcPr>
            <w:tcW w:w="3210" w:type="dxa"/>
            <w:vAlign w:val="center"/>
          </w:tcPr>
          <w:p>
            <w:pPr>
              <w:autoSpaceDE w:val="0"/>
              <w:autoSpaceDN w:val="0"/>
              <w:adjustRightInd w:val="0"/>
              <w:spacing w:line="480" w:lineRule="auto"/>
              <w:jc w:val="center"/>
              <w:rPr>
                <w:rFonts w:ascii="宋体" w:hAnsi="宋体" w:cs="Arial"/>
                <w:sz w:val="24"/>
              </w:rPr>
            </w:pPr>
            <w:r>
              <w:rPr>
                <w:rFonts w:hint="eastAsia" w:ascii="宋体" w:hAnsi="宋体" w:cs="Arial"/>
                <w:sz w:val="24"/>
              </w:rPr>
              <w:t>一</w:t>
            </w:r>
          </w:p>
        </w:tc>
        <w:tc>
          <w:tcPr>
            <w:tcW w:w="3200" w:type="dxa"/>
            <w:vAlign w:val="center"/>
          </w:tcPr>
          <w:p>
            <w:pPr>
              <w:autoSpaceDE w:val="0"/>
              <w:autoSpaceDN w:val="0"/>
              <w:adjustRightInd w:val="0"/>
              <w:spacing w:line="480" w:lineRule="auto"/>
              <w:jc w:val="center"/>
              <w:rPr>
                <w:rFonts w:ascii="宋体" w:hAnsi="宋体" w:cs="Arial"/>
                <w:sz w:val="24"/>
              </w:rPr>
            </w:pPr>
            <w:r>
              <w:rPr>
                <w:rFonts w:hint="eastAsia" w:ascii="宋体" w:hAnsi="宋体" w:cs="Arial"/>
                <w:sz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技术评分</w:t>
            </w:r>
          </w:p>
        </w:tc>
        <w:tc>
          <w:tcPr>
            <w:tcW w:w="3210"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52</w:t>
            </w:r>
          </w:p>
        </w:tc>
        <w:tc>
          <w:tcPr>
            <w:tcW w:w="3200"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实力信誉及业绩评分</w:t>
            </w:r>
          </w:p>
        </w:tc>
        <w:tc>
          <w:tcPr>
            <w:tcW w:w="3210" w:type="dxa"/>
            <w:vAlign w:val="center"/>
          </w:tcPr>
          <w:p>
            <w:pPr>
              <w:autoSpaceDE w:val="0"/>
              <w:autoSpaceDN w:val="0"/>
              <w:adjustRightInd w:val="0"/>
              <w:jc w:val="center"/>
              <w:rPr>
                <w:rFonts w:hint="eastAsia" w:ascii="宋体" w:hAnsi="宋体" w:eastAsia="宋体" w:cs="Arial"/>
                <w:sz w:val="24"/>
                <w:lang w:val="en-US" w:eastAsia="zh-CN"/>
              </w:rPr>
            </w:pPr>
            <w:r>
              <w:rPr>
                <w:rFonts w:hint="eastAsia" w:ascii="宋体" w:hAnsi="宋体" w:cs="Arial"/>
                <w:sz w:val="24"/>
              </w:rPr>
              <w:t>1</w:t>
            </w:r>
            <w:r>
              <w:rPr>
                <w:rFonts w:hint="eastAsia" w:ascii="宋体" w:hAnsi="宋体" w:cs="Arial"/>
                <w:sz w:val="24"/>
                <w:lang w:val="en-US" w:eastAsia="zh-CN"/>
              </w:rPr>
              <w:t>1</w:t>
            </w:r>
          </w:p>
        </w:tc>
        <w:tc>
          <w:tcPr>
            <w:tcW w:w="3200" w:type="dxa"/>
            <w:vAlign w:val="center"/>
          </w:tcPr>
          <w:p>
            <w:pPr>
              <w:autoSpaceDE w:val="0"/>
              <w:autoSpaceDN w:val="0"/>
              <w:adjustRightInd w:val="0"/>
              <w:jc w:val="center"/>
              <w:rPr>
                <w:rFonts w:hint="default" w:ascii="宋体" w:hAnsi="宋体" w:cs="Arial"/>
                <w:sz w:val="24"/>
                <w:lang w:val="en-US"/>
              </w:rPr>
            </w:pPr>
            <w:r>
              <w:rPr>
                <w:rFonts w:hint="eastAsia" w:ascii="宋体" w:hAnsi="宋体" w:cs="Arial"/>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售后服务评分</w:t>
            </w:r>
          </w:p>
        </w:tc>
        <w:tc>
          <w:tcPr>
            <w:tcW w:w="3210" w:type="dxa"/>
            <w:vAlign w:val="center"/>
          </w:tcPr>
          <w:p>
            <w:pPr>
              <w:autoSpaceDE w:val="0"/>
              <w:autoSpaceDN w:val="0"/>
              <w:adjustRightInd w:val="0"/>
              <w:jc w:val="center"/>
              <w:rPr>
                <w:rFonts w:hint="eastAsia" w:ascii="宋体" w:hAnsi="宋体" w:eastAsia="宋体" w:cs="Arial"/>
                <w:sz w:val="24"/>
                <w:lang w:eastAsia="zh-CN"/>
              </w:rPr>
            </w:pPr>
            <w:r>
              <w:rPr>
                <w:rFonts w:hint="eastAsia" w:ascii="宋体" w:hAnsi="宋体" w:cs="Arial"/>
                <w:sz w:val="24"/>
              </w:rPr>
              <w:t>1</w:t>
            </w:r>
            <w:r>
              <w:rPr>
                <w:rFonts w:hint="eastAsia" w:ascii="宋体" w:hAnsi="宋体" w:cs="Arial"/>
                <w:sz w:val="24"/>
                <w:lang w:val="en-US" w:eastAsia="zh-CN"/>
              </w:rPr>
              <w:t>5</w:t>
            </w:r>
          </w:p>
        </w:tc>
        <w:tc>
          <w:tcPr>
            <w:tcW w:w="3200"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投标文件制作评分</w:t>
            </w:r>
          </w:p>
        </w:tc>
        <w:tc>
          <w:tcPr>
            <w:tcW w:w="3210" w:type="dxa"/>
            <w:vAlign w:val="center"/>
          </w:tcPr>
          <w:p>
            <w:pPr>
              <w:autoSpaceDE w:val="0"/>
              <w:autoSpaceDN w:val="0"/>
              <w:adjustRightInd w:val="0"/>
              <w:jc w:val="center"/>
              <w:rPr>
                <w:rFonts w:ascii="宋体" w:hAnsi="宋体" w:cs="Arial"/>
                <w:sz w:val="24"/>
              </w:rPr>
            </w:pPr>
            <w:r>
              <w:rPr>
                <w:rFonts w:hint="eastAsia" w:ascii="宋体" w:hAnsi="宋体" w:cs="Arial"/>
                <w:sz w:val="24"/>
              </w:rPr>
              <w:t>2</w:t>
            </w:r>
          </w:p>
        </w:tc>
        <w:tc>
          <w:tcPr>
            <w:tcW w:w="3200" w:type="dxa"/>
            <w:vAlign w:val="center"/>
          </w:tcPr>
          <w:p>
            <w:pPr>
              <w:autoSpaceDE w:val="0"/>
              <w:autoSpaceDN w:val="0"/>
              <w:adjustRightInd w:val="0"/>
              <w:jc w:val="center"/>
              <w:rPr>
                <w:rFonts w:ascii="宋体" w:hAnsi="宋体" w:cs="Arial"/>
                <w:sz w:val="24"/>
              </w:rPr>
            </w:pPr>
            <w:r>
              <w:rPr>
                <w:rFonts w:hint="eastAsia" w:ascii="宋体" w:hAnsi="宋体" w:cs="Arial"/>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价格分</w:t>
            </w:r>
          </w:p>
        </w:tc>
        <w:tc>
          <w:tcPr>
            <w:tcW w:w="3210" w:type="dxa"/>
            <w:vAlign w:val="center"/>
          </w:tcPr>
          <w:p>
            <w:pPr>
              <w:autoSpaceDE w:val="0"/>
              <w:autoSpaceDN w:val="0"/>
              <w:adjustRightInd w:val="0"/>
              <w:jc w:val="center"/>
              <w:rPr>
                <w:rFonts w:ascii="宋体" w:hAnsi="宋体" w:cs="Arial"/>
                <w:sz w:val="24"/>
              </w:rPr>
            </w:pPr>
            <w:r>
              <w:rPr>
                <w:rFonts w:hint="eastAsia" w:ascii="宋体" w:hAnsi="宋体" w:cs="Arial"/>
                <w:sz w:val="24"/>
              </w:rPr>
              <w:t>20</w:t>
            </w:r>
          </w:p>
        </w:tc>
        <w:tc>
          <w:tcPr>
            <w:tcW w:w="3200" w:type="dxa"/>
            <w:vAlign w:val="center"/>
          </w:tcPr>
          <w:p>
            <w:pPr>
              <w:autoSpaceDE w:val="0"/>
              <w:autoSpaceDN w:val="0"/>
              <w:adjustRightInd w:val="0"/>
              <w:jc w:val="center"/>
              <w:rPr>
                <w:rFonts w:ascii="宋体" w:hAnsi="宋体" w:cs="Arial"/>
                <w:sz w:val="24"/>
              </w:rPr>
            </w:pPr>
            <w:r>
              <w:rPr>
                <w:rFonts w:hint="eastAsia" w:ascii="宋体" w:hAnsi="宋体" w:cs="Arial"/>
                <w:sz w:val="24"/>
              </w:rPr>
              <w:t>30</w:t>
            </w:r>
          </w:p>
        </w:tc>
      </w:tr>
    </w:tbl>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sz w:val="24"/>
          <w:u w:val="single"/>
        </w:rPr>
      </w:pPr>
      <w:r>
        <w:rPr>
          <w:rFonts w:hint="eastAsia"/>
          <w:sz w:val="24"/>
          <w:u w:val="single"/>
        </w:rPr>
        <w:t>投标报价得</w:t>
      </w:r>
      <w:r>
        <w:rPr>
          <w:sz w:val="24"/>
          <w:u w:val="single"/>
        </w:rPr>
        <w:t>分=(评标基准价／投</w:t>
      </w:r>
      <w:r>
        <w:rPr>
          <w:rFonts w:ascii="宋体" w:hAnsi="宋体"/>
          <w:sz w:val="24"/>
          <w:u w:val="single"/>
        </w:rPr>
        <w:t>标报价)×</w:t>
      </w:r>
      <w:r>
        <w:rPr>
          <w:rFonts w:hint="eastAsia" w:ascii="宋体" w:hAnsi="宋体"/>
          <w:sz w:val="24"/>
          <w:u w:val="single"/>
        </w:rPr>
        <w:t xml:space="preserve"> </w:t>
      </w:r>
      <w:r>
        <w:rPr>
          <w:rFonts w:hint="eastAsia" w:ascii="宋体" w:hAnsi="宋体"/>
          <w:sz w:val="24"/>
          <w:u w:val="single"/>
          <w:lang w:val="en-US" w:eastAsia="zh-CN"/>
        </w:rPr>
        <w:t>价格分</w:t>
      </w:r>
      <w:r>
        <w:rPr>
          <w:rFonts w:ascii="宋体" w:hAnsi="宋体"/>
          <w:sz w:val="24"/>
          <w:u w:val="single"/>
        </w:rPr>
        <w:t>×100</w:t>
      </w:r>
      <w:r>
        <w:rPr>
          <w:rFonts w:hint="eastAsia" w:ascii="宋体" w:hAnsi="宋体"/>
          <w:sz w:val="24"/>
          <w:u w:val="single"/>
          <w:lang w:val="en-US" w:eastAsia="zh-CN"/>
        </w:rPr>
        <w:t>%</w:t>
      </w:r>
      <w:r>
        <w:rPr>
          <w:rFonts w:hint="eastAsia" w:ascii="宋体" w:hAnsi="宋体"/>
          <w:sz w:val="24"/>
          <w:u w:val="single"/>
        </w:rPr>
        <w:t xml:space="preserve"> 。</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电子印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电子印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具体优惠：对于小型微型企业产品的价格给予</w:t>
      </w:r>
      <w:r>
        <w:rPr>
          <w:rFonts w:hint="eastAsia" w:ascii="宋体"/>
          <w:sz w:val="24"/>
          <w:u w:val="single"/>
          <w:lang w:val="zh-CN"/>
        </w:rPr>
        <w:t xml:space="preserve"> </w:t>
      </w:r>
      <w:r>
        <w:rPr>
          <w:rFonts w:hint="eastAsia" w:ascii="宋体"/>
          <w:sz w:val="24"/>
          <w:u w:val="single"/>
        </w:rPr>
        <w:t>6</w:t>
      </w:r>
      <w:r>
        <w:rPr>
          <w:rFonts w:hint="eastAsia" w:ascii="宋体"/>
          <w:sz w:val="24"/>
          <w:u w:val="single"/>
          <w:lang w:val="zh-CN"/>
        </w:rPr>
        <w:t xml:space="preserve">  </w:t>
      </w:r>
      <w:r>
        <w:rPr>
          <w:rFonts w:hint="eastAsia" w:ascii="宋体"/>
          <w:sz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sz w:val="24"/>
          <w:lang w:val="zh-CN"/>
        </w:rPr>
        <w:t>注：得分以系统计算为准，保留2位小数。</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六、本次评分具体分值细化条款如下表：</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第一标段：</w:t>
      </w:r>
    </w:p>
    <w:tbl>
      <w:tblPr>
        <w:tblStyle w:val="24"/>
        <w:tblW w:w="9197" w:type="dxa"/>
        <w:tblInd w:w="113" w:type="dxa"/>
        <w:tblLayout w:type="fixed"/>
        <w:tblCellMar>
          <w:top w:w="0" w:type="dxa"/>
          <w:left w:w="108" w:type="dxa"/>
          <w:bottom w:w="0" w:type="dxa"/>
          <w:right w:w="108" w:type="dxa"/>
        </w:tblCellMar>
      </w:tblPr>
      <w:tblGrid>
        <w:gridCol w:w="1127"/>
        <w:gridCol w:w="704"/>
        <w:gridCol w:w="6721"/>
        <w:gridCol w:w="645"/>
      </w:tblGrid>
      <w:tr>
        <w:tblPrEx>
          <w:tblLayout w:type="fixed"/>
          <w:tblCellMar>
            <w:top w:w="0" w:type="dxa"/>
            <w:left w:w="108" w:type="dxa"/>
            <w:bottom w:w="0" w:type="dxa"/>
            <w:right w:w="108" w:type="dxa"/>
          </w:tblCellMar>
        </w:tblPrEx>
        <w:trPr>
          <w:trHeight w:val="282"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评分项目</w:t>
            </w:r>
          </w:p>
        </w:tc>
        <w:tc>
          <w:tcPr>
            <w:tcW w:w="742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评分标准</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分值</w:t>
            </w:r>
          </w:p>
        </w:tc>
      </w:tr>
      <w:tr>
        <w:tblPrEx>
          <w:tblLayout w:type="fixed"/>
          <w:tblCellMar>
            <w:top w:w="0" w:type="dxa"/>
            <w:left w:w="108" w:type="dxa"/>
            <w:bottom w:w="0" w:type="dxa"/>
            <w:right w:w="108" w:type="dxa"/>
          </w:tblCellMar>
        </w:tblPrEx>
        <w:trPr>
          <w:trHeight w:val="810" w:hRule="atLeast"/>
        </w:trPr>
        <w:tc>
          <w:tcPr>
            <w:tcW w:w="11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技术性能（</w:t>
            </w:r>
            <w:r>
              <w:rPr>
                <w:rFonts w:hint="eastAsia" w:ascii="宋体" w:hAnsi="宋体" w:cs="宋体"/>
                <w:color w:val="auto"/>
                <w:kern w:val="0"/>
                <w:szCs w:val="21"/>
                <w:lang w:val="en-US" w:eastAsia="zh-CN"/>
              </w:rPr>
              <w:t>52</w:t>
            </w:r>
            <w:r>
              <w:rPr>
                <w:rFonts w:hint="eastAsia" w:ascii="宋体" w:hAnsi="宋体" w:cs="宋体"/>
                <w:color w:val="auto"/>
                <w:kern w:val="0"/>
                <w:szCs w:val="21"/>
              </w:rPr>
              <w:t>分）</w:t>
            </w:r>
          </w:p>
        </w:tc>
        <w:tc>
          <w:tcPr>
            <w:tcW w:w="704" w:type="dxa"/>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cs="宋体"/>
                <w:bCs/>
                <w:color w:val="auto"/>
                <w:kern w:val="0"/>
                <w:szCs w:val="21"/>
              </w:rPr>
            </w:pPr>
            <w:r>
              <w:rPr>
                <w:rFonts w:hint="eastAsia" w:ascii="宋体" w:hAnsi="宋体" w:cs="宋体"/>
                <w:bCs/>
                <w:color w:val="auto"/>
                <w:kern w:val="0"/>
                <w:szCs w:val="21"/>
              </w:rPr>
              <w:t>技术方案</w:t>
            </w:r>
          </w:p>
        </w:tc>
        <w:tc>
          <w:tcPr>
            <w:tcW w:w="6721" w:type="dxa"/>
            <w:tcBorders>
              <w:top w:val="nil"/>
              <w:left w:val="nil"/>
              <w:bottom w:val="single" w:color="auto" w:sz="4" w:space="0"/>
              <w:right w:val="single" w:color="auto" w:sz="4" w:space="0"/>
            </w:tcBorders>
            <w:shd w:val="clear" w:color="auto" w:fill="auto"/>
            <w:vAlign w:val="center"/>
          </w:tcPr>
          <w:p>
            <w:pPr>
              <w:jc w:val="left"/>
              <w:rPr>
                <w:rFonts w:ascii="宋体" w:hAnsi="宋体" w:cs="宋体"/>
                <w:bCs/>
                <w:color w:val="auto"/>
                <w:kern w:val="0"/>
                <w:szCs w:val="21"/>
              </w:rPr>
            </w:pPr>
            <w:r>
              <w:rPr>
                <w:rFonts w:hint="eastAsia" w:ascii="宋体" w:hAnsi="宋体" w:cs="宋体"/>
                <w:bCs/>
                <w:color w:val="auto"/>
                <w:kern w:val="0"/>
                <w:szCs w:val="21"/>
              </w:rPr>
              <w:t>总体架构设计合理、技术路线成熟可靠、各系统模块之间逻辑关系清晰等综合评分。</w:t>
            </w:r>
            <w:r>
              <w:rPr>
                <w:rFonts w:hint="eastAsia" w:ascii="宋体" w:hAnsi="宋体" w:cs="宋体"/>
                <w:color w:val="auto"/>
                <w:kern w:val="0"/>
                <w:szCs w:val="21"/>
              </w:rPr>
              <w:t>第一档8-6.5分，第二档6.4-4.9分，第三档4.8-3.3分，第四档3.2-1.7分，第五档1.6-0分。</w:t>
            </w:r>
          </w:p>
        </w:tc>
        <w:tc>
          <w:tcPr>
            <w:tcW w:w="6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18"/>
                <w:szCs w:val="18"/>
              </w:rPr>
            </w:pPr>
            <w:r>
              <w:rPr>
                <w:rFonts w:ascii="宋体" w:hAnsi="宋体" w:cs="宋体"/>
                <w:color w:val="auto"/>
                <w:kern w:val="0"/>
                <w:sz w:val="18"/>
                <w:szCs w:val="18"/>
              </w:rPr>
              <w:t>8</w:t>
            </w:r>
          </w:p>
        </w:tc>
      </w:tr>
      <w:tr>
        <w:tblPrEx>
          <w:tblLayout w:type="fixed"/>
          <w:tblCellMar>
            <w:top w:w="0" w:type="dxa"/>
            <w:left w:w="108" w:type="dxa"/>
            <w:bottom w:w="0" w:type="dxa"/>
            <w:right w:w="108" w:type="dxa"/>
          </w:tblCellMar>
        </w:tblPrEx>
        <w:trPr>
          <w:trHeight w:val="810"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bCs/>
                <w:color w:val="auto"/>
                <w:kern w:val="0"/>
                <w:szCs w:val="21"/>
              </w:rPr>
            </w:pPr>
            <w:r>
              <w:rPr>
                <w:rFonts w:hint="eastAsia" w:ascii="宋体" w:hAnsi="宋体" w:cs="宋体"/>
                <w:bCs/>
                <w:color w:val="auto"/>
                <w:kern w:val="0"/>
                <w:szCs w:val="21"/>
              </w:rPr>
              <w:t>项目实施</w:t>
            </w:r>
          </w:p>
        </w:tc>
        <w:tc>
          <w:tcPr>
            <w:tcW w:w="672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Cs/>
                <w:color w:val="auto"/>
                <w:kern w:val="0"/>
                <w:szCs w:val="21"/>
              </w:rPr>
            </w:pPr>
            <w:r>
              <w:rPr>
                <w:rFonts w:hint="eastAsia" w:ascii="宋体" w:hAnsi="宋体" w:cs="宋体"/>
                <w:bCs/>
                <w:color w:val="auto"/>
                <w:kern w:val="0"/>
                <w:szCs w:val="21"/>
              </w:rPr>
              <w:t>根据项目组织措施、是否满足用户单位个性化需求、项目验收方案措施等进行综合评分。</w:t>
            </w:r>
            <w:r>
              <w:rPr>
                <w:rFonts w:hint="eastAsia" w:ascii="宋体" w:hAnsi="宋体" w:cs="宋体"/>
                <w:color w:val="auto"/>
                <w:kern w:val="0"/>
                <w:szCs w:val="21"/>
              </w:rPr>
              <w:t>第一档</w:t>
            </w:r>
            <w:r>
              <w:rPr>
                <w:rFonts w:hint="eastAsia" w:ascii="宋体" w:hAnsi="宋体" w:cs="宋体"/>
                <w:color w:val="auto"/>
                <w:kern w:val="0"/>
                <w:szCs w:val="21"/>
                <w:lang w:val="en-US" w:eastAsia="zh-CN"/>
              </w:rPr>
              <w:t>6-4.9</w:t>
            </w:r>
            <w:r>
              <w:rPr>
                <w:rFonts w:hint="eastAsia" w:ascii="宋体" w:hAnsi="宋体" w:cs="宋体"/>
                <w:color w:val="auto"/>
                <w:kern w:val="0"/>
                <w:szCs w:val="21"/>
              </w:rPr>
              <w:t>分，第二档</w:t>
            </w:r>
            <w:r>
              <w:rPr>
                <w:rFonts w:hint="eastAsia" w:ascii="宋体" w:hAnsi="宋体" w:cs="宋体"/>
                <w:color w:val="auto"/>
                <w:kern w:val="0"/>
                <w:szCs w:val="21"/>
                <w:lang w:val="en-US" w:eastAsia="zh-CN"/>
              </w:rPr>
              <w:t>4.8-3.7</w:t>
            </w:r>
            <w:r>
              <w:rPr>
                <w:rFonts w:hint="eastAsia" w:ascii="宋体" w:hAnsi="宋体" w:cs="宋体"/>
                <w:color w:val="auto"/>
                <w:kern w:val="0"/>
                <w:szCs w:val="21"/>
              </w:rPr>
              <w:t>分，第三档</w:t>
            </w:r>
            <w:r>
              <w:rPr>
                <w:rFonts w:hint="eastAsia" w:ascii="宋体" w:hAnsi="宋体" w:cs="宋体"/>
                <w:color w:val="auto"/>
                <w:kern w:val="0"/>
                <w:szCs w:val="21"/>
                <w:lang w:val="en-US" w:eastAsia="zh-CN"/>
              </w:rPr>
              <w:t>3.6-2.5</w:t>
            </w:r>
            <w:r>
              <w:rPr>
                <w:rFonts w:hint="eastAsia" w:ascii="宋体" w:hAnsi="宋体" w:cs="宋体"/>
                <w:color w:val="auto"/>
                <w:kern w:val="0"/>
                <w:szCs w:val="21"/>
              </w:rPr>
              <w:t>分，第四档</w:t>
            </w:r>
            <w:r>
              <w:rPr>
                <w:rFonts w:hint="eastAsia" w:ascii="宋体" w:hAnsi="宋体" w:cs="宋体"/>
                <w:color w:val="auto"/>
                <w:kern w:val="0"/>
                <w:szCs w:val="21"/>
                <w:lang w:val="en-US" w:eastAsia="zh-CN"/>
              </w:rPr>
              <w:t>2.4-1.3</w:t>
            </w:r>
            <w:r>
              <w:rPr>
                <w:rFonts w:hint="eastAsia" w:ascii="宋体" w:hAnsi="宋体" w:cs="宋体"/>
                <w:color w:val="auto"/>
                <w:kern w:val="0"/>
                <w:szCs w:val="21"/>
              </w:rPr>
              <w:t>分，第五档1.</w:t>
            </w:r>
            <w:r>
              <w:rPr>
                <w:rFonts w:hint="eastAsia" w:ascii="宋体" w:hAnsi="宋体" w:cs="宋体"/>
                <w:color w:val="auto"/>
                <w:kern w:val="0"/>
                <w:szCs w:val="21"/>
                <w:lang w:val="en-US" w:eastAsia="zh-CN"/>
              </w:rPr>
              <w:t>2</w:t>
            </w:r>
            <w:r>
              <w:rPr>
                <w:rFonts w:hint="eastAsia" w:ascii="宋体" w:hAnsi="宋体" w:cs="宋体"/>
                <w:color w:val="auto"/>
                <w:kern w:val="0"/>
                <w:szCs w:val="21"/>
              </w:rPr>
              <w:t>-0分。</w:t>
            </w:r>
          </w:p>
        </w:tc>
        <w:tc>
          <w:tcPr>
            <w:tcW w:w="645" w:type="dxa"/>
            <w:tcBorders>
              <w:top w:val="nil"/>
              <w:left w:val="nil"/>
              <w:bottom w:val="single" w:color="auto" w:sz="4" w:space="0"/>
              <w:right w:val="single" w:color="auto" w:sz="4" w:space="0"/>
            </w:tcBorders>
            <w:shd w:val="clear" w:color="auto" w:fill="auto"/>
            <w:vAlign w:val="center"/>
          </w:tcPr>
          <w:p>
            <w:pPr>
              <w:pStyle w:val="50"/>
              <w:widowControl w:val="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w:t>
            </w:r>
          </w:p>
        </w:tc>
      </w:tr>
      <w:tr>
        <w:tblPrEx>
          <w:tblLayout w:type="fixed"/>
          <w:tblCellMar>
            <w:top w:w="0" w:type="dxa"/>
            <w:left w:w="108" w:type="dxa"/>
            <w:bottom w:w="0" w:type="dxa"/>
            <w:right w:w="108" w:type="dxa"/>
          </w:tblCellMar>
        </w:tblPrEx>
        <w:trPr>
          <w:trHeight w:val="810"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cs="宋体"/>
                <w:color w:val="auto"/>
                <w:szCs w:val="21"/>
              </w:rPr>
            </w:pPr>
            <w:r>
              <w:rPr>
                <w:rFonts w:hint="eastAsia" w:ascii="宋体" w:hAnsi="宋体" w:cs="宋体"/>
                <w:color w:val="auto"/>
                <w:szCs w:val="21"/>
              </w:rPr>
              <w:t>项目实施人员安排</w:t>
            </w:r>
          </w:p>
        </w:tc>
        <w:tc>
          <w:tcPr>
            <w:tcW w:w="6721"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Cs/>
                <w:color w:val="auto"/>
                <w:kern w:val="0"/>
                <w:szCs w:val="21"/>
              </w:rPr>
            </w:pPr>
            <w:r>
              <w:rPr>
                <w:rFonts w:hint="eastAsia" w:ascii="宋体" w:hAnsi="宋体" w:cs="宋体"/>
                <w:bCs/>
                <w:color w:val="auto"/>
                <w:kern w:val="0"/>
                <w:szCs w:val="21"/>
              </w:rPr>
              <w:t>项目组实施人员专业人员的个人素质、技术能力、专业分布、经验和数量，配置合理性及拟担任本项目经理和技术负责人的专业素质，技术能力，为本项目配置的项目组人员合理，分工明确，综合评分：</w:t>
            </w:r>
            <w:r>
              <w:rPr>
                <w:rFonts w:hint="eastAsia" w:ascii="宋体" w:hAnsi="宋体" w:cs="宋体"/>
                <w:color w:val="auto"/>
                <w:kern w:val="0"/>
                <w:szCs w:val="21"/>
              </w:rPr>
              <w:t>第一档8-6.5分，第二档6.4-4.9分，第三档4.8-3.3分，第四档3.2-1.7分，第五档1.6-0分。</w:t>
            </w:r>
          </w:p>
        </w:tc>
        <w:tc>
          <w:tcPr>
            <w:tcW w:w="645" w:type="dxa"/>
            <w:tcBorders>
              <w:top w:val="nil"/>
              <w:left w:val="nil"/>
              <w:bottom w:val="single" w:color="auto" w:sz="4" w:space="0"/>
              <w:right w:val="single" w:color="auto" w:sz="4" w:space="0"/>
            </w:tcBorders>
            <w:shd w:val="clear" w:color="auto" w:fill="auto"/>
            <w:vAlign w:val="center"/>
          </w:tcPr>
          <w:p>
            <w:pPr>
              <w:pStyle w:val="50"/>
              <w:widowControl w:val="0"/>
              <w:jc w:val="center"/>
              <w:rPr>
                <w:rFonts w:ascii="宋体" w:hAnsi="宋体" w:eastAsia="宋体" w:cs="宋体"/>
                <w:color w:val="auto"/>
                <w:kern w:val="2"/>
                <w:sz w:val="18"/>
                <w:szCs w:val="18"/>
              </w:rPr>
            </w:pPr>
            <w:r>
              <w:rPr>
                <w:rFonts w:hint="eastAsia" w:ascii="宋体" w:hAnsi="宋体" w:eastAsia="宋体" w:cs="宋体"/>
                <w:color w:val="auto"/>
                <w:kern w:val="2"/>
                <w:sz w:val="18"/>
                <w:szCs w:val="18"/>
              </w:rPr>
              <w:t>8</w:t>
            </w:r>
          </w:p>
        </w:tc>
      </w:tr>
      <w:tr>
        <w:tblPrEx>
          <w:tblLayout w:type="fixed"/>
          <w:tblCellMar>
            <w:top w:w="0" w:type="dxa"/>
            <w:left w:w="108" w:type="dxa"/>
            <w:bottom w:w="0" w:type="dxa"/>
            <w:right w:w="108" w:type="dxa"/>
          </w:tblCellMar>
        </w:tblPrEx>
        <w:trPr>
          <w:trHeight w:val="711"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Cs w:val="21"/>
              </w:rPr>
            </w:pPr>
          </w:p>
        </w:tc>
        <w:tc>
          <w:tcPr>
            <w:tcW w:w="704" w:type="dxa"/>
            <w:tcBorders>
              <w:top w:val="single" w:color="auto" w:sz="4" w:space="0"/>
              <w:left w:val="single" w:color="auto" w:sz="4" w:space="0"/>
              <w:right w:val="single" w:color="auto" w:sz="4" w:space="0"/>
            </w:tcBorders>
            <w:shd w:val="clear" w:color="auto" w:fill="auto"/>
            <w:vAlign w:val="center"/>
          </w:tcPr>
          <w:p>
            <w:pPr>
              <w:widowControl/>
              <w:adjustRightInd w:val="0"/>
              <w:snapToGrid w:val="0"/>
              <w:rPr>
                <w:rFonts w:ascii="宋体" w:hAnsi="宋体" w:cs="宋体"/>
                <w:color w:val="auto"/>
                <w:kern w:val="0"/>
                <w:szCs w:val="21"/>
              </w:rPr>
            </w:pPr>
            <w:r>
              <w:rPr>
                <w:rFonts w:hint="eastAsia" w:ascii="宋体" w:hAnsi="宋体" w:cs="宋体"/>
                <w:color w:val="auto"/>
                <w:szCs w:val="21"/>
              </w:rPr>
              <w:t>系统设计</w:t>
            </w:r>
          </w:p>
        </w:tc>
        <w:tc>
          <w:tcPr>
            <w:tcW w:w="6721" w:type="dxa"/>
            <w:tcBorders>
              <w:top w:val="single" w:color="auto" w:sz="4" w:space="0"/>
              <w:left w:val="single" w:color="auto" w:sz="4" w:space="0"/>
              <w:bottom w:val="single" w:color="auto" w:sz="4" w:space="0"/>
              <w:right w:val="single" w:color="auto" w:sz="4" w:space="0"/>
            </w:tcBorders>
            <w:shd w:val="clear" w:color="auto" w:fill="auto"/>
          </w:tcPr>
          <w:p>
            <w:pPr>
              <w:rPr>
                <w:color w:val="auto"/>
                <w:szCs w:val="21"/>
              </w:rPr>
            </w:pPr>
            <w:r>
              <w:rPr>
                <w:rFonts w:hint="eastAsia"/>
                <w:color w:val="auto"/>
                <w:szCs w:val="21"/>
              </w:rPr>
              <w:t>根据系统的稳定性、安全性、可操作性、系统兼容性、可维护性综合评分。</w:t>
            </w:r>
            <w:r>
              <w:rPr>
                <w:color w:val="auto"/>
                <w:szCs w:val="21"/>
              </w:rPr>
              <w:t xml:space="preserve"> </w:t>
            </w:r>
            <w:r>
              <w:rPr>
                <w:rFonts w:hint="eastAsia" w:ascii="宋体" w:hAnsi="宋体" w:cs="宋体"/>
                <w:color w:val="auto"/>
                <w:kern w:val="0"/>
                <w:szCs w:val="21"/>
              </w:rPr>
              <w:t>第一档8-6.5分，第二档6.4-4.9分，第三档4.8-3.3分，第四档3.2-1.7分，第五档1.6-0分。</w:t>
            </w:r>
          </w:p>
        </w:tc>
        <w:tc>
          <w:tcPr>
            <w:tcW w:w="645" w:type="dxa"/>
            <w:tcBorders>
              <w:top w:val="single" w:color="auto" w:sz="4" w:space="0"/>
              <w:left w:val="nil"/>
              <w:bottom w:val="single" w:color="auto" w:sz="4" w:space="0"/>
              <w:right w:val="single" w:color="auto" w:sz="4" w:space="0"/>
            </w:tcBorders>
            <w:shd w:val="clear" w:color="auto" w:fill="auto"/>
          </w:tcPr>
          <w:p>
            <w:pPr>
              <w:jc w:val="center"/>
              <w:rPr>
                <w:rFonts w:hint="default" w:eastAsia="宋体"/>
                <w:color w:val="auto"/>
                <w:sz w:val="18"/>
                <w:szCs w:val="18"/>
                <w:lang w:val="en-US" w:eastAsia="zh-CN"/>
              </w:rPr>
            </w:pPr>
            <w:r>
              <w:rPr>
                <w:rFonts w:hint="eastAsia"/>
                <w:color w:val="auto"/>
                <w:sz w:val="18"/>
                <w:szCs w:val="18"/>
                <w:lang w:val="en-US" w:eastAsia="zh-CN"/>
              </w:rPr>
              <w:t>8</w:t>
            </w:r>
          </w:p>
        </w:tc>
      </w:tr>
      <w:tr>
        <w:tblPrEx>
          <w:tblLayout w:type="fixed"/>
          <w:tblCellMar>
            <w:top w:w="0" w:type="dxa"/>
            <w:left w:w="108" w:type="dxa"/>
            <w:bottom w:w="0" w:type="dxa"/>
            <w:right w:w="108" w:type="dxa"/>
          </w:tblCellMar>
        </w:tblPrEx>
        <w:trPr>
          <w:trHeight w:val="2602"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Cs w:val="21"/>
              </w:rPr>
            </w:pPr>
          </w:p>
        </w:tc>
        <w:tc>
          <w:tcPr>
            <w:tcW w:w="70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项目演示</w:t>
            </w:r>
          </w:p>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（演示、答辩时间约15分钟）</w:t>
            </w:r>
          </w:p>
        </w:tc>
        <w:tc>
          <w:tcPr>
            <w:tcW w:w="6721" w:type="dxa"/>
            <w:tcBorders>
              <w:top w:val="single" w:color="auto" w:sz="4" w:space="0"/>
              <w:left w:val="single" w:color="000000" w:sz="4" w:space="0"/>
              <w:bottom w:val="single" w:color="auto" w:sz="4" w:space="0"/>
              <w:right w:val="single" w:color="auto" w:sz="4" w:space="0"/>
            </w:tcBorders>
            <w:shd w:val="clear" w:color="auto" w:fill="auto"/>
            <w:vAlign w:val="center"/>
          </w:tcPr>
          <w:p>
            <w:pPr>
              <w:pStyle w:val="9"/>
              <w:ind w:firstLine="0"/>
              <w:rPr>
                <w:rFonts w:ascii="宋体" w:hAnsi="宋体"/>
                <w:color w:val="auto"/>
                <w:szCs w:val="21"/>
              </w:rPr>
            </w:pPr>
            <w:r>
              <w:rPr>
                <w:rFonts w:hint="eastAsia" w:ascii="宋体" w:hAnsi="宋体" w:cs="宋体"/>
                <w:color w:val="auto"/>
                <w:kern w:val="0"/>
                <w:szCs w:val="21"/>
              </w:rPr>
              <w:t>要求演示以实际程序进行。使用PPT演示、截图演示、录屏演示、静态页面等非实际可执行程序进行演示的不得分，</w:t>
            </w:r>
            <w:r>
              <w:rPr>
                <w:rFonts w:hint="eastAsia" w:ascii="宋体" w:hAnsi="宋体"/>
                <w:color w:val="auto"/>
                <w:szCs w:val="21"/>
              </w:rPr>
              <w:t>没有演示不得分。</w:t>
            </w:r>
          </w:p>
          <w:p>
            <w:pPr>
              <w:pStyle w:val="11"/>
              <w:rPr>
                <w:rFonts w:hint="eastAsia" w:ascii="宋体" w:hAnsi="宋体" w:cs="宋体"/>
                <w:color w:val="auto"/>
                <w:sz w:val="24"/>
                <w:szCs w:val="24"/>
              </w:rPr>
            </w:pPr>
            <w:r>
              <w:rPr>
                <w:rFonts w:hint="eastAsia" w:ascii="Arial" w:hAnsi="Arial" w:cs="Arial"/>
                <w:bCs/>
                <w:color w:val="auto"/>
                <w:sz w:val="21"/>
                <w:szCs w:val="21"/>
              </w:rPr>
              <w:t>根据投标供应商是否对本次投标内容理解准确、分析透彻、阐述到位以及提供的系统是否满足本次招标要求等方面综合评分</w:t>
            </w:r>
            <w:r>
              <w:rPr>
                <w:rFonts w:hint="eastAsia" w:ascii="宋体" w:hAnsi="宋体" w:cs="宋体"/>
                <w:color w:val="auto"/>
                <w:sz w:val="24"/>
                <w:szCs w:val="24"/>
              </w:rPr>
              <w:t>。</w:t>
            </w:r>
          </w:p>
          <w:p>
            <w:pPr>
              <w:pStyle w:val="9"/>
              <w:ind w:firstLine="0"/>
              <w:rPr>
                <w:rFonts w:ascii="宋体" w:hAnsi="宋体"/>
                <w:color w:val="auto"/>
                <w:szCs w:val="21"/>
              </w:rPr>
            </w:pPr>
            <w:r>
              <w:rPr>
                <w:rFonts w:hint="eastAsia" w:ascii="宋体" w:hAnsi="宋体" w:cs="宋体"/>
                <w:color w:val="auto"/>
                <w:szCs w:val="21"/>
                <w:lang w:val="en-US" w:eastAsia="zh-CN"/>
              </w:rPr>
              <w:t>第一档22-17.7分，第二档17.6-13.3分，第三档13.2-8.9分，第四档8.8-4.5分，第五档4.4-0分。</w:t>
            </w:r>
            <w:r>
              <w:rPr>
                <w:rFonts w:hint="eastAsia" w:ascii="宋体" w:hAnsi="宋体" w:cs="宋体"/>
                <w:color w:val="auto"/>
                <w:szCs w:val="21"/>
              </w:rPr>
              <w:t xml:space="preserve"> </w:t>
            </w:r>
          </w:p>
          <w:p>
            <w:pPr>
              <w:pStyle w:val="11"/>
              <w:rPr>
                <w:rFonts w:ascii="宋体" w:hAnsi="宋体"/>
                <w:color w:val="auto"/>
                <w:szCs w:val="21"/>
              </w:rPr>
            </w:pPr>
            <w:r>
              <w:rPr>
                <w:rFonts w:hint="eastAsia" w:ascii="宋体" w:hAnsi="宋体"/>
                <w:color w:val="auto"/>
                <w:szCs w:val="21"/>
              </w:rPr>
              <w:t>演示方式：</w:t>
            </w:r>
            <w:r>
              <w:rPr>
                <w:rFonts w:hint="eastAsia"/>
                <w:color w:val="auto"/>
              </w:rPr>
              <w:t>通过钉钉直播演示。</w:t>
            </w:r>
          </w:p>
        </w:tc>
        <w:tc>
          <w:tcPr>
            <w:tcW w:w="6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w:t>
            </w:r>
          </w:p>
        </w:tc>
      </w:tr>
      <w:tr>
        <w:tblPrEx>
          <w:tblLayout w:type="fixed"/>
          <w:tblCellMar>
            <w:top w:w="0" w:type="dxa"/>
            <w:left w:w="108" w:type="dxa"/>
            <w:bottom w:w="0" w:type="dxa"/>
            <w:right w:w="108" w:type="dxa"/>
          </w:tblCellMar>
        </w:tblPrEx>
        <w:trPr>
          <w:trHeight w:val="798" w:hRule="atLeast"/>
        </w:trPr>
        <w:tc>
          <w:tcPr>
            <w:tcW w:w="11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auto"/>
                <w:kern w:val="0"/>
                <w:szCs w:val="21"/>
              </w:rPr>
            </w:pPr>
            <w:r>
              <w:rPr>
                <w:rFonts w:hint="eastAsia" w:cs="Arial" w:asciiTheme="minorEastAsia" w:hAnsiTheme="minorEastAsia" w:eastAsiaTheme="minorEastAsia"/>
                <w:bCs/>
                <w:color w:val="auto"/>
              </w:rPr>
              <w:t>实力信誉及业绩（</w:t>
            </w:r>
            <w:r>
              <w:rPr>
                <w:rFonts w:hint="eastAsia" w:cs="Arial" w:asciiTheme="minorEastAsia" w:hAnsiTheme="minorEastAsia" w:eastAsiaTheme="minorEastAsia"/>
                <w:bCs/>
                <w:color w:val="auto"/>
                <w:lang w:val="en-US" w:eastAsia="zh-CN"/>
              </w:rPr>
              <w:t>11</w:t>
            </w:r>
            <w:r>
              <w:rPr>
                <w:rFonts w:cs="Arial" w:asciiTheme="minorEastAsia" w:hAnsiTheme="minorEastAsia" w:eastAsiaTheme="minorEastAsia"/>
                <w:bCs/>
                <w:color w:val="auto"/>
              </w:rPr>
              <w:t>分</w:t>
            </w:r>
            <w:r>
              <w:rPr>
                <w:rFonts w:hint="eastAsia" w:cs="Arial" w:asciiTheme="minorEastAsia" w:hAnsiTheme="minorEastAsia" w:eastAsiaTheme="minorEastAsia"/>
                <w:bCs/>
                <w:color w:val="auto"/>
              </w:rPr>
              <w:t>）</w:t>
            </w:r>
          </w:p>
        </w:tc>
        <w:tc>
          <w:tcPr>
            <w:tcW w:w="7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0"/>
              <w:widowControl w:val="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根据投标人提供的企业经营情况、财务报表、财务状况等情况，综合打分，得2-0分。</w:t>
            </w:r>
          </w:p>
        </w:tc>
        <w:tc>
          <w:tcPr>
            <w:tcW w:w="645" w:type="dxa"/>
            <w:tcBorders>
              <w:top w:val="nil"/>
              <w:left w:val="nil"/>
              <w:bottom w:val="single" w:color="auto" w:sz="4" w:space="0"/>
              <w:right w:val="single" w:color="auto" w:sz="4" w:space="0"/>
            </w:tcBorders>
            <w:shd w:val="clear" w:color="auto" w:fill="auto"/>
            <w:vAlign w:val="center"/>
          </w:tcPr>
          <w:p>
            <w:pPr>
              <w:pStyle w:val="50"/>
              <w:widowControl w:val="0"/>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r>
      <w:tr>
        <w:tblPrEx>
          <w:tblLayout w:type="fixed"/>
          <w:tblCellMar>
            <w:top w:w="0" w:type="dxa"/>
            <w:left w:w="108" w:type="dxa"/>
            <w:bottom w:w="0" w:type="dxa"/>
            <w:right w:w="108" w:type="dxa"/>
          </w:tblCellMar>
        </w:tblPrEx>
        <w:trPr>
          <w:trHeight w:val="810"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Cs w:val="21"/>
              </w:rPr>
            </w:pPr>
          </w:p>
        </w:tc>
        <w:tc>
          <w:tcPr>
            <w:tcW w:w="7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0"/>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投标人近三年来（201</w:t>
            </w:r>
            <w:r>
              <w:rPr>
                <w:rFonts w:ascii="宋体" w:hAnsi="宋体" w:eastAsia="宋体" w:cs="Times New Roman"/>
                <w:color w:val="auto"/>
                <w:kern w:val="2"/>
                <w:sz w:val="21"/>
                <w:szCs w:val="21"/>
              </w:rPr>
              <w:t>7</w:t>
            </w:r>
            <w:r>
              <w:rPr>
                <w:rFonts w:hint="eastAsia" w:ascii="宋体" w:hAnsi="宋体" w:eastAsia="宋体" w:cs="Times New Roman"/>
                <w:color w:val="auto"/>
                <w:kern w:val="2"/>
                <w:sz w:val="21"/>
                <w:szCs w:val="21"/>
              </w:rPr>
              <w:t>年9月</w:t>
            </w:r>
            <w:r>
              <w:rPr>
                <w:rFonts w:hint="eastAsia" w:ascii="宋体" w:hAnsi="宋体" w:eastAsia="宋体" w:cs="Times New Roman"/>
                <w:color w:val="auto"/>
                <w:kern w:val="2"/>
                <w:sz w:val="21"/>
                <w:szCs w:val="21"/>
                <w:lang w:val="en-US" w:eastAsia="zh-CN"/>
              </w:rPr>
              <w:t>25</w:t>
            </w:r>
            <w:r>
              <w:rPr>
                <w:rFonts w:hint="eastAsia" w:ascii="宋体" w:hAnsi="宋体" w:eastAsia="宋体" w:cs="Times New Roman"/>
                <w:color w:val="auto"/>
                <w:kern w:val="2"/>
                <w:sz w:val="21"/>
                <w:szCs w:val="21"/>
              </w:rPr>
              <w:t>日至本项目开标之日，以合同签订时间为准）的类似项目业绩，</w:t>
            </w:r>
            <w:r>
              <w:rPr>
                <w:rFonts w:hint="eastAsia" w:ascii="宋体" w:hAnsi="宋体" w:eastAsia="宋体" w:cs="Times New Roman"/>
                <w:color w:val="auto"/>
                <w:kern w:val="2"/>
                <w:sz w:val="21"/>
                <w:szCs w:val="21"/>
                <w:lang w:val="en-US" w:eastAsia="zh-CN"/>
              </w:rPr>
              <w:t>根据项目规模、项目金额、项目个数，分档打分，第一档4-3.1分，第二档3-2.1分，第三档2-1.1分，第四档1-0分。</w:t>
            </w:r>
            <w:r>
              <w:rPr>
                <w:rFonts w:hint="eastAsia" w:ascii="宋体" w:hAnsi="宋体" w:eastAsia="宋体" w:cs="Times New Roman"/>
                <w:color w:val="auto"/>
                <w:kern w:val="2"/>
                <w:sz w:val="21"/>
                <w:szCs w:val="21"/>
              </w:rPr>
              <w:t>（投标人须提供有效的合同扫描件</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w:t>
            </w:r>
          </w:p>
        </w:tc>
        <w:tc>
          <w:tcPr>
            <w:tcW w:w="645" w:type="dxa"/>
            <w:tcBorders>
              <w:top w:val="nil"/>
              <w:left w:val="nil"/>
              <w:bottom w:val="single" w:color="auto" w:sz="4" w:space="0"/>
              <w:right w:val="single" w:color="auto" w:sz="4" w:space="0"/>
            </w:tcBorders>
            <w:shd w:val="clear" w:color="auto" w:fill="auto"/>
            <w:vAlign w:val="center"/>
          </w:tcPr>
          <w:p>
            <w:pPr>
              <w:pStyle w:val="50"/>
              <w:widowControl w:val="0"/>
              <w:jc w:val="center"/>
              <w:rPr>
                <w:rFonts w:hint="eastAsia" w:ascii="宋体" w:hAnsi="宋体" w:eastAsia="宋体" w:cs="Times New Roman"/>
                <w:color w:val="auto"/>
                <w:kern w:val="2"/>
                <w:sz w:val="18"/>
                <w:szCs w:val="18"/>
                <w:lang w:eastAsia="zh-CN"/>
              </w:rPr>
            </w:pPr>
            <w:r>
              <w:rPr>
                <w:rFonts w:hint="eastAsia" w:ascii="宋体" w:hAnsi="宋体" w:eastAsia="宋体" w:cs="Times New Roman"/>
                <w:color w:val="auto"/>
                <w:kern w:val="2"/>
                <w:sz w:val="18"/>
                <w:szCs w:val="18"/>
                <w:lang w:val="en-US" w:eastAsia="zh-CN"/>
              </w:rPr>
              <w:t>4</w:t>
            </w:r>
          </w:p>
        </w:tc>
      </w:tr>
      <w:tr>
        <w:tblPrEx>
          <w:tblLayout w:type="fixed"/>
          <w:tblCellMar>
            <w:top w:w="0" w:type="dxa"/>
            <w:left w:w="108" w:type="dxa"/>
            <w:bottom w:w="0" w:type="dxa"/>
            <w:right w:w="108" w:type="dxa"/>
          </w:tblCellMar>
        </w:tblPrEx>
        <w:trPr>
          <w:trHeight w:val="1080"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Cs w:val="21"/>
              </w:rPr>
            </w:pPr>
          </w:p>
        </w:tc>
        <w:tc>
          <w:tcPr>
            <w:tcW w:w="7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0"/>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投标人具备：</w:t>
            </w:r>
          </w:p>
          <w:p>
            <w:pPr>
              <w:pStyle w:val="50"/>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通过CMMI五级认证，得</w:t>
            </w:r>
            <w:r>
              <w:rPr>
                <w:rFonts w:hint="eastAsia" w:ascii="宋体" w:hAnsi="宋体" w:eastAsia="宋体" w:cs="Times New Roman"/>
                <w:color w:val="auto"/>
                <w:kern w:val="2"/>
                <w:sz w:val="21"/>
                <w:szCs w:val="21"/>
                <w:lang w:val="en-US" w:eastAsia="zh-CN"/>
              </w:rPr>
              <w:t>1</w:t>
            </w:r>
            <w:r>
              <w:rPr>
                <w:rFonts w:hint="eastAsia" w:ascii="宋体" w:hAnsi="宋体" w:eastAsia="宋体" w:cs="Times New Roman"/>
                <w:color w:val="auto"/>
                <w:kern w:val="2"/>
                <w:sz w:val="21"/>
                <w:szCs w:val="21"/>
              </w:rPr>
              <w:t>分,通过CMMI三级或四级认证，得</w:t>
            </w:r>
            <w:r>
              <w:rPr>
                <w:rFonts w:hint="eastAsia" w:ascii="宋体" w:hAnsi="宋体" w:eastAsia="宋体" w:cs="Times New Roman"/>
                <w:color w:val="auto"/>
                <w:kern w:val="2"/>
                <w:sz w:val="21"/>
                <w:szCs w:val="21"/>
                <w:lang w:val="en-US" w:eastAsia="zh-CN"/>
              </w:rPr>
              <w:t>0.5</w:t>
            </w:r>
            <w:r>
              <w:rPr>
                <w:rFonts w:hint="eastAsia" w:ascii="宋体" w:hAnsi="宋体" w:eastAsia="宋体" w:cs="Times New Roman"/>
                <w:color w:val="auto"/>
                <w:kern w:val="2"/>
                <w:sz w:val="21"/>
                <w:szCs w:val="21"/>
              </w:rPr>
              <w:t>分；</w:t>
            </w:r>
          </w:p>
          <w:p>
            <w:pPr>
              <w:pStyle w:val="50"/>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信息安全体系ISO27001认证证书，得</w:t>
            </w:r>
            <w:r>
              <w:rPr>
                <w:rFonts w:hint="eastAsia" w:ascii="宋体" w:hAnsi="宋体" w:eastAsia="宋体" w:cs="Times New Roman"/>
                <w:color w:val="auto"/>
                <w:kern w:val="2"/>
                <w:sz w:val="21"/>
                <w:szCs w:val="21"/>
                <w:lang w:val="en-US" w:eastAsia="zh-CN"/>
              </w:rPr>
              <w:t>0.5</w:t>
            </w:r>
            <w:r>
              <w:rPr>
                <w:rFonts w:hint="eastAsia" w:ascii="宋体" w:hAnsi="宋体" w:eastAsia="宋体" w:cs="Times New Roman"/>
                <w:color w:val="auto"/>
                <w:kern w:val="2"/>
                <w:sz w:val="21"/>
                <w:szCs w:val="21"/>
              </w:rPr>
              <w:t>分；</w:t>
            </w:r>
          </w:p>
          <w:p>
            <w:pPr>
              <w:pStyle w:val="50"/>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质量管理体系ISO9001认证证书，得</w:t>
            </w:r>
            <w:r>
              <w:rPr>
                <w:rFonts w:hint="eastAsia" w:ascii="宋体" w:hAnsi="宋体" w:eastAsia="宋体" w:cs="Times New Roman"/>
                <w:color w:val="auto"/>
                <w:kern w:val="2"/>
                <w:sz w:val="21"/>
                <w:szCs w:val="21"/>
                <w:lang w:val="en-US" w:eastAsia="zh-CN"/>
              </w:rPr>
              <w:t>0.5</w:t>
            </w:r>
            <w:r>
              <w:rPr>
                <w:rFonts w:hint="eastAsia" w:ascii="宋体" w:hAnsi="宋体" w:eastAsia="宋体" w:cs="Times New Roman"/>
                <w:color w:val="auto"/>
                <w:kern w:val="2"/>
                <w:sz w:val="21"/>
                <w:szCs w:val="21"/>
              </w:rPr>
              <w:t>分。</w:t>
            </w:r>
          </w:p>
        </w:tc>
        <w:tc>
          <w:tcPr>
            <w:tcW w:w="645" w:type="dxa"/>
            <w:tcBorders>
              <w:top w:val="nil"/>
              <w:left w:val="nil"/>
              <w:bottom w:val="single" w:color="auto" w:sz="4" w:space="0"/>
              <w:right w:val="single" w:color="auto" w:sz="4" w:space="0"/>
            </w:tcBorders>
            <w:shd w:val="clear" w:color="auto" w:fill="auto"/>
            <w:vAlign w:val="center"/>
          </w:tcPr>
          <w:p>
            <w:pPr>
              <w:pStyle w:val="50"/>
              <w:widowControl w:val="0"/>
              <w:jc w:val="center"/>
              <w:rPr>
                <w:rFonts w:hint="eastAsia" w:ascii="宋体" w:hAnsi="宋体" w:eastAsia="宋体" w:cs="Times New Roman"/>
                <w:color w:val="auto"/>
                <w:kern w:val="2"/>
                <w:sz w:val="18"/>
                <w:szCs w:val="18"/>
                <w:lang w:eastAsia="zh-CN"/>
              </w:rPr>
            </w:pPr>
            <w:r>
              <w:rPr>
                <w:rFonts w:hint="eastAsia" w:ascii="宋体" w:hAnsi="宋体" w:eastAsia="宋体" w:cs="Times New Roman"/>
                <w:color w:val="auto"/>
                <w:kern w:val="2"/>
                <w:sz w:val="18"/>
                <w:szCs w:val="18"/>
                <w:lang w:val="en-US" w:eastAsia="zh-CN"/>
              </w:rPr>
              <w:t>2</w:t>
            </w:r>
          </w:p>
        </w:tc>
      </w:tr>
      <w:tr>
        <w:tblPrEx>
          <w:tblLayout w:type="fixed"/>
          <w:tblCellMar>
            <w:top w:w="0" w:type="dxa"/>
            <w:left w:w="108" w:type="dxa"/>
            <w:bottom w:w="0" w:type="dxa"/>
            <w:right w:w="108" w:type="dxa"/>
          </w:tblCellMar>
        </w:tblPrEx>
        <w:trPr>
          <w:trHeight w:val="652"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Cs w:val="21"/>
              </w:rPr>
            </w:pPr>
          </w:p>
        </w:tc>
        <w:tc>
          <w:tcPr>
            <w:tcW w:w="7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0"/>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投标人具备高新技术企业证书、软件企业证书的，</w:t>
            </w:r>
            <w:r>
              <w:rPr>
                <w:rFonts w:ascii="宋体" w:hAnsi="宋体" w:eastAsia="宋体" w:cs="Times New Roman"/>
                <w:color w:val="auto"/>
                <w:kern w:val="2"/>
                <w:sz w:val="21"/>
                <w:szCs w:val="21"/>
              </w:rPr>
              <w:t>每项得</w:t>
            </w:r>
            <w:r>
              <w:rPr>
                <w:rFonts w:hint="eastAsia" w:ascii="宋体" w:hAnsi="宋体" w:eastAsia="宋体" w:cs="Times New Roman"/>
                <w:color w:val="auto"/>
                <w:kern w:val="2"/>
                <w:sz w:val="21"/>
                <w:szCs w:val="21"/>
                <w:lang w:val="en-US" w:eastAsia="zh-CN"/>
              </w:rPr>
              <w:t>0.5</w:t>
            </w:r>
            <w:r>
              <w:rPr>
                <w:rFonts w:hint="eastAsia" w:ascii="宋体" w:hAnsi="宋体" w:eastAsia="宋体" w:cs="Times New Roman"/>
                <w:color w:val="auto"/>
                <w:kern w:val="2"/>
                <w:sz w:val="21"/>
                <w:szCs w:val="21"/>
              </w:rPr>
              <w:t>分</w:t>
            </w:r>
            <w:r>
              <w:rPr>
                <w:rFonts w:ascii="宋体" w:hAnsi="宋体" w:eastAsia="宋体" w:cs="Times New Roman"/>
                <w:color w:val="auto"/>
                <w:kern w:val="2"/>
                <w:sz w:val="21"/>
                <w:szCs w:val="21"/>
              </w:rPr>
              <w:t>，</w:t>
            </w:r>
            <w:r>
              <w:rPr>
                <w:rFonts w:hint="eastAsia" w:ascii="宋体" w:hAnsi="宋体" w:eastAsia="宋体" w:cs="Times New Roman"/>
                <w:color w:val="auto"/>
                <w:kern w:val="2"/>
                <w:sz w:val="21"/>
                <w:szCs w:val="21"/>
              </w:rPr>
              <w:t>最高</w:t>
            </w:r>
            <w:r>
              <w:rPr>
                <w:rFonts w:hint="eastAsia" w:ascii="宋体" w:hAnsi="宋体" w:eastAsia="宋体" w:cs="Times New Roman"/>
                <w:color w:val="auto"/>
                <w:kern w:val="2"/>
                <w:sz w:val="21"/>
                <w:szCs w:val="21"/>
                <w:lang w:val="en-US" w:eastAsia="zh-CN"/>
              </w:rPr>
              <w:t>1</w:t>
            </w:r>
            <w:r>
              <w:rPr>
                <w:rFonts w:hint="eastAsia" w:ascii="宋体" w:hAnsi="宋体" w:eastAsia="宋体" w:cs="Times New Roman"/>
                <w:color w:val="auto"/>
                <w:kern w:val="2"/>
                <w:sz w:val="21"/>
                <w:szCs w:val="21"/>
              </w:rPr>
              <w:t>分</w:t>
            </w:r>
            <w:r>
              <w:rPr>
                <w:rFonts w:ascii="宋体" w:hAnsi="宋体" w:eastAsia="宋体" w:cs="Times New Roman"/>
                <w:color w:val="auto"/>
                <w:kern w:val="2"/>
                <w:sz w:val="21"/>
                <w:szCs w:val="21"/>
              </w:rPr>
              <w:t>。</w:t>
            </w:r>
          </w:p>
        </w:tc>
        <w:tc>
          <w:tcPr>
            <w:tcW w:w="645" w:type="dxa"/>
            <w:tcBorders>
              <w:top w:val="nil"/>
              <w:left w:val="nil"/>
              <w:bottom w:val="single" w:color="auto" w:sz="4" w:space="0"/>
              <w:right w:val="single" w:color="auto" w:sz="4" w:space="0"/>
            </w:tcBorders>
            <w:shd w:val="clear" w:color="auto" w:fill="auto"/>
            <w:vAlign w:val="center"/>
          </w:tcPr>
          <w:p>
            <w:pPr>
              <w:pStyle w:val="50"/>
              <w:widowControl w:val="0"/>
              <w:jc w:val="center"/>
              <w:rPr>
                <w:rFonts w:hint="eastAsia" w:ascii="宋体" w:hAnsi="宋体" w:eastAsia="宋体" w:cs="Times New Roman"/>
                <w:color w:val="auto"/>
                <w:kern w:val="2"/>
                <w:sz w:val="18"/>
                <w:szCs w:val="18"/>
                <w:lang w:eastAsia="zh-CN"/>
              </w:rPr>
            </w:pPr>
            <w:r>
              <w:rPr>
                <w:rFonts w:hint="eastAsia" w:ascii="宋体" w:hAnsi="宋体" w:eastAsia="宋体" w:cs="Times New Roman"/>
                <w:color w:val="auto"/>
                <w:kern w:val="2"/>
                <w:sz w:val="18"/>
                <w:szCs w:val="18"/>
                <w:lang w:val="en-US" w:eastAsia="zh-CN"/>
              </w:rPr>
              <w:t>1</w:t>
            </w:r>
          </w:p>
        </w:tc>
      </w:tr>
      <w:tr>
        <w:tblPrEx>
          <w:tblLayout w:type="fixed"/>
          <w:tblCellMar>
            <w:top w:w="0" w:type="dxa"/>
            <w:left w:w="108" w:type="dxa"/>
            <w:bottom w:w="0" w:type="dxa"/>
            <w:right w:w="108" w:type="dxa"/>
          </w:tblCellMar>
        </w:tblPrEx>
        <w:trPr>
          <w:trHeight w:val="652"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Cs w:val="21"/>
              </w:rPr>
            </w:pPr>
          </w:p>
        </w:tc>
        <w:tc>
          <w:tcPr>
            <w:tcW w:w="7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0"/>
              <w:rPr>
                <w:rFonts w:ascii="宋体" w:hAnsi="宋体" w:eastAsia="宋体" w:cs="Times New Roman"/>
                <w:color w:val="auto"/>
                <w:kern w:val="2"/>
                <w:sz w:val="21"/>
                <w:szCs w:val="21"/>
              </w:rPr>
            </w:pPr>
            <w:r>
              <w:rPr>
                <w:rFonts w:hint="eastAsia" w:ascii="宋体" w:hAnsi="宋体" w:eastAsia="宋体" w:cs="宋体"/>
                <w:bCs/>
                <w:color w:val="auto"/>
                <w:sz w:val="21"/>
                <w:szCs w:val="21"/>
              </w:rPr>
              <w:t>投标人具有</w:t>
            </w:r>
            <w:r>
              <w:rPr>
                <w:rFonts w:hint="eastAsia" w:ascii="宋体" w:hAnsi="宋体" w:eastAsia="宋体" w:cs="宋体"/>
                <w:bCs/>
                <w:color w:val="auto"/>
                <w:sz w:val="21"/>
                <w:szCs w:val="21"/>
                <w:lang w:val="en-US" w:eastAsia="zh-CN"/>
              </w:rPr>
              <w:t>视力筛查管理系统及同类软件</w:t>
            </w:r>
            <w:r>
              <w:rPr>
                <w:rFonts w:hint="eastAsia" w:ascii="宋体" w:hAnsi="宋体" w:eastAsia="宋体" w:cs="宋体"/>
                <w:bCs/>
                <w:color w:val="auto"/>
                <w:sz w:val="21"/>
                <w:szCs w:val="21"/>
              </w:rPr>
              <w:t>的著作权</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知识产权</w:t>
            </w:r>
            <w:r>
              <w:rPr>
                <w:rFonts w:hint="eastAsia" w:ascii="宋体" w:hAnsi="宋体" w:eastAsia="宋体" w:cs="宋体"/>
                <w:bCs/>
                <w:color w:val="auto"/>
                <w:sz w:val="21"/>
                <w:szCs w:val="21"/>
              </w:rPr>
              <w:t>证明材料，每一个得1分，最高得2（证明材料：著作权，提供证书扫描件。）</w:t>
            </w:r>
          </w:p>
        </w:tc>
        <w:tc>
          <w:tcPr>
            <w:tcW w:w="645" w:type="dxa"/>
            <w:tcBorders>
              <w:top w:val="nil"/>
              <w:left w:val="nil"/>
              <w:bottom w:val="single" w:color="auto" w:sz="4" w:space="0"/>
              <w:right w:val="single" w:color="auto" w:sz="4" w:space="0"/>
            </w:tcBorders>
            <w:shd w:val="clear" w:color="auto" w:fill="auto"/>
            <w:vAlign w:val="center"/>
          </w:tcPr>
          <w:p>
            <w:pPr>
              <w:pStyle w:val="50"/>
              <w:widowControl w:val="0"/>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r>
      <w:tr>
        <w:tblPrEx>
          <w:tblLayout w:type="fixed"/>
          <w:tblCellMar>
            <w:top w:w="0" w:type="dxa"/>
            <w:left w:w="108" w:type="dxa"/>
            <w:bottom w:w="0" w:type="dxa"/>
            <w:right w:w="108" w:type="dxa"/>
          </w:tblCellMar>
        </w:tblPrEx>
        <w:trPr>
          <w:trHeight w:val="540" w:hRule="atLeast"/>
        </w:trPr>
        <w:tc>
          <w:tcPr>
            <w:tcW w:w="112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售后服务(</w:t>
            </w:r>
            <w:r>
              <w:rPr>
                <w:rFonts w:hint="eastAsia" w:ascii="宋体" w:hAnsi="宋体" w:cs="宋体"/>
                <w:color w:val="auto"/>
                <w:kern w:val="0"/>
                <w:szCs w:val="21"/>
                <w:lang w:val="en-US" w:eastAsia="zh-CN"/>
              </w:rPr>
              <w:t>15</w:t>
            </w:r>
            <w:r>
              <w:rPr>
                <w:rFonts w:hint="eastAsia" w:ascii="宋体" w:hAnsi="宋体" w:cs="宋体"/>
                <w:color w:val="auto"/>
                <w:kern w:val="0"/>
                <w:szCs w:val="21"/>
              </w:rPr>
              <w:t>分)</w:t>
            </w:r>
          </w:p>
        </w:tc>
        <w:tc>
          <w:tcPr>
            <w:tcW w:w="742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bCs/>
                <w:color w:val="auto"/>
                <w:szCs w:val="21"/>
                <w:lang w:val="en-US" w:eastAsia="zh-CN"/>
              </w:rPr>
            </w:pPr>
            <w:r>
              <w:rPr>
                <w:rFonts w:hint="eastAsia"/>
                <w:color w:val="auto"/>
                <w:szCs w:val="21"/>
              </w:rPr>
              <w:t>根据投标供应商的本地化服务能力进行酌情打分，</w:t>
            </w:r>
            <w:r>
              <w:rPr>
                <w:rFonts w:hint="eastAsia" w:ascii="宋体" w:hAnsi="宋体" w:cs="宋体"/>
                <w:bCs/>
                <w:color w:val="auto"/>
                <w:kern w:val="0"/>
                <w:szCs w:val="21"/>
              </w:rPr>
              <w:t>包括</w:t>
            </w:r>
            <w:r>
              <w:rPr>
                <w:rFonts w:hint="eastAsia" w:ascii="宋体" w:hAnsi="宋体" w:cs="宋体"/>
                <w:bCs/>
                <w:color w:val="auto"/>
                <w:szCs w:val="21"/>
              </w:rPr>
              <w:t>供应商本地综合服务支撑方案（本地化服务承诺）</w:t>
            </w:r>
            <w:r>
              <w:rPr>
                <w:rFonts w:hint="eastAsia" w:ascii="宋体" w:hAnsi="宋体" w:cs="宋体"/>
                <w:bCs/>
                <w:color w:val="auto"/>
                <w:kern w:val="0"/>
                <w:szCs w:val="21"/>
              </w:rPr>
              <w:t>。</w:t>
            </w:r>
            <w:r>
              <w:rPr>
                <w:rFonts w:hint="eastAsia" w:ascii="宋体" w:hAnsi="宋体" w:cs="宋体"/>
                <w:bCs/>
                <w:color w:val="auto"/>
                <w:kern w:val="0"/>
                <w:szCs w:val="21"/>
                <w:lang w:val="en-US" w:eastAsia="zh-CN"/>
              </w:rPr>
              <w:t>第一档4-3.1分，第二档3-2.1分，第三档2-1.1分，第四档1-0分。</w:t>
            </w:r>
          </w:p>
        </w:tc>
        <w:tc>
          <w:tcPr>
            <w:tcW w:w="645"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4</w:t>
            </w:r>
          </w:p>
        </w:tc>
      </w:tr>
      <w:tr>
        <w:tblPrEx>
          <w:tblLayout w:type="fixed"/>
          <w:tblCellMar>
            <w:top w:w="0" w:type="dxa"/>
            <w:left w:w="108" w:type="dxa"/>
            <w:bottom w:w="0" w:type="dxa"/>
            <w:right w:w="108" w:type="dxa"/>
          </w:tblCellMar>
        </w:tblPrEx>
        <w:trPr>
          <w:trHeight w:val="540" w:hRule="atLeast"/>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auto"/>
                <w:kern w:val="0"/>
                <w:szCs w:val="21"/>
              </w:rPr>
            </w:pPr>
          </w:p>
        </w:tc>
        <w:tc>
          <w:tcPr>
            <w:tcW w:w="742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售后技术服务方案、人员配备、故障响应时间等情况综合评分。</w:t>
            </w:r>
            <w:r>
              <w:rPr>
                <w:rFonts w:hint="eastAsia" w:ascii="宋体" w:hAnsi="宋体" w:cs="宋体"/>
                <w:bCs/>
                <w:color w:val="auto"/>
                <w:kern w:val="0"/>
                <w:szCs w:val="21"/>
                <w:lang w:val="en-US" w:eastAsia="zh-CN"/>
              </w:rPr>
              <w:t>第一档3-2.1分，第二档2-1.1分，第三档1-0分。</w:t>
            </w:r>
          </w:p>
        </w:tc>
        <w:tc>
          <w:tcPr>
            <w:tcW w:w="645"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w:t>
            </w:r>
          </w:p>
        </w:tc>
      </w:tr>
      <w:tr>
        <w:tblPrEx>
          <w:tblLayout w:type="fixed"/>
          <w:tblCellMar>
            <w:top w:w="0" w:type="dxa"/>
            <w:left w:w="108" w:type="dxa"/>
            <w:bottom w:w="0" w:type="dxa"/>
            <w:right w:w="108" w:type="dxa"/>
          </w:tblCellMar>
        </w:tblPrEx>
        <w:trPr>
          <w:trHeight w:val="540" w:hRule="atLeast"/>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auto"/>
                <w:kern w:val="0"/>
                <w:szCs w:val="21"/>
              </w:rPr>
            </w:pPr>
          </w:p>
        </w:tc>
        <w:tc>
          <w:tcPr>
            <w:tcW w:w="742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其他优惠政策。（免费服务期内外的升级措施、驻场服务等）</w:t>
            </w:r>
          </w:p>
        </w:tc>
        <w:tc>
          <w:tcPr>
            <w:tcW w:w="645"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r>
      <w:tr>
        <w:tblPrEx>
          <w:tblLayout w:type="fixed"/>
          <w:tblCellMar>
            <w:top w:w="0" w:type="dxa"/>
            <w:left w:w="108" w:type="dxa"/>
            <w:bottom w:w="0" w:type="dxa"/>
            <w:right w:w="108" w:type="dxa"/>
          </w:tblCellMar>
        </w:tblPrEx>
        <w:trPr>
          <w:trHeight w:val="540" w:hRule="atLeast"/>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auto"/>
                <w:kern w:val="0"/>
                <w:szCs w:val="21"/>
              </w:rPr>
            </w:pPr>
          </w:p>
        </w:tc>
        <w:tc>
          <w:tcPr>
            <w:tcW w:w="742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Cs/>
                <w:color w:val="auto"/>
                <w:kern w:val="0"/>
                <w:szCs w:val="21"/>
              </w:rPr>
            </w:pPr>
            <w:r>
              <w:rPr>
                <w:rFonts w:hint="eastAsia" w:ascii="宋体" w:hAnsi="宋体" w:cs="宋体"/>
                <w:bCs/>
                <w:color w:val="auto"/>
                <w:kern w:val="0"/>
                <w:szCs w:val="21"/>
              </w:rPr>
              <w:t>在满足招标文件要求的免费服务期满后，免费服务期每增加1年，得</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分，满分3分。</w:t>
            </w:r>
          </w:p>
        </w:tc>
        <w:tc>
          <w:tcPr>
            <w:tcW w:w="645"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s="宋体"/>
                <w:color w:val="auto"/>
                <w:kern w:val="0"/>
                <w:sz w:val="18"/>
                <w:szCs w:val="18"/>
              </w:rPr>
            </w:pPr>
            <w:r>
              <w:rPr>
                <w:rFonts w:hint="eastAsia" w:ascii="宋体" w:hAnsi="宋体" w:cs="宋体"/>
                <w:color w:val="auto"/>
                <w:kern w:val="0"/>
                <w:sz w:val="18"/>
                <w:szCs w:val="18"/>
              </w:rPr>
              <w:t>3</w:t>
            </w:r>
          </w:p>
        </w:tc>
      </w:tr>
      <w:tr>
        <w:tblPrEx>
          <w:tblLayout w:type="fixed"/>
          <w:tblCellMar>
            <w:top w:w="0" w:type="dxa"/>
            <w:left w:w="108" w:type="dxa"/>
            <w:bottom w:w="0" w:type="dxa"/>
            <w:right w:w="108" w:type="dxa"/>
          </w:tblCellMar>
        </w:tblPrEx>
        <w:trPr>
          <w:trHeight w:val="540" w:hRule="atLeast"/>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auto"/>
                <w:kern w:val="0"/>
                <w:szCs w:val="21"/>
              </w:rPr>
            </w:pPr>
          </w:p>
        </w:tc>
        <w:tc>
          <w:tcPr>
            <w:tcW w:w="742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Cs/>
                <w:color w:val="auto"/>
                <w:szCs w:val="21"/>
              </w:rPr>
            </w:pPr>
            <w:r>
              <w:rPr>
                <w:rFonts w:hint="eastAsia" w:ascii="宋体" w:hAnsi="宋体" w:cs="宋体"/>
                <w:bCs/>
                <w:color w:val="auto"/>
                <w:kern w:val="0"/>
                <w:szCs w:val="21"/>
              </w:rPr>
              <w:t>依据培训师资能力、培训方案、培训内容及手段的分析，培训效果预期等情况综合评分。</w:t>
            </w:r>
            <w:r>
              <w:rPr>
                <w:rFonts w:hint="eastAsia" w:ascii="宋体" w:hAnsi="宋体" w:cs="宋体"/>
                <w:bCs/>
                <w:color w:val="auto"/>
                <w:kern w:val="0"/>
                <w:szCs w:val="21"/>
                <w:lang w:val="en-US" w:eastAsia="zh-CN"/>
              </w:rPr>
              <w:t>第一档3-2.1分，第二档2-1.1分，第三档1-0分。</w:t>
            </w:r>
          </w:p>
        </w:tc>
        <w:tc>
          <w:tcPr>
            <w:tcW w:w="645"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s="宋体"/>
                <w:color w:val="auto"/>
                <w:sz w:val="18"/>
                <w:szCs w:val="18"/>
              </w:rPr>
            </w:pPr>
            <w:r>
              <w:rPr>
                <w:rFonts w:hint="eastAsia" w:ascii="宋体" w:hAnsi="宋体" w:cs="宋体"/>
                <w:color w:val="auto"/>
                <w:kern w:val="0"/>
                <w:sz w:val="18"/>
                <w:szCs w:val="18"/>
              </w:rPr>
              <w:t>3</w:t>
            </w:r>
          </w:p>
        </w:tc>
      </w:tr>
      <w:tr>
        <w:tblPrEx>
          <w:tblLayout w:type="fixed"/>
          <w:tblCellMar>
            <w:top w:w="0" w:type="dxa"/>
            <w:left w:w="108" w:type="dxa"/>
            <w:bottom w:w="0" w:type="dxa"/>
            <w:right w:w="108" w:type="dxa"/>
          </w:tblCellMar>
        </w:tblPrEx>
        <w:trPr>
          <w:trHeight w:val="857" w:hRule="atLeast"/>
        </w:trPr>
        <w:tc>
          <w:tcPr>
            <w:tcW w:w="11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auto"/>
                <w:kern w:val="0"/>
                <w:sz w:val="18"/>
                <w:szCs w:val="18"/>
              </w:rPr>
            </w:pPr>
            <w:r>
              <w:rPr>
                <w:rFonts w:hint="eastAsia" w:ascii="宋体" w:hAnsi="宋体" w:cs="宋体"/>
                <w:color w:val="auto"/>
                <w:kern w:val="0"/>
                <w:szCs w:val="21"/>
              </w:rPr>
              <w:t>对招标文件响应程度等（2分）</w:t>
            </w:r>
          </w:p>
        </w:tc>
        <w:tc>
          <w:tcPr>
            <w:tcW w:w="7425" w:type="dxa"/>
            <w:gridSpan w:val="2"/>
            <w:tcBorders>
              <w:top w:val="single" w:color="auto" w:sz="4" w:space="0"/>
              <w:left w:val="single" w:color="auto" w:sz="4" w:space="0"/>
              <w:bottom w:val="single" w:color="auto" w:sz="4" w:space="0"/>
              <w:right w:val="single" w:color="auto" w:sz="4" w:space="0"/>
            </w:tcBorders>
            <w:vAlign w:val="center"/>
          </w:tcPr>
          <w:p>
            <w:pPr>
              <w:pStyle w:val="33"/>
              <w:widowControl w:val="0"/>
              <w:jc w:val="both"/>
              <w:rPr>
                <w:rFonts w:ascii="宋体" w:hAnsi="宋体" w:eastAsia="宋体"/>
                <w:color w:val="auto"/>
                <w:sz w:val="21"/>
                <w:szCs w:val="21"/>
              </w:rPr>
            </w:pPr>
            <w:r>
              <w:rPr>
                <w:rFonts w:hint="eastAsia" w:ascii="宋体" w:hAnsi="宋体" w:eastAsia="宋体" w:cs="宋体"/>
                <w:color w:val="auto"/>
                <w:sz w:val="21"/>
                <w:szCs w:val="21"/>
              </w:rPr>
              <w:t>根据电子投标文件的内容、结构等情况与招标文件的要求比对，酌情打分。</w:t>
            </w:r>
          </w:p>
        </w:tc>
        <w:tc>
          <w:tcPr>
            <w:tcW w:w="64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18"/>
                <w:szCs w:val="18"/>
              </w:rPr>
            </w:pPr>
            <w:r>
              <w:rPr>
                <w:rFonts w:hint="eastAsia" w:ascii="宋体"/>
                <w:color w:val="auto"/>
                <w:sz w:val="18"/>
                <w:szCs w:val="18"/>
              </w:rPr>
              <w:t>2</w:t>
            </w:r>
          </w:p>
        </w:tc>
      </w:tr>
      <w:tr>
        <w:tblPrEx>
          <w:tblLayout w:type="fixed"/>
          <w:tblCellMar>
            <w:top w:w="0" w:type="dxa"/>
            <w:left w:w="108" w:type="dxa"/>
            <w:bottom w:w="0" w:type="dxa"/>
            <w:right w:w="108" w:type="dxa"/>
          </w:tblCellMar>
        </w:tblPrEx>
        <w:trPr>
          <w:trHeight w:val="1689" w:hRule="atLeast"/>
        </w:trPr>
        <w:tc>
          <w:tcPr>
            <w:tcW w:w="11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价格（20分）</w:t>
            </w:r>
          </w:p>
        </w:tc>
        <w:tc>
          <w:tcPr>
            <w:tcW w:w="74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auto"/>
                <w:kern w:val="0"/>
                <w:szCs w:val="21"/>
              </w:rPr>
            </w:pPr>
            <w:r>
              <w:rPr>
                <w:rFonts w:hint="eastAsia" w:ascii="宋体" w:hAnsi="宋体" w:cs="宋体"/>
                <w:color w:val="auto"/>
                <w:szCs w:val="21"/>
              </w:rPr>
              <w:t>以投标合格供应商有效投标总报价中的最低价为基准价，基准价为20分。投标报价得分＝（评标基准价/最终投标报价）</w:t>
            </w:r>
            <w:r>
              <w:rPr>
                <w:rFonts w:hint="eastAsia" w:ascii="宋体" w:hAnsi="宋体" w:cs="宋体"/>
                <w:bCs/>
                <w:color w:val="auto"/>
                <w:szCs w:val="21"/>
              </w:rPr>
              <w:t>×</w:t>
            </w:r>
            <w:r>
              <w:rPr>
                <w:rFonts w:hint="eastAsia" w:ascii="宋体" w:hAnsi="宋体" w:cs="宋体"/>
                <w:color w:val="auto"/>
                <w:kern w:val="0"/>
                <w:szCs w:val="21"/>
              </w:rPr>
              <w:t>20%</w:t>
            </w:r>
            <w:r>
              <w:rPr>
                <w:rFonts w:hint="eastAsia" w:ascii="宋体" w:hAnsi="宋体" w:cs="宋体"/>
                <w:bCs/>
                <w:color w:val="auto"/>
                <w:szCs w:val="21"/>
              </w:rPr>
              <w:t>×</w:t>
            </w:r>
            <w:r>
              <w:rPr>
                <w:rFonts w:hint="eastAsia" w:ascii="宋体" w:hAnsi="宋体" w:cs="宋体"/>
                <w:color w:val="auto"/>
                <w:kern w:val="0"/>
                <w:szCs w:val="21"/>
              </w:rPr>
              <w:t>100</w:t>
            </w:r>
            <w:r>
              <w:rPr>
                <w:rFonts w:hint="eastAsia" w:asciiTheme="minorEastAsia" w:hAnsiTheme="minorEastAsia" w:eastAsiaTheme="minorEastAsia" w:cstheme="minorEastAsia"/>
                <w:color w:val="auto"/>
                <w:szCs w:val="21"/>
              </w:rPr>
              <w:t>（小数点后保留2位小数）。</w:t>
            </w:r>
            <w:r>
              <w:rPr>
                <w:rFonts w:hint="eastAsia" w:asciiTheme="minorEastAsia" w:hAnsiTheme="minorEastAsia" w:eastAsiaTheme="minorEastAsia"/>
                <w:color w:val="auto"/>
                <w:szCs w:val="21"/>
              </w:rPr>
              <w:t>（注：对于</w:t>
            </w:r>
            <w:r>
              <w:rPr>
                <w:rFonts w:asciiTheme="minorEastAsia" w:hAnsiTheme="minorEastAsia" w:eastAsiaTheme="minorEastAsia"/>
                <w:color w:val="auto"/>
                <w:szCs w:val="21"/>
              </w:rPr>
              <w:t>小型和微型企业</w:t>
            </w:r>
            <w:r>
              <w:rPr>
                <w:rFonts w:hint="eastAsia" w:asciiTheme="minorEastAsia" w:hAnsiTheme="minorEastAsia" w:eastAsiaTheme="minorEastAsia"/>
                <w:color w:val="auto"/>
                <w:szCs w:val="21"/>
              </w:rPr>
              <w:t>产品</w:t>
            </w:r>
            <w:r>
              <w:rPr>
                <w:rFonts w:asciiTheme="minorEastAsia" w:hAnsiTheme="minorEastAsia" w:eastAsiaTheme="minorEastAsia"/>
                <w:color w:val="auto"/>
                <w:szCs w:val="21"/>
              </w:rPr>
              <w:t>的</w:t>
            </w:r>
            <w:r>
              <w:rPr>
                <w:rFonts w:hint="eastAsia" w:asciiTheme="minorEastAsia" w:hAnsiTheme="minorEastAsia" w:eastAsiaTheme="minorEastAsia"/>
                <w:color w:val="auto"/>
                <w:szCs w:val="21"/>
              </w:rPr>
              <w:t>价格</w:t>
            </w:r>
            <w:r>
              <w:rPr>
                <w:rFonts w:asciiTheme="minorEastAsia" w:hAnsiTheme="minorEastAsia" w:eastAsiaTheme="minorEastAsia"/>
                <w:color w:val="auto"/>
                <w:szCs w:val="21"/>
              </w:rPr>
              <w:t>给予6%的扣除，用扣除后的价</w:t>
            </w:r>
            <w:r>
              <w:rPr>
                <w:rFonts w:hint="eastAsia" w:asciiTheme="minorEastAsia" w:hAnsiTheme="minorEastAsia" w:eastAsiaTheme="minorEastAsia"/>
                <w:color w:val="auto"/>
                <w:szCs w:val="21"/>
              </w:rPr>
              <w:t>格</w:t>
            </w:r>
            <w:r>
              <w:rPr>
                <w:rFonts w:asciiTheme="minorEastAsia" w:hAnsiTheme="minorEastAsia" w:eastAsiaTheme="minorEastAsia"/>
                <w:color w:val="auto"/>
                <w:szCs w:val="21"/>
              </w:rPr>
              <w:t>参与评审</w:t>
            </w:r>
            <w:r>
              <w:rPr>
                <w:rFonts w:hint="eastAsia" w:asciiTheme="minorEastAsia" w:hAnsiTheme="minorEastAsia" w:eastAsiaTheme="minorEastAsia"/>
                <w:color w:val="auto"/>
                <w:szCs w:val="21"/>
              </w:rPr>
              <w:t>。</w:t>
            </w:r>
            <w:r>
              <w:rPr>
                <w:rFonts w:hint="eastAsia" w:ascii="宋体" w:hAnsi="宋体"/>
                <w:color w:val="auto"/>
                <w:szCs w:val="21"/>
              </w:rPr>
              <w:t>小型和微型企业需填写《</w:t>
            </w:r>
            <w:r>
              <w:rPr>
                <w:rFonts w:ascii="宋体" w:hAnsi="宋体"/>
                <w:color w:val="auto"/>
                <w:szCs w:val="21"/>
              </w:rPr>
              <w:t>小</w:t>
            </w:r>
            <w:r>
              <w:rPr>
                <w:rFonts w:hint="eastAsia" w:ascii="宋体" w:hAnsi="宋体"/>
                <w:color w:val="auto"/>
                <w:szCs w:val="21"/>
              </w:rPr>
              <w:t>微企业声明函》、国家企业信用信息公示系统——小微企业名录”页面查询结果（查询时间为投标前一周内，并加盖单位公章）等相关证明材料。）</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18"/>
                <w:szCs w:val="18"/>
              </w:rPr>
            </w:pPr>
            <w:r>
              <w:rPr>
                <w:rFonts w:ascii="宋体" w:hAnsi="宋体" w:cs="宋体"/>
                <w:color w:val="auto"/>
                <w:kern w:val="0"/>
                <w:sz w:val="18"/>
                <w:szCs w:val="18"/>
              </w:rPr>
              <w:t>20</w:t>
            </w:r>
          </w:p>
        </w:tc>
      </w:tr>
    </w:tbl>
    <w:p>
      <w:pPr>
        <w:pStyle w:val="2"/>
        <w:ind w:firstLine="480" w:firstLineChars="200"/>
        <w:rPr>
          <w:rFonts w:asciiTheme="minorEastAsia" w:hAnsiTheme="minorEastAsia" w:eastAsiaTheme="minorEastAsia"/>
          <w:sz w:val="24"/>
          <w:szCs w:val="24"/>
        </w:rPr>
      </w:pPr>
    </w:p>
    <w:p>
      <w:pPr>
        <w:pStyle w:val="2"/>
        <w:ind w:firstLine="480" w:firstLineChars="200"/>
        <w:rPr>
          <w:rFonts w:asciiTheme="minorEastAsia" w:hAnsiTheme="minorEastAsia" w:eastAsiaTheme="minorEastAsia"/>
          <w:sz w:val="24"/>
          <w:szCs w:val="24"/>
        </w:rPr>
      </w:pP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第二标段：</w:t>
      </w:r>
    </w:p>
    <w:p>
      <w:pPr>
        <w:pStyle w:val="2"/>
        <w:ind w:firstLine="480" w:firstLineChars="200"/>
        <w:rPr>
          <w:rFonts w:asciiTheme="minorEastAsia" w:hAnsiTheme="minorEastAsia" w:eastAsiaTheme="minorEastAsia"/>
          <w:sz w:val="24"/>
          <w:szCs w:val="24"/>
        </w:rPr>
      </w:pPr>
    </w:p>
    <w:tbl>
      <w:tblPr>
        <w:tblStyle w:val="24"/>
        <w:tblW w:w="9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142"/>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293" w:type="dxa"/>
            <w:shd w:val="pct20" w:color="auto" w:fill="auto"/>
            <w:vAlign w:val="center"/>
          </w:tcPr>
          <w:p>
            <w:pPr>
              <w:widowControl/>
              <w:spacing w:line="360" w:lineRule="auto"/>
              <w:jc w:val="left"/>
              <w:rPr>
                <w:rFonts w:ascii="宋体" w:hAnsi="宋体" w:cs="宋体"/>
                <w:b/>
                <w:szCs w:val="21"/>
              </w:rPr>
            </w:pPr>
            <w:r>
              <w:rPr>
                <w:rFonts w:hint="eastAsia" w:ascii="宋体" w:hAnsi="宋体" w:cs="宋体"/>
                <w:b/>
                <w:color w:val="000000"/>
                <w:szCs w:val="21"/>
              </w:rPr>
              <w:t>评分项目</w:t>
            </w:r>
          </w:p>
        </w:tc>
        <w:tc>
          <w:tcPr>
            <w:tcW w:w="7142" w:type="dxa"/>
            <w:shd w:val="pct20" w:color="auto" w:fill="auto"/>
            <w:vAlign w:val="center"/>
          </w:tcPr>
          <w:p>
            <w:pPr>
              <w:widowControl/>
              <w:jc w:val="center"/>
              <w:rPr>
                <w:rFonts w:ascii="宋体" w:hAnsi="宋体" w:cs="宋体"/>
                <w:b/>
                <w:color w:val="000000"/>
                <w:szCs w:val="21"/>
              </w:rPr>
            </w:pPr>
            <w:r>
              <w:rPr>
                <w:rFonts w:hint="eastAsia" w:ascii="宋体" w:hAnsi="宋体" w:cs="宋体"/>
                <w:b/>
                <w:color w:val="000000"/>
                <w:szCs w:val="21"/>
              </w:rPr>
              <w:t>评分细则</w:t>
            </w:r>
          </w:p>
        </w:tc>
        <w:tc>
          <w:tcPr>
            <w:tcW w:w="657" w:type="dxa"/>
            <w:shd w:val="pct20" w:color="auto" w:fill="auto"/>
            <w:vAlign w:val="center"/>
          </w:tcPr>
          <w:p>
            <w:pPr>
              <w:widowControl/>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293" w:type="dxa"/>
            <w:vMerge w:val="restart"/>
            <w:vAlign w:val="center"/>
          </w:tcPr>
          <w:p>
            <w:pPr>
              <w:widowControl/>
              <w:spacing w:line="360" w:lineRule="auto"/>
              <w:jc w:val="left"/>
              <w:rPr>
                <w:rFonts w:ascii="宋体" w:hAnsi="宋体" w:cs="宋体"/>
                <w:b/>
                <w:bCs/>
                <w:szCs w:val="21"/>
              </w:rPr>
            </w:pPr>
            <w:r>
              <w:rPr>
                <w:rFonts w:hint="eastAsia" w:ascii="宋体" w:hAnsi="宋体" w:cs="宋体"/>
                <w:b/>
                <w:bCs/>
                <w:szCs w:val="21"/>
              </w:rPr>
              <w:t>技术性能（</w:t>
            </w:r>
            <w:r>
              <w:rPr>
                <w:rFonts w:hint="eastAsia" w:ascii="宋体" w:hAnsi="宋体" w:cs="宋体"/>
                <w:b/>
                <w:bCs/>
                <w:szCs w:val="21"/>
                <w:lang w:val="en-US" w:eastAsia="zh-CN"/>
              </w:rPr>
              <w:t>41</w:t>
            </w:r>
            <w:r>
              <w:rPr>
                <w:rFonts w:hint="eastAsia" w:ascii="宋体" w:hAnsi="宋体" w:cs="宋体"/>
                <w:b/>
                <w:bCs/>
                <w:szCs w:val="21"/>
              </w:rPr>
              <w:t>分）</w:t>
            </w:r>
          </w:p>
        </w:tc>
        <w:tc>
          <w:tcPr>
            <w:tcW w:w="7142" w:type="dxa"/>
            <w:vAlign w:val="center"/>
          </w:tcPr>
          <w:p>
            <w:pPr>
              <w:widowControl/>
              <w:jc w:val="left"/>
              <w:rPr>
                <w:rFonts w:ascii="宋体" w:hAnsi="宋体" w:cs="宋体"/>
                <w:color w:val="000000"/>
                <w:szCs w:val="21"/>
              </w:rPr>
            </w:pPr>
            <w:r>
              <w:rPr>
                <w:rFonts w:hint="eastAsia" w:ascii="宋体" w:hAnsi="宋体" w:cs="宋体"/>
                <w:color w:val="000000"/>
                <w:szCs w:val="21"/>
              </w:rPr>
              <w:t>根据项目实施方案的科学性、合理性、规范性、可操作性等因素，针对本项目的实施计划、系统对接的可行性和承诺、测试与验收计划、质量保证计划和标准、实施方案考虑周全性等进行打分，</w:t>
            </w:r>
            <w:r>
              <w:rPr>
                <w:rFonts w:hint="eastAsia" w:ascii="宋体" w:hAnsi="宋体" w:cs="宋体"/>
                <w:bCs/>
                <w:kern w:val="0"/>
                <w:szCs w:val="21"/>
                <w:lang w:val="en-US" w:eastAsia="zh-CN"/>
              </w:rPr>
              <w:t>第一档3-2.1分，第二档2-1.1分，第三档1-0分。</w:t>
            </w:r>
          </w:p>
        </w:tc>
        <w:tc>
          <w:tcPr>
            <w:tcW w:w="657" w:type="dxa"/>
            <w:vAlign w:val="center"/>
          </w:tcPr>
          <w:p>
            <w:pPr>
              <w:widowControl/>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93" w:type="dxa"/>
            <w:vMerge w:val="continue"/>
            <w:vAlign w:val="center"/>
          </w:tcPr>
          <w:p>
            <w:pPr>
              <w:widowControl/>
              <w:spacing w:line="360" w:lineRule="auto"/>
              <w:ind w:firstLine="480"/>
              <w:jc w:val="left"/>
              <w:rPr>
                <w:rFonts w:ascii="宋体" w:hAnsi="宋体" w:cs="宋体"/>
                <w:bCs/>
                <w:szCs w:val="21"/>
              </w:rPr>
            </w:pPr>
          </w:p>
        </w:tc>
        <w:tc>
          <w:tcPr>
            <w:tcW w:w="7142" w:type="dxa"/>
            <w:vAlign w:val="center"/>
          </w:tcPr>
          <w:p>
            <w:pPr>
              <w:rPr>
                <w:rFonts w:ascii="宋体" w:hAnsi="宋体" w:cs="宋体"/>
                <w:color w:val="000000"/>
                <w:szCs w:val="21"/>
              </w:rPr>
            </w:pPr>
            <w:r>
              <w:rPr>
                <w:rFonts w:hint="eastAsia" w:ascii="宋体" w:hAnsi="宋体" w:cs="宋体"/>
                <w:color w:val="auto"/>
                <w:szCs w:val="21"/>
              </w:rPr>
              <w:t>根据投标产品的参数性能是否符合招标文件的要求及符合程度进行评价：负偏离</w:t>
            </w:r>
            <w:r>
              <w:rPr>
                <w:rFonts w:ascii="宋体" w:hAnsi="宋体" w:cs="宋体"/>
                <w:color w:val="auto"/>
                <w:szCs w:val="21"/>
              </w:rPr>
              <w:t>1项扣2</w:t>
            </w:r>
            <w:r>
              <w:rPr>
                <w:rFonts w:hint="eastAsia" w:ascii="宋体" w:hAnsi="宋体" w:cs="宋体"/>
                <w:color w:val="auto"/>
                <w:szCs w:val="21"/>
              </w:rPr>
              <w:t>分，扣完为止。</w:t>
            </w:r>
          </w:p>
        </w:tc>
        <w:tc>
          <w:tcPr>
            <w:tcW w:w="657" w:type="dxa"/>
            <w:vAlign w:val="center"/>
          </w:tcPr>
          <w:p>
            <w:pPr>
              <w:widowControl/>
              <w:jc w:val="center"/>
              <w:rPr>
                <w:rFonts w:ascii="宋体" w:hAnsi="宋体" w:cs="宋体"/>
                <w:color w:val="000000"/>
                <w:szCs w:val="21"/>
              </w:rPr>
            </w:pPr>
            <w:r>
              <w:rPr>
                <w:rFonts w:hint="eastAsia" w:ascii="宋体" w:hAnsi="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93" w:type="dxa"/>
            <w:vMerge w:val="continue"/>
            <w:vAlign w:val="center"/>
          </w:tcPr>
          <w:p>
            <w:pPr>
              <w:widowControl/>
              <w:spacing w:line="360" w:lineRule="auto"/>
              <w:ind w:firstLine="480"/>
              <w:jc w:val="left"/>
              <w:rPr>
                <w:rFonts w:ascii="宋体" w:hAnsi="宋体" w:cs="宋体"/>
                <w:bCs/>
                <w:szCs w:val="21"/>
              </w:rPr>
            </w:pPr>
          </w:p>
        </w:tc>
        <w:tc>
          <w:tcPr>
            <w:tcW w:w="7142" w:type="dxa"/>
            <w:vAlign w:val="center"/>
          </w:tcPr>
          <w:p>
            <w:pPr>
              <w:pStyle w:val="9"/>
              <w:ind w:firstLine="0"/>
              <w:rPr>
                <w:rFonts w:ascii="宋体" w:hAnsi="宋体" w:cs="宋体"/>
                <w:szCs w:val="21"/>
              </w:rPr>
            </w:pPr>
            <w:r>
              <w:rPr>
                <w:rFonts w:hint="eastAsia" w:ascii="宋体" w:hAnsi="宋体" w:cs="宋体"/>
                <w:color w:val="000000"/>
                <w:kern w:val="0"/>
                <w:szCs w:val="21"/>
              </w:rPr>
              <w:t>投标人须对筛查</w:t>
            </w:r>
            <w:r>
              <w:rPr>
                <w:rFonts w:hint="eastAsia" w:ascii="宋体" w:hAnsi="宋体" w:cs="宋体"/>
                <w:szCs w:val="21"/>
              </w:rPr>
              <w:t>硬件设备进行现场演示，产品的自动化水平、可操作性、精确性、可维护性等综合评分。 第一档1</w:t>
            </w:r>
            <w:r>
              <w:rPr>
                <w:rFonts w:hint="eastAsia" w:ascii="宋体" w:hAnsi="宋体" w:cs="宋体"/>
                <w:szCs w:val="21"/>
                <w:lang w:val="en-US" w:eastAsia="zh-CN"/>
              </w:rPr>
              <w:t>8-14.5</w:t>
            </w:r>
            <w:r>
              <w:rPr>
                <w:rFonts w:hint="eastAsia" w:ascii="宋体" w:hAnsi="宋体" w:cs="宋体"/>
                <w:szCs w:val="21"/>
              </w:rPr>
              <w:t>分，第二档1</w:t>
            </w:r>
            <w:r>
              <w:rPr>
                <w:rFonts w:hint="eastAsia" w:ascii="宋体" w:hAnsi="宋体" w:cs="宋体"/>
                <w:szCs w:val="21"/>
                <w:lang w:val="en-US" w:eastAsia="zh-CN"/>
              </w:rPr>
              <w:t>4.4</w:t>
            </w:r>
            <w:r>
              <w:rPr>
                <w:rFonts w:hint="eastAsia" w:ascii="宋体" w:hAnsi="宋体" w:cs="宋体"/>
                <w:szCs w:val="21"/>
              </w:rPr>
              <w:t>-</w:t>
            </w:r>
            <w:r>
              <w:rPr>
                <w:rFonts w:hint="eastAsia" w:ascii="宋体" w:hAnsi="宋体" w:cs="宋体"/>
                <w:szCs w:val="21"/>
                <w:lang w:val="en-US" w:eastAsia="zh-CN"/>
              </w:rPr>
              <w:t>10.9</w:t>
            </w:r>
            <w:r>
              <w:rPr>
                <w:rFonts w:hint="eastAsia" w:ascii="宋体" w:hAnsi="宋体" w:cs="宋体"/>
                <w:szCs w:val="21"/>
              </w:rPr>
              <w:t>分，第三档</w:t>
            </w:r>
            <w:r>
              <w:rPr>
                <w:rFonts w:hint="eastAsia" w:ascii="宋体" w:hAnsi="宋体" w:cs="宋体"/>
                <w:szCs w:val="21"/>
                <w:lang w:val="en-US" w:eastAsia="zh-CN"/>
              </w:rPr>
              <w:t>10.8-7.3</w:t>
            </w:r>
            <w:r>
              <w:rPr>
                <w:rFonts w:hint="eastAsia" w:ascii="宋体" w:hAnsi="宋体" w:cs="宋体"/>
                <w:szCs w:val="21"/>
              </w:rPr>
              <w:t>分，第四档</w:t>
            </w:r>
            <w:r>
              <w:rPr>
                <w:rFonts w:hint="eastAsia" w:ascii="宋体" w:hAnsi="宋体" w:cs="宋体"/>
                <w:szCs w:val="21"/>
                <w:lang w:val="en-US" w:eastAsia="zh-CN"/>
              </w:rPr>
              <w:t>7.2</w:t>
            </w:r>
            <w:r>
              <w:rPr>
                <w:rFonts w:hint="eastAsia" w:ascii="宋体" w:hAnsi="宋体" w:cs="宋体"/>
                <w:szCs w:val="21"/>
              </w:rPr>
              <w:t>-</w:t>
            </w:r>
            <w:r>
              <w:rPr>
                <w:rFonts w:hint="eastAsia" w:ascii="宋体" w:hAnsi="宋体" w:cs="宋体"/>
                <w:szCs w:val="21"/>
                <w:lang w:val="en-US" w:eastAsia="zh-CN"/>
              </w:rPr>
              <w:t>3.7</w:t>
            </w:r>
            <w:r>
              <w:rPr>
                <w:rFonts w:hint="eastAsia" w:ascii="宋体" w:hAnsi="宋体" w:cs="宋体"/>
                <w:szCs w:val="21"/>
              </w:rPr>
              <w:t>分，第五档</w:t>
            </w:r>
            <w:r>
              <w:rPr>
                <w:rFonts w:hint="eastAsia" w:ascii="宋体" w:hAnsi="宋体" w:cs="宋体"/>
                <w:szCs w:val="21"/>
                <w:lang w:val="en-US" w:eastAsia="zh-CN"/>
              </w:rPr>
              <w:t>3.6</w:t>
            </w:r>
            <w:r>
              <w:rPr>
                <w:rFonts w:hint="eastAsia" w:ascii="宋体" w:hAnsi="宋体" w:cs="宋体"/>
                <w:szCs w:val="21"/>
              </w:rPr>
              <w:t>-0分。</w:t>
            </w:r>
          </w:p>
        </w:tc>
        <w:tc>
          <w:tcPr>
            <w:tcW w:w="657" w:type="dxa"/>
            <w:vAlign w:val="center"/>
          </w:tcPr>
          <w:p>
            <w:pPr>
              <w:widowControl/>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1293" w:type="dxa"/>
            <w:vMerge w:val="continue"/>
            <w:vAlign w:val="center"/>
          </w:tcPr>
          <w:p>
            <w:pPr>
              <w:widowControl/>
              <w:spacing w:line="360" w:lineRule="auto"/>
              <w:ind w:firstLine="480"/>
              <w:jc w:val="left"/>
              <w:rPr>
                <w:rFonts w:ascii="宋体" w:hAnsi="宋体" w:cs="宋体"/>
                <w:bCs/>
                <w:szCs w:val="21"/>
              </w:rPr>
            </w:pPr>
          </w:p>
        </w:tc>
        <w:tc>
          <w:tcPr>
            <w:tcW w:w="7142" w:type="dxa"/>
            <w:vAlign w:val="center"/>
          </w:tcPr>
          <w:p>
            <w:pPr>
              <w:rPr>
                <w:rFonts w:ascii="宋体" w:hAnsi="宋体" w:cs="宋体"/>
                <w:szCs w:val="21"/>
              </w:rPr>
            </w:pPr>
            <w:r>
              <w:rPr>
                <w:rFonts w:hint="eastAsia" w:ascii="宋体" w:hAnsi="宋体" w:cs="宋体"/>
                <w:szCs w:val="21"/>
              </w:rPr>
              <w:t>投标品牌知名度、市场认可度。第一档6-4.9分，第二档4.8-3.7分，第三档3.6-2.5分，第四档2.4-1.3分，第五档1.2-0分。</w:t>
            </w:r>
          </w:p>
        </w:tc>
        <w:tc>
          <w:tcPr>
            <w:tcW w:w="657" w:type="dxa"/>
            <w:vAlign w:val="center"/>
          </w:tcPr>
          <w:p>
            <w:pPr>
              <w:widowControl/>
              <w:jc w:val="center"/>
              <w:rPr>
                <w:rFonts w:ascii="宋体" w:hAnsi="宋体" w:cs="宋体"/>
                <w:color w:val="000000"/>
                <w:szCs w:val="21"/>
              </w:rPr>
            </w:pPr>
            <w:r>
              <w:rPr>
                <w:rFonts w:hint="eastAsia" w:ascii="宋体" w:hAnsi="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93" w:type="dxa"/>
            <w:vMerge w:val="continue"/>
            <w:vAlign w:val="center"/>
          </w:tcPr>
          <w:p>
            <w:pPr>
              <w:widowControl/>
              <w:spacing w:line="360" w:lineRule="auto"/>
              <w:ind w:firstLine="480"/>
              <w:jc w:val="left"/>
              <w:rPr>
                <w:rFonts w:ascii="宋体" w:hAnsi="宋体" w:cs="宋体"/>
                <w:bCs/>
                <w:szCs w:val="21"/>
              </w:rPr>
            </w:pPr>
          </w:p>
        </w:tc>
        <w:tc>
          <w:tcPr>
            <w:tcW w:w="7142" w:type="dxa"/>
            <w:vAlign w:val="center"/>
          </w:tcPr>
          <w:p>
            <w:r>
              <w:rPr>
                <w:rFonts w:hint="eastAsia"/>
              </w:rPr>
              <w:t>根据对本项目组配备的专业人员的数量、资质、技术能力、工作经验、分工等的合理性，以及拟担任本项目经理和技术负责人的专业资质、技术能力等进行综合评分</w:t>
            </w:r>
            <w:r>
              <w:rPr>
                <w:rFonts w:hint="eastAsia"/>
                <w:lang w:eastAsia="zh-CN"/>
              </w:rPr>
              <w:t>，</w:t>
            </w:r>
            <w:r>
              <w:rPr>
                <w:rFonts w:hint="eastAsia" w:ascii="宋体" w:hAnsi="宋体" w:cs="宋体"/>
                <w:szCs w:val="21"/>
                <w:lang w:val="en-US" w:eastAsia="zh-CN"/>
              </w:rPr>
              <w:t>第一档4-3.1分，第二档3-2.1分，第三档2-1.1分，第四档1-0分。</w:t>
            </w:r>
          </w:p>
          <w:p>
            <w:pPr>
              <w:pStyle w:val="9"/>
              <w:ind w:firstLine="0"/>
            </w:pPr>
            <w:r>
              <w:rPr>
                <w:rFonts w:hint="eastAsia" w:ascii="宋体" w:hAnsi="宋体" w:cs="宋体"/>
                <w:szCs w:val="21"/>
              </w:rPr>
              <w:t>注：提供项目组关键技术人员的证书复印件加盖公章并提供对应人员近6个月的社保证明。</w:t>
            </w:r>
          </w:p>
        </w:tc>
        <w:tc>
          <w:tcPr>
            <w:tcW w:w="657" w:type="dxa"/>
            <w:vAlign w:val="center"/>
          </w:tcPr>
          <w:p>
            <w:pPr>
              <w:pStyle w:val="50"/>
              <w:widowControl w:val="0"/>
              <w:jc w:val="center"/>
              <w:rPr>
                <w:rFonts w:hint="eastAsia" w:ascii="宋体" w:hAnsi="宋体" w:eastAsia="宋体" w:cs="宋体"/>
                <w:color w:val="000000"/>
                <w:szCs w:val="21"/>
                <w:lang w:eastAsia="zh-CN"/>
              </w:rPr>
            </w:pPr>
            <w:r>
              <w:rPr>
                <w:rFonts w:hint="eastAsia" w:ascii="宋体" w:hAnsi="宋体" w:eastAsia="宋体" w:cs="宋体"/>
                <w:color w:val="000000"/>
                <w:kern w:val="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293" w:type="dxa"/>
            <w:vMerge w:val="restart"/>
            <w:vAlign w:val="center"/>
          </w:tcPr>
          <w:p>
            <w:pPr>
              <w:widowControl/>
              <w:spacing w:line="360" w:lineRule="auto"/>
              <w:jc w:val="left"/>
              <w:rPr>
                <w:rFonts w:ascii="宋体" w:hAnsi="宋体" w:cs="宋体"/>
                <w:b/>
                <w:szCs w:val="21"/>
              </w:rPr>
            </w:pPr>
            <w:r>
              <w:rPr>
                <w:rFonts w:hint="eastAsia" w:ascii="宋体" w:hAnsi="宋体" w:cs="宋体"/>
                <w:b/>
                <w:szCs w:val="21"/>
              </w:rPr>
              <w:t>供应商实力及资质（</w:t>
            </w:r>
            <w:r>
              <w:rPr>
                <w:rFonts w:hint="eastAsia" w:ascii="宋体" w:hAnsi="宋体" w:cs="宋体"/>
                <w:b/>
                <w:szCs w:val="21"/>
                <w:lang w:val="en-US" w:eastAsia="zh-CN"/>
              </w:rPr>
              <w:t>10</w:t>
            </w:r>
            <w:r>
              <w:rPr>
                <w:rFonts w:hint="eastAsia" w:ascii="宋体" w:hAnsi="宋体" w:cs="宋体"/>
                <w:b/>
                <w:szCs w:val="21"/>
              </w:rPr>
              <w:t>分）</w:t>
            </w:r>
          </w:p>
        </w:tc>
        <w:tc>
          <w:tcPr>
            <w:tcW w:w="7142" w:type="dxa"/>
            <w:vAlign w:val="center"/>
          </w:tcPr>
          <w:p>
            <w:pPr>
              <w:rPr>
                <w:rFonts w:ascii="宋体" w:hAnsi="宋体" w:cs="宋体"/>
                <w:szCs w:val="21"/>
              </w:rPr>
            </w:pPr>
            <w:r>
              <w:rPr>
                <w:rFonts w:hint="eastAsia" w:ascii="宋体" w:hAnsi="宋体" w:cs="宋体"/>
                <w:szCs w:val="21"/>
              </w:rPr>
              <w:t>履约能力、财务状况</w:t>
            </w:r>
          </w:p>
          <w:p>
            <w:pPr>
              <w:rPr>
                <w:rFonts w:ascii="宋体" w:hAnsi="宋体" w:cs="宋体"/>
                <w:szCs w:val="21"/>
              </w:rPr>
            </w:pPr>
            <w:r>
              <w:rPr>
                <w:rFonts w:hint="eastAsia" w:ascii="宋体" w:hAnsi="宋体" w:cs="宋体"/>
                <w:szCs w:val="21"/>
              </w:rPr>
              <w:t>1、履约能力；</w:t>
            </w:r>
          </w:p>
          <w:p>
            <w:pPr>
              <w:rPr>
                <w:rFonts w:ascii="宋体" w:hAnsi="宋体" w:cs="宋体"/>
                <w:szCs w:val="21"/>
              </w:rPr>
            </w:pPr>
            <w:r>
              <w:rPr>
                <w:rFonts w:hint="eastAsia" w:ascii="宋体" w:hAnsi="宋体" w:cs="宋体"/>
                <w:szCs w:val="21"/>
              </w:rPr>
              <w:t>2、资本运营状况；</w:t>
            </w:r>
          </w:p>
          <w:p>
            <w:pPr>
              <w:rPr>
                <w:rFonts w:ascii="宋体" w:hAnsi="宋体" w:cs="宋体"/>
                <w:szCs w:val="21"/>
              </w:rPr>
            </w:pPr>
            <w:r>
              <w:rPr>
                <w:rFonts w:hint="eastAsia" w:ascii="宋体" w:hAnsi="宋体" w:cs="宋体"/>
                <w:szCs w:val="21"/>
              </w:rPr>
              <w:t>注：投标人需提供近三年经会计师事务所审核的财务报表（资产负债表、利润表、现金流量表）。</w:t>
            </w:r>
          </w:p>
        </w:tc>
        <w:tc>
          <w:tcPr>
            <w:tcW w:w="657"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293" w:type="dxa"/>
            <w:vMerge w:val="continue"/>
            <w:vAlign w:val="center"/>
          </w:tcPr>
          <w:p>
            <w:pPr>
              <w:widowControl/>
              <w:spacing w:line="360" w:lineRule="auto"/>
              <w:jc w:val="left"/>
              <w:rPr>
                <w:rFonts w:ascii="宋体" w:hAnsi="宋体" w:cs="宋体"/>
                <w:bCs/>
                <w:szCs w:val="21"/>
              </w:rPr>
            </w:pPr>
          </w:p>
        </w:tc>
        <w:tc>
          <w:tcPr>
            <w:tcW w:w="7142" w:type="dxa"/>
          </w:tcPr>
          <w:p>
            <w:pPr>
              <w:rPr>
                <w:rFonts w:ascii="宋体" w:hAnsi="宋体" w:cs="宋体"/>
                <w:color w:val="auto"/>
                <w:szCs w:val="21"/>
              </w:rPr>
            </w:pPr>
            <w:r>
              <w:rPr>
                <w:rFonts w:hint="eastAsia" w:ascii="宋体" w:hAnsi="宋体" w:cs="宋体"/>
                <w:color w:val="auto"/>
                <w:szCs w:val="21"/>
              </w:rPr>
              <w:t>投标人资质实力（与本项目实际需求相适应的各种资格、资质、认证证书）。（1个证书得1分）</w:t>
            </w:r>
          </w:p>
        </w:tc>
        <w:tc>
          <w:tcPr>
            <w:tcW w:w="657" w:type="dxa"/>
            <w:vAlign w:val="center"/>
          </w:tcPr>
          <w:p>
            <w:pPr>
              <w:widowControl/>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293" w:type="dxa"/>
            <w:vMerge w:val="continue"/>
            <w:vAlign w:val="center"/>
          </w:tcPr>
          <w:p>
            <w:pPr>
              <w:widowControl/>
              <w:spacing w:line="360" w:lineRule="auto"/>
              <w:jc w:val="left"/>
              <w:rPr>
                <w:rFonts w:ascii="宋体" w:hAnsi="宋体" w:cs="宋体"/>
                <w:bCs/>
                <w:szCs w:val="21"/>
              </w:rPr>
            </w:pPr>
          </w:p>
        </w:tc>
        <w:tc>
          <w:tcPr>
            <w:tcW w:w="7142" w:type="dxa"/>
          </w:tcPr>
          <w:p>
            <w:pPr>
              <w:rPr>
                <w:rFonts w:ascii="宋体" w:hAnsi="宋体" w:cs="宋体"/>
                <w:color w:val="auto"/>
                <w:szCs w:val="21"/>
              </w:rPr>
            </w:pPr>
            <w:r>
              <w:rPr>
                <w:rFonts w:hint="eastAsia" w:ascii="宋体" w:hAnsi="宋体" w:eastAsia="宋体" w:cs="Times New Roman"/>
                <w:color w:val="auto"/>
                <w:kern w:val="2"/>
                <w:sz w:val="21"/>
                <w:szCs w:val="21"/>
              </w:rPr>
              <w:t>投标人近三年来（201</w:t>
            </w:r>
            <w:r>
              <w:rPr>
                <w:rFonts w:ascii="宋体" w:hAnsi="宋体" w:eastAsia="宋体" w:cs="Times New Roman"/>
                <w:color w:val="auto"/>
                <w:kern w:val="2"/>
                <w:sz w:val="21"/>
                <w:szCs w:val="21"/>
              </w:rPr>
              <w:t>7</w:t>
            </w:r>
            <w:r>
              <w:rPr>
                <w:rFonts w:hint="eastAsia" w:ascii="宋体" w:hAnsi="宋体" w:eastAsia="宋体" w:cs="Times New Roman"/>
                <w:color w:val="auto"/>
                <w:kern w:val="2"/>
                <w:sz w:val="21"/>
                <w:szCs w:val="21"/>
              </w:rPr>
              <w:t>年9月</w:t>
            </w:r>
            <w:r>
              <w:rPr>
                <w:rFonts w:hint="eastAsia" w:ascii="宋体" w:hAnsi="宋体" w:cs="Times New Roman"/>
                <w:color w:val="auto"/>
                <w:kern w:val="2"/>
                <w:sz w:val="21"/>
                <w:szCs w:val="21"/>
                <w:lang w:val="en-US" w:eastAsia="zh-CN"/>
              </w:rPr>
              <w:t>25</w:t>
            </w:r>
            <w:r>
              <w:rPr>
                <w:rFonts w:hint="eastAsia" w:ascii="宋体" w:hAnsi="宋体" w:eastAsia="宋体" w:cs="Times New Roman"/>
                <w:color w:val="auto"/>
                <w:kern w:val="2"/>
                <w:sz w:val="21"/>
                <w:szCs w:val="21"/>
              </w:rPr>
              <w:t>日至本项目开标之日，以合同签订时间为准）的类似项目业绩，</w:t>
            </w:r>
            <w:r>
              <w:rPr>
                <w:rFonts w:hint="eastAsia" w:ascii="宋体" w:hAnsi="宋体" w:eastAsia="宋体" w:cs="Times New Roman"/>
                <w:color w:val="auto"/>
                <w:kern w:val="2"/>
                <w:sz w:val="21"/>
                <w:szCs w:val="21"/>
                <w:lang w:val="en-US" w:eastAsia="zh-CN"/>
              </w:rPr>
              <w:t>根据项目规模、</w:t>
            </w:r>
            <w:r>
              <w:rPr>
                <w:rFonts w:hint="eastAsia" w:ascii="宋体" w:hAnsi="宋体" w:cs="Times New Roman"/>
                <w:color w:val="auto"/>
                <w:kern w:val="2"/>
                <w:sz w:val="21"/>
                <w:szCs w:val="21"/>
                <w:lang w:val="en-US" w:eastAsia="zh-CN"/>
              </w:rPr>
              <w:t>项目</w:t>
            </w:r>
            <w:r>
              <w:rPr>
                <w:rFonts w:hint="eastAsia" w:ascii="宋体" w:hAnsi="宋体" w:eastAsia="宋体" w:cs="Times New Roman"/>
                <w:color w:val="auto"/>
                <w:kern w:val="2"/>
                <w:sz w:val="21"/>
                <w:szCs w:val="21"/>
                <w:lang w:val="en-US" w:eastAsia="zh-CN"/>
              </w:rPr>
              <w:t>金额、</w:t>
            </w:r>
            <w:r>
              <w:rPr>
                <w:rFonts w:hint="eastAsia" w:ascii="宋体" w:hAnsi="宋体" w:cs="Times New Roman"/>
                <w:color w:val="auto"/>
                <w:kern w:val="2"/>
                <w:sz w:val="21"/>
                <w:szCs w:val="21"/>
                <w:lang w:val="en-US" w:eastAsia="zh-CN"/>
              </w:rPr>
              <w:t>项目</w:t>
            </w:r>
            <w:r>
              <w:rPr>
                <w:rFonts w:hint="eastAsia" w:ascii="宋体" w:hAnsi="宋体" w:eastAsia="宋体" w:cs="Times New Roman"/>
                <w:color w:val="auto"/>
                <w:kern w:val="2"/>
                <w:sz w:val="21"/>
                <w:szCs w:val="21"/>
                <w:lang w:val="en-US" w:eastAsia="zh-CN"/>
              </w:rPr>
              <w:t>个数，分档打分，第一档5-4.1分，第二档4-3.1分，第三档3-2.1分，第四档2-1.1分，第五档1-0分</w:t>
            </w:r>
            <w:r>
              <w:rPr>
                <w:rFonts w:hint="eastAsia" w:ascii="宋体" w:hAnsi="宋体" w:eastAsia="宋体" w:cs="Times New Roman"/>
                <w:color w:val="auto"/>
                <w:kern w:val="2"/>
                <w:sz w:val="21"/>
                <w:szCs w:val="21"/>
              </w:rPr>
              <w:t>。（投标人须提供有效的合同扫描件</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w:t>
            </w:r>
          </w:p>
        </w:tc>
        <w:tc>
          <w:tcPr>
            <w:tcW w:w="657" w:type="dxa"/>
            <w:vAlign w:val="center"/>
          </w:tcPr>
          <w:p>
            <w:pPr>
              <w:pStyle w:val="32"/>
              <w:spacing w:line="360" w:lineRule="auto"/>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293" w:type="dxa"/>
            <w:vMerge w:val="restart"/>
            <w:vAlign w:val="center"/>
          </w:tcPr>
          <w:p>
            <w:pPr>
              <w:rPr>
                <w:rFonts w:ascii="宋体" w:hAnsi="宋体" w:cs="宋体"/>
                <w:b/>
                <w:bCs/>
                <w:color w:val="000000"/>
                <w:szCs w:val="21"/>
              </w:rPr>
            </w:pPr>
            <w:r>
              <w:rPr>
                <w:rFonts w:hint="eastAsia" w:ascii="宋体" w:hAnsi="宋体" w:cs="宋体"/>
                <w:b/>
                <w:bCs/>
                <w:color w:val="000000"/>
                <w:szCs w:val="21"/>
              </w:rPr>
              <w:t>售后服务（</w:t>
            </w:r>
            <w:r>
              <w:rPr>
                <w:rFonts w:hint="eastAsia" w:ascii="宋体" w:hAnsi="宋体" w:cs="宋体"/>
                <w:b/>
                <w:bCs/>
                <w:color w:val="000000"/>
                <w:szCs w:val="21"/>
                <w:lang w:val="en-US" w:eastAsia="zh-CN"/>
              </w:rPr>
              <w:t>17</w:t>
            </w:r>
            <w:r>
              <w:rPr>
                <w:rFonts w:hint="eastAsia" w:ascii="宋体" w:hAnsi="宋体" w:cs="宋体"/>
                <w:b/>
                <w:bCs/>
                <w:color w:val="000000"/>
                <w:szCs w:val="21"/>
              </w:rPr>
              <w:t>分）</w:t>
            </w:r>
          </w:p>
        </w:tc>
        <w:tc>
          <w:tcPr>
            <w:tcW w:w="7142" w:type="dxa"/>
            <w:vAlign w:val="center"/>
          </w:tcPr>
          <w:p>
            <w:pPr>
              <w:pStyle w:val="32"/>
              <w:spacing w:line="240" w:lineRule="auto"/>
              <w:ind w:firstLine="0" w:firstLineChars="0"/>
              <w:jc w:val="left"/>
              <w:rPr>
                <w:rFonts w:ascii="宋体" w:hAnsi="宋体" w:cs="宋体"/>
                <w:szCs w:val="21"/>
              </w:rPr>
            </w:pPr>
            <w:r>
              <w:rPr>
                <w:rFonts w:hint="eastAsia" w:ascii="宋体" w:hAnsi="宋体" w:cs="宋体"/>
                <w:szCs w:val="21"/>
              </w:rPr>
              <w:t>质保期：在满足招标文件需求的基础上每增加1年得1分，最多得3分；</w:t>
            </w:r>
          </w:p>
        </w:tc>
        <w:tc>
          <w:tcPr>
            <w:tcW w:w="657" w:type="dxa"/>
            <w:vAlign w:val="center"/>
          </w:tcPr>
          <w:p>
            <w:pPr>
              <w:widowControl/>
              <w:jc w:val="center"/>
              <w:rPr>
                <w:rFonts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293" w:type="dxa"/>
            <w:vMerge w:val="continue"/>
            <w:vAlign w:val="center"/>
          </w:tcPr>
          <w:p>
            <w:pPr>
              <w:widowControl/>
              <w:spacing w:line="360" w:lineRule="auto"/>
              <w:jc w:val="left"/>
              <w:rPr>
                <w:rFonts w:ascii="宋体" w:hAnsi="宋体" w:cs="宋体"/>
                <w:color w:val="000000"/>
                <w:szCs w:val="21"/>
              </w:rPr>
            </w:pPr>
          </w:p>
        </w:tc>
        <w:tc>
          <w:tcPr>
            <w:tcW w:w="7142" w:type="dxa"/>
            <w:vAlign w:val="center"/>
          </w:tcPr>
          <w:p>
            <w:pPr>
              <w:pStyle w:val="32"/>
              <w:spacing w:line="240" w:lineRule="auto"/>
              <w:ind w:firstLine="0" w:firstLineChars="0"/>
              <w:jc w:val="left"/>
              <w:rPr>
                <w:rFonts w:hint="default" w:ascii="宋体" w:hAnsi="宋体" w:eastAsia="宋体" w:cs="宋体"/>
                <w:szCs w:val="21"/>
                <w:lang w:val="en-US" w:eastAsia="zh-CN"/>
              </w:rPr>
            </w:pPr>
            <w:r>
              <w:rPr>
                <w:rFonts w:hint="eastAsia" w:ascii="宋体" w:hAnsi="宋体" w:cs="宋体"/>
                <w:szCs w:val="21"/>
              </w:rPr>
              <w:t>根据投标供应商的本地化服务能力进行酌情打分，包括供应商本地综合服务支撑方案（本地化服务承诺）。</w:t>
            </w:r>
            <w:r>
              <w:rPr>
                <w:rFonts w:hint="eastAsia" w:ascii="宋体" w:hAnsi="宋体" w:cs="宋体"/>
                <w:szCs w:val="21"/>
                <w:lang w:val="en-US" w:eastAsia="zh-CN"/>
              </w:rPr>
              <w:t>第一档4-3.1分，第二档3-2.1分，第三档2-1.1分，第四档1-0分。</w:t>
            </w:r>
          </w:p>
        </w:tc>
        <w:tc>
          <w:tcPr>
            <w:tcW w:w="657" w:type="dxa"/>
            <w:vAlign w:val="center"/>
          </w:tcPr>
          <w:p>
            <w:pPr>
              <w:widowControl/>
              <w:jc w:val="center"/>
              <w:rPr>
                <w:rFonts w:hint="default" w:ascii="宋体" w:hAnsi="宋体" w:cs="宋体"/>
                <w:color w:val="000000"/>
                <w:szCs w:val="21"/>
                <w:lang w:val="en-US"/>
              </w:rPr>
            </w:pPr>
            <w:r>
              <w:rPr>
                <w:rFonts w:hint="eastAsia" w:ascii="宋体" w:hAnsi="宋体" w:cs="宋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293" w:type="dxa"/>
            <w:vMerge w:val="continue"/>
            <w:vAlign w:val="center"/>
          </w:tcPr>
          <w:p>
            <w:pPr>
              <w:widowControl/>
              <w:spacing w:line="360" w:lineRule="auto"/>
              <w:jc w:val="left"/>
              <w:rPr>
                <w:rFonts w:ascii="宋体" w:hAnsi="宋体" w:cs="宋体"/>
                <w:color w:val="000000"/>
                <w:szCs w:val="21"/>
              </w:rPr>
            </w:pPr>
          </w:p>
        </w:tc>
        <w:tc>
          <w:tcPr>
            <w:tcW w:w="7142" w:type="dxa"/>
            <w:vAlign w:val="center"/>
          </w:tcPr>
          <w:p>
            <w:pPr>
              <w:pStyle w:val="32"/>
              <w:spacing w:line="240" w:lineRule="auto"/>
              <w:ind w:firstLine="0" w:firstLineChars="0"/>
              <w:jc w:val="left"/>
              <w:rPr>
                <w:rFonts w:ascii="宋体" w:hAnsi="宋体" w:cs="宋体"/>
                <w:szCs w:val="21"/>
              </w:rPr>
            </w:pPr>
            <w:r>
              <w:rPr>
                <w:rFonts w:hint="eastAsia" w:ascii="宋体" w:hAnsi="宋体" w:cs="宋体"/>
                <w:szCs w:val="21"/>
              </w:rPr>
              <w:t>服务培训方案（从可行性、合理性、实用性、师资等情况进行评分）及承诺。</w:t>
            </w:r>
            <w:r>
              <w:rPr>
                <w:rFonts w:hint="eastAsia" w:ascii="宋体" w:hAnsi="宋体" w:cs="宋体"/>
                <w:bCs/>
                <w:kern w:val="0"/>
                <w:szCs w:val="21"/>
                <w:lang w:val="en-US" w:eastAsia="zh-CN"/>
              </w:rPr>
              <w:t>第一档3-2.1分，第二档2-1.1分，第三档1-0分。</w:t>
            </w:r>
          </w:p>
        </w:tc>
        <w:tc>
          <w:tcPr>
            <w:tcW w:w="657" w:type="dxa"/>
            <w:vAlign w:val="center"/>
          </w:tcPr>
          <w:p>
            <w:pPr>
              <w:widowControl/>
              <w:jc w:val="center"/>
              <w:rPr>
                <w:rFonts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293" w:type="dxa"/>
            <w:vMerge w:val="continue"/>
            <w:vAlign w:val="center"/>
          </w:tcPr>
          <w:p>
            <w:pPr>
              <w:widowControl/>
              <w:spacing w:line="360" w:lineRule="auto"/>
              <w:jc w:val="left"/>
              <w:rPr>
                <w:rFonts w:ascii="宋体" w:hAnsi="宋体" w:cs="宋体"/>
                <w:color w:val="000000"/>
                <w:szCs w:val="21"/>
              </w:rPr>
            </w:pPr>
          </w:p>
        </w:tc>
        <w:tc>
          <w:tcPr>
            <w:tcW w:w="7142" w:type="dxa"/>
            <w:vAlign w:val="center"/>
          </w:tcPr>
          <w:p>
            <w:pPr>
              <w:pStyle w:val="32"/>
              <w:spacing w:line="240" w:lineRule="auto"/>
              <w:ind w:firstLine="0" w:firstLineChars="0"/>
              <w:jc w:val="left"/>
              <w:rPr>
                <w:rFonts w:hint="eastAsia" w:ascii="宋体" w:hAnsi="宋体" w:eastAsia="宋体" w:cs="宋体"/>
                <w:szCs w:val="21"/>
                <w:lang w:val="en-US" w:eastAsia="zh-CN"/>
              </w:rPr>
            </w:pPr>
            <w:r>
              <w:rPr>
                <w:rFonts w:hAnsi="宋体"/>
                <w:color w:val="000000"/>
                <w:kern w:val="0"/>
                <w:szCs w:val="21"/>
              </w:rPr>
              <w:t>投标文件中明确提供备品备件实施方案的可行性和优惠性</w:t>
            </w:r>
            <w:r>
              <w:rPr>
                <w:rFonts w:hint="eastAsia" w:hAnsi="宋体"/>
                <w:color w:val="000000"/>
                <w:kern w:val="0"/>
                <w:szCs w:val="21"/>
                <w:lang w:eastAsia="zh-CN"/>
              </w:rPr>
              <w:t>。</w:t>
            </w:r>
            <w:r>
              <w:rPr>
                <w:rFonts w:hint="eastAsia" w:ascii="宋体" w:hAnsi="宋体" w:cs="宋体"/>
                <w:bCs/>
                <w:kern w:val="0"/>
                <w:szCs w:val="21"/>
                <w:lang w:val="en-US" w:eastAsia="zh-CN"/>
              </w:rPr>
              <w:t>第一档3-2.1分，第二档2-1.1分，第三档1-0分。</w:t>
            </w:r>
          </w:p>
        </w:tc>
        <w:tc>
          <w:tcPr>
            <w:tcW w:w="657" w:type="dxa"/>
            <w:vAlign w:val="center"/>
          </w:tcPr>
          <w:p>
            <w:pPr>
              <w:widowControl/>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93" w:type="dxa"/>
            <w:vMerge w:val="continue"/>
            <w:vAlign w:val="center"/>
          </w:tcPr>
          <w:p>
            <w:pPr>
              <w:widowControl/>
              <w:spacing w:line="360" w:lineRule="auto"/>
              <w:jc w:val="left"/>
              <w:rPr>
                <w:rFonts w:ascii="宋体" w:hAnsi="宋体" w:cs="宋体"/>
                <w:color w:val="000000"/>
                <w:szCs w:val="21"/>
              </w:rPr>
            </w:pPr>
          </w:p>
        </w:tc>
        <w:tc>
          <w:tcPr>
            <w:tcW w:w="7142" w:type="dxa"/>
            <w:vAlign w:val="center"/>
          </w:tcPr>
          <w:p>
            <w:pPr>
              <w:pStyle w:val="32"/>
              <w:spacing w:line="240" w:lineRule="auto"/>
              <w:ind w:firstLine="0" w:firstLineChars="0"/>
              <w:jc w:val="left"/>
              <w:rPr>
                <w:rFonts w:ascii="宋体" w:hAnsi="宋体" w:cs="宋体"/>
                <w:szCs w:val="21"/>
              </w:rPr>
            </w:pPr>
            <w:r>
              <w:rPr>
                <w:rFonts w:hint="eastAsia" w:ascii="宋体" w:hAnsi="宋体" w:cs="宋体"/>
                <w:szCs w:val="21"/>
              </w:rPr>
              <w:t>维护响应计划（对用户故障的响应、处理、定期巡检等情况）的有效性和合理性等。</w:t>
            </w:r>
            <w:r>
              <w:rPr>
                <w:rFonts w:hint="eastAsia" w:ascii="宋体" w:hAnsi="宋体" w:cs="宋体"/>
                <w:szCs w:val="21"/>
                <w:lang w:val="en-US" w:eastAsia="zh-CN"/>
              </w:rPr>
              <w:t>第一档4-3.1分，第二档3-2.1分，第三档2-1.1分，第四档1-0分。</w:t>
            </w:r>
          </w:p>
        </w:tc>
        <w:tc>
          <w:tcPr>
            <w:tcW w:w="657" w:type="dxa"/>
            <w:vAlign w:val="center"/>
          </w:tcPr>
          <w:p>
            <w:pPr>
              <w:widowControl/>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293" w:type="dxa"/>
            <w:vAlign w:val="center"/>
          </w:tcPr>
          <w:p>
            <w:pPr>
              <w:adjustRightInd w:val="0"/>
              <w:snapToGrid w:val="0"/>
              <w:jc w:val="center"/>
              <w:rPr>
                <w:rFonts w:ascii="宋体" w:hAnsi="宋体" w:cs="宋体"/>
                <w:b/>
                <w:bCs/>
                <w:szCs w:val="21"/>
              </w:rPr>
            </w:pPr>
            <w:r>
              <w:rPr>
                <w:rFonts w:hint="eastAsia" w:ascii="宋体" w:hAnsi="宋体" w:cs="宋体"/>
                <w:b/>
                <w:bCs/>
                <w:color w:val="000000"/>
                <w:szCs w:val="21"/>
              </w:rPr>
              <w:t>对招标文件的响应程度等2分</w:t>
            </w:r>
          </w:p>
        </w:tc>
        <w:tc>
          <w:tcPr>
            <w:tcW w:w="7142" w:type="dxa"/>
            <w:vAlign w:val="center"/>
          </w:tcPr>
          <w:p>
            <w:pPr>
              <w:pStyle w:val="33"/>
              <w:widowControl w:val="0"/>
              <w:jc w:val="both"/>
              <w:rPr>
                <w:rFonts w:ascii="宋体" w:hAnsi="宋体" w:cs="宋体"/>
                <w:color w:val="000000"/>
                <w:szCs w:val="21"/>
              </w:rPr>
            </w:pPr>
            <w:r>
              <w:rPr>
                <w:rFonts w:hint="eastAsia" w:ascii="宋体" w:hAnsi="宋体" w:eastAsia="宋体" w:cs="宋体"/>
                <w:sz w:val="21"/>
                <w:szCs w:val="21"/>
              </w:rPr>
              <w:t>根据电子投标文件的内容、结构等情况与招标文件的要求比对，酌情打分。</w:t>
            </w:r>
          </w:p>
        </w:tc>
        <w:tc>
          <w:tcPr>
            <w:tcW w:w="657" w:type="dxa"/>
            <w:vAlign w:val="center"/>
          </w:tcPr>
          <w:p>
            <w:pPr>
              <w:pStyle w:val="50"/>
              <w:widowControl w:val="0"/>
              <w:spacing w:line="276" w:lineRule="auto"/>
              <w:jc w:val="center"/>
              <w:rPr>
                <w:rFonts w:ascii="宋体" w:hAnsi="宋体" w:eastAsia="宋体" w:cs="宋体"/>
                <w:color w:val="000000"/>
                <w:kern w:val="2"/>
                <w:sz w:val="21"/>
                <w:szCs w:val="21"/>
              </w:rPr>
            </w:pPr>
            <w:r>
              <w:rPr>
                <w:rFonts w:hint="eastAsia" w:ascii="宋体" w:hAnsi="宋体" w:eastAsia="宋体" w:cs="宋体"/>
                <w:color w:val="000000"/>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293" w:type="dxa"/>
            <w:vAlign w:val="center"/>
          </w:tcPr>
          <w:p>
            <w:pPr>
              <w:widowControl/>
              <w:spacing w:line="360" w:lineRule="auto"/>
              <w:jc w:val="left"/>
              <w:rPr>
                <w:rFonts w:ascii="宋体" w:hAnsi="宋体" w:cs="宋体"/>
                <w:b/>
                <w:bCs/>
                <w:szCs w:val="21"/>
              </w:rPr>
            </w:pPr>
            <w:r>
              <w:rPr>
                <w:rFonts w:hint="eastAsia" w:ascii="宋体" w:hAnsi="宋体" w:cs="宋体"/>
                <w:b/>
                <w:bCs/>
                <w:szCs w:val="21"/>
              </w:rPr>
              <w:t>价格（30分）</w:t>
            </w:r>
          </w:p>
        </w:tc>
        <w:tc>
          <w:tcPr>
            <w:tcW w:w="7142" w:type="dxa"/>
            <w:vAlign w:val="center"/>
          </w:tcPr>
          <w:p>
            <w:pPr>
              <w:pStyle w:val="2"/>
              <w:widowControl w:val="0"/>
              <w:jc w:val="both"/>
              <w:rPr>
                <w:rFonts w:ascii="宋体" w:hAnsi="宋体" w:eastAsia="宋体" w:cs="宋体"/>
                <w:color w:val="000000"/>
                <w:sz w:val="21"/>
                <w:szCs w:val="21"/>
              </w:rPr>
            </w:pPr>
            <w:r>
              <w:rPr>
                <w:rFonts w:hint="eastAsia" w:ascii="宋体" w:hAnsi="宋体" w:eastAsia="宋体" w:cs="宋体"/>
                <w:sz w:val="21"/>
                <w:szCs w:val="21"/>
              </w:rPr>
              <w:t>以投标合格供应商有效投标总报价中的最低价为基准价，基准价为30分。投标报价得分＝（评标基准价/最终投标报价）×30%×100（小数点后保留2位小数）。（注：对于小型和微型企业产品的价格给予6%的扣除，用扣除后的价格参与评审。小型和微型企业需填写《小微企业声明函》、国家企业信用信息公示系统——小微企业名录”页面查询结果（查询时间为投标前一周内，并加盖单位公章）等相关证明材料。）</w:t>
            </w:r>
          </w:p>
        </w:tc>
        <w:tc>
          <w:tcPr>
            <w:tcW w:w="657"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w:t>
            </w:r>
          </w:p>
        </w:tc>
      </w:tr>
    </w:tbl>
    <w:p>
      <w:pPr>
        <w:pStyle w:val="2"/>
        <w:ind w:firstLine="480" w:firstLineChars="200"/>
        <w:rPr>
          <w:rFonts w:asciiTheme="minorEastAsia" w:hAnsiTheme="minorEastAsia" w:eastAsiaTheme="minorEastAsia"/>
          <w:sz w:val="24"/>
          <w:szCs w:val="24"/>
        </w:rPr>
      </w:pPr>
    </w:p>
    <w:p>
      <w:pPr>
        <w:pStyle w:val="2"/>
        <w:ind w:firstLine="480" w:firstLineChars="200"/>
        <w:rPr>
          <w:rFonts w:asciiTheme="minorEastAsia" w:hAnsiTheme="minorEastAsia" w:eastAsiaTheme="minorEastAsia"/>
          <w:sz w:val="24"/>
          <w:szCs w:val="24"/>
        </w:rPr>
      </w:pPr>
    </w:p>
    <w:p>
      <w:pPr>
        <w:pStyle w:val="9"/>
        <w:ind w:firstLine="0"/>
        <w:rPr>
          <w:rFonts w:ascii="宋体" w:hAnsi="宋体" w:cs="宋体"/>
          <w:b/>
          <w:sz w:val="24"/>
        </w:rPr>
      </w:pPr>
    </w:p>
    <w:p>
      <w:pPr>
        <w:autoSpaceDE w:val="0"/>
        <w:autoSpaceDN w:val="0"/>
        <w:adjustRightInd w:val="0"/>
        <w:spacing w:line="360" w:lineRule="auto"/>
        <w:jc w:val="left"/>
        <w:rPr>
          <w:rFonts w:ascii="宋体" w:hAnsi="宋体" w:cs="宋体"/>
          <w:b/>
          <w:sz w:val="24"/>
        </w:rPr>
      </w:pPr>
      <w:r>
        <w:rPr>
          <w:rFonts w:hint="eastAsia" w:ascii="宋体" w:hAnsi="宋体" w:cs="宋体"/>
          <w:b/>
          <w:sz w:val="24"/>
        </w:rPr>
        <w:t>注：1、合同、证书、报告及其他相关证明材料，将原件扫描上传至电子投标文件，并加盖电子印章。</w:t>
      </w:r>
    </w:p>
    <w:p>
      <w:pPr>
        <w:autoSpaceDE w:val="0"/>
        <w:autoSpaceDN w:val="0"/>
        <w:adjustRightInd w:val="0"/>
        <w:spacing w:line="360" w:lineRule="auto"/>
        <w:ind w:firstLine="482" w:firstLineChars="200"/>
        <w:rPr>
          <w:rFonts w:ascii="宋体" w:hAnsi="宋体" w:cs="宋体"/>
          <w:bCs/>
          <w:color w:val="FF0000"/>
          <w:sz w:val="24"/>
        </w:rPr>
      </w:pPr>
      <w:r>
        <w:rPr>
          <w:rFonts w:hint="eastAsia" w:ascii="宋体" w:hAnsi="宋体" w:cs="宋体"/>
          <w:b/>
          <w:sz w:val="24"/>
        </w:rPr>
        <w:t>2、得分为第一档的指的是各细项指标全部满足甚至优于采购需求的；第二档指的是与采购人目标需求相比，稍有瑕疵的；第三、四、五档依次类推。</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numPr>
          <w:ilvl w:val="0"/>
          <w:numId w:val="12"/>
        </w:num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招标项目一览表</w:t>
      </w:r>
    </w:p>
    <w:p>
      <w:pPr>
        <w:tabs>
          <w:tab w:val="left" w:pos="8280"/>
        </w:tabs>
        <w:autoSpaceDE w:val="0"/>
        <w:autoSpaceDN w:val="0"/>
        <w:adjustRightInd w:val="0"/>
        <w:spacing w:line="360" w:lineRule="auto"/>
        <w:ind w:right="25" w:firstLine="280"/>
        <w:rPr>
          <w:rFonts w:ascii="宋体" w:hAnsi="宋体"/>
          <w:color w:val="000000"/>
          <w:sz w:val="24"/>
        </w:rPr>
      </w:pPr>
      <w:r>
        <w:rPr>
          <w:rFonts w:hint="eastAsia" w:ascii="宋体" w:hAnsi="宋体"/>
          <w:color w:val="000000"/>
          <w:sz w:val="24"/>
        </w:rPr>
        <w:t>本次招标共</w:t>
      </w:r>
      <w:r>
        <w:rPr>
          <w:rFonts w:hint="eastAsia" w:ascii="宋体" w:hAnsi="宋体"/>
          <w:color w:val="000000"/>
          <w:sz w:val="24"/>
          <w:u w:val="single"/>
        </w:rPr>
        <w:t xml:space="preserve"> 2 </w:t>
      </w:r>
      <w:r>
        <w:rPr>
          <w:rFonts w:hint="eastAsia" w:ascii="宋体" w:hAnsi="宋体"/>
          <w:color w:val="000000"/>
          <w:sz w:val="24"/>
        </w:rPr>
        <w:t>个标段，具体内容如下表：</w:t>
      </w:r>
    </w:p>
    <w:tbl>
      <w:tblPr>
        <w:tblStyle w:val="24"/>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30"/>
        <w:gridCol w:w="1080"/>
        <w:gridCol w:w="825"/>
        <w:gridCol w:w="690"/>
        <w:gridCol w:w="945"/>
        <w:gridCol w:w="1150"/>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561"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标段号</w:t>
            </w:r>
          </w:p>
        </w:tc>
        <w:tc>
          <w:tcPr>
            <w:tcW w:w="1630" w:type="dxa"/>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w:t>
            </w:r>
          </w:p>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08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简要技术要求服务要求等</w:t>
            </w:r>
          </w:p>
        </w:tc>
        <w:tc>
          <w:tcPr>
            <w:tcW w:w="82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数量</w:t>
            </w:r>
          </w:p>
        </w:tc>
        <w:tc>
          <w:tcPr>
            <w:tcW w:w="69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94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预算（万元）</w:t>
            </w:r>
          </w:p>
        </w:tc>
        <w:tc>
          <w:tcPr>
            <w:tcW w:w="1150" w:type="dxa"/>
            <w:vAlign w:val="center"/>
          </w:tcPr>
          <w:p>
            <w:pPr>
              <w:tabs>
                <w:tab w:val="left" w:pos="8280"/>
              </w:tabs>
              <w:autoSpaceDE w:val="0"/>
              <w:autoSpaceDN w:val="0"/>
              <w:adjustRightInd w:val="0"/>
              <w:spacing w:line="360" w:lineRule="auto"/>
              <w:ind w:right="25"/>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交货期（合同签订后几天内）</w:t>
            </w:r>
          </w:p>
        </w:tc>
        <w:tc>
          <w:tcPr>
            <w:tcW w:w="2083" w:type="dxa"/>
            <w:vAlign w:val="center"/>
          </w:tcPr>
          <w:p>
            <w:pPr>
              <w:tabs>
                <w:tab w:val="left" w:pos="8280"/>
              </w:tabs>
              <w:autoSpaceDE w:val="0"/>
              <w:autoSpaceDN w:val="0"/>
              <w:adjustRightInd w:val="0"/>
              <w:spacing w:line="360" w:lineRule="auto"/>
              <w:ind w:right="25"/>
              <w:jc w:val="center"/>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维护地点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561"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630" w:type="dxa"/>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kern w:val="0"/>
                <w:sz w:val="24"/>
              </w:rPr>
              <w:t>视力筛查管理系统</w:t>
            </w:r>
          </w:p>
        </w:tc>
        <w:tc>
          <w:tcPr>
            <w:tcW w:w="1080" w:type="dxa"/>
            <w:vMerge w:val="restart"/>
            <w:vAlign w:val="center"/>
          </w:tcPr>
          <w:p>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详见技术需求</w:t>
            </w:r>
          </w:p>
          <w:p>
            <w:pPr>
              <w:widowControl/>
              <w:spacing w:line="360" w:lineRule="auto"/>
              <w:jc w:val="center"/>
              <w:rPr>
                <w:rFonts w:ascii="宋体" w:hAnsi="宋体"/>
                <w:color w:val="000000" w:themeColor="text1"/>
                <w:szCs w:val="21"/>
                <w14:textFill>
                  <w14:solidFill>
                    <w14:schemeClr w14:val="tx1"/>
                  </w14:solidFill>
                </w14:textFill>
              </w:rPr>
            </w:pPr>
          </w:p>
        </w:tc>
        <w:tc>
          <w:tcPr>
            <w:tcW w:w="825" w:type="dxa"/>
            <w:vAlign w:val="center"/>
          </w:tcPr>
          <w:p>
            <w:pPr>
              <w:widowControl/>
              <w:spacing w:line="360" w:lineRule="auto"/>
              <w:ind w:firstLine="24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690" w:type="dxa"/>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945" w:type="dxa"/>
            <w:vAlign w:val="cente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80万元</w:t>
            </w:r>
          </w:p>
        </w:tc>
        <w:tc>
          <w:tcPr>
            <w:tcW w:w="1150" w:type="dxa"/>
            <w:vAlign w:val="center"/>
          </w:tcPr>
          <w:p>
            <w:pPr>
              <w:widowControl/>
              <w:spacing w:line="360" w:lineRule="auto"/>
              <w:jc w:val="center"/>
              <w:rPr>
                <w:rFonts w:ascii="宋体" w:hAnsi="宋体"/>
                <w:color w:val="auto"/>
                <w:szCs w:val="21"/>
              </w:rPr>
            </w:pPr>
            <w:r>
              <w:rPr>
                <w:rFonts w:hint="eastAsia" w:ascii="宋体" w:hAnsi="宋体"/>
                <w:color w:val="auto"/>
                <w:sz w:val="24"/>
                <w:lang w:val="en-US" w:eastAsia="zh-CN"/>
              </w:rPr>
              <w:t>45</w:t>
            </w:r>
            <w:r>
              <w:rPr>
                <w:rFonts w:hint="eastAsia" w:ascii="宋体" w:hAnsi="宋体"/>
                <w:color w:val="auto"/>
                <w:sz w:val="24"/>
              </w:rPr>
              <w:t>天</w:t>
            </w:r>
          </w:p>
        </w:tc>
        <w:tc>
          <w:tcPr>
            <w:tcW w:w="2083" w:type="dxa"/>
            <w:vMerge w:val="restart"/>
            <w:vAlign w:val="center"/>
          </w:tcPr>
          <w:p>
            <w:pPr>
              <w:tabs>
                <w:tab w:val="left" w:pos="8280"/>
              </w:tabs>
              <w:autoSpaceDE w:val="0"/>
              <w:autoSpaceDN w:val="0"/>
              <w:adjustRightInd w:val="0"/>
              <w:spacing w:line="360" w:lineRule="auto"/>
              <w:ind w:right="25"/>
              <w:jc w:val="center"/>
              <w:rPr>
                <w:color w:val="000000" w:themeColor="text1"/>
                <w:szCs w:val="21"/>
                <w14:textFill>
                  <w14:solidFill>
                    <w14:schemeClr w14:val="tx1"/>
                  </w14:solidFill>
                </w14:textFill>
              </w:rPr>
            </w:pPr>
            <w:r>
              <w:rPr>
                <w:rFonts w:hint="eastAsia" w:ascii="宋体" w:hAnsi="宋体"/>
                <w:kern w:val="0"/>
                <w:sz w:val="24"/>
              </w:rPr>
              <w:t>台州市卫生健康委员会、台州市教育局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561"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1630" w:type="dxa"/>
            <w:vAlign w:val="center"/>
          </w:tcPr>
          <w:p>
            <w:pPr>
              <w:widowControl/>
              <w:spacing w:line="360" w:lineRule="auto"/>
              <w:jc w:val="left"/>
              <w:rPr>
                <w:rFonts w:ascii="宋体" w:hAnsi="宋体"/>
                <w:kern w:val="0"/>
                <w:sz w:val="24"/>
              </w:rPr>
            </w:pPr>
            <w:r>
              <w:rPr>
                <w:rFonts w:hint="eastAsia" w:ascii="宋体" w:hAnsi="宋体"/>
                <w:kern w:val="0"/>
                <w:sz w:val="24"/>
              </w:rPr>
              <w:t>视力筛查设备</w:t>
            </w:r>
          </w:p>
        </w:tc>
        <w:tc>
          <w:tcPr>
            <w:tcW w:w="1080" w:type="dxa"/>
            <w:vMerge w:val="continue"/>
            <w:vAlign w:val="center"/>
          </w:tcPr>
          <w:p>
            <w:pPr>
              <w:widowControl/>
              <w:spacing w:line="360" w:lineRule="auto"/>
              <w:jc w:val="left"/>
              <w:rPr>
                <w:rFonts w:ascii="宋体" w:hAnsi="宋体"/>
                <w:color w:val="000000" w:themeColor="text1"/>
                <w:szCs w:val="21"/>
                <w14:textFill>
                  <w14:solidFill>
                    <w14:schemeClr w14:val="tx1"/>
                  </w14:solidFill>
                </w14:textFill>
              </w:rPr>
            </w:pPr>
          </w:p>
        </w:tc>
        <w:tc>
          <w:tcPr>
            <w:tcW w:w="825" w:type="dxa"/>
            <w:vAlign w:val="center"/>
          </w:tcPr>
          <w:p>
            <w:pPr>
              <w:widowControl/>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690" w:type="dxa"/>
            <w:vAlign w:val="center"/>
          </w:tcPr>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批</w:t>
            </w:r>
          </w:p>
        </w:tc>
        <w:tc>
          <w:tcPr>
            <w:tcW w:w="945" w:type="dxa"/>
            <w:vAlign w:val="center"/>
          </w:tcPr>
          <w:p>
            <w:pPr>
              <w:widowControl/>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1660万元</w:t>
            </w:r>
          </w:p>
        </w:tc>
        <w:tc>
          <w:tcPr>
            <w:tcW w:w="1150" w:type="dxa"/>
            <w:vAlign w:val="center"/>
          </w:tcPr>
          <w:p>
            <w:pPr>
              <w:widowControl/>
              <w:spacing w:line="360" w:lineRule="auto"/>
              <w:jc w:val="center"/>
              <w:rPr>
                <w:rFonts w:ascii="宋体" w:hAnsi="宋体"/>
                <w:color w:val="auto"/>
                <w:sz w:val="24"/>
              </w:rPr>
            </w:pPr>
            <w:r>
              <w:rPr>
                <w:rFonts w:hint="eastAsia" w:ascii="宋体" w:hAnsi="宋体"/>
                <w:color w:val="auto"/>
                <w:sz w:val="24"/>
                <w:lang w:val="en-US" w:eastAsia="zh-CN"/>
              </w:rPr>
              <w:t>45</w:t>
            </w:r>
            <w:r>
              <w:rPr>
                <w:rFonts w:hint="eastAsia" w:ascii="宋体" w:hAnsi="宋体"/>
                <w:color w:val="auto"/>
                <w:sz w:val="24"/>
              </w:rPr>
              <w:t>天</w:t>
            </w:r>
          </w:p>
        </w:tc>
        <w:tc>
          <w:tcPr>
            <w:tcW w:w="2083" w:type="dxa"/>
            <w:vMerge w:val="continue"/>
            <w:vAlign w:val="center"/>
          </w:tcPr>
          <w:p>
            <w:pPr>
              <w:tabs>
                <w:tab w:val="left" w:pos="8280"/>
              </w:tabs>
              <w:autoSpaceDE w:val="0"/>
              <w:autoSpaceDN w:val="0"/>
              <w:adjustRightInd w:val="0"/>
              <w:spacing w:line="360" w:lineRule="auto"/>
              <w:ind w:right="25"/>
              <w:jc w:val="center"/>
              <w:rPr>
                <w:rFonts w:ascii="宋体" w:hAnsi="宋体"/>
                <w:kern w:val="0"/>
                <w:sz w:val="24"/>
              </w:rPr>
            </w:pPr>
          </w:p>
        </w:tc>
      </w:tr>
    </w:tbl>
    <w:p>
      <w:pPr>
        <w:pStyle w:val="9"/>
        <w:ind w:firstLine="0"/>
        <w:rPr>
          <w:rFonts w:ascii="宋体" w:hAnsi="宋体"/>
          <w:color w:val="000000"/>
          <w:sz w:val="24"/>
          <w:szCs w:val="24"/>
        </w:rPr>
      </w:pPr>
    </w:p>
    <w:p>
      <w:pPr>
        <w:pStyle w:val="9"/>
        <w:rPr>
          <w:rFonts w:ascii="宋体" w:hAnsi="宋体"/>
          <w:color w:val="000000"/>
          <w:sz w:val="24"/>
          <w:szCs w:val="24"/>
        </w:rPr>
      </w:pPr>
    </w:p>
    <w:p>
      <w:pPr>
        <w:numPr>
          <w:ilvl w:val="0"/>
          <w:numId w:val="12"/>
        </w:numPr>
        <w:tabs>
          <w:tab w:val="left" w:pos="8280"/>
        </w:tabs>
        <w:autoSpaceDE w:val="0"/>
        <w:autoSpaceDN w:val="0"/>
        <w:adjustRightInd w:val="0"/>
        <w:spacing w:line="360" w:lineRule="auto"/>
        <w:ind w:right="25"/>
        <w:jc w:val="left"/>
        <w:rPr>
          <w:rFonts w:ascii="宋体" w:hAnsi="宋体"/>
          <w:b/>
          <w:color w:val="000000"/>
          <w:sz w:val="24"/>
        </w:rPr>
      </w:pPr>
      <w:r>
        <w:rPr>
          <w:rFonts w:hint="eastAsia" w:ascii="宋体" w:hAnsi="宋体"/>
          <w:b/>
          <w:color w:val="000000"/>
          <w:sz w:val="24"/>
        </w:rPr>
        <w:t>技术需求</w:t>
      </w:r>
    </w:p>
    <w:p>
      <w:pPr>
        <w:spacing w:line="500" w:lineRule="exact"/>
        <w:ind w:firstLine="480" w:firstLineChars="200"/>
        <w:rPr>
          <w:rFonts w:ascii="黑体" w:hAnsi="黑体" w:eastAsia="黑体"/>
          <w:bCs/>
          <w:sz w:val="24"/>
          <w:szCs w:val="24"/>
        </w:rPr>
      </w:pPr>
      <w:r>
        <w:rPr>
          <w:rFonts w:hint="eastAsia" w:ascii="黑体" w:hAnsi="黑体" w:eastAsia="黑体"/>
          <w:bCs/>
          <w:sz w:val="24"/>
          <w:szCs w:val="24"/>
          <w:lang w:val="en-US" w:eastAsia="zh-CN"/>
        </w:rPr>
        <w:t>第一标段：</w:t>
      </w:r>
      <w:r>
        <w:rPr>
          <w:rFonts w:hint="eastAsia" w:ascii="黑体" w:hAnsi="黑体" w:eastAsia="黑体"/>
          <w:bCs/>
          <w:sz w:val="24"/>
          <w:szCs w:val="24"/>
        </w:rPr>
        <w:t>视力筛查管理系统要求</w:t>
      </w:r>
    </w:p>
    <w:p>
      <w:pPr>
        <w:spacing w:line="500" w:lineRule="exact"/>
        <w:ind w:firstLine="422" w:firstLineChars="200"/>
        <w:outlineLvl w:val="0"/>
        <w:rPr>
          <w:rFonts w:ascii="宋体" w:hAnsi="宋体" w:cs="宋体"/>
          <w:b/>
          <w:bCs/>
          <w:szCs w:val="21"/>
        </w:rPr>
      </w:pPr>
      <w:r>
        <w:rPr>
          <w:rFonts w:hint="eastAsia" w:ascii="宋体" w:hAnsi="宋体" w:cs="宋体"/>
          <w:b/>
          <w:bCs/>
          <w:szCs w:val="21"/>
        </w:rPr>
        <w:t>（一）总体需求</w:t>
      </w:r>
    </w:p>
    <w:p>
      <w:pPr>
        <w:spacing w:line="5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根据国家政策及管理部门要求不断完善程序。</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根据科研需要对数据分析统计，并形成相关报表。</w:t>
      </w:r>
    </w:p>
    <w:p>
      <w:pPr>
        <w:spacing w:line="500" w:lineRule="exact"/>
        <w:ind w:firstLine="420"/>
        <w:rPr>
          <w:rFonts w:ascii="宋体" w:hAnsi="宋体" w:cs="宋体"/>
          <w:szCs w:val="21"/>
        </w:rPr>
      </w:pPr>
      <w:r>
        <w:rPr>
          <w:rFonts w:ascii="宋体" w:hAnsi="宋体" w:cs="宋体"/>
          <w:szCs w:val="21"/>
        </w:rPr>
        <w:t>3.</w:t>
      </w:r>
      <w:r>
        <w:rPr>
          <w:rFonts w:hint="eastAsia" w:ascii="宋体" w:hAnsi="宋体" w:cs="宋体"/>
          <w:szCs w:val="21"/>
        </w:rPr>
        <w:t>实现云端部署。</w:t>
      </w:r>
    </w:p>
    <w:p>
      <w:pPr>
        <w:spacing w:line="500" w:lineRule="exact"/>
        <w:ind w:firstLine="420"/>
        <w:rPr>
          <w:rFonts w:ascii="宋体" w:hAnsi="宋体" w:cs="宋体"/>
          <w:szCs w:val="21"/>
        </w:rPr>
      </w:pPr>
      <w:r>
        <w:rPr>
          <w:rFonts w:ascii="宋体" w:hAnsi="宋体" w:cs="宋体"/>
          <w:szCs w:val="21"/>
        </w:rPr>
        <w:t>4.</w:t>
      </w:r>
      <w:r>
        <w:rPr>
          <w:rFonts w:hint="eastAsia" w:ascii="宋体" w:hAnsi="宋体" w:cs="宋体"/>
          <w:szCs w:val="21"/>
        </w:rPr>
        <w:t>具备对历年筛查、调查、建档数据进行迁移功能，并确保数据安全性及完整性。</w:t>
      </w:r>
      <w:r>
        <w:rPr>
          <w:rFonts w:ascii="宋体" w:hAnsi="宋体" w:cs="宋体"/>
          <w:szCs w:val="21"/>
        </w:rPr>
        <w:t xml:space="preserve"> </w:t>
      </w:r>
    </w:p>
    <w:p>
      <w:pPr>
        <w:spacing w:line="500" w:lineRule="exact"/>
        <w:ind w:firstLine="420"/>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对接台州市教育基础数据平台，支持通过全量和差异更新方式获取学校、班级和学生等基本信息作为权威实体数据来源。（接口由教育系统免费提供。）</w:t>
      </w:r>
    </w:p>
    <w:p>
      <w:pPr>
        <w:spacing w:line="500" w:lineRule="exact"/>
        <w:ind w:firstLine="420"/>
        <w:rPr>
          <w:rFonts w:ascii="宋体" w:hAnsi="宋体" w:cs="宋体"/>
          <w:szCs w:val="21"/>
        </w:rPr>
      </w:pPr>
      <w:r>
        <w:rPr>
          <w:rFonts w:hint="eastAsia" w:ascii="宋体" w:hAnsi="宋体" w:cs="宋体"/>
          <w:szCs w:val="21"/>
        </w:rPr>
        <w:t>6.系统免费提供数据接口，用于第三方应用查询或全量获取学生的视力</w:t>
      </w:r>
      <w:r>
        <w:rPr>
          <w:rFonts w:ascii="宋体" w:hAnsi="宋体" w:cs="宋体"/>
          <w:szCs w:val="21"/>
        </w:rPr>
        <w:t>检测结果</w:t>
      </w:r>
      <w:r>
        <w:rPr>
          <w:rFonts w:hint="eastAsia" w:ascii="宋体" w:hAnsi="宋体" w:cs="宋体"/>
          <w:szCs w:val="21"/>
        </w:rPr>
        <w:t>。</w:t>
      </w:r>
    </w:p>
    <w:p>
      <w:pPr>
        <w:spacing w:line="500" w:lineRule="exact"/>
        <w:ind w:firstLine="420"/>
        <w:outlineLvl w:val="0"/>
        <w:rPr>
          <w:rFonts w:ascii="宋体" w:hAnsi="宋体" w:cs="宋体"/>
          <w:b/>
          <w:bCs/>
          <w:szCs w:val="21"/>
        </w:rPr>
      </w:pPr>
      <w:r>
        <w:rPr>
          <w:rFonts w:hint="eastAsia" w:ascii="宋体" w:hAnsi="宋体" w:cs="宋体"/>
          <w:b/>
          <w:bCs/>
          <w:szCs w:val="21"/>
        </w:rPr>
        <w:t>（二）筛查管理</w:t>
      </w:r>
    </w:p>
    <w:p>
      <w:pPr>
        <w:spacing w:line="500" w:lineRule="exact"/>
        <w:ind w:firstLine="420"/>
        <w:rPr>
          <w:rFonts w:ascii="宋体" w:hAnsi="宋体" w:cs="宋体"/>
          <w:szCs w:val="21"/>
        </w:rPr>
      </w:pPr>
      <w:r>
        <w:rPr>
          <w:rFonts w:ascii="宋体" w:hAnsi="宋体" w:cs="宋体"/>
          <w:szCs w:val="21"/>
        </w:rPr>
        <w:t>1.</w:t>
      </w:r>
      <w:r>
        <w:rPr>
          <w:rFonts w:hint="eastAsia" w:ascii="宋体" w:hAnsi="宋体" w:cs="宋体"/>
          <w:szCs w:val="21"/>
        </w:rPr>
        <w:t>筛查活动</w:t>
      </w:r>
    </w:p>
    <w:p>
      <w:pPr>
        <w:spacing w:line="500" w:lineRule="exact"/>
        <w:ind w:firstLine="420"/>
        <w:rPr>
          <w:rFonts w:ascii="宋体" w:hAnsi="宋体" w:cs="宋体"/>
          <w:szCs w:val="21"/>
        </w:rPr>
      </w:pPr>
      <w:r>
        <w:rPr>
          <w:rFonts w:ascii="宋体" w:hAnsi="宋体" w:cs="宋体"/>
          <w:szCs w:val="21"/>
        </w:rPr>
        <w:t>1.1支持</w:t>
      </w:r>
      <w:r>
        <w:rPr>
          <w:rFonts w:hint="eastAsia" w:ascii="宋体" w:hAnsi="宋体" w:cs="宋体"/>
          <w:szCs w:val="21"/>
        </w:rPr>
        <w:t>用户建立筛查</w:t>
      </w:r>
      <w:r>
        <w:rPr>
          <w:rFonts w:ascii="宋体" w:hAnsi="宋体" w:cs="宋体"/>
          <w:szCs w:val="21"/>
        </w:rPr>
        <w:t>计划、</w:t>
      </w:r>
      <w:r>
        <w:rPr>
          <w:rFonts w:hint="eastAsia" w:ascii="宋体" w:hAnsi="宋体" w:cs="宋体"/>
          <w:szCs w:val="21"/>
        </w:rPr>
        <w:t>实施</w:t>
      </w:r>
      <w:r>
        <w:rPr>
          <w:rFonts w:ascii="宋体" w:hAnsi="宋体" w:cs="宋体"/>
          <w:szCs w:val="21"/>
        </w:rPr>
        <w:t>筛查管理、数据管理与统计分析</w:t>
      </w:r>
      <w:r>
        <w:rPr>
          <w:rFonts w:hint="eastAsia" w:ascii="宋体" w:hAnsi="宋体" w:cs="宋体"/>
          <w:szCs w:val="21"/>
        </w:rPr>
        <w:t>。</w:t>
      </w:r>
    </w:p>
    <w:p>
      <w:pPr>
        <w:spacing w:line="500" w:lineRule="exact"/>
        <w:ind w:firstLine="420"/>
        <w:rPr>
          <w:rFonts w:ascii="宋体" w:hAnsi="宋体" w:cs="宋体"/>
          <w:szCs w:val="21"/>
        </w:rPr>
      </w:pPr>
      <w:r>
        <w:rPr>
          <w:rFonts w:ascii="宋体" w:hAnsi="宋体" w:cs="宋体"/>
          <w:szCs w:val="21"/>
        </w:rPr>
        <w:t>1.2</w:t>
      </w:r>
      <w:r>
        <w:rPr>
          <w:rFonts w:hint="eastAsia" w:ascii="宋体" w:hAnsi="宋体" w:cs="宋体"/>
          <w:szCs w:val="21"/>
        </w:rPr>
        <w:t>可根据筛查时间、筛查名称、学校名称、筛查状态等关键字进行筛查活动检索。</w:t>
      </w:r>
    </w:p>
    <w:p>
      <w:pPr>
        <w:spacing w:line="500" w:lineRule="exact"/>
        <w:ind w:firstLine="420"/>
        <w:rPr>
          <w:rFonts w:ascii="宋体" w:hAnsi="宋体" w:cs="宋体"/>
          <w:szCs w:val="21"/>
        </w:rPr>
      </w:pPr>
      <w:r>
        <w:rPr>
          <w:rFonts w:ascii="宋体" w:hAnsi="宋体" w:cs="宋体"/>
          <w:szCs w:val="21"/>
        </w:rPr>
        <w:t>1.3</w:t>
      </w:r>
      <w:r>
        <w:rPr>
          <w:rFonts w:hint="eastAsia" w:ascii="宋体" w:hAnsi="宋体" w:cs="宋体"/>
          <w:szCs w:val="21"/>
        </w:rPr>
        <w:t>可查看筛查统计，支持筛查报告生成与即时下载；支持筛查档案详细数据表格下载，提示数据异常。</w:t>
      </w:r>
    </w:p>
    <w:p>
      <w:pPr>
        <w:spacing w:line="500" w:lineRule="exact"/>
        <w:ind w:firstLine="420"/>
        <w:rPr>
          <w:rFonts w:ascii="宋体" w:hAnsi="宋体" w:cs="宋体"/>
          <w:szCs w:val="21"/>
        </w:rPr>
      </w:pPr>
      <w:r>
        <w:rPr>
          <w:rFonts w:ascii="宋体" w:hAnsi="宋体" w:cs="宋体"/>
          <w:szCs w:val="21"/>
        </w:rPr>
        <w:t>1.4</w:t>
      </w:r>
      <w:r>
        <w:rPr>
          <w:rFonts w:hint="eastAsia" w:ascii="宋体" w:hAnsi="宋体" w:cs="宋体"/>
          <w:szCs w:val="21"/>
        </w:rPr>
        <w:t>支持筛查设备的登记与管理。建立筛查时需关联筛查学校，分配筛查使用的设备，设置筛查参数选项等。</w:t>
      </w:r>
    </w:p>
    <w:p>
      <w:pPr>
        <w:spacing w:line="500" w:lineRule="exact"/>
        <w:ind w:firstLine="420"/>
        <w:rPr>
          <w:rFonts w:ascii="宋体" w:hAnsi="宋体" w:cs="宋体"/>
          <w:szCs w:val="21"/>
        </w:rPr>
      </w:pPr>
      <w:r>
        <w:rPr>
          <w:rFonts w:ascii="宋体" w:hAnsi="宋体" w:cs="宋体"/>
          <w:szCs w:val="21"/>
        </w:rPr>
        <w:t>1.5</w:t>
      </w:r>
      <w:r>
        <w:rPr>
          <w:rFonts w:hint="eastAsia" w:ascii="宋体" w:hAnsi="宋体" w:cs="宋体"/>
          <w:szCs w:val="21"/>
        </w:rPr>
        <w:t>报告支持数据脱敏打印，在向不具有个人信息访问权限的近视防控信息管理者分享近视信息时，数据管理者可通过系统提供的数据脱敏功能，将去标识信息及敏感信息后的近视数据进行分享。</w:t>
      </w:r>
    </w:p>
    <w:p>
      <w:pPr>
        <w:spacing w:line="500" w:lineRule="exact"/>
        <w:ind w:firstLine="420"/>
        <w:rPr>
          <w:rFonts w:ascii="宋体" w:hAnsi="宋体" w:cs="宋体"/>
          <w:szCs w:val="21"/>
        </w:rPr>
      </w:pPr>
      <w:r>
        <w:rPr>
          <w:rFonts w:ascii="宋体" w:hAnsi="宋体" w:cs="宋体"/>
          <w:szCs w:val="21"/>
        </w:rPr>
        <w:t>1.6</w:t>
      </w:r>
      <w:r>
        <w:rPr>
          <w:rFonts w:hint="eastAsia" w:ascii="宋体" w:hAnsi="宋体" w:cs="宋体"/>
          <w:szCs w:val="21"/>
        </w:rPr>
        <w:t>复测功能：实现疾控对筛查工作的质控要求；设置复测比例、展示复测进度；对复测学生的复测结果进行前后比对，可生成复测学生信息报告、误差报告及复测统计报告。</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筛查软件</w:t>
      </w:r>
    </w:p>
    <w:p>
      <w:pPr>
        <w:spacing w:line="500" w:lineRule="exact"/>
        <w:ind w:firstLine="420" w:firstLineChars="200"/>
        <w:rPr>
          <w:rFonts w:ascii="宋体" w:hAnsi="宋体" w:cs="宋体"/>
          <w:szCs w:val="21"/>
          <w:lang w:val="zh-CN"/>
        </w:rPr>
      </w:pPr>
      <w:r>
        <w:rPr>
          <w:rFonts w:ascii="宋体" w:hAnsi="宋体" w:cs="宋体"/>
          <w:szCs w:val="21"/>
          <w:lang w:val="zh-CN"/>
        </w:rPr>
        <w:t>2.1</w:t>
      </w:r>
      <w:r>
        <w:rPr>
          <w:rFonts w:hint="eastAsia" w:ascii="宋体" w:hAnsi="宋体" w:cs="宋体"/>
          <w:szCs w:val="21"/>
          <w:lang w:val="zh-CN"/>
        </w:rPr>
        <w:t>支持</w:t>
      </w:r>
      <w:r>
        <w:rPr>
          <w:rFonts w:ascii="宋体" w:hAnsi="宋体" w:cs="宋体"/>
          <w:szCs w:val="21"/>
          <w:lang w:val="zh-CN"/>
        </w:rPr>
        <w:t>IOS</w:t>
      </w:r>
      <w:r>
        <w:rPr>
          <w:rFonts w:hint="eastAsia" w:ascii="宋体" w:hAnsi="宋体" w:cs="宋体"/>
          <w:szCs w:val="21"/>
          <w:lang w:val="zh-CN"/>
        </w:rPr>
        <w:t>和</w:t>
      </w:r>
      <w:r>
        <w:rPr>
          <w:rFonts w:ascii="宋体" w:hAnsi="宋体" w:cs="宋体"/>
          <w:szCs w:val="21"/>
          <w:lang w:val="zh-CN"/>
        </w:rPr>
        <w:t>Android</w:t>
      </w:r>
      <w:r>
        <w:rPr>
          <w:rFonts w:hint="eastAsia" w:ascii="宋体" w:hAnsi="宋体" w:cs="宋体"/>
          <w:szCs w:val="21"/>
          <w:lang w:val="zh-CN"/>
        </w:rPr>
        <w:t>端</w:t>
      </w:r>
      <w:r>
        <w:rPr>
          <w:rFonts w:ascii="宋体" w:hAnsi="宋体" w:cs="宋体"/>
          <w:szCs w:val="21"/>
          <w:lang w:val="zh-CN"/>
        </w:rPr>
        <w:t>app</w:t>
      </w:r>
      <w:r>
        <w:rPr>
          <w:rFonts w:hint="eastAsia" w:ascii="宋体" w:hAnsi="宋体" w:cs="宋体"/>
          <w:szCs w:val="21"/>
          <w:lang w:val="zh-CN"/>
        </w:rPr>
        <w:t>或微信小程序筛查。</w:t>
      </w:r>
    </w:p>
    <w:p>
      <w:pPr>
        <w:spacing w:line="500" w:lineRule="exact"/>
        <w:ind w:firstLine="420" w:firstLineChars="200"/>
        <w:rPr>
          <w:rFonts w:ascii="宋体" w:hAnsi="宋体" w:cs="宋体"/>
          <w:szCs w:val="21"/>
          <w:lang w:val="zh-CN"/>
        </w:rPr>
      </w:pPr>
      <w:r>
        <w:rPr>
          <w:rFonts w:ascii="宋体" w:hAnsi="宋体" w:cs="宋体"/>
          <w:szCs w:val="21"/>
          <w:lang w:val="zh-CN"/>
        </w:rPr>
        <w:t>2.2</w:t>
      </w:r>
      <w:r>
        <w:rPr>
          <w:rFonts w:hint="eastAsia" w:ascii="宋体" w:hAnsi="宋体" w:cs="宋体"/>
          <w:szCs w:val="21"/>
          <w:lang w:val="zh-CN"/>
        </w:rPr>
        <w:t>支持通过人脸识别、市民卡刷</w:t>
      </w:r>
      <w:r>
        <w:rPr>
          <w:rFonts w:hint="eastAsia" w:ascii="宋体" w:hAnsi="宋体" w:cs="宋体"/>
          <w:szCs w:val="21"/>
        </w:rPr>
        <w:t>卡</w:t>
      </w:r>
      <w:r>
        <w:rPr>
          <w:rFonts w:hint="eastAsia" w:ascii="宋体" w:hAnsi="宋体" w:cs="宋体"/>
          <w:szCs w:val="21"/>
          <w:lang w:val="zh-CN"/>
        </w:rPr>
        <w:t>识别、扫码识别、选择班级等多种方式精确定位待检学生。</w:t>
      </w:r>
      <w:bookmarkStart w:id="31" w:name="_Hlk42693342"/>
      <w:r>
        <w:rPr>
          <w:rFonts w:hint="eastAsia" w:ascii="宋体" w:hAnsi="宋体" w:cs="宋体"/>
          <w:szCs w:val="21"/>
          <w:lang w:val="zh-CN"/>
        </w:rPr>
        <w:t>（先期可采用某一种方式，但系统应有升级上述多种方式的潜力）</w:t>
      </w:r>
      <w:bookmarkEnd w:id="31"/>
    </w:p>
    <w:p>
      <w:pPr>
        <w:spacing w:line="500" w:lineRule="exact"/>
        <w:ind w:firstLine="420" w:firstLineChars="200"/>
        <w:rPr>
          <w:rFonts w:ascii="宋体" w:hAnsi="宋体" w:cs="宋体"/>
          <w:szCs w:val="21"/>
          <w:lang w:val="zh-CN"/>
        </w:rPr>
      </w:pPr>
      <w:r>
        <w:rPr>
          <w:rFonts w:ascii="宋体" w:hAnsi="宋体" w:cs="宋体"/>
          <w:szCs w:val="21"/>
          <w:lang w:val="zh-CN"/>
        </w:rPr>
        <w:t>2.3</w:t>
      </w:r>
      <w:r>
        <w:rPr>
          <w:rFonts w:hint="eastAsia" w:ascii="宋体" w:hAnsi="宋体" w:cs="宋体"/>
          <w:szCs w:val="21"/>
          <w:lang w:val="zh-CN"/>
        </w:rPr>
        <w:t>支持无线（如蓝牙、</w:t>
      </w:r>
      <w:r>
        <w:rPr>
          <w:rFonts w:hint="eastAsia" w:ascii="宋体" w:hAnsi="宋体" w:cs="宋体"/>
          <w:szCs w:val="21"/>
        </w:rPr>
        <w:t>MIFI</w:t>
      </w:r>
      <w:r>
        <w:rPr>
          <w:rFonts w:hint="eastAsia" w:ascii="宋体" w:hAnsi="宋体" w:cs="宋体"/>
          <w:szCs w:val="21"/>
          <w:lang w:val="zh-CN"/>
        </w:rPr>
        <w:t>等）方式连接电子视力表、电脑验光仪等筛查设备，接收检测结果及相关附属信息。</w:t>
      </w:r>
    </w:p>
    <w:p>
      <w:pPr>
        <w:spacing w:line="500" w:lineRule="exact"/>
        <w:ind w:firstLine="420" w:firstLineChars="200"/>
        <w:rPr>
          <w:rFonts w:ascii="宋体" w:hAnsi="宋体" w:cs="宋体"/>
          <w:szCs w:val="21"/>
          <w:lang w:val="zh-CN"/>
        </w:rPr>
      </w:pPr>
      <w:r>
        <w:rPr>
          <w:rFonts w:ascii="宋体" w:hAnsi="宋体" w:cs="宋体"/>
          <w:szCs w:val="21"/>
          <w:lang w:val="zh-CN"/>
        </w:rPr>
        <w:t>2.4</w:t>
      </w:r>
      <w:r>
        <w:rPr>
          <w:rFonts w:hint="eastAsia" w:ascii="宋体" w:hAnsi="宋体" w:cs="宋体"/>
          <w:szCs w:val="21"/>
          <w:lang w:val="zh-CN"/>
        </w:rPr>
        <w:t>支持实时查看筛查进度、漏检人员和漏检项等信息。</w:t>
      </w:r>
    </w:p>
    <w:p>
      <w:pPr>
        <w:spacing w:line="500" w:lineRule="exact"/>
        <w:ind w:firstLine="420" w:firstLineChars="200"/>
        <w:rPr>
          <w:rFonts w:ascii="宋体" w:hAnsi="宋体" w:cs="宋体"/>
          <w:szCs w:val="21"/>
          <w:lang w:val="zh-CN"/>
        </w:rPr>
      </w:pPr>
      <w:r>
        <w:rPr>
          <w:rFonts w:ascii="宋体" w:hAnsi="宋体" w:cs="宋体"/>
          <w:szCs w:val="21"/>
          <w:lang w:val="zh-CN"/>
        </w:rPr>
        <w:t>2.5</w:t>
      </w:r>
      <w:r>
        <w:rPr>
          <w:rFonts w:hint="eastAsia" w:ascii="宋体" w:hAnsi="宋体" w:cs="宋体"/>
          <w:szCs w:val="21"/>
          <w:lang w:val="zh-CN"/>
        </w:rPr>
        <w:t>支持提示数据异常。</w:t>
      </w:r>
    </w:p>
    <w:p>
      <w:pPr>
        <w:spacing w:line="500" w:lineRule="exact"/>
        <w:ind w:firstLine="420"/>
        <w:rPr>
          <w:rFonts w:ascii="宋体" w:hAnsi="宋体" w:cs="宋体"/>
          <w:szCs w:val="21"/>
        </w:rPr>
      </w:pPr>
      <w:r>
        <w:rPr>
          <w:rFonts w:ascii="宋体" w:hAnsi="宋体" w:cs="宋体"/>
          <w:szCs w:val="21"/>
        </w:rPr>
        <w:t>3.</w:t>
      </w:r>
      <w:r>
        <w:rPr>
          <w:rFonts w:hint="eastAsia" w:ascii="宋体" w:hAnsi="宋体" w:cs="宋体"/>
          <w:szCs w:val="21"/>
        </w:rPr>
        <w:t>筛查统计</w:t>
      </w:r>
    </w:p>
    <w:p>
      <w:pPr>
        <w:spacing w:line="500" w:lineRule="exact"/>
        <w:ind w:firstLine="420"/>
        <w:rPr>
          <w:rFonts w:ascii="宋体" w:hAnsi="宋体" w:cs="宋体"/>
          <w:szCs w:val="21"/>
        </w:rPr>
      </w:pPr>
      <w:r>
        <w:rPr>
          <w:rFonts w:ascii="宋体" w:hAnsi="宋体" w:cs="宋体"/>
          <w:szCs w:val="21"/>
        </w:rPr>
        <w:t>3.1</w:t>
      </w:r>
      <w:r>
        <w:rPr>
          <w:rFonts w:hint="eastAsia" w:ascii="宋体" w:hAnsi="宋体" w:cs="宋体"/>
          <w:szCs w:val="21"/>
        </w:rPr>
        <w:t>能够实时判断档案的检查结果是否为近视或视力不良，且系统内部相关算法模块的设计具有灵活性与扩展性，便于调整。</w:t>
      </w:r>
    </w:p>
    <w:p>
      <w:pPr>
        <w:spacing w:line="500" w:lineRule="exact"/>
        <w:ind w:firstLine="420"/>
        <w:rPr>
          <w:rFonts w:ascii="宋体" w:hAnsi="宋体" w:cs="宋体"/>
          <w:szCs w:val="21"/>
        </w:rPr>
      </w:pPr>
      <w:r>
        <w:rPr>
          <w:rFonts w:ascii="宋体" w:hAnsi="宋体" w:cs="宋体"/>
          <w:szCs w:val="21"/>
        </w:rPr>
        <w:t>3.2</w:t>
      </w:r>
      <w:r>
        <w:rPr>
          <w:rFonts w:hint="eastAsia" w:ascii="宋体" w:hAnsi="宋体" w:cs="宋体"/>
          <w:szCs w:val="21"/>
        </w:rPr>
        <w:t>对整体筛查活动的所在区域，筛查学校数量，统计总人数等进行展示。</w:t>
      </w:r>
    </w:p>
    <w:p>
      <w:pPr>
        <w:spacing w:line="500" w:lineRule="exact"/>
        <w:ind w:firstLine="420"/>
        <w:rPr>
          <w:rFonts w:ascii="宋体" w:hAnsi="宋体" w:cs="宋体"/>
          <w:szCs w:val="21"/>
        </w:rPr>
      </w:pPr>
      <w:r>
        <w:rPr>
          <w:rFonts w:ascii="宋体" w:hAnsi="宋体" w:cs="宋体"/>
          <w:szCs w:val="21"/>
        </w:rPr>
        <w:t>3.3</w:t>
      </w:r>
      <w:r>
        <w:rPr>
          <w:rFonts w:hint="eastAsia" w:ascii="宋体" w:hAnsi="宋体" w:cs="宋体"/>
          <w:szCs w:val="21"/>
        </w:rPr>
        <w:t>显示筛查覆盖率，视力不良率、近视率、近视等级等。</w:t>
      </w:r>
    </w:p>
    <w:p>
      <w:pPr>
        <w:spacing w:line="500" w:lineRule="exact"/>
        <w:ind w:firstLine="420"/>
        <w:rPr>
          <w:rFonts w:ascii="宋体" w:hAnsi="宋体" w:cs="宋体"/>
          <w:szCs w:val="21"/>
        </w:rPr>
      </w:pPr>
      <w:r>
        <w:rPr>
          <w:rFonts w:ascii="宋体" w:hAnsi="宋体" w:cs="宋体"/>
          <w:szCs w:val="21"/>
        </w:rPr>
        <w:t>3.4</w:t>
      </w:r>
      <w:r>
        <w:rPr>
          <w:rFonts w:hint="eastAsia" w:ascii="宋体" w:hAnsi="宋体" w:cs="宋体"/>
          <w:szCs w:val="21"/>
        </w:rPr>
        <w:t>可以从“时间、地点（不同区域</w:t>
      </w:r>
      <w:r>
        <w:rPr>
          <w:rFonts w:ascii="宋体" w:hAnsi="宋体" w:cs="宋体"/>
          <w:szCs w:val="21"/>
        </w:rPr>
        <w:t>/</w:t>
      </w:r>
      <w:r>
        <w:rPr>
          <w:rFonts w:hint="eastAsia" w:ascii="宋体" w:hAnsi="宋体" w:cs="宋体"/>
          <w:szCs w:val="21"/>
        </w:rPr>
        <w:t>单位）、人群”等维度进行数据查询与统计，并支持报告生成与下载。</w:t>
      </w:r>
    </w:p>
    <w:p>
      <w:pPr>
        <w:spacing w:line="500" w:lineRule="exact"/>
        <w:ind w:firstLine="420"/>
        <w:outlineLvl w:val="0"/>
        <w:rPr>
          <w:rFonts w:ascii="宋体" w:hAnsi="宋体" w:cs="宋体"/>
          <w:b/>
          <w:bCs/>
          <w:szCs w:val="21"/>
        </w:rPr>
      </w:pPr>
      <w:r>
        <w:rPr>
          <w:rFonts w:hint="eastAsia" w:ascii="宋体" w:hAnsi="宋体" w:cs="宋体"/>
          <w:b/>
          <w:bCs/>
          <w:szCs w:val="21"/>
        </w:rPr>
        <w:t>（三）学校管理</w:t>
      </w:r>
    </w:p>
    <w:p>
      <w:pPr>
        <w:spacing w:line="500" w:lineRule="exact"/>
        <w:ind w:firstLine="420"/>
        <w:rPr>
          <w:rFonts w:ascii="宋体" w:hAnsi="宋体" w:cs="宋体"/>
          <w:szCs w:val="21"/>
        </w:rPr>
      </w:pPr>
      <w:r>
        <w:rPr>
          <w:rFonts w:ascii="宋体" w:hAnsi="宋体" w:cs="宋体"/>
          <w:szCs w:val="21"/>
        </w:rPr>
        <w:t>1.支持管理本校</w:t>
      </w:r>
      <w:r>
        <w:rPr>
          <w:rFonts w:hint="eastAsia" w:ascii="宋体" w:hAnsi="宋体" w:cs="宋体"/>
          <w:szCs w:val="21"/>
        </w:rPr>
        <w:t>近视筛查相关</w:t>
      </w:r>
      <w:r>
        <w:rPr>
          <w:rFonts w:ascii="宋体" w:hAnsi="宋体" w:cs="宋体"/>
          <w:szCs w:val="21"/>
        </w:rPr>
        <w:t>信息，创建筛查任务，查看学校、年级、班级统计报表</w:t>
      </w:r>
      <w:r>
        <w:rPr>
          <w:rFonts w:hint="eastAsia" w:ascii="宋体" w:hAnsi="宋体" w:cs="宋体"/>
          <w:szCs w:val="21"/>
        </w:rPr>
        <w:t>等。</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支持创建本校内部管理员、筛查员账号，并为管理员灵活配置可操作的页面模块、功能权限。支持账号密码修改与重置；</w:t>
      </w:r>
    </w:p>
    <w:p>
      <w:pPr>
        <w:spacing w:line="500" w:lineRule="exact"/>
        <w:ind w:firstLine="420"/>
        <w:rPr>
          <w:rFonts w:ascii="宋体" w:hAnsi="宋体" w:cs="宋体"/>
          <w:szCs w:val="21"/>
        </w:rPr>
      </w:pPr>
      <w:r>
        <w:rPr>
          <w:rFonts w:ascii="宋体" w:hAnsi="宋体" w:cs="宋体"/>
          <w:szCs w:val="21"/>
        </w:rPr>
        <w:t>3.</w:t>
      </w:r>
      <w:r>
        <w:rPr>
          <w:rFonts w:hint="eastAsia" w:ascii="宋体" w:hAnsi="宋体" w:cs="宋体"/>
          <w:szCs w:val="21"/>
        </w:rPr>
        <w:t>可查看学校筛查各项数据统计结果。按对学校总体筛查覆盖率，视力不良率，近视率等的数据统计分析。</w:t>
      </w:r>
    </w:p>
    <w:p>
      <w:pPr>
        <w:spacing w:line="500" w:lineRule="exact"/>
        <w:ind w:firstLine="420"/>
        <w:rPr>
          <w:rFonts w:ascii="宋体" w:hAnsi="宋体" w:cs="宋体"/>
          <w:szCs w:val="21"/>
        </w:rPr>
      </w:pPr>
      <w:r>
        <w:rPr>
          <w:rFonts w:ascii="宋体" w:hAnsi="宋体" w:cs="宋体"/>
          <w:szCs w:val="21"/>
        </w:rPr>
        <w:t>4.</w:t>
      </w:r>
      <w:r>
        <w:rPr>
          <w:rFonts w:hint="eastAsia" w:ascii="宋体" w:hAnsi="宋体" w:cs="宋体"/>
          <w:szCs w:val="21"/>
        </w:rPr>
        <w:t>可查看全校视力不良率或近视率随学年的变化趋势。</w:t>
      </w:r>
    </w:p>
    <w:p>
      <w:pPr>
        <w:spacing w:line="500" w:lineRule="exact"/>
        <w:ind w:firstLine="420"/>
        <w:rPr>
          <w:rFonts w:ascii="宋体" w:hAnsi="宋体" w:cs="宋体"/>
          <w:szCs w:val="21"/>
        </w:rPr>
      </w:pPr>
      <w:r>
        <w:rPr>
          <w:rFonts w:ascii="宋体" w:hAnsi="宋体" w:cs="宋体"/>
          <w:szCs w:val="21"/>
        </w:rPr>
        <w:t>5.</w:t>
      </w:r>
      <w:r>
        <w:rPr>
          <w:rFonts w:hint="eastAsia" w:ascii="宋体" w:hAnsi="宋体" w:cs="宋体"/>
          <w:szCs w:val="21"/>
        </w:rPr>
        <w:t>可对筛查人群按照视力不良与近视程度进行等级划分与统计。</w:t>
      </w:r>
    </w:p>
    <w:p>
      <w:pPr>
        <w:spacing w:line="500" w:lineRule="exact"/>
        <w:ind w:firstLine="420"/>
        <w:rPr>
          <w:rFonts w:ascii="宋体" w:hAnsi="宋体" w:cs="宋体"/>
          <w:szCs w:val="21"/>
        </w:rPr>
      </w:pPr>
      <w:r>
        <w:rPr>
          <w:rFonts w:ascii="宋体" w:hAnsi="宋体" w:cs="宋体"/>
          <w:szCs w:val="21"/>
        </w:rPr>
        <w:t>6.</w:t>
      </w:r>
      <w:r>
        <w:rPr>
          <w:rFonts w:hint="eastAsia" w:ascii="宋体" w:hAnsi="宋体" w:cs="宋体"/>
          <w:szCs w:val="21"/>
        </w:rPr>
        <w:t>可查看各年级，班级，性别及个人的历史筛查统计</w:t>
      </w:r>
      <w:r>
        <w:rPr>
          <w:rFonts w:ascii="宋体" w:hAnsi="宋体" w:cs="宋体"/>
          <w:szCs w:val="21"/>
        </w:rPr>
        <w:t>PDF</w:t>
      </w:r>
      <w:r>
        <w:rPr>
          <w:rFonts w:hint="eastAsia" w:ascii="宋体" w:hAnsi="宋体" w:cs="宋体"/>
          <w:szCs w:val="21"/>
        </w:rPr>
        <w:t>报告（报</w:t>
      </w:r>
      <w:r>
        <w:rPr>
          <w:rFonts w:ascii="宋体" w:hAnsi="宋体" w:cs="宋体"/>
          <w:szCs w:val="21"/>
        </w:rPr>
        <w:t>告内容包括裸眼视力和戴镜视力、两眼屈光度参数、筛查员、筛查设备、建议、筛查时间等</w:t>
      </w:r>
      <w:r>
        <w:rPr>
          <w:rFonts w:hint="eastAsia" w:ascii="宋体" w:hAnsi="宋体" w:cs="宋体"/>
          <w:szCs w:val="21"/>
        </w:rPr>
        <w:t>）并支持下载，打印成册。</w:t>
      </w:r>
    </w:p>
    <w:p>
      <w:pPr>
        <w:spacing w:line="500" w:lineRule="exact"/>
        <w:ind w:firstLine="420"/>
        <w:outlineLvl w:val="0"/>
        <w:rPr>
          <w:rFonts w:ascii="宋体" w:hAnsi="宋体" w:cs="宋体"/>
          <w:b/>
          <w:bCs/>
          <w:szCs w:val="21"/>
        </w:rPr>
      </w:pPr>
      <w:r>
        <w:rPr>
          <w:rFonts w:hint="eastAsia" w:ascii="宋体" w:hAnsi="宋体" w:cs="宋体"/>
          <w:b/>
          <w:bCs/>
          <w:szCs w:val="21"/>
        </w:rPr>
        <w:t>（四）医疗机构管理</w:t>
      </w:r>
    </w:p>
    <w:p>
      <w:pPr>
        <w:spacing w:line="500" w:lineRule="exact"/>
        <w:ind w:firstLine="420"/>
        <w:outlineLvl w:val="0"/>
        <w:rPr>
          <w:rFonts w:ascii="宋体" w:hAnsi="宋体" w:cs="宋体"/>
          <w:szCs w:val="21"/>
        </w:rPr>
      </w:pPr>
      <w:r>
        <w:rPr>
          <w:rFonts w:ascii="宋体" w:hAnsi="宋体" w:cs="宋体"/>
          <w:szCs w:val="21"/>
        </w:rPr>
        <w:t>1.支持</w:t>
      </w:r>
      <w:r>
        <w:rPr>
          <w:rFonts w:hint="eastAsia" w:ascii="宋体" w:hAnsi="宋体" w:cs="宋体"/>
          <w:szCs w:val="21"/>
        </w:rPr>
        <w:t>医疗机构</w:t>
      </w:r>
      <w:r>
        <w:rPr>
          <w:rFonts w:ascii="宋体" w:hAnsi="宋体" w:cs="宋体"/>
          <w:szCs w:val="21"/>
        </w:rPr>
        <w:t>在卫</w:t>
      </w:r>
      <w:r>
        <w:rPr>
          <w:rFonts w:hint="eastAsia" w:ascii="宋体" w:hAnsi="宋体" w:cs="宋体"/>
          <w:szCs w:val="21"/>
        </w:rPr>
        <w:t>生</w:t>
      </w:r>
      <w:r>
        <w:rPr>
          <w:rFonts w:ascii="宋体" w:hAnsi="宋体" w:cs="宋体"/>
          <w:szCs w:val="21"/>
        </w:rPr>
        <w:t>健</w:t>
      </w:r>
      <w:r>
        <w:rPr>
          <w:rFonts w:hint="eastAsia" w:ascii="宋体" w:hAnsi="宋体" w:cs="宋体"/>
          <w:szCs w:val="21"/>
        </w:rPr>
        <w:t>康行政部门</w:t>
      </w:r>
      <w:r>
        <w:rPr>
          <w:rFonts w:ascii="宋体" w:hAnsi="宋体" w:cs="宋体"/>
          <w:szCs w:val="21"/>
        </w:rPr>
        <w:t>的授权下筛查指定学校</w:t>
      </w:r>
      <w:r>
        <w:rPr>
          <w:rFonts w:hint="eastAsia" w:ascii="宋体" w:hAnsi="宋体" w:cs="宋体"/>
          <w:szCs w:val="21"/>
        </w:rPr>
        <w:t>。</w:t>
      </w:r>
    </w:p>
    <w:p>
      <w:pPr>
        <w:spacing w:line="500" w:lineRule="exact"/>
        <w:ind w:firstLine="420"/>
        <w:outlineLvl w:val="0"/>
        <w:rPr>
          <w:rFonts w:ascii="宋体" w:hAnsi="宋体" w:cs="宋体"/>
          <w:szCs w:val="21"/>
        </w:rPr>
      </w:pPr>
      <w:r>
        <w:rPr>
          <w:rFonts w:ascii="宋体" w:hAnsi="宋体" w:cs="宋体"/>
          <w:szCs w:val="21"/>
        </w:rPr>
        <w:t>2.支持创建</w:t>
      </w:r>
      <w:r>
        <w:rPr>
          <w:rFonts w:hint="eastAsia" w:ascii="宋体" w:hAnsi="宋体" w:cs="宋体"/>
          <w:szCs w:val="21"/>
        </w:rPr>
        <w:t>医疗机构</w:t>
      </w:r>
      <w:r>
        <w:rPr>
          <w:rFonts w:ascii="宋体" w:hAnsi="宋体" w:cs="宋体"/>
          <w:szCs w:val="21"/>
        </w:rPr>
        <w:t>内部管理员、筛查员账号，并为管理员灵活配置可操作的页面模块、功能权限。支持账号密码修改与重置</w:t>
      </w:r>
      <w:r>
        <w:rPr>
          <w:rFonts w:hint="eastAsia" w:ascii="宋体" w:hAnsi="宋体" w:cs="宋体"/>
          <w:szCs w:val="21"/>
        </w:rPr>
        <w:t>。</w:t>
      </w:r>
    </w:p>
    <w:p>
      <w:pPr>
        <w:spacing w:line="500" w:lineRule="exact"/>
        <w:ind w:firstLine="420"/>
        <w:outlineLvl w:val="0"/>
        <w:rPr>
          <w:rFonts w:ascii="宋体" w:hAnsi="宋体" w:cs="宋体"/>
          <w:szCs w:val="21"/>
        </w:rPr>
      </w:pPr>
      <w:r>
        <w:rPr>
          <w:rFonts w:ascii="宋体" w:hAnsi="宋体" w:cs="宋体"/>
          <w:szCs w:val="21"/>
        </w:rPr>
        <w:t>3.支持查看已筛查学校的学生个体所有历史视力报告，报告内容包括裸眼视力和戴镜视力、两眼屈光度参数、筛查员、筛查设备、建议、筛查时间等</w:t>
      </w:r>
      <w:r>
        <w:rPr>
          <w:rFonts w:hint="eastAsia" w:ascii="宋体" w:hAnsi="宋体" w:cs="宋体"/>
          <w:szCs w:val="21"/>
        </w:rPr>
        <w:t>。</w:t>
      </w:r>
    </w:p>
    <w:p>
      <w:pPr>
        <w:spacing w:line="500" w:lineRule="exact"/>
        <w:ind w:firstLine="420"/>
        <w:outlineLvl w:val="0"/>
        <w:rPr>
          <w:rFonts w:ascii="宋体" w:hAnsi="宋体" w:cs="宋体"/>
          <w:b/>
          <w:bCs/>
          <w:szCs w:val="21"/>
        </w:rPr>
      </w:pPr>
      <w:r>
        <w:rPr>
          <w:rFonts w:hint="eastAsia" w:ascii="宋体" w:hAnsi="宋体" w:cs="宋体"/>
          <w:b/>
          <w:bCs/>
          <w:szCs w:val="21"/>
        </w:rPr>
        <w:t>（五）档案管理</w:t>
      </w:r>
    </w:p>
    <w:p>
      <w:pPr>
        <w:spacing w:line="500" w:lineRule="exact"/>
        <w:ind w:firstLine="420"/>
        <w:rPr>
          <w:rFonts w:ascii="宋体" w:hAnsi="宋体" w:cs="宋体"/>
          <w:szCs w:val="21"/>
        </w:rPr>
      </w:pPr>
      <w:r>
        <w:rPr>
          <w:rFonts w:ascii="宋体" w:hAnsi="宋体" w:cs="宋体"/>
          <w:szCs w:val="21"/>
        </w:rPr>
        <w:t>1.</w:t>
      </w:r>
      <w:r>
        <w:rPr>
          <w:rFonts w:hint="eastAsia" w:ascii="宋体" w:hAnsi="宋体" w:cs="宋体"/>
          <w:szCs w:val="21"/>
        </w:rPr>
        <w:t>档案列表</w:t>
      </w:r>
    </w:p>
    <w:p>
      <w:pPr>
        <w:spacing w:line="500" w:lineRule="exact"/>
        <w:ind w:firstLine="420"/>
        <w:rPr>
          <w:rFonts w:ascii="宋体" w:hAnsi="宋体" w:cs="宋体"/>
          <w:szCs w:val="21"/>
        </w:rPr>
      </w:pPr>
      <w:r>
        <w:rPr>
          <w:rFonts w:ascii="宋体" w:hAnsi="宋体" w:cs="宋体"/>
          <w:szCs w:val="21"/>
        </w:rPr>
        <w:t>1.1</w:t>
      </w:r>
      <w:r>
        <w:rPr>
          <w:rFonts w:hint="eastAsia" w:ascii="宋体" w:hAnsi="宋体" w:cs="宋体"/>
          <w:szCs w:val="21"/>
        </w:rPr>
        <w:t>可按学期、学生姓名等对档案进行检索。</w:t>
      </w:r>
    </w:p>
    <w:p>
      <w:pPr>
        <w:spacing w:line="500" w:lineRule="exact"/>
        <w:ind w:firstLine="420"/>
        <w:rPr>
          <w:rFonts w:ascii="宋体" w:hAnsi="宋体" w:cs="宋体"/>
          <w:szCs w:val="21"/>
        </w:rPr>
      </w:pPr>
      <w:r>
        <w:rPr>
          <w:rFonts w:ascii="宋体" w:hAnsi="宋体" w:cs="宋体"/>
          <w:szCs w:val="21"/>
        </w:rPr>
        <w:t>1.2</w:t>
      </w:r>
      <w:r>
        <w:rPr>
          <w:rFonts w:hint="eastAsia" w:ascii="宋体" w:hAnsi="宋体" w:cs="宋体"/>
          <w:szCs w:val="21"/>
        </w:rPr>
        <w:t>可下载打印档案唯一识别码。</w:t>
      </w:r>
    </w:p>
    <w:p>
      <w:pPr>
        <w:spacing w:line="500" w:lineRule="exact"/>
        <w:ind w:firstLine="420"/>
        <w:rPr>
          <w:rFonts w:ascii="宋体" w:hAnsi="宋体" w:cs="宋体"/>
          <w:szCs w:val="21"/>
        </w:rPr>
      </w:pPr>
      <w:r>
        <w:rPr>
          <w:rFonts w:ascii="宋体" w:hAnsi="宋体" w:cs="宋体"/>
          <w:szCs w:val="21"/>
        </w:rPr>
        <w:t>1.3</w:t>
      </w:r>
      <w:r>
        <w:rPr>
          <w:rFonts w:hint="eastAsia" w:ascii="宋体" w:hAnsi="宋体" w:cs="宋体"/>
          <w:szCs w:val="21"/>
        </w:rPr>
        <w:t>可查看档案数据录入记录。</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数据录入</w:t>
      </w:r>
      <w:r>
        <w:rPr>
          <w:rFonts w:ascii="宋体" w:hAnsi="宋体" w:cs="宋体"/>
          <w:szCs w:val="21"/>
        </w:rPr>
        <w:t>/</w:t>
      </w:r>
      <w:r>
        <w:rPr>
          <w:rFonts w:hint="eastAsia" w:ascii="宋体" w:hAnsi="宋体" w:cs="宋体"/>
          <w:szCs w:val="21"/>
        </w:rPr>
        <w:t>导入</w:t>
      </w:r>
    </w:p>
    <w:p>
      <w:pPr>
        <w:spacing w:line="500" w:lineRule="exact"/>
        <w:ind w:firstLine="420"/>
        <w:rPr>
          <w:rFonts w:ascii="宋体" w:hAnsi="宋体" w:cs="宋体"/>
          <w:szCs w:val="21"/>
        </w:rPr>
      </w:pPr>
      <w:r>
        <w:rPr>
          <w:rFonts w:ascii="宋体" w:hAnsi="宋体" w:cs="宋体"/>
          <w:szCs w:val="21"/>
        </w:rPr>
        <w:t>2.1</w:t>
      </w:r>
      <w:r>
        <w:rPr>
          <w:rFonts w:hint="eastAsia" w:ascii="宋体" w:hAnsi="宋体" w:cs="宋体"/>
          <w:szCs w:val="21"/>
        </w:rPr>
        <w:t>录入档案数据，至少包括：裸眼视力（</w:t>
      </w:r>
      <w:r>
        <w:rPr>
          <w:rFonts w:ascii="宋体" w:hAnsi="宋体" w:cs="宋体"/>
          <w:szCs w:val="21"/>
        </w:rPr>
        <w:t>5</w:t>
      </w:r>
      <w:r>
        <w:rPr>
          <w:rFonts w:hint="eastAsia" w:ascii="宋体" w:hAnsi="宋体" w:cs="宋体"/>
          <w:szCs w:val="21"/>
        </w:rPr>
        <w:t>分制），戴镜视力及类型，屈光度等基本筛查信息，以及散瞳电脑验光、散瞳检影验光、眼轴、眼压、角膜曲率等信息，建立学生视力健康档案，建立完整的视力进展数据，可辅助临床诊断。</w:t>
      </w:r>
    </w:p>
    <w:p>
      <w:pPr>
        <w:spacing w:line="500" w:lineRule="exact"/>
        <w:ind w:firstLine="420"/>
        <w:rPr>
          <w:rFonts w:ascii="宋体" w:hAnsi="宋体" w:cs="宋体"/>
          <w:szCs w:val="21"/>
        </w:rPr>
      </w:pPr>
      <w:r>
        <w:rPr>
          <w:rFonts w:ascii="宋体" w:hAnsi="宋体" w:cs="宋体"/>
          <w:szCs w:val="21"/>
        </w:rPr>
        <w:t>2.2至少可以支持“人脸识别、市民卡、二维码”等方式作为学生身份的唯一识别系统，通过上述方式自动采集筛查结果数据并上传。</w:t>
      </w:r>
      <w:r>
        <w:rPr>
          <w:rFonts w:hint="eastAsia"/>
        </w:rPr>
        <w:t>支持通过后期教育系统自主建立的学生人脸库，实现人脸识别。</w:t>
      </w:r>
    </w:p>
    <w:p>
      <w:pPr>
        <w:spacing w:line="500" w:lineRule="exact"/>
        <w:ind w:firstLine="420"/>
        <w:rPr>
          <w:rFonts w:ascii="宋体" w:hAnsi="宋体" w:cs="宋体"/>
          <w:szCs w:val="21"/>
        </w:rPr>
      </w:pPr>
      <w:r>
        <w:rPr>
          <w:rFonts w:ascii="宋体" w:hAnsi="宋体" w:cs="宋体"/>
          <w:szCs w:val="21"/>
        </w:rPr>
        <w:t>2.3</w:t>
      </w:r>
      <w:r>
        <w:rPr>
          <w:rFonts w:hint="eastAsia" w:ascii="宋体" w:hAnsi="宋体" w:cs="宋体"/>
          <w:szCs w:val="21"/>
        </w:rPr>
        <w:t>支持无线连接实时自动数据上传至数据系统，形成汇总及分类数据。</w:t>
      </w:r>
    </w:p>
    <w:p>
      <w:pPr>
        <w:spacing w:line="500" w:lineRule="exact"/>
        <w:ind w:firstLine="420"/>
        <w:rPr>
          <w:rFonts w:ascii="宋体" w:hAnsi="宋体" w:cs="宋体"/>
          <w:szCs w:val="21"/>
        </w:rPr>
      </w:pPr>
      <w:r>
        <w:rPr>
          <w:rFonts w:ascii="宋体" w:hAnsi="宋体" w:cs="宋体"/>
          <w:szCs w:val="21"/>
        </w:rPr>
        <w:t>2.4</w:t>
      </w:r>
      <w:r>
        <w:rPr>
          <w:rFonts w:hint="eastAsia" w:ascii="宋体" w:hAnsi="宋体" w:cs="宋体"/>
          <w:szCs w:val="21"/>
        </w:rPr>
        <w:t>建档涵盖眼基础检查、儿童青少年屈光发育档案。</w:t>
      </w:r>
    </w:p>
    <w:p>
      <w:pPr>
        <w:spacing w:line="500" w:lineRule="exact"/>
        <w:ind w:firstLine="420"/>
        <w:rPr>
          <w:rFonts w:ascii="宋体" w:hAnsi="宋体" w:cs="宋体"/>
          <w:szCs w:val="21"/>
        </w:rPr>
      </w:pPr>
      <w:r>
        <w:rPr>
          <w:rFonts w:ascii="宋体" w:hAnsi="宋体" w:cs="宋体"/>
          <w:szCs w:val="21"/>
        </w:rPr>
        <w:t>2.5</w:t>
      </w:r>
      <w:r>
        <w:rPr>
          <w:rFonts w:hint="eastAsia" w:ascii="宋体" w:hAnsi="宋体" w:cs="宋体"/>
          <w:szCs w:val="21"/>
        </w:rPr>
        <w:t>身份证号码作为个人信息唯一识别码，受检学生每学期的报告可根据身份证号码唯一码实现绑定，永久跟随，确保档案的连续性。</w:t>
      </w:r>
    </w:p>
    <w:p>
      <w:pPr>
        <w:spacing w:line="500" w:lineRule="exact"/>
        <w:ind w:firstLine="420"/>
        <w:rPr>
          <w:rFonts w:ascii="宋体" w:hAnsi="宋体" w:cs="宋体"/>
          <w:szCs w:val="21"/>
        </w:rPr>
      </w:pPr>
      <w:r>
        <w:rPr>
          <w:rFonts w:ascii="宋体" w:hAnsi="宋体" w:cs="宋体"/>
          <w:szCs w:val="21"/>
        </w:rPr>
        <w:t>2.6</w:t>
      </w:r>
      <w:r>
        <w:rPr>
          <w:rFonts w:hint="eastAsia" w:ascii="宋体" w:hAnsi="宋体" w:cs="宋体"/>
          <w:szCs w:val="21"/>
        </w:rPr>
        <w:t>在获得授权后，调取筛查报告。</w:t>
      </w:r>
    </w:p>
    <w:p>
      <w:pPr>
        <w:spacing w:line="500" w:lineRule="exact"/>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lang w:val="en-US" w:eastAsia="zh-CN"/>
        </w:rPr>
        <w:t>筛查</w:t>
      </w:r>
      <w:r>
        <w:rPr>
          <w:rFonts w:hint="eastAsia" w:ascii="宋体" w:hAnsi="宋体" w:cs="宋体"/>
          <w:color w:val="auto"/>
          <w:szCs w:val="21"/>
          <w:highlight w:val="none"/>
        </w:rPr>
        <w:t>信息</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以链接方式</w:t>
      </w:r>
      <w:r>
        <w:rPr>
          <w:rFonts w:hint="eastAsia" w:ascii="宋体" w:hAnsi="宋体" w:cs="宋体"/>
          <w:color w:val="auto"/>
          <w:szCs w:val="21"/>
          <w:highlight w:val="none"/>
          <w:lang w:val="en-US" w:eastAsia="zh-CN"/>
        </w:rPr>
        <w:t>放</w:t>
      </w:r>
      <w:r>
        <w:rPr>
          <w:rFonts w:hint="eastAsia" w:ascii="宋体" w:hAnsi="宋体" w:cs="宋体"/>
          <w:color w:val="auto"/>
          <w:szCs w:val="21"/>
          <w:highlight w:val="none"/>
        </w:rPr>
        <w:t>至健康台州</w:t>
      </w:r>
      <w:r>
        <w:rPr>
          <w:rFonts w:hint="eastAsia" w:ascii="宋体" w:hAnsi="宋体" w:cs="宋体"/>
          <w:color w:val="auto"/>
          <w:szCs w:val="21"/>
          <w:highlight w:val="none"/>
          <w:lang w:val="en-US" w:eastAsia="zh-CN"/>
        </w:rPr>
        <w:t>等</w:t>
      </w:r>
      <w:r>
        <w:rPr>
          <w:rFonts w:ascii="宋体" w:hAnsi="宋体" w:cs="宋体"/>
          <w:color w:val="auto"/>
          <w:szCs w:val="21"/>
          <w:highlight w:val="none"/>
        </w:rPr>
        <w:t>APP</w:t>
      </w:r>
      <w:r>
        <w:rPr>
          <w:rFonts w:hint="eastAsia" w:ascii="宋体" w:hAnsi="宋体" w:cs="宋体"/>
          <w:color w:val="auto"/>
          <w:szCs w:val="21"/>
          <w:highlight w:val="none"/>
        </w:rPr>
        <w:t>端</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提供查询</w:t>
      </w:r>
      <w:r>
        <w:rPr>
          <w:rFonts w:hint="eastAsia" w:ascii="宋体" w:hAnsi="宋体" w:cs="宋体"/>
          <w:color w:val="auto"/>
          <w:szCs w:val="21"/>
          <w:highlight w:val="none"/>
        </w:rPr>
        <w:t>。</w:t>
      </w:r>
    </w:p>
    <w:p>
      <w:pPr>
        <w:spacing w:line="500" w:lineRule="exact"/>
        <w:ind w:firstLine="420"/>
        <w:outlineLvl w:val="0"/>
        <w:rPr>
          <w:rFonts w:ascii="宋体" w:hAnsi="宋体" w:cs="宋体"/>
          <w:szCs w:val="21"/>
        </w:rPr>
      </w:pPr>
      <w:r>
        <w:rPr>
          <w:rFonts w:ascii="宋体" w:hAnsi="宋体" w:cs="宋体"/>
          <w:szCs w:val="21"/>
        </w:rPr>
        <w:t>3.</w:t>
      </w:r>
      <w:r>
        <w:rPr>
          <w:rFonts w:hint="eastAsia" w:ascii="宋体" w:hAnsi="宋体" w:cs="宋体"/>
          <w:szCs w:val="21"/>
        </w:rPr>
        <w:t>报表管理</w:t>
      </w:r>
    </w:p>
    <w:p>
      <w:pPr>
        <w:spacing w:line="500" w:lineRule="exact"/>
        <w:ind w:firstLine="420"/>
        <w:rPr>
          <w:rFonts w:ascii="宋体" w:hAnsi="宋体" w:cs="宋体"/>
          <w:szCs w:val="21"/>
        </w:rPr>
      </w:pPr>
      <w:r>
        <w:rPr>
          <w:rFonts w:ascii="宋体" w:hAnsi="宋体" w:cs="宋体"/>
          <w:szCs w:val="21"/>
        </w:rPr>
        <w:t>3.1</w:t>
      </w:r>
      <w:r>
        <w:rPr>
          <w:rFonts w:hint="eastAsia" w:ascii="宋体" w:hAnsi="宋体" w:cs="宋体"/>
          <w:szCs w:val="21"/>
        </w:rPr>
        <w:t>按照《儿童青少年近视筛查规范》标准要求，生成</w:t>
      </w:r>
      <w:r>
        <w:rPr>
          <w:rFonts w:ascii="宋体" w:hAnsi="宋体" w:cs="宋体"/>
          <w:szCs w:val="21"/>
        </w:rPr>
        <w:t>EpiData</w:t>
      </w:r>
      <w:r>
        <w:rPr>
          <w:rFonts w:hint="eastAsia" w:ascii="宋体" w:hAnsi="宋体" w:cs="宋体"/>
          <w:szCs w:val="21"/>
        </w:rPr>
        <w:t>报表，可对接疾控数据系统。</w:t>
      </w:r>
    </w:p>
    <w:p>
      <w:pPr>
        <w:spacing w:line="500" w:lineRule="exact"/>
        <w:ind w:firstLine="420"/>
        <w:rPr>
          <w:rFonts w:ascii="宋体" w:hAnsi="宋体" w:cs="宋体"/>
          <w:szCs w:val="21"/>
        </w:rPr>
      </w:pPr>
      <w:r>
        <w:rPr>
          <w:rFonts w:ascii="宋体" w:hAnsi="宋体" w:cs="宋体"/>
          <w:szCs w:val="21"/>
        </w:rPr>
        <w:t xml:space="preserve"> 3.2</w:t>
      </w:r>
      <w:r>
        <w:rPr>
          <w:rFonts w:hint="eastAsia" w:ascii="宋体" w:hAnsi="宋体" w:cs="宋体"/>
          <w:szCs w:val="21"/>
        </w:rPr>
        <w:t>按照《儿童青少年近视筛查规范》标准要求，生成“市、县儿童青少年近视调查情况汇总表”，展示全市筛查近视数据情况。</w:t>
      </w:r>
    </w:p>
    <w:p>
      <w:pPr>
        <w:spacing w:line="500" w:lineRule="exact"/>
        <w:ind w:firstLine="420"/>
        <w:rPr>
          <w:rFonts w:ascii="宋体" w:hAnsi="宋体" w:cs="宋体"/>
          <w:szCs w:val="21"/>
        </w:rPr>
      </w:pPr>
      <w:r>
        <w:rPr>
          <w:rFonts w:ascii="宋体" w:hAnsi="宋体" w:cs="宋体"/>
          <w:szCs w:val="21"/>
        </w:rPr>
        <w:t>3.3</w:t>
      </w:r>
      <w:r>
        <w:rPr>
          <w:rFonts w:hint="eastAsia" w:ascii="宋体" w:hAnsi="宋体" w:cs="宋体"/>
          <w:szCs w:val="21"/>
        </w:rPr>
        <w:t>按照《儿童青少年近视筛查规范》标准要求</w:t>
      </w:r>
      <w:r>
        <w:rPr>
          <w:rFonts w:ascii="宋体" w:hAnsi="宋体" w:cs="宋体"/>
          <w:szCs w:val="21"/>
        </w:rPr>
        <w:t>,</w:t>
      </w:r>
      <w:r>
        <w:rPr>
          <w:rFonts w:hint="eastAsia" w:ascii="宋体" w:hAnsi="宋体" w:cs="宋体"/>
          <w:szCs w:val="21"/>
        </w:rPr>
        <w:t>生成“儿童青少年近视筛查结果记录表”。</w:t>
      </w:r>
    </w:p>
    <w:p>
      <w:pPr>
        <w:spacing w:line="500" w:lineRule="exact"/>
        <w:ind w:firstLine="420"/>
        <w:rPr>
          <w:rFonts w:ascii="宋体" w:hAnsi="宋体" w:cs="宋体"/>
          <w:szCs w:val="21"/>
        </w:rPr>
      </w:pPr>
      <w:r>
        <w:rPr>
          <w:rFonts w:ascii="宋体" w:hAnsi="宋体" w:cs="宋体"/>
          <w:szCs w:val="21"/>
        </w:rPr>
        <w:t>3.4</w:t>
      </w:r>
      <w:r>
        <w:rPr>
          <w:rFonts w:hint="eastAsia" w:ascii="宋体" w:hAnsi="宋体" w:cs="宋体"/>
          <w:szCs w:val="21"/>
        </w:rPr>
        <w:t>原始数据可以通过</w:t>
      </w:r>
      <w:r>
        <w:rPr>
          <w:rFonts w:ascii="宋体" w:hAnsi="宋体" w:cs="宋体"/>
          <w:szCs w:val="21"/>
        </w:rPr>
        <w:t>EXCEL</w:t>
      </w:r>
      <w:r>
        <w:rPr>
          <w:rFonts w:hint="eastAsia" w:ascii="宋体" w:hAnsi="宋体" w:cs="宋体"/>
          <w:szCs w:val="21"/>
        </w:rPr>
        <w:t>表格等方式导出分析。</w:t>
      </w:r>
    </w:p>
    <w:p>
      <w:pPr>
        <w:spacing w:line="500" w:lineRule="exact"/>
        <w:ind w:firstLine="420"/>
        <w:outlineLvl w:val="0"/>
        <w:rPr>
          <w:rFonts w:ascii="宋体" w:hAnsi="宋体" w:cs="宋体"/>
          <w:b/>
          <w:bCs/>
          <w:szCs w:val="21"/>
        </w:rPr>
      </w:pPr>
      <w:r>
        <w:rPr>
          <w:rFonts w:hint="eastAsia" w:ascii="宋体" w:hAnsi="宋体" w:cs="宋体"/>
          <w:b/>
          <w:bCs/>
          <w:szCs w:val="21"/>
        </w:rPr>
        <w:t>（六）账号管理</w:t>
      </w:r>
    </w:p>
    <w:p>
      <w:pPr>
        <w:spacing w:line="500" w:lineRule="exact"/>
        <w:ind w:firstLine="420"/>
        <w:rPr>
          <w:rFonts w:ascii="宋体" w:hAnsi="宋体" w:cs="宋体"/>
          <w:szCs w:val="21"/>
        </w:rPr>
      </w:pPr>
      <w:r>
        <w:rPr>
          <w:rFonts w:ascii="宋体" w:hAnsi="宋体" w:cs="宋体"/>
          <w:szCs w:val="21"/>
        </w:rPr>
        <w:t>1.</w:t>
      </w:r>
      <w:r>
        <w:rPr>
          <w:rFonts w:hint="eastAsia" w:ascii="宋体" w:hAnsi="宋体" w:cs="宋体"/>
          <w:szCs w:val="21"/>
        </w:rPr>
        <w:t>账号类型</w:t>
      </w:r>
    </w:p>
    <w:p>
      <w:pPr>
        <w:spacing w:line="500" w:lineRule="exact"/>
        <w:ind w:firstLine="420"/>
        <w:rPr>
          <w:rFonts w:ascii="宋体" w:hAnsi="宋体" w:cs="宋体"/>
          <w:szCs w:val="21"/>
        </w:rPr>
      </w:pPr>
      <w:r>
        <w:rPr>
          <w:rFonts w:hint="eastAsia" w:ascii="宋体" w:hAnsi="宋体" w:cs="宋体"/>
          <w:szCs w:val="21"/>
        </w:rPr>
        <w:t>系统通过建立不同的账号类型（市级，县区级管理账号，筛查机构账号，学校账号，班主任账号等）实现主管部门对本市的各县区各级学校信息的管理；筛查机构对筛查数据的管理；学校负责人对本校年级，班级，学生信息的管理；以及班主任对本班级，本班级学生信息的管理。</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管理账号</w:t>
      </w:r>
    </w:p>
    <w:p>
      <w:pPr>
        <w:spacing w:line="500" w:lineRule="exact"/>
        <w:ind w:firstLine="420"/>
        <w:rPr>
          <w:rFonts w:ascii="宋体" w:hAnsi="宋体" w:cs="宋体"/>
          <w:szCs w:val="21"/>
        </w:rPr>
      </w:pPr>
      <w:r>
        <w:rPr>
          <w:rFonts w:hint="eastAsia" w:ascii="宋体" w:hAnsi="宋体" w:cs="宋体"/>
          <w:szCs w:val="21"/>
        </w:rPr>
        <w:t>可对管辖区域建立管理账号，管理账号通过数据可视化系统展示相关统计分析结果。</w:t>
      </w:r>
    </w:p>
    <w:p>
      <w:pPr>
        <w:spacing w:line="500" w:lineRule="exact"/>
        <w:ind w:firstLine="420"/>
        <w:rPr>
          <w:rFonts w:ascii="宋体" w:hAnsi="宋体" w:cs="宋体"/>
          <w:szCs w:val="21"/>
        </w:rPr>
      </w:pPr>
      <w:r>
        <w:rPr>
          <w:rFonts w:ascii="宋体" w:hAnsi="宋体" w:cs="宋体"/>
          <w:szCs w:val="21"/>
        </w:rPr>
        <w:t>3.</w:t>
      </w:r>
      <w:r>
        <w:rPr>
          <w:rFonts w:hint="eastAsia" w:ascii="宋体" w:hAnsi="宋体" w:cs="宋体"/>
          <w:szCs w:val="21"/>
        </w:rPr>
        <w:t>子机构账号</w:t>
      </w:r>
    </w:p>
    <w:p>
      <w:pPr>
        <w:spacing w:line="500" w:lineRule="exact"/>
        <w:ind w:firstLine="420"/>
        <w:rPr>
          <w:rFonts w:ascii="宋体" w:hAnsi="宋体" w:cs="宋体"/>
          <w:szCs w:val="21"/>
        </w:rPr>
      </w:pPr>
      <w:r>
        <w:rPr>
          <w:rFonts w:ascii="宋体" w:hAnsi="宋体" w:cs="宋体"/>
          <w:szCs w:val="21"/>
        </w:rPr>
        <w:t>3.1</w:t>
      </w:r>
      <w:r>
        <w:rPr>
          <w:rFonts w:hint="eastAsia" w:ascii="宋体" w:hAnsi="宋体" w:cs="宋体"/>
          <w:szCs w:val="21"/>
        </w:rPr>
        <w:t>支持筛查机构按区域建立子筛查机构，并进行统一的筛查管理。</w:t>
      </w:r>
    </w:p>
    <w:p>
      <w:pPr>
        <w:spacing w:line="500" w:lineRule="exact"/>
        <w:ind w:firstLine="420"/>
        <w:rPr>
          <w:rFonts w:ascii="宋体" w:hAnsi="宋体" w:cs="宋体"/>
          <w:szCs w:val="21"/>
        </w:rPr>
      </w:pPr>
      <w:r>
        <w:rPr>
          <w:rFonts w:ascii="宋体" w:hAnsi="宋体" w:cs="宋体"/>
          <w:szCs w:val="21"/>
        </w:rPr>
        <w:t>3.2</w:t>
      </w:r>
      <w:r>
        <w:rPr>
          <w:rFonts w:hint="eastAsia" w:ascii="宋体" w:hAnsi="宋体" w:cs="宋体"/>
          <w:szCs w:val="21"/>
        </w:rPr>
        <w:t>支持筛查机构账号与其子账号的实时数据同步功能。</w:t>
      </w:r>
    </w:p>
    <w:p>
      <w:pPr>
        <w:spacing w:line="500" w:lineRule="exact"/>
        <w:ind w:firstLine="420"/>
        <w:rPr>
          <w:rFonts w:ascii="宋体" w:hAnsi="宋体" w:cs="宋体"/>
          <w:szCs w:val="21"/>
        </w:rPr>
      </w:pPr>
      <w:r>
        <w:rPr>
          <w:rFonts w:ascii="宋体" w:hAnsi="宋体" w:cs="宋体"/>
          <w:szCs w:val="21"/>
        </w:rPr>
        <w:t>4.</w:t>
      </w:r>
      <w:r>
        <w:rPr>
          <w:rFonts w:hint="eastAsia" w:ascii="宋体" w:hAnsi="宋体" w:cs="宋体"/>
          <w:szCs w:val="21"/>
        </w:rPr>
        <w:t>学校账号</w:t>
      </w:r>
    </w:p>
    <w:p>
      <w:pPr>
        <w:spacing w:line="500" w:lineRule="exact"/>
        <w:ind w:firstLine="420"/>
        <w:rPr>
          <w:rFonts w:ascii="宋体" w:hAnsi="宋体" w:cs="宋体"/>
          <w:szCs w:val="21"/>
        </w:rPr>
      </w:pPr>
      <w:r>
        <w:rPr>
          <w:rFonts w:hint="eastAsia" w:ascii="宋体" w:hAnsi="宋体" w:cs="宋体"/>
          <w:szCs w:val="21"/>
        </w:rPr>
        <w:t>为学校分配账号，支持学校独立开展筛查活动。</w:t>
      </w:r>
    </w:p>
    <w:p>
      <w:pPr>
        <w:spacing w:line="500" w:lineRule="exact"/>
        <w:ind w:firstLine="420"/>
        <w:rPr>
          <w:rFonts w:ascii="宋体" w:hAnsi="宋体" w:cs="宋体"/>
          <w:b/>
          <w:bCs/>
          <w:szCs w:val="21"/>
        </w:rPr>
      </w:pPr>
      <w:r>
        <w:rPr>
          <w:rFonts w:hint="eastAsia" w:ascii="宋体" w:hAnsi="宋体" w:cs="宋体"/>
          <w:b/>
          <w:bCs/>
          <w:szCs w:val="21"/>
        </w:rPr>
        <w:t>（七）设备管理</w:t>
      </w:r>
    </w:p>
    <w:p>
      <w:pPr>
        <w:spacing w:line="500" w:lineRule="exact"/>
        <w:ind w:firstLine="420"/>
        <w:rPr>
          <w:rFonts w:ascii="宋体" w:hAnsi="宋体" w:cs="宋体"/>
          <w:szCs w:val="21"/>
        </w:rPr>
      </w:pPr>
      <w:r>
        <w:rPr>
          <w:rFonts w:hint="eastAsia" w:ascii="宋体" w:hAnsi="宋体" w:cs="宋体"/>
          <w:szCs w:val="21"/>
        </w:rPr>
        <w:t>可对筛查设备进行管理，显示所有设备状态信息。</w:t>
      </w:r>
    </w:p>
    <w:p>
      <w:pPr>
        <w:spacing w:line="500" w:lineRule="exact"/>
        <w:ind w:firstLine="420"/>
        <w:outlineLvl w:val="0"/>
        <w:rPr>
          <w:rFonts w:ascii="宋体" w:hAnsi="宋体" w:cs="宋体"/>
          <w:b/>
          <w:bCs/>
          <w:szCs w:val="21"/>
        </w:rPr>
      </w:pPr>
      <w:r>
        <w:rPr>
          <w:rFonts w:hint="eastAsia" w:ascii="宋体" w:hAnsi="宋体" w:cs="宋体"/>
          <w:b/>
          <w:bCs/>
          <w:szCs w:val="21"/>
        </w:rPr>
        <w:t>（八）组织管理</w:t>
      </w:r>
    </w:p>
    <w:p>
      <w:pPr>
        <w:spacing w:line="500" w:lineRule="exact"/>
        <w:ind w:firstLine="420"/>
        <w:rPr>
          <w:rFonts w:ascii="宋体" w:hAnsi="宋体" w:cs="宋体"/>
          <w:szCs w:val="21"/>
        </w:rPr>
      </w:pPr>
      <w:r>
        <w:rPr>
          <w:rFonts w:ascii="宋体" w:hAnsi="宋体" w:cs="宋体"/>
          <w:szCs w:val="21"/>
        </w:rPr>
        <w:t>1.</w:t>
      </w:r>
      <w:r>
        <w:rPr>
          <w:rFonts w:hint="eastAsia" w:ascii="宋体" w:hAnsi="宋体" w:cs="宋体"/>
          <w:szCs w:val="21"/>
        </w:rPr>
        <w:t>角色管理</w:t>
      </w:r>
    </w:p>
    <w:p>
      <w:pPr>
        <w:spacing w:line="500" w:lineRule="exact"/>
        <w:ind w:firstLine="420"/>
        <w:rPr>
          <w:rFonts w:ascii="宋体" w:hAnsi="宋体" w:cs="宋体"/>
          <w:szCs w:val="21"/>
        </w:rPr>
      </w:pPr>
      <w:r>
        <w:rPr>
          <w:rFonts w:hint="eastAsia" w:ascii="宋体" w:hAnsi="宋体" w:cs="宋体"/>
          <w:szCs w:val="21"/>
        </w:rPr>
        <w:t>对系统操作人员账号权限进行个性化设定，包含机构管理、学校管理、数据统计等权限，满足不同情境下的操作需求。</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员工管理</w:t>
      </w:r>
    </w:p>
    <w:p>
      <w:pPr>
        <w:spacing w:line="500" w:lineRule="exact"/>
        <w:ind w:firstLine="420"/>
        <w:rPr>
          <w:rFonts w:ascii="宋体" w:hAnsi="宋体" w:cs="宋体"/>
          <w:szCs w:val="21"/>
        </w:rPr>
      </w:pPr>
      <w:r>
        <w:rPr>
          <w:rFonts w:ascii="宋体" w:hAnsi="宋体" w:cs="宋体"/>
          <w:szCs w:val="21"/>
        </w:rPr>
        <w:t>2.1</w:t>
      </w:r>
      <w:r>
        <w:rPr>
          <w:rFonts w:hint="eastAsia" w:ascii="宋体" w:hAnsi="宋体" w:cs="宋体"/>
          <w:szCs w:val="21"/>
        </w:rPr>
        <w:t>对参与现场筛查人员设置登录账号。</w:t>
      </w:r>
    </w:p>
    <w:p>
      <w:pPr>
        <w:spacing w:line="500" w:lineRule="exact"/>
        <w:ind w:firstLine="420"/>
        <w:rPr>
          <w:rFonts w:ascii="宋体" w:hAnsi="宋体" w:cs="宋体"/>
          <w:szCs w:val="21"/>
        </w:rPr>
      </w:pPr>
      <w:r>
        <w:rPr>
          <w:rFonts w:ascii="宋体" w:hAnsi="宋体" w:cs="宋体"/>
          <w:szCs w:val="21"/>
        </w:rPr>
        <w:t>2.2</w:t>
      </w:r>
      <w:r>
        <w:rPr>
          <w:rFonts w:hint="eastAsia" w:ascii="宋体" w:hAnsi="宋体" w:cs="宋体"/>
          <w:szCs w:val="21"/>
        </w:rPr>
        <w:t>可浏览全部子账号，进行查看和维护。</w:t>
      </w:r>
    </w:p>
    <w:p>
      <w:pPr>
        <w:spacing w:line="500" w:lineRule="exact"/>
        <w:ind w:firstLine="420"/>
        <w:outlineLvl w:val="0"/>
        <w:rPr>
          <w:rFonts w:ascii="宋体" w:hAnsi="宋体" w:cs="宋体"/>
          <w:b/>
          <w:bCs/>
          <w:szCs w:val="21"/>
        </w:rPr>
      </w:pPr>
      <w:r>
        <w:rPr>
          <w:rFonts w:hint="eastAsia" w:ascii="宋体" w:hAnsi="宋体" w:cs="宋体"/>
          <w:b/>
          <w:bCs/>
          <w:szCs w:val="21"/>
        </w:rPr>
        <w:t>（九）操作日志</w:t>
      </w:r>
    </w:p>
    <w:p>
      <w:pPr>
        <w:spacing w:line="500" w:lineRule="exact"/>
        <w:ind w:firstLine="420"/>
        <w:rPr>
          <w:rFonts w:ascii="宋体" w:hAnsi="宋体" w:cs="宋体"/>
          <w:szCs w:val="21"/>
        </w:rPr>
      </w:pPr>
      <w:r>
        <w:rPr>
          <w:rFonts w:ascii="宋体" w:hAnsi="宋体" w:cs="宋体"/>
          <w:szCs w:val="21"/>
        </w:rPr>
        <w:t>1.</w:t>
      </w:r>
      <w:r>
        <w:rPr>
          <w:rFonts w:hint="eastAsia" w:ascii="宋体" w:hAnsi="宋体" w:cs="宋体"/>
          <w:szCs w:val="21"/>
        </w:rPr>
        <w:t>可记录学生档案导入记录。</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可对记录进行查询浏览。</w:t>
      </w:r>
    </w:p>
    <w:p>
      <w:pPr>
        <w:spacing w:line="500" w:lineRule="exact"/>
        <w:ind w:firstLine="420"/>
        <w:outlineLvl w:val="0"/>
        <w:rPr>
          <w:rFonts w:ascii="宋体" w:hAnsi="宋体" w:cs="宋体"/>
          <w:b/>
          <w:bCs/>
          <w:szCs w:val="21"/>
        </w:rPr>
      </w:pPr>
      <w:r>
        <w:rPr>
          <w:rFonts w:hint="eastAsia" w:ascii="宋体" w:hAnsi="宋体" w:cs="宋体"/>
          <w:b/>
          <w:bCs/>
          <w:szCs w:val="21"/>
        </w:rPr>
        <w:t>（十）管理端可视化系统</w:t>
      </w:r>
    </w:p>
    <w:p>
      <w:pPr>
        <w:spacing w:line="500" w:lineRule="exact"/>
        <w:ind w:firstLine="420"/>
        <w:rPr>
          <w:rFonts w:ascii="宋体" w:hAnsi="宋体" w:cs="宋体"/>
          <w:szCs w:val="21"/>
        </w:rPr>
      </w:pPr>
      <w:r>
        <w:rPr>
          <w:rFonts w:ascii="宋体" w:hAnsi="宋体" w:cs="宋体"/>
          <w:szCs w:val="21"/>
        </w:rPr>
        <w:t>1.</w:t>
      </w:r>
      <w:r>
        <w:rPr>
          <w:rFonts w:hint="eastAsia" w:ascii="宋体" w:hAnsi="宋体" w:cs="宋体"/>
          <w:szCs w:val="21"/>
        </w:rPr>
        <w:t>总览模块（地市级）</w:t>
      </w:r>
    </w:p>
    <w:p>
      <w:pPr>
        <w:spacing w:line="500" w:lineRule="exact"/>
        <w:ind w:firstLine="420"/>
        <w:rPr>
          <w:rFonts w:ascii="宋体" w:hAnsi="宋体" w:cs="宋体"/>
          <w:szCs w:val="21"/>
        </w:rPr>
      </w:pPr>
      <w:r>
        <w:rPr>
          <w:rFonts w:ascii="宋体" w:hAnsi="宋体" w:cs="宋体"/>
          <w:szCs w:val="21"/>
        </w:rPr>
        <w:t>1.1</w:t>
      </w:r>
      <w:r>
        <w:rPr>
          <w:rFonts w:hint="eastAsia" w:ascii="宋体" w:hAnsi="宋体" w:cs="宋体"/>
          <w:szCs w:val="21"/>
        </w:rPr>
        <w:t>支持按不同字段自定义选择、定制统计结果。</w:t>
      </w:r>
    </w:p>
    <w:p>
      <w:pPr>
        <w:spacing w:line="500" w:lineRule="exact"/>
        <w:ind w:firstLine="420"/>
        <w:rPr>
          <w:rFonts w:ascii="宋体" w:hAnsi="宋体" w:cs="宋体"/>
          <w:szCs w:val="21"/>
        </w:rPr>
      </w:pPr>
      <w:r>
        <w:rPr>
          <w:rFonts w:ascii="宋体" w:hAnsi="宋体" w:cs="宋体"/>
          <w:szCs w:val="21"/>
        </w:rPr>
        <w:t>1.2</w:t>
      </w:r>
      <w:r>
        <w:rPr>
          <w:rFonts w:hint="eastAsia" w:ascii="宋体" w:hAnsi="宋体" w:cs="宋体"/>
          <w:szCs w:val="21"/>
        </w:rPr>
        <w:t>通过地图、各类</w:t>
      </w:r>
      <w:bookmarkStart w:id="32" w:name="_Hlk42613580"/>
      <w:r>
        <w:rPr>
          <w:rFonts w:hint="eastAsia" w:ascii="宋体" w:hAnsi="宋体" w:cs="宋体"/>
          <w:szCs w:val="21"/>
        </w:rPr>
        <w:t>统计图表</w:t>
      </w:r>
      <w:bookmarkEnd w:id="32"/>
      <w:r>
        <w:rPr>
          <w:rFonts w:hint="eastAsia" w:ascii="宋体" w:hAnsi="宋体" w:cs="宋体"/>
          <w:szCs w:val="21"/>
        </w:rPr>
        <w:t>等多种形式展示辖区不同时间、地区、人群近视筛查结果数据。</w:t>
      </w:r>
      <w:r>
        <w:rPr>
          <w:rFonts w:ascii="宋体" w:hAnsi="宋体" w:cs="宋体"/>
          <w:szCs w:val="21"/>
        </w:rPr>
        <w:t xml:space="preserve"> </w:t>
      </w:r>
    </w:p>
    <w:p>
      <w:pPr>
        <w:spacing w:line="500" w:lineRule="exact"/>
        <w:ind w:firstLine="420"/>
        <w:rPr>
          <w:rFonts w:ascii="宋体" w:hAnsi="宋体" w:cs="宋体"/>
          <w:szCs w:val="21"/>
        </w:rPr>
      </w:pPr>
      <w:r>
        <w:rPr>
          <w:rFonts w:ascii="宋体" w:hAnsi="宋体" w:cs="宋体"/>
          <w:szCs w:val="21"/>
        </w:rPr>
        <w:t>1.3</w:t>
      </w:r>
      <w:r>
        <w:rPr>
          <w:rFonts w:hint="eastAsia" w:ascii="宋体" w:hAnsi="宋体" w:cs="宋体"/>
          <w:szCs w:val="21"/>
        </w:rPr>
        <w:t>通过统计图表展示历年市级近视率变化情况，实时跟踪每日筛查工作情况，含筛查学校数、筛查人数、档案总数。</w:t>
      </w:r>
    </w:p>
    <w:p>
      <w:pPr>
        <w:spacing w:line="500" w:lineRule="exact"/>
        <w:ind w:firstLine="420"/>
        <w:rPr>
          <w:rFonts w:ascii="宋体" w:hAnsi="宋体" w:cs="宋体"/>
          <w:szCs w:val="21"/>
        </w:rPr>
      </w:pPr>
      <w:r>
        <w:rPr>
          <w:rFonts w:ascii="宋体" w:hAnsi="宋体" w:cs="宋体"/>
          <w:szCs w:val="21"/>
        </w:rPr>
        <w:t>1.4</w:t>
      </w:r>
      <w:r>
        <w:rPr>
          <w:rFonts w:hint="eastAsia" w:ascii="宋体" w:hAnsi="宋体" w:cs="宋体"/>
          <w:szCs w:val="21"/>
        </w:rPr>
        <w:t>通过统计图表，对全市筛查数据按照学校类型（幼儿园、小学、初中、高中），性别，年级等进行多维度统计分析展示。</w:t>
      </w:r>
    </w:p>
    <w:p>
      <w:pPr>
        <w:spacing w:line="500" w:lineRule="exact"/>
        <w:ind w:firstLine="420"/>
        <w:rPr>
          <w:rFonts w:ascii="宋体" w:hAnsi="宋体" w:cs="宋体"/>
          <w:szCs w:val="21"/>
        </w:rPr>
      </w:pPr>
      <w:r>
        <w:rPr>
          <w:rFonts w:ascii="宋体" w:hAnsi="宋体" w:cs="宋体"/>
          <w:szCs w:val="21"/>
        </w:rPr>
        <w:t>1.5</w:t>
      </w:r>
      <w:r>
        <w:rPr>
          <w:rFonts w:hint="eastAsia" w:ascii="宋体" w:hAnsi="宋体" w:cs="宋体"/>
          <w:szCs w:val="21"/>
        </w:rPr>
        <w:t>支持创建筛查计划、定制筛查任务；并能实时显示</w:t>
      </w:r>
      <w:r>
        <w:rPr>
          <w:rFonts w:ascii="宋体" w:hAnsi="宋体" w:cs="宋体"/>
          <w:szCs w:val="21"/>
        </w:rPr>
        <w:t>下级地区及学校的筛查情况和近视情况，以可视化图表形式展示</w:t>
      </w:r>
      <w:r>
        <w:rPr>
          <w:rFonts w:hint="eastAsia" w:ascii="宋体" w:hAnsi="宋体" w:cs="宋体"/>
          <w:szCs w:val="21"/>
        </w:rPr>
        <w:t>。</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筛查中心模块（区县级）</w:t>
      </w:r>
    </w:p>
    <w:p>
      <w:pPr>
        <w:spacing w:line="500" w:lineRule="exact"/>
        <w:ind w:firstLine="420"/>
        <w:rPr>
          <w:rFonts w:ascii="宋体" w:hAnsi="宋体" w:cs="宋体"/>
          <w:szCs w:val="21"/>
        </w:rPr>
      </w:pPr>
      <w:r>
        <w:rPr>
          <w:rFonts w:ascii="宋体" w:hAnsi="宋体" w:cs="宋体"/>
          <w:szCs w:val="21"/>
        </w:rPr>
        <w:t>2.1</w:t>
      </w:r>
      <w:r>
        <w:rPr>
          <w:rFonts w:hint="eastAsia" w:ascii="宋体" w:hAnsi="宋体" w:cs="宋体"/>
          <w:szCs w:val="21"/>
        </w:rPr>
        <w:t>支持按不同字段自定义选择、定制统计结果。</w:t>
      </w:r>
    </w:p>
    <w:p>
      <w:pPr>
        <w:spacing w:line="500" w:lineRule="exact"/>
        <w:ind w:firstLine="420"/>
        <w:rPr>
          <w:rFonts w:ascii="宋体" w:hAnsi="宋体" w:cs="宋体"/>
          <w:szCs w:val="21"/>
        </w:rPr>
      </w:pPr>
      <w:r>
        <w:rPr>
          <w:rFonts w:ascii="宋体" w:hAnsi="宋体" w:cs="宋体"/>
          <w:szCs w:val="21"/>
        </w:rPr>
        <w:t>2.2</w:t>
      </w:r>
      <w:bookmarkStart w:id="33" w:name="_Hlk42679558"/>
      <w:r>
        <w:rPr>
          <w:rFonts w:hint="eastAsia" w:ascii="宋体" w:hAnsi="宋体" w:cs="宋体"/>
          <w:szCs w:val="21"/>
        </w:rPr>
        <w:t>支持创建筛查计划、定制筛查任务；并能实时显示下级地区及学校的筛查情况和近视情况，以可视化图表形式展示。</w:t>
      </w:r>
      <w:bookmarkEnd w:id="33"/>
    </w:p>
    <w:p>
      <w:pPr>
        <w:spacing w:line="500" w:lineRule="exact"/>
        <w:ind w:firstLine="420"/>
        <w:rPr>
          <w:rFonts w:ascii="宋体" w:hAnsi="宋体" w:cs="宋体"/>
          <w:szCs w:val="21"/>
        </w:rPr>
      </w:pPr>
      <w:r>
        <w:rPr>
          <w:rFonts w:ascii="宋体" w:hAnsi="宋体" w:cs="宋体"/>
          <w:szCs w:val="21"/>
        </w:rPr>
        <w:t>2.3</w:t>
      </w:r>
      <w:r>
        <w:rPr>
          <w:rFonts w:hint="eastAsia" w:ascii="宋体" w:hAnsi="宋体" w:cs="宋体"/>
          <w:szCs w:val="21"/>
        </w:rPr>
        <w:t>通过地图、各类统计图表，展现区县各个学校及近视率情况。</w:t>
      </w:r>
    </w:p>
    <w:p>
      <w:pPr>
        <w:spacing w:line="500" w:lineRule="exact"/>
        <w:ind w:firstLine="420"/>
        <w:rPr>
          <w:rFonts w:ascii="宋体" w:hAnsi="宋体" w:cs="宋体"/>
          <w:szCs w:val="21"/>
        </w:rPr>
      </w:pPr>
      <w:r>
        <w:rPr>
          <w:rFonts w:ascii="宋体" w:hAnsi="宋体" w:cs="宋体"/>
          <w:szCs w:val="21"/>
        </w:rPr>
        <w:t>2.4</w:t>
      </w:r>
      <w:r>
        <w:rPr>
          <w:rFonts w:hint="eastAsia" w:ascii="宋体" w:hAnsi="宋体" w:cs="宋体"/>
          <w:szCs w:val="21"/>
        </w:rPr>
        <w:t>通过统计图表，对辖区筛查数据按照学校类型（幼儿园、小学、初中、高中）、性别、年级等进行多维度统计分析展示。</w:t>
      </w:r>
    </w:p>
    <w:p>
      <w:pPr>
        <w:spacing w:line="500" w:lineRule="exact"/>
        <w:ind w:firstLine="420"/>
        <w:rPr>
          <w:rFonts w:ascii="宋体" w:hAnsi="宋体" w:cs="宋体"/>
          <w:szCs w:val="21"/>
        </w:rPr>
      </w:pPr>
      <w:r>
        <w:rPr>
          <w:rFonts w:ascii="宋体" w:hAnsi="宋体" w:cs="宋体"/>
          <w:szCs w:val="21"/>
        </w:rPr>
        <w:t>3.</w:t>
      </w:r>
      <w:r>
        <w:rPr>
          <w:rFonts w:hint="eastAsia" w:ascii="宋体" w:hAnsi="宋体" w:cs="宋体"/>
          <w:szCs w:val="21"/>
        </w:rPr>
        <w:t>筛查学校模块</w:t>
      </w:r>
      <w:r>
        <w:rPr>
          <w:rFonts w:ascii="宋体" w:hAnsi="宋体" w:cs="宋体"/>
          <w:szCs w:val="21"/>
        </w:rPr>
        <w:t xml:space="preserve"> </w:t>
      </w:r>
      <w:r>
        <w:rPr>
          <w:rFonts w:hint="eastAsia" w:ascii="宋体" w:hAnsi="宋体" w:cs="宋体"/>
          <w:szCs w:val="21"/>
        </w:rPr>
        <w:t>（学校级）</w:t>
      </w:r>
    </w:p>
    <w:p>
      <w:pPr>
        <w:spacing w:line="500" w:lineRule="exact"/>
        <w:ind w:firstLine="420"/>
        <w:rPr>
          <w:rFonts w:ascii="宋体" w:hAnsi="宋体" w:cs="宋体"/>
          <w:szCs w:val="21"/>
        </w:rPr>
      </w:pPr>
      <w:r>
        <w:rPr>
          <w:rFonts w:ascii="宋体" w:hAnsi="宋体" w:cs="宋体"/>
          <w:szCs w:val="21"/>
        </w:rPr>
        <w:t>3.1</w:t>
      </w:r>
      <w:r>
        <w:rPr>
          <w:rFonts w:hint="eastAsia" w:ascii="宋体" w:hAnsi="宋体" w:cs="宋体"/>
          <w:szCs w:val="21"/>
        </w:rPr>
        <w:t>支持创建筛查计划、定制筛查任务；并能实时显示本校的筛查情况和近视情况，以可视化图表形式展示。</w:t>
      </w:r>
    </w:p>
    <w:p>
      <w:pPr>
        <w:spacing w:line="500" w:lineRule="exact"/>
        <w:ind w:firstLine="420"/>
        <w:rPr>
          <w:rFonts w:ascii="宋体" w:hAnsi="宋体" w:cs="宋体"/>
          <w:szCs w:val="21"/>
        </w:rPr>
      </w:pPr>
      <w:r>
        <w:rPr>
          <w:rFonts w:ascii="宋体" w:hAnsi="宋体" w:cs="宋体"/>
          <w:szCs w:val="21"/>
        </w:rPr>
        <w:t>3.2</w:t>
      </w:r>
      <w:r>
        <w:rPr>
          <w:rFonts w:hint="eastAsia" w:ascii="宋体" w:hAnsi="宋体" w:cs="宋体"/>
          <w:szCs w:val="21"/>
        </w:rPr>
        <w:t>切换学校、学期等字段，展示不同时间段（如学期、学年）下的详细统计数据。</w:t>
      </w:r>
    </w:p>
    <w:p>
      <w:pPr>
        <w:spacing w:line="500" w:lineRule="exact"/>
        <w:ind w:firstLine="420"/>
        <w:rPr>
          <w:rFonts w:ascii="宋体" w:hAnsi="宋体" w:cs="宋体"/>
          <w:kern w:val="0"/>
          <w:szCs w:val="21"/>
        </w:rPr>
      </w:pPr>
      <w:r>
        <w:rPr>
          <w:rFonts w:ascii="宋体" w:hAnsi="宋体" w:cs="宋体"/>
          <w:szCs w:val="21"/>
        </w:rPr>
        <w:t>3.3</w:t>
      </w:r>
      <w:r>
        <w:rPr>
          <w:rFonts w:hint="eastAsia" w:ascii="宋体" w:hAnsi="宋体" w:cs="宋体"/>
          <w:szCs w:val="21"/>
        </w:rPr>
        <w:t>通过统计图表，对该校筛查数据按照性别、年级、班级等进行多维度统计分析展示。</w:t>
      </w:r>
    </w:p>
    <w:p>
      <w:pPr>
        <w:spacing w:line="500" w:lineRule="exact"/>
        <w:ind w:firstLine="420"/>
        <w:rPr>
          <w:rFonts w:ascii="宋体" w:hAnsi="宋体" w:cs="宋体"/>
          <w:szCs w:val="21"/>
        </w:rPr>
      </w:pPr>
      <w:r>
        <w:rPr>
          <w:rFonts w:ascii="宋体" w:hAnsi="宋体" w:cs="宋体"/>
          <w:szCs w:val="21"/>
        </w:rPr>
        <w:t>4.</w:t>
      </w:r>
      <w:r>
        <w:rPr>
          <w:rFonts w:hint="eastAsia" w:ascii="宋体" w:hAnsi="宋体" w:cs="宋体"/>
          <w:szCs w:val="21"/>
        </w:rPr>
        <w:t>筛查医疗机构模块</w:t>
      </w:r>
    </w:p>
    <w:p>
      <w:pPr>
        <w:spacing w:line="500" w:lineRule="exact"/>
        <w:ind w:firstLine="420"/>
        <w:rPr>
          <w:rFonts w:ascii="宋体" w:hAnsi="宋体" w:cs="宋体"/>
          <w:szCs w:val="21"/>
        </w:rPr>
      </w:pPr>
      <w:r>
        <w:rPr>
          <w:rFonts w:ascii="宋体" w:hAnsi="宋体" w:cs="宋体"/>
          <w:szCs w:val="21"/>
        </w:rPr>
        <w:t>4.1</w:t>
      </w:r>
      <w:r>
        <w:rPr>
          <w:rFonts w:hint="eastAsia" w:ascii="宋体" w:hAnsi="宋体" w:cs="宋体"/>
          <w:szCs w:val="21"/>
        </w:rPr>
        <w:t>支持创建筛查计划、定制筛查任务；并能实时显示所负责学校的筛查情况和近视情况，以可视化图表形式展示。</w:t>
      </w:r>
    </w:p>
    <w:p>
      <w:pPr>
        <w:spacing w:line="500" w:lineRule="exact"/>
        <w:ind w:firstLine="420"/>
        <w:rPr>
          <w:rFonts w:ascii="宋体" w:hAnsi="宋体" w:cs="宋体"/>
          <w:szCs w:val="21"/>
        </w:rPr>
      </w:pPr>
      <w:r>
        <w:rPr>
          <w:rFonts w:ascii="宋体" w:hAnsi="宋体" w:cs="宋体"/>
          <w:szCs w:val="21"/>
        </w:rPr>
        <w:t>4.2</w:t>
      </w:r>
      <w:r>
        <w:rPr>
          <w:rFonts w:hint="eastAsia" w:ascii="宋体" w:hAnsi="宋体" w:cs="宋体"/>
          <w:szCs w:val="21"/>
        </w:rPr>
        <w:t>切换学校、学期等字段，展示不同时间段（如学期、学年）下的所负责学校的详细统计数据。</w:t>
      </w:r>
    </w:p>
    <w:p>
      <w:pPr>
        <w:spacing w:line="500" w:lineRule="exact"/>
        <w:ind w:firstLine="420"/>
        <w:rPr>
          <w:rFonts w:ascii="宋体" w:hAnsi="宋体" w:cs="宋体"/>
          <w:kern w:val="0"/>
          <w:szCs w:val="21"/>
        </w:rPr>
      </w:pPr>
      <w:r>
        <w:rPr>
          <w:rFonts w:ascii="宋体" w:hAnsi="宋体" w:cs="宋体"/>
          <w:szCs w:val="21"/>
        </w:rPr>
        <w:t>4.3</w:t>
      </w:r>
      <w:r>
        <w:rPr>
          <w:rFonts w:hint="eastAsia" w:ascii="宋体" w:hAnsi="宋体" w:cs="宋体"/>
          <w:szCs w:val="21"/>
        </w:rPr>
        <w:t>通过统计图表，对所负责学校的筛查数据按照性别、年级、班级等进行多维度统计分析展示。</w:t>
      </w:r>
    </w:p>
    <w:p>
      <w:pPr>
        <w:spacing w:line="500" w:lineRule="exact"/>
        <w:ind w:firstLine="420"/>
        <w:rPr>
          <w:rFonts w:ascii="宋体" w:hAnsi="宋体" w:cs="宋体"/>
          <w:szCs w:val="21"/>
        </w:rPr>
      </w:pPr>
      <w:r>
        <w:rPr>
          <w:rFonts w:ascii="宋体" w:hAnsi="宋体" w:cs="宋体"/>
          <w:szCs w:val="21"/>
        </w:rPr>
        <w:t>5.</w:t>
      </w:r>
      <w:r>
        <w:rPr>
          <w:rFonts w:hint="eastAsia" w:ascii="宋体" w:hAnsi="宋体" w:cs="宋体"/>
          <w:szCs w:val="21"/>
        </w:rPr>
        <w:t>筛查工作模块</w:t>
      </w:r>
      <w:r>
        <w:rPr>
          <w:rFonts w:ascii="宋体" w:hAnsi="宋体" w:cs="宋体"/>
          <w:szCs w:val="21"/>
        </w:rPr>
        <w:t xml:space="preserve"> </w:t>
      </w:r>
    </w:p>
    <w:p>
      <w:pPr>
        <w:spacing w:line="500" w:lineRule="exact"/>
        <w:ind w:firstLine="420"/>
        <w:rPr>
          <w:rFonts w:ascii="宋体" w:hAnsi="宋体" w:cs="宋体"/>
          <w:szCs w:val="21"/>
        </w:rPr>
      </w:pPr>
      <w:r>
        <w:rPr>
          <w:rFonts w:ascii="宋体" w:hAnsi="宋体" w:cs="宋体"/>
          <w:szCs w:val="21"/>
        </w:rPr>
        <w:t>5.1</w:t>
      </w:r>
      <w:r>
        <w:rPr>
          <w:rFonts w:hint="eastAsia" w:ascii="宋体" w:hAnsi="宋体" w:cs="宋体"/>
          <w:szCs w:val="21"/>
        </w:rPr>
        <w:t>显示当日全市筛查总数，当日筛查总人次，已筛查学校总数，已筛查总人次，筛查总次数。</w:t>
      </w:r>
    </w:p>
    <w:p>
      <w:pPr>
        <w:spacing w:line="500" w:lineRule="exact"/>
        <w:ind w:firstLine="420"/>
        <w:rPr>
          <w:rFonts w:ascii="宋体" w:hAnsi="宋体" w:cs="宋体"/>
          <w:szCs w:val="21"/>
        </w:rPr>
      </w:pPr>
      <w:r>
        <w:rPr>
          <w:rFonts w:ascii="宋体" w:hAnsi="宋体" w:cs="宋体"/>
          <w:szCs w:val="21"/>
        </w:rPr>
        <w:t>5.2</w:t>
      </w:r>
      <w:r>
        <w:rPr>
          <w:rFonts w:hint="eastAsia" w:ascii="宋体" w:hAnsi="宋体" w:cs="宋体"/>
          <w:szCs w:val="21"/>
        </w:rPr>
        <w:t>筛查实时分布：通过地图展示当日正在筛查的学校地理位置。</w:t>
      </w:r>
    </w:p>
    <w:p>
      <w:pPr>
        <w:spacing w:line="500" w:lineRule="exact"/>
        <w:ind w:firstLine="420"/>
        <w:rPr>
          <w:rFonts w:ascii="宋体" w:hAnsi="宋体" w:cs="宋体"/>
          <w:szCs w:val="21"/>
        </w:rPr>
      </w:pPr>
      <w:r>
        <w:rPr>
          <w:rFonts w:ascii="宋体" w:hAnsi="宋体" w:cs="宋体"/>
          <w:szCs w:val="21"/>
        </w:rPr>
        <w:t>5.3</w:t>
      </w:r>
      <w:r>
        <w:rPr>
          <w:rFonts w:hint="eastAsia" w:ascii="宋体" w:hAnsi="宋体" w:cs="宋体"/>
          <w:szCs w:val="21"/>
        </w:rPr>
        <w:t>筛查情况实时反馈：正在进行中的筛查中计划、筛查档案数、已筛查档案数，及近视率、筛查覆盖率实时显示等。</w:t>
      </w:r>
    </w:p>
    <w:p>
      <w:pPr>
        <w:spacing w:line="500" w:lineRule="exact"/>
        <w:ind w:firstLine="420"/>
        <w:outlineLvl w:val="0"/>
        <w:rPr>
          <w:rFonts w:ascii="宋体" w:hAnsi="宋体" w:cs="宋体"/>
          <w:b/>
          <w:bCs/>
          <w:szCs w:val="21"/>
        </w:rPr>
      </w:pPr>
      <w:r>
        <w:rPr>
          <w:rFonts w:hint="eastAsia" w:ascii="宋体" w:hAnsi="宋体" w:cs="宋体"/>
          <w:b/>
          <w:bCs/>
          <w:szCs w:val="21"/>
        </w:rPr>
        <w:t>（十一）家长端</w:t>
      </w:r>
    </w:p>
    <w:p>
      <w:pPr>
        <w:spacing w:line="500" w:lineRule="exact"/>
        <w:ind w:firstLine="42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支持家长通过健康台州</w:t>
      </w:r>
      <w:r>
        <w:rPr>
          <w:rFonts w:ascii="宋体" w:hAnsi="宋体" w:cs="宋体"/>
          <w:szCs w:val="21"/>
          <w:highlight w:val="none"/>
        </w:rPr>
        <w:t>APP</w:t>
      </w:r>
      <w:r>
        <w:rPr>
          <w:rFonts w:hint="eastAsia" w:ascii="宋体" w:hAnsi="宋体" w:cs="宋体"/>
          <w:szCs w:val="21"/>
          <w:highlight w:val="none"/>
        </w:rPr>
        <w:t>端查询筛查结果。</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问卷调查：具备家庭问卷调查功能。</w:t>
      </w:r>
    </w:p>
    <w:p>
      <w:pPr>
        <w:spacing w:line="500" w:lineRule="exact"/>
        <w:ind w:firstLine="420"/>
        <w:rPr>
          <w:rFonts w:ascii="宋体" w:hAnsi="宋体" w:cs="宋体"/>
          <w:szCs w:val="21"/>
        </w:rPr>
      </w:pPr>
      <w:r>
        <w:rPr>
          <w:rFonts w:ascii="宋体" w:hAnsi="宋体" w:cs="宋体"/>
          <w:szCs w:val="21"/>
        </w:rPr>
        <w:t>3.</w:t>
      </w:r>
      <w:r>
        <w:rPr>
          <w:rFonts w:hint="eastAsia" w:ascii="宋体" w:hAnsi="宋体" w:cs="宋体"/>
          <w:szCs w:val="21"/>
        </w:rPr>
        <w:t>支持通过扫码、输入学生姓名、身份证号、以及人脸识别多种方式查询学生视力报告。</w:t>
      </w:r>
    </w:p>
    <w:p>
      <w:pPr>
        <w:spacing w:line="500" w:lineRule="exact"/>
        <w:ind w:firstLine="420"/>
        <w:rPr>
          <w:rFonts w:ascii="宋体" w:hAnsi="宋体" w:cs="宋体"/>
          <w:szCs w:val="21"/>
        </w:rPr>
      </w:pPr>
      <w:r>
        <w:rPr>
          <w:rFonts w:ascii="宋体" w:hAnsi="宋体" w:cs="宋体"/>
          <w:szCs w:val="21"/>
        </w:rPr>
        <w:t>4.支持提供个性化筛查报告，显示最新和历史的检测结果，包括裸眼视力和戴镜视力、两眼屈光度参数、就诊建议</w:t>
      </w:r>
      <w:r>
        <w:rPr>
          <w:rFonts w:hint="eastAsia" w:ascii="宋体" w:hAnsi="宋体" w:cs="宋体"/>
          <w:szCs w:val="21"/>
        </w:rPr>
        <w:t>、</w:t>
      </w:r>
      <w:r>
        <w:rPr>
          <w:rFonts w:ascii="宋体" w:hAnsi="宋体" w:cs="宋体"/>
          <w:szCs w:val="21"/>
        </w:rPr>
        <w:t>多次检测记录</w:t>
      </w:r>
      <w:r>
        <w:rPr>
          <w:rFonts w:hint="eastAsia" w:ascii="宋体" w:hAnsi="宋体" w:cs="宋体"/>
          <w:szCs w:val="21"/>
        </w:rPr>
        <w:t>视觉情况变化趋势图等。</w:t>
      </w:r>
    </w:p>
    <w:p>
      <w:pPr>
        <w:spacing w:line="500" w:lineRule="exact"/>
        <w:ind w:firstLine="420"/>
        <w:rPr>
          <w:rFonts w:ascii="宋体" w:hAnsi="宋体" w:cs="宋体"/>
          <w:szCs w:val="21"/>
        </w:rPr>
      </w:pPr>
      <w:r>
        <w:rPr>
          <w:rFonts w:ascii="宋体" w:hAnsi="宋体" w:cs="宋体"/>
          <w:szCs w:val="21"/>
        </w:rPr>
        <w:t>5.</w:t>
      </w:r>
      <w:r>
        <w:rPr>
          <w:rFonts w:hint="eastAsia" w:ascii="宋体" w:hAnsi="宋体" w:cs="宋体"/>
          <w:szCs w:val="21"/>
        </w:rPr>
        <w:t>支持爱眼知识科普宣传，视频讲座，线下活动等资讯信息。</w:t>
      </w:r>
    </w:p>
    <w:p>
      <w:pPr>
        <w:spacing w:line="500" w:lineRule="exact"/>
        <w:ind w:firstLine="420"/>
        <w:outlineLvl w:val="0"/>
        <w:rPr>
          <w:rFonts w:ascii="宋体" w:hAnsi="宋体" w:cs="宋体"/>
          <w:b/>
          <w:bCs/>
          <w:szCs w:val="21"/>
        </w:rPr>
      </w:pPr>
      <w:r>
        <w:rPr>
          <w:rFonts w:hint="eastAsia" w:ascii="宋体" w:hAnsi="宋体" w:cs="宋体"/>
          <w:b/>
          <w:bCs/>
          <w:szCs w:val="21"/>
        </w:rPr>
        <w:t>（十二）筛查管理系统架构</w:t>
      </w:r>
    </w:p>
    <w:p>
      <w:pPr>
        <w:spacing w:line="500" w:lineRule="exact"/>
        <w:ind w:firstLine="420"/>
        <w:rPr>
          <w:rFonts w:ascii="宋体" w:hAnsi="宋体" w:cs="宋体"/>
          <w:szCs w:val="21"/>
        </w:rPr>
      </w:pPr>
      <w:r>
        <w:rPr>
          <w:rFonts w:ascii="宋体" w:hAnsi="宋体" w:cs="宋体"/>
          <w:szCs w:val="21"/>
        </w:rPr>
        <w:t>1.</w:t>
      </w:r>
      <w:r>
        <w:rPr>
          <w:rFonts w:hint="eastAsia" w:ascii="宋体" w:hAnsi="宋体" w:cs="宋体"/>
          <w:b/>
          <w:bCs/>
          <w:szCs w:val="21"/>
        </w:rPr>
        <w:t>筛查管理系统</w:t>
      </w:r>
      <w:r>
        <w:rPr>
          <w:rFonts w:hint="eastAsia" w:ascii="宋体" w:hAnsi="宋体" w:cs="宋体"/>
          <w:szCs w:val="21"/>
        </w:rPr>
        <w:t>部署</w:t>
      </w:r>
    </w:p>
    <w:p>
      <w:pPr>
        <w:ind w:firstLine="420" w:firstLineChars="200"/>
        <w:rPr>
          <w:rFonts w:ascii="宋体" w:hAnsi="宋体" w:cs="宋体"/>
          <w:szCs w:val="21"/>
        </w:rPr>
      </w:pPr>
      <w:r>
        <w:rPr>
          <w:rFonts w:hint="eastAsia" w:ascii="宋体" w:hAnsi="宋体" w:cs="宋体"/>
          <w:szCs w:val="21"/>
        </w:rPr>
        <w:t>“台州市儿童青少年视力筛查管理系统”部署在政务云平台上，可提供标准的数据接口文档。</w:t>
      </w:r>
    </w:p>
    <w:p>
      <w:pPr>
        <w:spacing w:line="500" w:lineRule="exact"/>
        <w:ind w:firstLine="420"/>
        <w:rPr>
          <w:rFonts w:ascii="宋体" w:hAnsi="宋体" w:cs="宋体"/>
          <w:szCs w:val="21"/>
        </w:rPr>
      </w:pPr>
      <w:r>
        <w:rPr>
          <w:rFonts w:ascii="宋体" w:hAnsi="宋体" w:cs="宋体"/>
          <w:szCs w:val="21"/>
        </w:rPr>
        <w:t>2.</w:t>
      </w:r>
      <w:r>
        <w:rPr>
          <w:rFonts w:hint="eastAsia" w:ascii="宋体" w:hAnsi="宋体" w:cs="宋体"/>
          <w:szCs w:val="21"/>
        </w:rPr>
        <w:t>技术要求</w:t>
      </w:r>
    </w:p>
    <w:p>
      <w:pPr>
        <w:spacing w:line="500" w:lineRule="exact"/>
        <w:ind w:firstLine="420"/>
        <w:rPr>
          <w:rFonts w:ascii="宋体" w:hAnsi="宋体" w:cs="宋体"/>
          <w:szCs w:val="21"/>
        </w:rPr>
      </w:pPr>
      <w:r>
        <w:rPr>
          <w:rFonts w:ascii="宋体" w:hAnsi="宋体" w:cs="宋体"/>
          <w:szCs w:val="21"/>
        </w:rPr>
        <w:t>2.1</w:t>
      </w:r>
      <w:r>
        <w:rPr>
          <w:rFonts w:hint="eastAsia" w:ascii="宋体" w:hAnsi="宋体" w:cs="宋体"/>
          <w:szCs w:val="21"/>
        </w:rPr>
        <w:t>系统总体架构需具备高可用和可扩展的特性。在使用当前硬件资源支撑“儿童青少年视力筛查管理系统”正常运行的同时需具备横向扩展的特性，方便后期因业务量提升在不影响系统正常使用的情况下扩展数据存储能力。如：系统应能够</w:t>
      </w:r>
      <w:r>
        <w:rPr>
          <w:rFonts w:ascii="宋体" w:hAnsi="宋体" w:cs="宋体"/>
          <w:szCs w:val="21"/>
        </w:rPr>
        <w:t>支持与</w:t>
      </w:r>
      <w:r>
        <w:rPr>
          <w:rFonts w:hint="eastAsia" w:ascii="宋体" w:hAnsi="宋体" w:cs="宋体"/>
          <w:color w:val="111F2C"/>
          <w:szCs w:val="21"/>
          <w:shd w:val="clear" w:color="auto" w:fill="FFFFFF"/>
        </w:rPr>
        <w:t>台州市教育基础数据中心平台</w:t>
      </w:r>
      <w:r>
        <w:rPr>
          <w:rFonts w:ascii="宋体" w:hAnsi="宋体" w:cs="宋体"/>
          <w:szCs w:val="21"/>
        </w:rPr>
        <w:t>对接同步学生基础信息</w:t>
      </w:r>
      <w:r>
        <w:rPr>
          <w:rFonts w:hint="eastAsia" w:ascii="宋体" w:hAnsi="宋体" w:cs="宋体"/>
          <w:szCs w:val="21"/>
        </w:rPr>
        <w:t>；预留接口，以便需要时</w:t>
      </w:r>
      <w:r>
        <w:rPr>
          <w:rFonts w:ascii="宋体" w:hAnsi="宋体" w:cs="宋体"/>
          <w:szCs w:val="21"/>
        </w:rPr>
        <w:t>与当地各级政府部门授权的</w:t>
      </w:r>
      <w:r>
        <w:rPr>
          <w:rFonts w:hint="eastAsia" w:ascii="宋体" w:hAnsi="宋体" w:cs="宋体"/>
          <w:szCs w:val="21"/>
        </w:rPr>
        <w:t>医疗机构</w:t>
      </w:r>
      <w:r>
        <w:rPr>
          <w:rFonts w:ascii="宋体" w:hAnsi="宋体" w:cs="宋体"/>
          <w:szCs w:val="21"/>
        </w:rPr>
        <w:t>HIS系统进行对接</w:t>
      </w:r>
      <w:r>
        <w:rPr>
          <w:rFonts w:hint="eastAsia" w:ascii="宋体" w:hAnsi="宋体" w:cs="宋体"/>
          <w:szCs w:val="21"/>
        </w:rPr>
        <w:t>；后期可以增加症状监测、学生体检数据、因病缺课、教学环境监测模块等</w:t>
      </w:r>
      <w:r>
        <w:rPr>
          <w:rFonts w:ascii="宋体" w:hAnsi="宋体" w:cs="宋体"/>
          <w:szCs w:val="21"/>
        </w:rPr>
        <w:t>。</w:t>
      </w:r>
    </w:p>
    <w:p>
      <w:pPr>
        <w:spacing w:line="500" w:lineRule="exact"/>
        <w:ind w:firstLine="420"/>
        <w:rPr>
          <w:rFonts w:ascii="宋体" w:hAnsi="宋体" w:cs="宋体"/>
          <w:szCs w:val="21"/>
        </w:rPr>
      </w:pPr>
      <w:r>
        <w:rPr>
          <w:rFonts w:ascii="宋体" w:hAnsi="宋体" w:cs="宋体"/>
          <w:szCs w:val="21"/>
        </w:rPr>
        <w:t>2.2</w:t>
      </w:r>
      <w:r>
        <w:rPr>
          <w:rFonts w:hint="eastAsia" w:ascii="宋体" w:hAnsi="宋体" w:cs="宋体"/>
          <w:szCs w:val="21"/>
        </w:rPr>
        <w:t>系统应用需采用</w:t>
      </w:r>
      <w:r>
        <w:rPr>
          <w:rFonts w:ascii="宋体" w:hAnsi="宋体" w:cs="宋体"/>
          <w:szCs w:val="21"/>
        </w:rPr>
        <w:t>B/S</w:t>
      </w:r>
      <w:r>
        <w:rPr>
          <w:rFonts w:hint="eastAsia" w:ascii="宋体" w:hAnsi="宋体" w:cs="宋体"/>
          <w:szCs w:val="21"/>
        </w:rPr>
        <w:t>架构进行开发且应使用成熟稳定的框架，充分保证系统在安全性、扩展性、易维护性等方面的要求。</w:t>
      </w:r>
    </w:p>
    <w:p>
      <w:pPr>
        <w:spacing w:line="500" w:lineRule="exact"/>
        <w:ind w:firstLine="420"/>
        <w:rPr>
          <w:rFonts w:ascii="宋体" w:hAnsi="宋体" w:cs="宋体"/>
          <w:szCs w:val="21"/>
        </w:rPr>
      </w:pPr>
      <w:r>
        <w:rPr>
          <w:rFonts w:ascii="宋体" w:hAnsi="宋体" w:cs="宋体"/>
          <w:szCs w:val="21"/>
        </w:rPr>
        <w:t>2.3</w:t>
      </w:r>
      <w:r>
        <w:rPr>
          <w:rFonts w:hint="eastAsia" w:ascii="宋体" w:hAnsi="宋体" w:cs="宋体"/>
          <w:szCs w:val="21"/>
        </w:rPr>
        <w:t>针对不同业务对象配置缓存策略，如缓冲区大小、对象数量、缓存期限、淘汰策略等，数据命中处理时间在</w:t>
      </w:r>
      <w:r>
        <w:rPr>
          <w:rFonts w:ascii="宋体" w:hAnsi="宋体" w:cs="宋体"/>
          <w:szCs w:val="21"/>
        </w:rPr>
        <w:t>3ms</w:t>
      </w:r>
      <w:r>
        <w:rPr>
          <w:rFonts w:hint="eastAsia" w:ascii="宋体" w:hAnsi="宋体" w:cs="宋体"/>
          <w:szCs w:val="21"/>
        </w:rPr>
        <w:t>以内。</w:t>
      </w:r>
    </w:p>
    <w:p>
      <w:pPr>
        <w:spacing w:line="500" w:lineRule="exact"/>
        <w:ind w:firstLine="420"/>
        <w:rPr>
          <w:rFonts w:ascii="宋体" w:hAnsi="宋体" w:cs="宋体"/>
          <w:szCs w:val="21"/>
        </w:rPr>
      </w:pPr>
      <w:r>
        <w:rPr>
          <w:rFonts w:ascii="宋体" w:hAnsi="宋体" w:cs="宋体"/>
          <w:szCs w:val="21"/>
        </w:rPr>
        <w:t>2.4</w:t>
      </w:r>
      <w:r>
        <w:rPr>
          <w:rFonts w:hint="eastAsia" w:ascii="宋体" w:hAnsi="宋体" w:cs="宋体"/>
          <w:szCs w:val="21"/>
        </w:rPr>
        <w:t>服务器使用前后端分离方式；有独立的缓存中间件提供缓存服务，支持集群化、多节点部署。</w:t>
      </w:r>
    </w:p>
    <w:p>
      <w:pPr>
        <w:spacing w:line="500" w:lineRule="exact"/>
        <w:ind w:firstLine="420"/>
        <w:outlineLvl w:val="0"/>
        <w:rPr>
          <w:rFonts w:hint="eastAsia" w:ascii="宋体" w:hAnsi="宋体" w:cs="宋体"/>
          <w:szCs w:val="21"/>
        </w:rPr>
      </w:pPr>
      <w:r>
        <w:rPr>
          <w:rFonts w:ascii="宋体" w:hAnsi="宋体" w:cs="宋体"/>
          <w:szCs w:val="21"/>
        </w:rPr>
        <w:t>3.</w:t>
      </w:r>
      <w:r>
        <w:rPr>
          <w:rFonts w:hint="eastAsia" w:ascii="宋体" w:hAnsi="宋体" w:cs="宋体"/>
          <w:szCs w:val="21"/>
        </w:rPr>
        <w:t>系统性能需求</w:t>
      </w:r>
    </w:p>
    <w:p>
      <w:pPr>
        <w:pStyle w:val="31"/>
        <w:numPr>
          <w:ilvl w:val="0"/>
          <w:numId w:val="13"/>
        </w:numPr>
        <w:spacing w:line="500" w:lineRule="exact"/>
        <w:ind w:firstLineChars="0"/>
        <w:rPr>
          <w:rFonts w:ascii="宋体" w:hAnsi="宋体" w:cs="宋体"/>
          <w:szCs w:val="21"/>
        </w:rPr>
      </w:pPr>
      <w:r>
        <w:rPr>
          <w:rFonts w:hint="eastAsia" w:ascii="宋体" w:hAnsi="宋体" w:cs="宋体"/>
          <w:szCs w:val="21"/>
        </w:rPr>
        <w:t>系统至少连续</w:t>
      </w:r>
      <w:r>
        <w:rPr>
          <w:rFonts w:ascii="宋体" w:hAnsi="宋体" w:cs="宋体"/>
          <w:szCs w:val="21"/>
        </w:rPr>
        <w:t>7</w:t>
      </w:r>
      <w:r>
        <w:rPr>
          <w:rFonts w:hint="eastAsia" w:ascii="宋体" w:hAnsi="宋体" w:cs="宋体"/>
          <w:szCs w:val="21"/>
        </w:rPr>
        <w:t>×</w:t>
      </w:r>
      <w:r>
        <w:rPr>
          <w:rFonts w:ascii="宋体" w:hAnsi="宋体" w:cs="宋体"/>
          <w:szCs w:val="21"/>
        </w:rPr>
        <w:t>24</w:t>
      </w:r>
      <w:r>
        <w:rPr>
          <w:rFonts w:hint="eastAsia" w:ascii="宋体" w:hAnsi="宋体" w:cs="宋体"/>
          <w:szCs w:val="21"/>
        </w:rPr>
        <w:t>小时不间断工作。</w:t>
      </w:r>
    </w:p>
    <w:p>
      <w:pPr>
        <w:pStyle w:val="31"/>
        <w:numPr>
          <w:ilvl w:val="0"/>
          <w:numId w:val="13"/>
        </w:numPr>
        <w:spacing w:line="500" w:lineRule="exact"/>
        <w:ind w:firstLineChars="0"/>
        <w:rPr>
          <w:rFonts w:ascii="宋体" w:hAnsi="宋体" w:cs="宋体"/>
          <w:szCs w:val="21"/>
        </w:rPr>
      </w:pPr>
      <w:r>
        <w:rPr>
          <w:rFonts w:hint="eastAsia" w:ascii="宋体" w:hAnsi="宋体" w:cs="宋体"/>
          <w:szCs w:val="21"/>
        </w:rPr>
        <w:t>页面响应时间：系统在网络顺畅时，非统计查询响应时间≤3秒，报表汇总时间≤10秒。</w:t>
      </w:r>
    </w:p>
    <w:p>
      <w:pPr>
        <w:pStyle w:val="31"/>
        <w:numPr>
          <w:ilvl w:val="0"/>
          <w:numId w:val="13"/>
        </w:numPr>
        <w:spacing w:line="500" w:lineRule="exact"/>
        <w:ind w:firstLineChars="0"/>
        <w:rPr>
          <w:rFonts w:ascii="宋体" w:hAnsi="宋体" w:cs="宋体"/>
          <w:szCs w:val="21"/>
        </w:rPr>
      </w:pPr>
      <w:r>
        <w:rPr>
          <w:rFonts w:hint="eastAsia" w:ascii="宋体" w:hAnsi="宋体" w:cs="宋体"/>
          <w:szCs w:val="21"/>
        </w:rPr>
        <w:t>简单事务处理(主要指各类信息录入、修改、主要页面平均响应时间等)≤3秒（300个并发用户）；复杂事务处理（主要指各类分析研判等业务）≤10秒（50个并发用户）；各类固定统计报表形成时间≤5分钟。</w:t>
      </w:r>
    </w:p>
    <w:p>
      <w:pPr>
        <w:pStyle w:val="31"/>
        <w:numPr>
          <w:ilvl w:val="0"/>
          <w:numId w:val="13"/>
        </w:numPr>
        <w:spacing w:line="500" w:lineRule="exact"/>
        <w:ind w:firstLineChars="0"/>
        <w:rPr>
          <w:rFonts w:ascii="宋体" w:hAnsi="宋体" w:cs="宋体"/>
          <w:szCs w:val="21"/>
        </w:rPr>
      </w:pPr>
      <w:r>
        <w:rPr>
          <w:rFonts w:hint="eastAsia" w:ascii="宋体" w:hAnsi="宋体" w:cs="宋体"/>
          <w:szCs w:val="21"/>
        </w:rPr>
        <w:t>单一条件查询≤3秒；组合条件查询≤5秒；关联查询≤6秒；模糊查询≤7秒。</w:t>
      </w:r>
    </w:p>
    <w:p>
      <w:pPr>
        <w:spacing w:line="500" w:lineRule="exact"/>
        <w:ind w:firstLine="420"/>
        <w:outlineLvl w:val="0"/>
        <w:rPr>
          <w:rFonts w:ascii="宋体" w:hAnsi="宋体" w:cs="宋体"/>
          <w:szCs w:val="21"/>
        </w:rPr>
      </w:pPr>
      <w:r>
        <w:rPr>
          <w:rFonts w:ascii="宋体" w:hAnsi="宋体" w:cs="宋体"/>
          <w:szCs w:val="21"/>
        </w:rPr>
        <w:t>4.</w:t>
      </w:r>
      <w:r>
        <w:rPr>
          <w:rFonts w:hint="eastAsia" w:ascii="宋体" w:hAnsi="宋体" w:cs="宋体"/>
          <w:szCs w:val="21"/>
        </w:rPr>
        <w:t>系统安全性需求</w:t>
      </w:r>
    </w:p>
    <w:p>
      <w:pPr>
        <w:spacing w:line="500" w:lineRule="exact"/>
        <w:ind w:firstLine="420"/>
        <w:rPr>
          <w:rFonts w:ascii="宋体" w:hAnsi="宋体" w:cs="宋体"/>
          <w:szCs w:val="21"/>
        </w:rPr>
      </w:pPr>
      <w:r>
        <w:rPr>
          <w:rFonts w:hint="eastAsia" w:ascii="宋体" w:hAnsi="宋体" w:cs="宋体"/>
          <w:szCs w:val="21"/>
        </w:rPr>
        <w:t>本系统须遵循《信息系统安全等级保护定级指南》规定，整个系统必须达到三级等保要求，并要求在系统正式上线前完成等保测评备案。</w:t>
      </w:r>
    </w:p>
    <w:p>
      <w:pPr>
        <w:spacing w:line="500" w:lineRule="exact"/>
        <w:ind w:firstLine="420"/>
        <w:outlineLvl w:val="0"/>
        <w:rPr>
          <w:rFonts w:ascii="宋体" w:hAnsi="宋体" w:cs="宋体"/>
          <w:szCs w:val="21"/>
        </w:rPr>
      </w:pPr>
      <w:r>
        <w:rPr>
          <w:rFonts w:ascii="宋体" w:hAnsi="宋体" w:cs="宋体"/>
          <w:szCs w:val="21"/>
        </w:rPr>
        <w:t>5.</w:t>
      </w:r>
      <w:r>
        <w:rPr>
          <w:rFonts w:hint="eastAsia" w:ascii="宋体" w:hAnsi="宋体" w:cs="宋体"/>
          <w:szCs w:val="21"/>
        </w:rPr>
        <w:t>系统可靠性要求</w:t>
      </w:r>
    </w:p>
    <w:p>
      <w:pPr>
        <w:spacing w:line="500" w:lineRule="exact"/>
        <w:ind w:firstLine="420"/>
        <w:rPr>
          <w:rFonts w:ascii="宋体" w:hAnsi="宋体" w:cs="宋体"/>
          <w:szCs w:val="21"/>
        </w:rPr>
      </w:pPr>
      <w:r>
        <w:rPr>
          <w:rFonts w:hint="eastAsia" w:ascii="宋体" w:hAnsi="宋体" w:cs="宋体"/>
          <w:szCs w:val="21"/>
        </w:rPr>
        <w:t>系统应具备在一段时间和条件下维持其性能水平的功能需求。成熟性：由软件故障引起的系统稳定与失效成熟度能力要求；容错性：在软件故障或违反指定接口的情况下维持规定的性能水平的要求；易恢复性</w:t>
      </w:r>
      <w:r>
        <w:rPr>
          <w:rFonts w:ascii="宋体" w:hAnsi="宋体" w:cs="宋体"/>
          <w:szCs w:val="21"/>
        </w:rPr>
        <w:t xml:space="preserve">。 </w:t>
      </w:r>
    </w:p>
    <w:p>
      <w:pPr>
        <w:spacing w:line="500" w:lineRule="exact"/>
        <w:ind w:firstLine="420"/>
        <w:rPr>
          <w:rFonts w:ascii="宋体" w:hAnsi="宋体" w:cs="宋体"/>
          <w:szCs w:val="21"/>
        </w:rPr>
      </w:pPr>
      <w:r>
        <w:rPr>
          <w:rFonts w:ascii="宋体" w:hAnsi="宋体" w:cs="宋体"/>
          <w:szCs w:val="21"/>
        </w:rPr>
        <w:t>6.</w:t>
      </w:r>
      <w:r>
        <w:rPr>
          <w:rFonts w:hint="eastAsia" w:ascii="宋体" w:hAnsi="宋体" w:cs="宋体"/>
          <w:szCs w:val="21"/>
        </w:rPr>
        <w:t>软件系统实用性</w:t>
      </w:r>
    </w:p>
    <w:p>
      <w:pPr>
        <w:spacing w:line="500" w:lineRule="exact"/>
        <w:ind w:firstLine="420"/>
        <w:rPr>
          <w:rFonts w:ascii="宋体" w:hAnsi="宋体" w:cs="宋体"/>
          <w:szCs w:val="21"/>
        </w:rPr>
      </w:pPr>
      <w:r>
        <w:rPr>
          <w:rFonts w:ascii="宋体" w:hAnsi="宋体" w:cs="宋体"/>
          <w:szCs w:val="21"/>
        </w:rPr>
        <w:t>6.1</w:t>
      </w:r>
      <w:r>
        <w:rPr>
          <w:rFonts w:hint="eastAsia" w:ascii="宋体" w:hAnsi="宋体" w:cs="宋体"/>
          <w:szCs w:val="21"/>
        </w:rPr>
        <w:t>软件系统具有智能化的提醒功能，满足用户及时接收到提醒信息。</w:t>
      </w:r>
    </w:p>
    <w:p>
      <w:pPr>
        <w:spacing w:line="500" w:lineRule="exact"/>
        <w:ind w:firstLine="420"/>
        <w:rPr>
          <w:rFonts w:ascii="宋体" w:hAnsi="宋体" w:cs="宋体"/>
          <w:szCs w:val="21"/>
        </w:rPr>
      </w:pPr>
      <w:r>
        <w:rPr>
          <w:rFonts w:ascii="宋体" w:hAnsi="宋体" w:cs="宋体"/>
          <w:szCs w:val="21"/>
        </w:rPr>
        <w:t>6.2</w:t>
      </w:r>
      <w:r>
        <w:rPr>
          <w:rFonts w:hint="eastAsia" w:ascii="宋体" w:hAnsi="宋体" w:cs="宋体"/>
          <w:szCs w:val="21"/>
        </w:rPr>
        <w:t>对于数据合法性能及时告知，在源头进行修改。</w:t>
      </w:r>
    </w:p>
    <w:p>
      <w:pPr>
        <w:spacing w:line="500" w:lineRule="exact"/>
        <w:ind w:firstLine="420"/>
        <w:rPr>
          <w:rFonts w:ascii="宋体" w:hAnsi="宋体" w:cs="宋体"/>
          <w:szCs w:val="21"/>
        </w:rPr>
      </w:pPr>
      <w:r>
        <w:rPr>
          <w:rFonts w:ascii="宋体" w:hAnsi="宋体" w:cs="宋体"/>
          <w:szCs w:val="21"/>
        </w:rPr>
        <w:t>6.3</w:t>
      </w:r>
      <w:r>
        <w:rPr>
          <w:rFonts w:hint="eastAsia" w:ascii="宋体" w:hAnsi="宋体" w:cs="宋体"/>
          <w:szCs w:val="21"/>
        </w:rPr>
        <w:t>系统提供人性化的界面设计，提高系统操作的便捷性。</w:t>
      </w:r>
    </w:p>
    <w:p>
      <w:pPr>
        <w:spacing w:line="500" w:lineRule="exact"/>
        <w:rPr>
          <w:rFonts w:ascii="仿宋" w:hAnsi="仿宋"/>
          <w:szCs w:val="21"/>
        </w:rPr>
      </w:pPr>
      <w:bookmarkStart w:id="34" w:name="_Toc44424788"/>
    </w:p>
    <w:bookmarkEnd w:id="34"/>
    <w:p>
      <w:pPr>
        <w:spacing w:line="500" w:lineRule="exact"/>
        <w:ind w:firstLine="422" w:firstLineChars="200"/>
        <w:rPr>
          <w:rFonts w:ascii="黑体" w:hAnsi="黑体" w:eastAsia="黑体"/>
          <w:b/>
          <w:szCs w:val="21"/>
        </w:rPr>
      </w:pPr>
      <w:r>
        <w:rPr>
          <w:rFonts w:hint="eastAsia" w:ascii="黑体" w:hAnsi="黑体" w:eastAsia="黑体"/>
          <w:b/>
          <w:szCs w:val="21"/>
        </w:rPr>
        <w:t>（十</w:t>
      </w:r>
      <w:r>
        <w:rPr>
          <w:rFonts w:hint="eastAsia" w:ascii="黑体" w:hAnsi="黑体" w:eastAsia="黑体"/>
          <w:b/>
          <w:szCs w:val="21"/>
          <w:lang w:val="en-US" w:eastAsia="zh-CN"/>
        </w:rPr>
        <w:t>三</w:t>
      </w:r>
      <w:r>
        <w:rPr>
          <w:rFonts w:hint="eastAsia" w:ascii="黑体" w:hAnsi="黑体" w:eastAsia="黑体"/>
          <w:b/>
          <w:szCs w:val="21"/>
        </w:rPr>
        <w:t>）售后等其他要求</w:t>
      </w:r>
    </w:p>
    <w:p>
      <w:pPr>
        <w:spacing w:line="500" w:lineRule="exact"/>
        <w:ind w:firstLine="420"/>
      </w:pPr>
      <w:r>
        <w:t>1.</w:t>
      </w:r>
      <w:r>
        <w:rPr>
          <w:rFonts w:hint="eastAsia"/>
        </w:rPr>
        <w:t>在合同规定时间内完成视力筛查管理系统的安装调试，并按要求完成现场操作和维护培训，并保证操作者能够自行独立完成。</w:t>
      </w:r>
    </w:p>
    <w:p>
      <w:pPr>
        <w:spacing w:line="500" w:lineRule="exact"/>
        <w:ind w:firstLine="420"/>
      </w:pPr>
      <w:r>
        <w:t>2.</w:t>
      </w:r>
      <w:r>
        <w:rPr>
          <w:rFonts w:hint="eastAsia"/>
        </w:rPr>
        <w:t>所有软件保修至少三年，保修期限从项目验收合格日期起计算；并需明确出保后维保方案，以报价百分比计算。</w:t>
      </w:r>
    </w:p>
    <w:p>
      <w:pPr>
        <w:spacing w:line="500" w:lineRule="exact"/>
        <w:ind w:firstLine="420" w:firstLineChars="200"/>
      </w:pPr>
      <w:r>
        <w:rPr>
          <w:rFonts w:hint="eastAsia"/>
        </w:rPr>
        <w:t>3</w:t>
      </w:r>
      <w:r>
        <w:t>.</w:t>
      </w:r>
      <w:r>
        <w:rPr>
          <w:rFonts w:hint="eastAsia"/>
        </w:rPr>
        <w:t>软件维护到达现场时间为</w:t>
      </w:r>
      <w:r>
        <w:t>24小时以内</w:t>
      </w:r>
      <w:r>
        <w:rPr>
          <w:rFonts w:hint="eastAsia"/>
        </w:rPr>
        <w:t>。</w:t>
      </w:r>
    </w:p>
    <w:p>
      <w:pPr>
        <w:tabs>
          <w:tab w:val="left" w:pos="0"/>
        </w:tabs>
        <w:spacing w:line="500" w:lineRule="exact"/>
        <w:ind w:firstLine="420" w:firstLineChars="200"/>
        <w:rPr>
          <w:rFonts w:ascii="宋体" w:hAnsi="宋体"/>
          <w:szCs w:val="21"/>
        </w:rPr>
      </w:pPr>
      <w:r>
        <w:rPr>
          <w:rFonts w:hint="eastAsia"/>
        </w:rPr>
        <w:t>4</w:t>
      </w:r>
      <w:r>
        <w:t>.</w:t>
      </w:r>
      <w:r>
        <w:rPr>
          <w:rFonts w:hint="eastAsia" w:ascii="宋体" w:hAnsi="宋体"/>
          <w:szCs w:val="21"/>
        </w:rPr>
        <w:t>供应商在质保期内提供免费升级维护。</w:t>
      </w:r>
    </w:p>
    <w:p>
      <w:pPr>
        <w:pStyle w:val="9"/>
        <w:spacing w:line="500" w:lineRule="exact"/>
        <w:ind w:firstLineChars="200"/>
        <w:rPr>
          <w:rFonts w:ascii="宋体" w:hAnsi="宋体" w:cs="宋体"/>
          <w:szCs w:val="21"/>
        </w:rPr>
      </w:pPr>
      <w:r>
        <w:rPr>
          <w:rFonts w:hint="eastAsia" w:ascii="宋体" w:hAnsi="宋体" w:cs="宋体"/>
          <w:szCs w:val="21"/>
        </w:rPr>
        <w:t>5. 三级等保测评</w:t>
      </w:r>
      <w:r>
        <w:rPr>
          <w:rFonts w:hint="eastAsia" w:ascii="宋体" w:hAnsi="宋体" w:cs="宋体"/>
          <w:szCs w:val="21"/>
          <w:lang w:val="en-US" w:eastAsia="zh-CN"/>
        </w:rPr>
        <w:t>首年</w:t>
      </w:r>
      <w:r>
        <w:rPr>
          <w:rFonts w:hint="eastAsia" w:ascii="宋体" w:hAnsi="宋体" w:cs="宋体"/>
          <w:szCs w:val="21"/>
        </w:rPr>
        <w:t>费用包含在本项目内。</w:t>
      </w:r>
    </w:p>
    <w:p>
      <w:pPr>
        <w:pStyle w:val="9"/>
        <w:spacing w:line="500" w:lineRule="exact"/>
        <w:ind w:firstLineChars="200"/>
        <w:rPr>
          <w:rFonts w:ascii="宋体" w:hAnsi="宋体" w:cs="宋体"/>
          <w:szCs w:val="21"/>
        </w:rPr>
      </w:pPr>
      <w:r>
        <w:rPr>
          <w:rFonts w:hint="eastAsia" w:ascii="宋体" w:hAnsi="宋体" w:cs="宋体"/>
          <w:szCs w:val="21"/>
        </w:rPr>
        <w:t>6.管理系统对接由业主牵头并提供对接文档，中标方需承诺完成对接工作。</w:t>
      </w:r>
    </w:p>
    <w:p>
      <w:pPr>
        <w:pStyle w:val="9"/>
        <w:spacing w:line="500" w:lineRule="exact"/>
        <w:rPr>
          <w:rFonts w:ascii="宋体" w:hAnsi="宋体" w:cs="宋体"/>
          <w:szCs w:val="21"/>
        </w:rPr>
      </w:pPr>
      <w:r>
        <w:rPr>
          <w:rFonts w:hint="eastAsia" w:ascii="宋体" w:hAnsi="宋体" w:cs="宋体"/>
          <w:szCs w:val="21"/>
        </w:rPr>
        <w:t xml:space="preserve">7.视力筛查系统向第三方应用提供的接口应当符合国家要求，且对接时不得收取任何费用；涉及的第三方接口费用由业主协商处理，对接工作不得收取额外费用。 </w:t>
      </w:r>
    </w:p>
    <w:p>
      <w:pPr>
        <w:pStyle w:val="9"/>
        <w:spacing w:line="500" w:lineRule="exact"/>
        <w:ind w:firstLineChars="200"/>
        <w:rPr>
          <w:rFonts w:ascii="宋体" w:hAnsi="宋体" w:cs="宋体"/>
          <w:szCs w:val="21"/>
        </w:rPr>
      </w:pPr>
      <w:r>
        <w:rPr>
          <w:rFonts w:hint="eastAsia" w:ascii="宋体" w:hAnsi="宋体" w:cs="宋体"/>
          <w:szCs w:val="21"/>
        </w:rPr>
        <w:t>8.合同签订时，承建方须与业主方签订数据保密协议，保障学生数据和医疗信息的安全性。</w:t>
      </w:r>
    </w:p>
    <w:p>
      <w:pPr>
        <w:pStyle w:val="11"/>
        <w:spacing w:line="500" w:lineRule="exact"/>
        <w:ind w:firstLine="420"/>
        <w:rPr>
          <w:rFonts w:ascii="宋体" w:hAnsi="宋体" w:cs="宋体"/>
          <w:szCs w:val="21"/>
        </w:rPr>
      </w:pPr>
      <w:r>
        <w:rPr>
          <w:rFonts w:hint="eastAsia" w:ascii="宋体" w:hAnsi="宋体" w:cs="宋体"/>
          <w:szCs w:val="21"/>
        </w:rPr>
        <w:t>9.验收合格后，中标人提供软件的源程序、可执行代码及产品的数据结构，不得以任何名义向采购人收取与该应用相关的服务费用。</w:t>
      </w:r>
    </w:p>
    <w:p>
      <w:pPr>
        <w:pStyle w:val="11"/>
        <w:spacing w:line="500" w:lineRule="exact"/>
        <w:ind w:firstLine="420"/>
        <w:rPr>
          <w:rFonts w:hint="eastAsia" w:ascii="宋体" w:hAnsi="宋体" w:cs="宋体"/>
          <w:szCs w:val="21"/>
        </w:rPr>
      </w:pPr>
      <w:r>
        <w:rPr>
          <w:rFonts w:hint="eastAsia" w:ascii="宋体" w:hAnsi="宋体" w:cs="宋体"/>
          <w:szCs w:val="21"/>
        </w:rPr>
        <w:t>10.本次采购软件所有权归采购人；同时软件运行中应用和产生的相关内部数据归采购人所有。</w:t>
      </w:r>
    </w:p>
    <w:p>
      <w:pPr>
        <w:pStyle w:val="11"/>
        <w:spacing w:line="500" w:lineRule="exact"/>
        <w:ind w:firstLine="420"/>
        <w:rPr>
          <w:rFonts w:hint="default" w:ascii="宋体" w:hAnsi="宋体" w:eastAsia="宋体" w:cs="宋体"/>
          <w:szCs w:val="21"/>
          <w:lang w:val="en-US" w:eastAsia="zh-CN"/>
        </w:rPr>
      </w:pPr>
      <w:r>
        <w:rPr>
          <w:rFonts w:hint="eastAsia" w:ascii="宋体" w:hAnsi="宋体" w:cs="宋体"/>
          <w:szCs w:val="21"/>
          <w:lang w:val="en-US" w:eastAsia="zh-CN"/>
        </w:rPr>
        <w:t>11.政务云平台免费提供，后期如产生费用，由业主方另行支付。</w:t>
      </w:r>
    </w:p>
    <w:p>
      <w:pPr>
        <w:spacing w:line="500" w:lineRule="exact"/>
        <w:ind w:firstLine="420" w:firstLineChars="200"/>
        <w:rPr>
          <w:rFonts w:hint="eastAsia" w:asciiTheme="minorEastAsia" w:hAnsiTheme="minorEastAsia" w:cstheme="minorEastAsia"/>
          <w:bCs/>
          <w:color w:val="000000"/>
          <w:kern w:val="0"/>
          <w:szCs w:val="21"/>
          <w:lang w:eastAsia="zh-CN"/>
        </w:rPr>
      </w:pPr>
      <w:r>
        <w:rPr>
          <w:rFonts w:hint="eastAsia" w:ascii="宋体" w:hAnsi="宋体" w:eastAsia="宋体" w:cs="宋体"/>
          <w:szCs w:val="21"/>
        </w:rPr>
        <w:t>▲</w:t>
      </w:r>
      <w:r>
        <w:rPr>
          <w:rFonts w:hint="eastAsia" w:ascii="宋体" w:hAnsi="宋体" w:cs="宋体"/>
          <w:szCs w:val="21"/>
        </w:rPr>
        <w:t>1</w:t>
      </w:r>
      <w:r>
        <w:rPr>
          <w:rFonts w:hint="eastAsia" w:ascii="宋体" w:hAnsi="宋体" w:cs="宋体"/>
          <w:szCs w:val="21"/>
          <w:lang w:val="en-US" w:eastAsia="zh-CN"/>
        </w:rPr>
        <w:t>2.</w:t>
      </w:r>
      <w:r>
        <w:rPr>
          <w:rFonts w:hint="eastAsia" w:asciiTheme="minorEastAsia" w:hAnsiTheme="minorEastAsia" w:cstheme="minorEastAsia"/>
          <w:bCs/>
          <w:color w:val="000000"/>
          <w:kern w:val="0"/>
          <w:szCs w:val="21"/>
        </w:rPr>
        <w:t xml:space="preserve"> 中标方应该与视力筛查仪器中标单位精诚合作，</w:t>
      </w:r>
      <w:r>
        <w:rPr>
          <w:rFonts w:hint="eastAsia" w:asciiTheme="minorEastAsia" w:hAnsiTheme="minorEastAsia" w:cstheme="minorEastAsia"/>
          <w:bCs/>
          <w:color w:val="000000"/>
          <w:kern w:val="0"/>
          <w:szCs w:val="21"/>
          <w:lang w:val="en-US" w:eastAsia="zh-CN"/>
        </w:rPr>
        <w:t>完成软硬件对接，</w:t>
      </w:r>
      <w:r>
        <w:rPr>
          <w:rFonts w:hint="eastAsia" w:asciiTheme="minorEastAsia" w:hAnsiTheme="minorEastAsia" w:cstheme="minorEastAsia"/>
          <w:bCs/>
          <w:color w:val="000000"/>
          <w:kern w:val="0"/>
          <w:szCs w:val="21"/>
        </w:rPr>
        <w:t>确保本项目的顺利实施。</w:t>
      </w:r>
      <w:r>
        <w:rPr>
          <w:rFonts w:hint="eastAsia" w:asciiTheme="minorEastAsia" w:hAnsiTheme="minorEastAsia" w:cstheme="minorEastAsia"/>
          <w:bCs/>
          <w:color w:val="000000"/>
          <w:kern w:val="0"/>
          <w:szCs w:val="21"/>
          <w:lang w:eastAsia="zh-CN"/>
        </w:rPr>
        <w:t>（</w:t>
      </w:r>
      <w:r>
        <w:rPr>
          <w:rFonts w:hint="eastAsia" w:asciiTheme="minorEastAsia" w:hAnsiTheme="minorEastAsia" w:cstheme="minorEastAsia"/>
          <w:bCs/>
          <w:color w:val="000000"/>
          <w:kern w:val="0"/>
          <w:szCs w:val="21"/>
          <w:lang w:val="en-US" w:eastAsia="zh-CN"/>
        </w:rPr>
        <w:t>投标时需对本条事项明确承诺，同时不得收取对接费用。</w:t>
      </w:r>
      <w:r>
        <w:rPr>
          <w:rFonts w:hint="eastAsia" w:asciiTheme="minorEastAsia" w:hAnsiTheme="minorEastAsia" w:cstheme="minorEastAsia"/>
          <w:bCs/>
          <w:color w:val="000000"/>
          <w:kern w:val="0"/>
          <w:szCs w:val="21"/>
          <w:lang w:eastAsia="zh-CN"/>
        </w:rPr>
        <w:t>）</w:t>
      </w:r>
    </w:p>
    <w:p>
      <w:pPr>
        <w:pStyle w:val="11"/>
        <w:spacing w:line="500" w:lineRule="exact"/>
        <w:ind w:firstLine="420"/>
        <w:rPr>
          <w:rFonts w:hint="default" w:ascii="宋体" w:hAnsi="宋体" w:cs="宋体"/>
          <w:szCs w:val="21"/>
          <w:lang w:val="en-US" w:eastAsia="zh-CN"/>
        </w:rPr>
      </w:pPr>
      <w:r>
        <w:rPr>
          <w:rFonts w:hint="eastAsia" w:ascii="宋体" w:hAnsi="宋体" w:cs="宋体"/>
          <w:szCs w:val="21"/>
          <w:lang w:val="en-US" w:eastAsia="zh-CN"/>
        </w:rPr>
        <w:t>13.验收环节，系统第三方性能、功能评测产生的费用包含在本项目内。</w:t>
      </w:r>
    </w:p>
    <w:p>
      <w:pPr>
        <w:pStyle w:val="2"/>
        <w:rPr>
          <w:rFonts w:hint="eastAsia"/>
          <w:lang w:val="en-US" w:eastAsia="zh-CN"/>
        </w:rPr>
      </w:pPr>
    </w:p>
    <w:p>
      <w:pPr>
        <w:spacing w:line="500" w:lineRule="exact"/>
        <w:ind w:firstLine="480" w:firstLineChars="200"/>
        <w:rPr>
          <w:rFonts w:hint="eastAsia" w:ascii="黑体" w:hAnsi="黑体" w:eastAsia="黑体"/>
          <w:bCs/>
          <w:sz w:val="24"/>
          <w:szCs w:val="24"/>
        </w:rPr>
      </w:pPr>
      <w:r>
        <w:rPr>
          <w:rFonts w:hint="eastAsia" w:ascii="黑体" w:hAnsi="黑体" w:eastAsia="黑体"/>
          <w:bCs/>
          <w:sz w:val="24"/>
          <w:szCs w:val="24"/>
          <w:lang w:val="en-US" w:eastAsia="zh-CN"/>
        </w:rPr>
        <w:t>第二标段：</w:t>
      </w:r>
      <w:r>
        <w:rPr>
          <w:rFonts w:hint="eastAsia" w:ascii="黑体" w:hAnsi="黑体" w:eastAsia="黑体"/>
          <w:bCs/>
          <w:sz w:val="24"/>
          <w:szCs w:val="24"/>
        </w:rPr>
        <w:t>硬件产品参数要求</w:t>
      </w:r>
    </w:p>
    <w:p>
      <w:pPr>
        <w:pStyle w:val="2"/>
        <w:rPr>
          <w:rFonts w:hint="eastAsia" w:ascii="黑体" w:hAnsi="黑体" w:eastAsia="黑体"/>
          <w:bCs/>
          <w:sz w:val="28"/>
          <w:szCs w:val="28"/>
        </w:rPr>
      </w:pPr>
    </w:p>
    <w:p>
      <w:pPr>
        <w:pStyle w:val="9"/>
        <w:ind w:firstLine="2940" w:firstLineChars="1400"/>
      </w:pPr>
      <w:r>
        <w:rPr>
          <w:rFonts w:hint="eastAsia"/>
        </w:rPr>
        <w:t>各县（市、区）采购数统计</w:t>
      </w:r>
    </w:p>
    <w:p>
      <w:pPr>
        <w:pStyle w:val="9"/>
      </w:pPr>
    </w:p>
    <w:tbl>
      <w:tblPr>
        <w:tblStyle w:val="24"/>
        <w:tblpPr w:leftFromText="180" w:rightFromText="180" w:vertAnchor="text" w:horzAnchor="page" w:tblpX="2374" w:tblpY="71"/>
        <w:tblOverlap w:val="never"/>
        <w:tblW w:w="6309" w:type="dxa"/>
        <w:tblInd w:w="0" w:type="dxa"/>
        <w:tblLayout w:type="fixed"/>
        <w:tblCellMar>
          <w:top w:w="0" w:type="dxa"/>
          <w:left w:w="0" w:type="dxa"/>
          <w:bottom w:w="0" w:type="dxa"/>
          <w:right w:w="0" w:type="dxa"/>
        </w:tblCellMar>
      </w:tblPr>
      <w:tblGrid>
        <w:gridCol w:w="1824"/>
        <w:gridCol w:w="2205"/>
        <w:gridCol w:w="2280"/>
      </w:tblGrid>
      <w:tr>
        <w:tblPrEx>
          <w:tblLayout w:type="fixed"/>
          <w:tblCellMar>
            <w:top w:w="0" w:type="dxa"/>
            <w:left w:w="0" w:type="dxa"/>
            <w:bottom w:w="0" w:type="dxa"/>
            <w:right w:w="0" w:type="dxa"/>
          </w:tblCellMar>
        </w:tblPrEx>
        <w:trPr>
          <w:trHeight w:val="58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教育系统（台）</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卫健系统（台）</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集聚区</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黄岩区</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路桥区</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临海市</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温岭市</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17</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玉环市</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天台县</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仙居县</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三门县</w:t>
            </w:r>
          </w:p>
        </w:tc>
        <w:tc>
          <w:tcPr>
            <w:tcW w:w="22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55</w:t>
            </w:r>
          </w:p>
        </w:tc>
        <w:tc>
          <w:tcPr>
            <w:tcW w:w="22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r>
      <w:tr>
        <w:tblPrEx>
          <w:tblLayout w:type="fixed"/>
          <w:tblCellMar>
            <w:top w:w="0" w:type="dxa"/>
            <w:left w:w="0" w:type="dxa"/>
            <w:bottom w:w="0" w:type="dxa"/>
            <w:right w:w="0" w:type="dxa"/>
          </w:tblCellMar>
        </w:tblPrEx>
        <w:trPr>
          <w:trHeight w:val="50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市本级</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23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w:t>
            </w:r>
          </w:p>
        </w:tc>
      </w:tr>
      <w:tr>
        <w:tblPrEx>
          <w:tblLayout w:type="fixed"/>
          <w:tblCellMar>
            <w:top w:w="0" w:type="dxa"/>
            <w:left w:w="0" w:type="dxa"/>
            <w:bottom w:w="0" w:type="dxa"/>
            <w:right w:w="0" w:type="dxa"/>
          </w:tblCellMar>
        </w:tblPrEx>
        <w:trPr>
          <w:trHeight w:val="48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598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127</w:t>
            </w:r>
          </w:p>
        </w:tc>
      </w:tr>
      <w:tr>
        <w:tblPrEx>
          <w:tblLayout w:type="fixed"/>
          <w:tblCellMar>
            <w:top w:w="0" w:type="dxa"/>
            <w:left w:w="0" w:type="dxa"/>
            <w:bottom w:w="0" w:type="dxa"/>
            <w:right w:w="0" w:type="dxa"/>
          </w:tblCellMar>
        </w:tblPrEx>
        <w:trPr>
          <w:trHeight w:val="480"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725</w:t>
            </w:r>
          </w:p>
        </w:tc>
      </w:tr>
    </w:tbl>
    <w:p>
      <w:pPr>
        <w:tabs>
          <w:tab w:val="left" w:pos="8280"/>
        </w:tabs>
        <w:autoSpaceDE w:val="0"/>
        <w:autoSpaceDN w:val="0"/>
        <w:adjustRightInd w:val="0"/>
        <w:spacing w:line="360" w:lineRule="auto"/>
        <w:ind w:right="25"/>
        <w:jc w:val="left"/>
        <w:rPr>
          <w:rFonts w:ascii="宋体" w:hAnsi="宋体"/>
          <w:b/>
          <w:color w:val="000000"/>
          <w:sz w:val="24"/>
        </w:rPr>
        <w:sectPr>
          <w:pgSz w:w="11906" w:h="16838"/>
          <w:pgMar w:top="1417" w:right="1304" w:bottom="1417" w:left="1304" w:header="851" w:footer="992" w:gutter="0"/>
          <w:cols w:space="720" w:num="1"/>
          <w:docGrid w:linePitch="312" w:charSpace="0"/>
        </w:sectPr>
      </w:pPr>
    </w:p>
    <w:p>
      <w:pPr>
        <w:spacing w:line="500" w:lineRule="exact"/>
        <w:ind w:firstLine="420" w:firstLineChars="200"/>
        <w:rPr>
          <w:rFonts w:asciiTheme="minorEastAsia" w:hAnsiTheme="minorEastAsia" w:cstheme="minorEastAsia"/>
          <w:b/>
          <w:szCs w:val="21"/>
        </w:rPr>
      </w:pPr>
      <w:r>
        <w:rPr>
          <w:rFonts w:hint="eastAsia" w:asciiTheme="minorEastAsia" w:hAnsiTheme="minorEastAsia" w:cstheme="minorEastAsia"/>
          <w:bCs/>
          <w:szCs w:val="21"/>
        </w:rPr>
        <w:t>根据《千所学校、百万学生免费近视筛查暨低龄儿童近视早期干预项目实施方案》，计划为每所中小学校、每个乡镇卫生院各配备</w:t>
      </w:r>
      <w:r>
        <w:rPr>
          <w:rFonts w:asciiTheme="minorEastAsia" w:hAnsiTheme="minorEastAsia" w:cstheme="minorEastAsia"/>
          <w:bCs/>
          <w:szCs w:val="21"/>
        </w:rPr>
        <w:t>1套近视筛查设备。每套近视筛查设备至少配备：</w:t>
      </w:r>
      <w:r>
        <w:rPr>
          <w:rFonts w:hint="eastAsia" w:asciiTheme="minorEastAsia" w:hAnsiTheme="minorEastAsia" w:cstheme="minorEastAsia"/>
          <w:bCs/>
          <w:szCs w:val="21"/>
        </w:rPr>
        <w:t>全自动</w:t>
      </w:r>
      <w:r>
        <w:rPr>
          <w:rFonts w:asciiTheme="minorEastAsia" w:hAnsiTheme="minorEastAsia" w:cstheme="minorEastAsia"/>
          <w:bCs/>
          <w:szCs w:val="21"/>
        </w:rPr>
        <w:t>电脑验光仪1台</w:t>
      </w:r>
      <w:r>
        <w:rPr>
          <w:rFonts w:hint="eastAsia" w:asciiTheme="minorEastAsia" w:hAnsiTheme="minorEastAsia" w:cstheme="minorEastAsia"/>
          <w:bCs/>
          <w:szCs w:val="21"/>
        </w:rPr>
        <w:t>、液晶视力表</w:t>
      </w:r>
      <w:r>
        <w:rPr>
          <w:rFonts w:asciiTheme="minorEastAsia" w:hAnsiTheme="minorEastAsia" w:cstheme="minorEastAsia"/>
          <w:bCs/>
          <w:szCs w:val="21"/>
        </w:rPr>
        <w:t>1台</w:t>
      </w:r>
      <w:r>
        <w:rPr>
          <w:rFonts w:hint="eastAsia" w:asciiTheme="minorEastAsia" w:hAnsiTheme="minorEastAsia" w:cstheme="minorEastAsia"/>
          <w:bCs/>
          <w:szCs w:val="21"/>
        </w:rPr>
        <w:t>、平板电脑</w:t>
      </w:r>
      <w:r>
        <w:rPr>
          <w:rFonts w:asciiTheme="minorEastAsia" w:hAnsiTheme="minorEastAsia" w:cstheme="minorEastAsia"/>
          <w:bCs/>
          <w:szCs w:val="21"/>
        </w:rPr>
        <w:t>/手机1台</w:t>
      </w:r>
      <w:r>
        <w:rPr>
          <w:rFonts w:hint="eastAsia" w:asciiTheme="minorEastAsia" w:hAnsiTheme="minorEastAsia" w:cstheme="minorEastAsia"/>
          <w:bCs/>
          <w:szCs w:val="21"/>
        </w:rPr>
        <w:t>。</w:t>
      </w:r>
    </w:p>
    <w:p>
      <w:pPr>
        <w:numPr>
          <w:ilvl w:val="0"/>
          <w:numId w:val="14"/>
        </w:numPr>
        <w:spacing w:line="5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全自动电脑验光仪</w:t>
      </w:r>
    </w:p>
    <w:p>
      <w:pPr>
        <w:numPr>
          <w:ilvl w:val="0"/>
          <w:numId w:val="15"/>
        </w:numPr>
        <w:spacing w:line="500" w:lineRule="exact"/>
        <w:ind w:firstLine="420" w:firstLineChars="200"/>
        <w:rPr>
          <w:rFonts w:asciiTheme="minorEastAsia" w:hAnsiTheme="minorEastAsia" w:cstheme="minorEastAsia"/>
          <w:bCs/>
          <w:color w:val="auto"/>
          <w:kern w:val="0"/>
          <w:szCs w:val="21"/>
        </w:rPr>
      </w:pPr>
      <w:r>
        <w:rPr>
          <w:rFonts w:hint="eastAsia" w:asciiTheme="minorEastAsia" w:hAnsiTheme="minorEastAsia" w:cstheme="minorEastAsia"/>
          <w:bCs/>
          <w:color w:val="auto"/>
          <w:kern w:val="0"/>
          <w:szCs w:val="21"/>
        </w:rPr>
        <w:t>测量模式：</w:t>
      </w:r>
      <w:r>
        <w:rPr>
          <w:rFonts w:hint="eastAsia" w:asciiTheme="minorEastAsia" w:hAnsiTheme="minorEastAsia" w:cstheme="minorEastAsia"/>
          <w:bCs/>
          <w:color w:val="auto"/>
          <w:kern w:val="0"/>
          <w:szCs w:val="21"/>
          <w:lang w:val="en-US" w:eastAsia="zh-CN"/>
        </w:rPr>
        <w:t>屈光度测量（REF）、角膜曲率测量（KRT）、屈光度+角膜曲率(K&amp;R)</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顶点距离：</w:t>
      </w:r>
      <w:r>
        <w:rPr>
          <w:rFonts w:asciiTheme="minorEastAsia" w:hAnsiTheme="minorEastAsia" w:cstheme="minorEastAsia"/>
          <w:bCs/>
          <w:kern w:val="0"/>
          <w:szCs w:val="21"/>
        </w:rPr>
        <w:t>0.0mm,12.00mm,13.5/13.75mm,15mm</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球镜度：</w:t>
      </w:r>
      <w:r>
        <w:rPr>
          <w:rFonts w:asciiTheme="minorEastAsia" w:hAnsiTheme="minorEastAsia" w:cstheme="minorEastAsia"/>
          <w:bCs/>
          <w:kern w:val="0"/>
          <w:szCs w:val="21"/>
        </w:rPr>
        <w:t>-2</w:t>
      </w:r>
      <w:r>
        <w:rPr>
          <w:rFonts w:hint="eastAsia" w:asciiTheme="minorEastAsia" w:hAnsiTheme="minorEastAsia" w:cstheme="minorEastAsia"/>
          <w:bCs/>
          <w:kern w:val="0"/>
          <w:szCs w:val="21"/>
        </w:rPr>
        <w:t>5</w:t>
      </w:r>
      <w:r>
        <w:rPr>
          <w:rFonts w:asciiTheme="minorEastAsia" w:hAnsiTheme="minorEastAsia" w:cstheme="minorEastAsia"/>
          <w:bCs/>
          <w:kern w:val="0"/>
          <w:szCs w:val="21"/>
        </w:rPr>
        <w:t>.00</w:t>
      </w:r>
      <w:r>
        <w:rPr>
          <w:rFonts w:hint="eastAsia" w:asciiTheme="minorEastAsia" w:hAnsiTheme="minorEastAsia"/>
          <w:color w:val="000000" w:themeColor="text1"/>
          <w14:textFill>
            <w14:solidFill>
              <w14:schemeClr w14:val="tx1"/>
            </w14:solidFill>
          </w14:textFill>
        </w:rPr>
        <w:t>～</w:t>
      </w:r>
      <w:r>
        <w:rPr>
          <w:rFonts w:asciiTheme="minorEastAsia" w:hAnsiTheme="minorEastAsia" w:cstheme="minorEastAsia"/>
          <w:bCs/>
          <w:kern w:val="0"/>
          <w:szCs w:val="21"/>
        </w:rPr>
        <w:t>+2</w:t>
      </w:r>
      <w:r>
        <w:rPr>
          <w:rFonts w:hint="eastAsia" w:asciiTheme="minorEastAsia" w:hAnsiTheme="minorEastAsia" w:cstheme="minorEastAsia"/>
          <w:bCs/>
          <w:kern w:val="0"/>
          <w:szCs w:val="21"/>
        </w:rPr>
        <w:t>5</w:t>
      </w:r>
      <w:r>
        <w:rPr>
          <w:rFonts w:asciiTheme="minorEastAsia" w:hAnsiTheme="minorEastAsia" w:cstheme="minorEastAsia"/>
          <w:bCs/>
          <w:kern w:val="0"/>
          <w:szCs w:val="21"/>
        </w:rPr>
        <w:t>.00D（VD=12mm，0.12或0.25D）</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柱镜度：</w:t>
      </w:r>
      <w:r>
        <w:rPr>
          <w:rFonts w:asciiTheme="minorEastAsia" w:hAnsiTheme="minorEastAsia" w:cstheme="minorEastAsia"/>
          <w:bCs/>
          <w:kern w:val="0"/>
          <w:szCs w:val="21"/>
        </w:rPr>
        <w:t>-10.00D</w:t>
      </w:r>
      <w:r>
        <w:rPr>
          <w:rFonts w:hint="eastAsia" w:asciiTheme="minorEastAsia" w:hAnsiTheme="minorEastAsia"/>
          <w:color w:val="000000" w:themeColor="text1"/>
          <w14:textFill>
            <w14:solidFill>
              <w14:schemeClr w14:val="tx1"/>
            </w14:solidFill>
          </w14:textFill>
        </w:rPr>
        <w:t>～</w:t>
      </w:r>
      <w:r>
        <w:rPr>
          <w:rFonts w:asciiTheme="minorEastAsia" w:hAnsiTheme="minorEastAsia" w:cstheme="minorEastAsia"/>
          <w:bCs/>
          <w:kern w:val="0"/>
          <w:szCs w:val="21"/>
        </w:rPr>
        <w:t>+10.00D（0.12或0.25D）</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轴位：0</w:t>
      </w:r>
      <w:r>
        <w:rPr>
          <w:rFonts w:asciiTheme="minorEastAsia" w:hAnsiTheme="minorEastAsia" w:cstheme="minorEastAsia"/>
          <w:bCs/>
          <w:kern w:val="0"/>
          <w:szCs w:val="21"/>
        </w:rPr>
        <w:t>°</w:t>
      </w:r>
      <w:r>
        <w:rPr>
          <w:rFonts w:hint="eastAsia" w:asciiTheme="minorEastAsia" w:hAnsiTheme="minorEastAsia"/>
          <w:color w:val="000000" w:themeColor="text1"/>
          <w14:textFill>
            <w14:solidFill>
              <w14:schemeClr w14:val="tx1"/>
            </w14:solidFill>
          </w14:textFill>
        </w:rPr>
        <w:t>～</w:t>
      </w:r>
      <w:r>
        <w:rPr>
          <w:rFonts w:asciiTheme="minorEastAsia" w:hAnsiTheme="minorEastAsia" w:cstheme="minorEastAsia"/>
          <w:bCs/>
          <w:kern w:val="0"/>
          <w:szCs w:val="21"/>
        </w:rPr>
        <w:t>180°（步长1°）</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柱镜符号：</w:t>
      </w:r>
      <w:r>
        <w:rPr>
          <w:rFonts w:asciiTheme="minorEastAsia" w:hAnsiTheme="minorEastAsia" w:cstheme="minorEastAsia"/>
          <w:bCs/>
          <w:kern w:val="0"/>
          <w:szCs w:val="21"/>
        </w:rPr>
        <w:t>-，+，±</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瞳距：</w:t>
      </w:r>
      <w:r>
        <w:rPr>
          <w:rFonts w:hint="eastAsia" w:asciiTheme="minorEastAsia" w:hAnsiTheme="minorEastAsia" w:cstheme="minorEastAsia"/>
          <w:bCs/>
          <w:kern w:val="0"/>
          <w:szCs w:val="21"/>
          <w:lang w:val="en-US" w:eastAsia="zh-CN"/>
        </w:rPr>
        <w:t>50</w:t>
      </w:r>
      <w:r>
        <w:rPr>
          <w:rFonts w:hint="eastAsia" w:asciiTheme="minorEastAsia" w:hAnsiTheme="minorEastAsia"/>
          <w:color w:val="000000" w:themeColor="text1"/>
          <w14:textFill>
            <w14:solidFill>
              <w14:schemeClr w14:val="tx1"/>
            </w14:solidFill>
          </w14:textFill>
        </w:rPr>
        <w:t>～</w:t>
      </w:r>
      <w:r>
        <w:rPr>
          <w:rFonts w:asciiTheme="minorEastAsia" w:hAnsiTheme="minorEastAsia" w:cstheme="minorEastAsia"/>
          <w:bCs/>
          <w:kern w:val="0"/>
          <w:szCs w:val="21"/>
        </w:rPr>
        <w:t>85mm</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最小瞳孔直径：</w:t>
      </w:r>
      <w:r>
        <w:rPr>
          <w:rFonts w:asciiTheme="minorEastAsia" w:hAnsiTheme="minorEastAsia" w:cstheme="minorEastAsia"/>
          <w:bCs/>
          <w:kern w:val="0"/>
          <w:szCs w:val="21"/>
        </w:rPr>
        <w:t>2.0mm</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曲率半径：5</w:t>
      </w:r>
      <w:r>
        <w:rPr>
          <w:rFonts w:hint="eastAsia" w:asciiTheme="minorEastAsia" w:hAnsiTheme="minorEastAsia"/>
          <w:color w:val="000000" w:themeColor="text1"/>
          <w14:textFill>
            <w14:solidFill>
              <w14:schemeClr w14:val="tx1"/>
            </w14:solidFill>
          </w14:textFill>
        </w:rPr>
        <w:t>～</w:t>
      </w:r>
      <w:r>
        <w:rPr>
          <w:rFonts w:hint="eastAsia" w:asciiTheme="minorEastAsia" w:hAnsiTheme="minorEastAsia" w:cstheme="minorEastAsia"/>
          <w:bCs/>
          <w:kern w:val="0"/>
          <w:szCs w:val="21"/>
        </w:rPr>
        <w:t>10</w:t>
      </w:r>
      <w:r>
        <w:rPr>
          <w:rFonts w:asciiTheme="minorEastAsia" w:hAnsiTheme="minorEastAsia" w:cstheme="minorEastAsia"/>
          <w:bCs/>
          <w:kern w:val="0"/>
          <w:szCs w:val="21"/>
        </w:rPr>
        <w:t>mm</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角膜屈光度：</w:t>
      </w:r>
      <w:r>
        <w:rPr>
          <w:rFonts w:asciiTheme="minorEastAsia" w:hAnsiTheme="minorEastAsia" w:cstheme="minorEastAsia"/>
          <w:bCs/>
          <w:kern w:val="0"/>
          <w:szCs w:val="21"/>
        </w:rPr>
        <w:t>33.00</w:t>
      </w:r>
      <w:r>
        <w:rPr>
          <w:rFonts w:hint="eastAsia" w:asciiTheme="minorEastAsia" w:hAnsiTheme="minorEastAsia"/>
          <w:color w:val="000000" w:themeColor="text1"/>
          <w14:textFill>
            <w14:solidFill>
              <w14:schemeClr w14:val="tx1"/>
            </w14:solidFill>
          </w14:textFill>
        </w:rPr>
        <w:t>～</w:t>
      </w:r>
      <w:r>
        <w:rPr>
          <w:rFonts w:hint="eastAsia" w:asciiTheme="minorEastAsia" w:hAnsiTheme="minorEastAsia" w:cstheme="minorEastAsia"/>
          <w:bCs/>
          <w:kern w:val="0"/>
          <w:szCs w:val="21"/>
        </w:rPr>
        <w:t>67</w:t>
      </w:r>
      <w:r>
        <w:rPr>
          <w:rFonts w:asciiTheme="minorEastAsia" w:hAnsiTheme="minorEastAsia" w:cstheme="minorEastAsia"/>
          <w:bCs/>
          <w:kern w:val="0"/>
          <w:szCs w:val="21"/>
        </w:rPr>
        <w:t>.00D</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角膜散光：</w:t>
      </w:r>
      <w:r>
        <w:rPr>
          <w:rFonts w:asciiTheme="minorEastAsia" w:hAnsiTheme="minorEastAsia" w:cstheme="minorEastAsia"/>
          <w:bCs/>
          <w:kern w:val="0"/>
          <w:szCs w:val="21"/>
        </w:rPr>
        <w:t>0</w:t>
      </w:r>
      <w:r>
        <w:rPr>
          <w:rFonts w:hint="eastAsia" w:asciiTheme="minorEastAsia" w:hAnsiTheme="minorEastAsia"/>
          <w:color w:val="000000" w:themeColor="text1"/>
          <w14:textFill>
            <w14:solidFill>
              <w14:schemeClr w14:val="tx1"/>
            </w14:solidFill>
          </w14:textFill>
        </w:rPr>
        <w:t>～</w:t>
      </w:r>
      <w:r>
        <w:rPr>
          <w:rFonts w:asciiTheme="minorEastAsia" w:hAnsiTheme="minorEastAsia" w:cstheme="minorEastAsia"/>
          <w:bCs/>
          <w:kern w:val="0"/>
          <w:szCs w:val="21"/>
        </w:rPr>
        <w:t>±1</w:t>
      </w:r>
      <w:r>
        <w:rPr>
          <w:rFonts w:hint="eastAsia" w:asciiTheme="minorEastAsia" w:hAnsiTheme="minorEastAsia" w:cstheme="minorEastAsia"/>
          <w:bCs/>
          <w:kern w:val="0"/>
          <w:szCs w:val="21"/>
        </w:rPr>
        <w:t>0</w:t>
      </w:r>
      <w:r>
        <w:rPr>
          <w:rFonts w:asciiTheme="minorEastAsia" w:hAnsiTheme="minorEastAsia" w:cstheme="minorEastAsia"/>
          <w:bCs/>
          <w:kern w:val="0"/>
          <w:szCs w:val="21"/>
        </w:rPr>
        <w:t>D（0.12/0.25D）</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角膜直径：</w:t>
      </w:r>
      <w:r>
        <w:rPr>
          <w:rFonts w:asciiTheme="minorEastAsia" w:hAnsiTheme="minorEastAsia" w:cstheme="minorEastAsia"/>
          <w:bCs/>
          <w:kern w:val="0"/>
          <w:szCs w:val="21"/>
        </w:rPr>
        <w:t>2.0</w:t>
      </w:r>
      <w:r>
        <w:rPr>
          <w:rFonts w:hint="eastAsia" w:asciiTheme="minorEastAsia" w:hAnsiTheme="minorEastAsia"/>
          <w:color w:val="000000" w:themeColor="text1"/>
          <w14:textFill>
            <w14:solidFill>
              <w14:schemeClr w14:val="tx1"/>
            </w14:solidFill>
          </w14:textFill>
        </w:rPr>
        <w:t>～</w:t>
      </w:r>
      <w:r>
        <w:rPr>
          <w:rFonts w:asciiTheme="minorEastAsia" w:hAnsiTheme="minorEastAsia" w:cstheme="minorEastAsia"/>
          <w:bCs/>
          <w:kern w:val="0"/>
          <w:szCs w:val="21"/>
        </w:rPr>
        <w:t>12.00mm</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打印机：热敏打印机</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显示屏：彩色液晶显示屏（</w:t>
      </w:r>
      <w:r>
        <w:rPr>
          <w:rFonts w:hint="eastAsia" w:asciiTheme="minorEastAsia" w:hAnsiTheme="minorEastAsia" w:cstheme="minorEastAsia"/>
          <w:bCs/>
          <w:color w:val="000000"/>
          <w:kern w:val="0"/>
          <w:szCs w:val="21"/>
        </w:rPr>
        <w:t>≥</w:t>
      </w:r>
      <w:r>
        <w:rPr>
          <w:rFonts w:asciiTheme="minorEastAsia" w:hAnsiTheme="minorEastAsia" w:cstheme="minorEastAsia"/>
          <w:bCs/>
          <w:kern w:val="0"/>
          <w:szCs w:val="21"/>
        </w:rPr>
        <w:t>5.6英寸，触摸）</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机身升降：电动</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color w:val="000000"/>
          <w:szCs w:val="21"/>
        </w:rPr>
        <w:t>▲</w:t>
      </w:r>
      <w:r>
        <w:rPr>
          <w:rFonts w:hint="eastAsia" w:asciiTheme="minorEastAsia" w:hAnsiTheme="minorEastAsia" w:cstheme="minorEastAsia"/>
          <w:bCs/>
          <w:kern w:val="0"/>
          <w:szCs w:val="21"/>
        </w:rPr>
        <w:t>颚托升降：电动；配颚托纸</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rPr>
        <w:t>▲数据传输：蓝牙、</w:t>
      </w:r>
      <w:r>
        <w:rPr>
          <w:rFonts w:asciiTheme="minorEastAsia" w:hAnsiTheme="minorEastAsia" w:cstheme="minorEastAsia"/>
          <w:bCs/>
          <w:kern w:val="0"/>
          <w:szCs w:val="21"/>
        </w:rPr>
        <w:t>WIF</w:t>
      </w:r>
      <w:r>
        <w:rPr>
          <w:rFonts w:hint="eastAsia" w:asciiTheme="minorEastAsia" w:hAnsiTheme="minorEastAsia" w:cstheme="minorEastAsia"/>
          <w:bCs/>
          <w:kern w:val="0"/>
          <w:szCs w:val="21"/>
        </w:rPr>
        <w:t>I</w:t>
      </w:r>
      <w:r>
        <w:rPr>
          <w:rFonts w:asciiTheme="minorEastAsia" w:hAnsiTheme="minorEastAsia" w:cstheme="minorEastAsia"/>
          <w:bCs/>
          <w:kern w:val="0"/>
          <w:szCs w:val="21"/>
        </w:rPr>
        <w:t>等</w:t>
      </w:r>
      <w:r>
        <w:rPr>
          <w:rFonts w:hint="eastAsia" w:asciiTheme="minorEastAsia" w:hAnsiTheme="minorEastAsia" w:cstheme="minorEastAsia"/>
          <w:bCs/>
          <w:kern w:val="0"/>
          <w:szCs w:val="21"/>
        </w:rPr>
        <w:t>无线传输，与软件系统适配</w:t>
      </w:r>
    </w:p>
    <w:p>
      <w:pPr>
        <w:numPr>
          <w:ilvl w:val="0"/>
          <w:numId w:val="15"/>
        </w:numPr>
        <w:spacing w:line="500" w:lineRule="exact"/>
        <w:ind w:firstLine="420" w:firstLineChars="200"/>
        <w:rPr>
          <w:rFonts w:asciiTheme="minorEastAsia" w:hAnsiTheme="minorEastAsia" w:cstheme="minorEastAsia"/>
          <w:bCs/>
          <w:kern w:val="0"/>
          <w:szCs w:val="21"/>
          <w:highlight w:val="none"/>
        </w:rPr>
      </w:pPr>
      <w:r>
        <w:rPr>
          <w:rFonts w:hint="eastAsia" w:asciiTheme="minorEastAsia" w:hAnsiTheme="minorEastAsia" w:cstheme="minorEastAsia"/>
          <w:bCs/>
          <w:color w:val="000000"/>
          <w:szCs w:val="21"/>
        </w:rPr>
        <w:t>▲全</w:t>
      </w:r>
      <w:r>
        <w:rPr>
          <w:rFonts w:hint="eastAsia" w:asciiTheme="minorEastAsia" w:hAnsiTheme="minorEastAsia" w:cstheme="minorEastAsia"/>
          <w:bCs/>
          <w:kern w:val="0"/>
          <w:szCs w:val="21"/>
        </w:rPr>
        <w:t>自动操作模式，具左右眼自动寻眼自动对焦检测功能；</w:t>
      </w:r>
      <w:r>
        <w:rPr>
          <w:rFonts w:hint="eastAsia" w:asciiTheme="minorEastAsia" w:hAnsiTheme="minorEastAsia" w:cstheme="minorEastAsia"/>
          <w:bCs/>
          <w:kern w:val="0"/>
          <w:szCs w:val="21"/>
          <w:highlight w:val="none"/>
        </w:rPr>
        <w:t>兼具手动模式，在特殊情况下可以手动调节。</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color w:val="000000"/>
          <w:szCs w:val="21"/>
        </w:rPr>
        <w:t>▲</w:t>
      </w:r>
      <w:r>
        <w:rPr>
          <w:rFonts w:hint="eastAsia" w:asciiTheme="minorEastAsia" w:hAnsiTheme="minorEastAsia" w:cstheme="minorEastAsia"/>
          <w:bCs/>
          <w:kern w:val="0"/>
          <w:szCs w:val="21"/>
        </w:rPr>
        <w:t>配置电动升降台</w:t>
      </w:r>
    </w:p>
    <w:p>
      <w:pPr>
        <w:numPr>
          <w:ilvl w:val="0"/>
          <w:numId w:val="15"/>
        </w:numPr>
        <w:spacing w:line="500" w:lineRule="exact"/>
        <w:ind w:firstLine="420" w:firstLineChars="200"/>
        <w:rPr>
          <w:rFonts w:asciiTheme="minorEastAsia" w:hAnsiTheme="minorEastAsia" w:cstheme="minorEastAsia"/>
          <w:bCs/>
          <w:kern w:val="0"/>
          <w:szCs w:val="21"/>
        </w:rPr>
      </w:pPr>
      <w:r>
        <w:rPr>
          <w:rFonts w:hint="eastAsia" w:asciiTheme="minorEastAsia" w:hAnsiTheme="minorEastAsia" w:cstheme="minorEastAsia"/>
          <w:bCs/>
          <w:color w:val="000000"/>
          <w:szCs w:val="21"/>
        </w:rPr>
        <w:t>▲</w:t>
      </w:r>
      <w:r>
        <w:rPr>
          <w:rFonts w:hint="eastAsia" w:asciiTheme="minorEastAsia" w:hAnsiTheme="minorEastAsia" w:cstheme="minorEastAsia"/>
          <w:bCs/>
          <w:szCs w:val="21"/>
        </w:rPr>
        <w:t>提供</w:t>
      </w:r>
      <w:r>
        <w:rPr>
          <w:rFonts w:hint="eastAsia" w:asciiTheme="minorEastAsia" w:hAnsiTheme="minorEastAsia" w:cstheme="minorEastAsia"/>
          <w:bCs/>
          <w:color w:val="auto"/>
          <w:szCs w:val="21"/>
          <w:lang w:val="en-US" w:eastAsia="zh-CN"/>
        </w:rPr>
        <w:t>二类</w:t>
      </w:r>
      <w:r>
        <w:rPr>
          <w:rFonts w:hint="eastAsia" w:asciiTheme="minorEastAsia" w:hAnsiTheme="minorEastAsia" w:cstheme="minorEastAsia"/>
          <w:bCs/>
          <w:color w:val="auto"/>
          <w:szCs w:val="21"/>
        </w:rPr>
        <w:t>医疗器械注册证</w:t>
      </w:r>
      <w:r>
        <w:rPr>
          <w:rFonts w:hint="eastAsia" w:asciiTheme="minorEastAsia" w:hAnsiTheme="minorEastAsia" w:cstheme="minorEastAsia"/>
          <w:bCs/>
          <w:szCs w:val="21"/>
        </w:rPr>
        <w:t>和检验报告，所投产品须与注册产品一致。</w:t>
      </w:r>
    </w:p>
    <w:p>
      <w:pPr>
        <w:numPr>
          <w:ilvl w:val="0"/>
          <w:numId w:val="14"/>
        </w:numPr>
        <w:spacing w:line="50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液晶视力表</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屏幕尺寸：≥</w:t>
      </w:r>
      <w:r>
        <w:rPr>
          <w:rFonts w:asciiTheme="minorEastAsia" w:hAnsiTheme="minorEastAsia" w:cstheme="minorEastAsia"/>
          <w:bCs/>
          <w:color w:val="000000"/>
          <w:kern w:val="0"/>
          <w:szCs w:val="21"/>
        </w:rPr>
        <w:t>19英寸</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亮度：≥</w:t>
      </w:r>
      <w:r>
        <w:rPr>
          <w:rFonts w:asciiTheme="minorEastAsia" w:hAnsiTheme="minorEastAsia" w:cstheme="minorEastAsia"/>
          <w:bCs/>
          <w:color w:val="000000"/>
          <w:kern w:val="0"/>
          <w:szCs w:val="21"/>
        </w:rPr>
        <w:t>200cd/m</w:t>
      </w:r>
      <w:r>
        <w:rPr>
          <w:rFonts w:asciiTheme="minorEastAsia" w:hAnsiTheme="minorEastAsia" w:cstheme="minorEastAsia"/>
          <w:bCs/>
          <w:color w:val="000000"/>
          <w:kern w:val="0"/>
          <w:szCs w:val="21"/>
          <w:vertAlign w:val="superscript"/>
        </w:rPr>
        <w:t>2</w:t>
      </w:r>
      <w:r>
        <w:rPr>
          <w:rFonts w:hint="eastAsia" w:asciiTheme="minorEastAsia" w:hAnsiTheme="minorEastAsia" w:cstheme="minorEastAsia"/>
          <w:bCs/>
          <w:color w:val="000000"/>
          <w:kern w:val="0"/>
          <w:szCs w:val="21"/>
        </w:rPr>
        <w:t>，屏幕无反光</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工作距离：</w:t>
      </w:r>
      <w:r>
        <w:rPr>
          <w:rFonts w:asciiTheme="minorEastAsia" w:hAnsiTheme="minorEastAsia" w:cstheme="minorEastAsia"/>
          <w:bCs/>
          <w:color w:val="000000"/>
          <w:kern w:val="0"/>
          <w:szCs w:val="21"/>
        </w:rPr>
        <w:t>5.0m</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视标类型：</w:t>
      </w:r>
      <w:r>
        <w:rPr>
          <w:rFonts w:asciiTheme="minorEastAsia" w:hAnsiTheme="minorEastAsia" w:cstheme="minorEastAsia"/>
          <w:bCs/>
          <w:color w:val="000000"/>
          <w:kern w:val="0"/>
          <w:szCs w:val="21"/>
        </w:rPr>
        <w:t xml:space="preserve">E视标 </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视标等级：</w:t>
      </w:r>
      <w:r>
        <w:rPr>
          <w:rFonts w:asciiTheme="minorEastAsia" w:hAnsiTheme="minorEastAsia" w:cstheme="minorEastAsia"/>
          <w:bCs/>
          <w:color w:val="000000"/>
          <w:kern w:val="0"/>
          <w:szCs w:val="21"/>
        </w:rPr>
        <w:t>4.0-5.3</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光源：</w:t>
      </w:r>
      <w:r>
        <w:rPr>
          <w:rFonts w:asciiTheme="minorEastAsia" w:hAnsiTheme="minorEastAsia" w:cstheme="minorEastAsia"/>
          <w:bCs/>
          <w:color w:val="000000"/>
          <w:kern w:val="0"/>
          <w:szCs w:val="21"/>
        </w:rPr>
        <w:t>LED</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szCs w:val="21"/>
        </w:rPr>
        <w:t>▲</w:t>
      </w:r>
      <w:r>
        <w:rPr>
          <w:rFonts w:hint="eastAsia" w:asciiTheme="minorEastAsia" w:hAnsiTheme="minorEastAsia" w:cstheme="minorEastAsia"/>
          <w:bCs/>
          <w:kern w:val="0"/>
          <w:szCs w:val="21"/>
        </w:rPr>
        <w:t>数据传输：蓝牙、</w:t>
      </w:r>
      <w:r>
        <w:rPr>
          <w:rFonts w:asciiTheme="minorEastAsia" w:hAnsiTheme="minorEastAsia" w:cstheme="minorEastAsia"/>
          <w:bCs/>
          <w:kern w:val="0"/>
          <w:szCs w:val="21"/>
        </w:rPr>
        <w:t>WIF</w:t>
      </w:r>
      <w:r>
        <w:rPr>
          <w:rFonts w:hint="eastAsia" w:asciiTheme="minorEastAsia" w:hAnsiTheme="minorEastAsia" w:cstheme="minorEastAsia"/>
          <w:bCs/>
          <w:kern w:val="0"/>
          <w:szCs w:val="21"/>
        </w:rPr>
        <w:t>I</w:t>
      </w:r>
      <w:r>
        <w:rPr>
          <w:rFonts w:asciiTheme="minorEastAsia" w:hAnsiTheme="minorEastAsia" w:cstheme="minorEastAsia"/>
          <w:bCs/>
          <w:kern w:val="0"/>
          <w:szCs w:val="21"/>
        </w:rPr>
        <w:t>等</w:t>
      </w:r>
      <w:r>
        <w:rPr>
          <w:rFonts w:hint="eastAsia" w:asciiTheme="minorEastAsia" w:hAnsiTheme="minorEastAsia" w:cstheme="minorEastAsia"/>
          <w:bCs/>
          <w:kern w:val="0"/>
          <w:szCs w:val="21"/>
        </w:rPr>
        <w:t>无线传输，与软件系统适配</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符合标准：《</w:t>
      </w:r>
      <w:r>
        <w:rPr>
          <w:rFonts w:asciiTheme="minorEastAsia" w:hAnsiTheme="minorEastAsia" w:cstheme="minorEastAsia"/>
          <w:bCs/>
          <w:color w:val="000000"/>
          <w:kern w:val="0"/>
          <w:szCs w:val="21"/>
        </w:rPr>
        <w:t xml:space="preserve">GB11533-2011 </w:t>
      </w:r>
      <w:r>
        <w:rPr>
          <w:rFonts w:hint="eastAsia" w:asciiTheme="minorEastAsia" w:hAnsiTheme="minorEastAsia" w:cstheme="minorEastAsia"/>
          <w:bCs/>
          <w:color w:val="000000"/>
          <w:kern w:val="0"/>
          <w:szCs w:val="21"/>
        </w:rPr>
        <w:t>国标：标准对数视力表》</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结果判读：自动评判结果，数据同步上传</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支持裸眼视力、戴镜视力等检测模式</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其他配置要求：遮眼板（至少</w:t>
      </w:r>
      <w:r>
        <w:rPr>
          <w:rFonts w:asciiTheme="minorEastAsia" w:hAnsiTheme="minorEastAsia" w:cstheme="minorEastAsia"/>
          <w:bCs/>
          <w:color w:val="000000"/>
          <w:kern w:val="0"/>
          <w:szCs w:val="21"/>
        </w:rPr>
        <w:t>10个）</w:t>
      </w:r>
    </w:p>
    <w:p>
      <w:pPr>
        <w:numPr>
          <w:ilvl w:val="0"/>
          <w:numId w:val="16"/>
        </w:numPr>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szCs w:val="21"/>
        </w:rPr>
        <w:t>▲提供</w:t>
      </w:r>
      <w:r>
        <w:rPr>
          <w:rFonts w:hint="eastAsia" w:asciiTheme="minorEastAsia" w:hAnsiTheme="minorEastAsia" w:cstheme="minorEastAsia"/>
          <w:bCs/>
          <w:color w:val="auto"/>
          <w:szCs w:val="21"/>
          <w:lang w:val="en-US" w:eastAsia="zh-CN"/>
        </w:rPr>
        <w:t>二类</w:t>
      </w:r>
      <w:r>
        <w:rPr>
          <w:rFonts w:hint="eastAsia" w:asciiTheme="minorEastAsia" w:hAnsiTheme="minorEastAsia" w:cstheme="minorEastAsia"/>
          <w:bCs/>
          <w:color w:val="auto"/>
          <w:szCs w:val="21"/>
        </w:rPr>
        <w:t>医疗器械注册证</w:t>
      </w:r>
      <w:r>
        <w:rPr>
          <w:rFonts w:hint="eastAsia" w:asciiTheme="minorEastAsia" w:hAnsiTheme="minorEastAsia" w:cstheme="minorEastAsia"/>
          <w:bCs/>
          <w:szCs w:val="21"/>
        </w:rPr>
        <w:t>和检验报告，所投产品须与注册产品一致。</w:t>
      </w:r>
    </w:p>
    <w:p>
      <w:pPr>
        <w:pStyle w:val="9"/>
        <w:ind w:firstLine="0"/>
        <w:rPr>
          <w:rFonts w:asciiTheme="minorEastAsia" w:hAnsiTheme="minorEastAsia" w:cstheme="minorEastAsia"/>
          <w:bCs/>
          <w:szCs w:val="21"/>
        </w:rPr>
      </w:pPr>
    </w:p>
    <w:p>
      <w:pPr>
        <w:pStyle w:val="9"/>
        <w:numPr>
          <w:ilvl w:val="0"/>
          <w:numId w:val="14"/>
        </w:numPr>
        <w:ind w:firstLineChars="200"/>
        <w:rPr>
          <w:rFonts w:asciiTheme="minorEastAsia" w:hAnsiTheme="minorEastAsia" w:cstheme="minorEastAsia"/>
          <w:bCs/>
          <w:szCs w:val="21"/>
        </w:rPr>
      </w:pPr>
      <w:r>
        <w:rPr>
          <w:rFonts w:hint="eastAsia" w:asciiTheme="minorEastAsia" w:hAnsiTheme="minorEastAsia" w:cstheme="minorEastAsia"/>
          <w:bCs/>
          <w:szCs w:val="21"/>
        </w:rPr>
        <w:t>平板电脑/手机</w:t>
      </w:r>
    </w:p>
    <w:p>
      <w:pPr>
        <w:spacing w:line="5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1.</w:t>
      </w:r>
      <w:r>
        <w:rPr>
          <w:rFonts w:asciiTheme="minorEastAsia" w:hAnsiTheme="minorEastAsia" w:cstheme="minorEastAsia"/>
          <w:bCs/>
          <w:szCs w:val="21"/>
        </w:rPr>
        <w:t>屏幕</w:t>
      </w:r>
      <w:r>
        <w:rPr>
          <w:rFonts w:hint="eastAsia" w:asciiTheme="minorEastAsia" w:hAnsiTheme="minorEastAsia" w:cstheme="minorEastAsia"/>
          <w:bCs/>
          <w:szCs w:val="21"/>
        </w:rPr>
        <w:t>≥</w:t>
      </w:r>
      <w:r>
        <w:rPr>
          <w:rFonts w:asciiTheme="minorEastAsia" w:hAnsiTheme="minorEastAsia" w:cstheme="minorEastAsia"/>
          <w:bCs/>
          <w:szCs w:val="21"/>
        </w:rPr>
        <w:t>6.0</w:t>
      </w:r>
      <w:r>
        <w:rPr>
          <w:rFonts w:hint="eastAsia" w:asciiTheme="minorEastAsia" w:hAnsiTheme="minorEastAsia" w:cstheme="minorEastAsia"/>
          <w:bCs/>
          <w:szCs w:val="21"/>
        </w:rPr>
        <w:t>；</w:t>
      </w:r>
    </w:p>
    <w:p>
      <w:pPr>
        <w:spacing w:line="5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2.</w:t>
      </w:r>
      <w:r>
        <w:rPr>
          <w:rFonts w:asciiTheme="minorEastAsia" w:hAnsiTheme="minorEastAsia" w:cstheme="minorEastAsia"/>
          <w:bCs/>
          <w:szCs w:val="21"/>
        </w:rPr>
        <w:t>数据传输须适配</w:t>
      </w:r>
      <w:r>
        <w:rPr>
          <w:rFonts w:hint="eastAsia" w:asciiTheme="minorEastAsia" w:hAnsiTheme="minorEastAsia" w:cstheme="minorEastAsia"/>
          <w:bCs/>
          <w:szCs w:val="21"/>
        </w:rPr>
        <w:t>。</w:t>
      </w:r>
    </w:p>
    <w:p>
      <w:pPr>
        <w:tabs>
          <w:tab w:val="left" w:pos="312"/>
        </w:tabs>
        <w:spacing w:line="500" w:lineRule="exact"/>
        <w:ind w:firstLine="420" w:firstLineChars="200"/>
        <w:rPr>
          <w:rFonts w:asciiTheme="minorEastAsia" w:hAnsiTheme="minorEastAsia" w:cstheme="minorEastAsia"/>
          <w:bCs/>
          <w:color w:val="000000"/>
          <w:kern w:val="0"/>
          <w:szCs w:val="21"/>
        </w:rPr>
      </w:pPr>
      <w:r>
        <w:rPr>
          <w:rFonts w:hint="eastAsia" w:asciiTheme="minorEastAsia" w:hAnsiTheme="minorEastAsia" w:cstheme="minorEastAsia"/>
          <w:bCs/>
          <w:color w:val="000000"/>
          <w:kern w:val="0"/>
          <w:szCs w:val="21"/>
        </w:rPr>
        <w:t>3.▲智能手机要求：CPU核数：8核（性能不低于麒麟710、骁龙665、Helio G85）；内存：≥4G；存储器：≥64G。安装安卓系统，可利用APP或小程序等顺畅操控液晶视力表。</w:t>
      </w:r>
    </w:p>
    <w:p>
      <w:pPr>
        <w:pStyle w:val="9"/>
        <w:spacing w:line="500" w:lineRule="exact"/>
      </w:pPr>
      <w:r>
        <w:rPr>
          <w:rFonts w:hint="eastAsia" w:asciiTheme="minorEastAsia" w:hAnsiTheme="minorEastAsia" w:cstheme="minorEastAsia"/>
          <w:bCs/>
          <w:color w:val="000000"/>
          <w:kern w:val="0"/>
          <w:szCs w:val="21"/>
        </w:rPr>
        <w:t>4.▲平板电脑要求： CPU核数：8核（性能不低于麒麟710、骁龙665）；内存：≥3G；存储器：≥32G。安装安卓系统，可利用APP或小程序等顺畅操控液晶视力表。</w:t>
      </w:r>
    </w:p>
    <w:p>
      <w:pPr>
        <w:pStyle w:val="9"/>
        <w:spacing w:line="500" w:lineRule="exact"/>
        <w:rPr>
          <w:rFonts w:asciiTheme="minorEastAsia" w:hAnsiTheme="minorEastAsia" w:cstheme="minorEastAsia"/>
          <w:bCs/>
          <w:szCs w:val="21"/>
        </w:rPr>
      </w:pPr>
      <w:r>
        <w:rPr>
          <w:rFonts w:hint="eastAsia" w:asciiTheme="minorEastAsia" w:hAnsiTheme="minorEastAsia" w:cstheme="minorEastAsia"/>
          <w:bCs/>
          <w:szCs w:val="21"/>
        </w:rPr>
        <w:t>5.</w:t>
      </w:r>
      <w:r>
        <w:rPr>
          <w:rFonts w:hint="eastAsia"/>
        </w:rPr>
        <w:t>响应时，第3点和第4点两选一。</w:t>
      </w:r>
    </w:p>
    <w:p>
      <w:pPr>
        <w:pStyle w:val="9"/>
      </w:pPr>
    </w:p>
    <w:p>
      <w:pPr>
        <w:pStyle w:val="9"/>
        <w:numPr>
          <w:ilvl w:val="255"/>
          <w:numId w:val="0"/>
        </w:numPr>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（四）售后等其他要求</w:t>
      </w:r>
    </w:p>
    <w:p>
      <w:pPr>
        <w:spacing w:line="500" w:lineRule="exact"/>
        <w:ind w:firstLine="420"/>
      </w:pPr>
      <w:r>
        <w:t>1.</w:t>
      </w:r>
      <w:r>
        <w:rPr>
          <w:rFonts w:hint="eastAsia"/>
        </w:rPr>
        <w:t>在合同规定时间内完成送货、仪器设备安装调试，并按要求完成现场操作和维护培训，并保证操作者能够自行独立完成。</w:t>
      </w:r>
    </w:p>
    <w:p>
      <w:pPr>
        <w:spacing w:line="500" w:lineRule="exact"/>
        <w:ind w:firstLine="420"/>
      </w:pPr>
      <w:r>
        <w:t>2.</w:t>
      </w:r>
      <w:r>
        <w:rPr>
          <w:rFonts w:hint="eastAsia"/>
        </w:rPr>
        <w:t>所有硬件保修至少三年，保修期限从项目验收合格日期起计算；并需明确出保后维保方案，以报价百分比计算。</w:t>
      </w:r>
      <w:bookmarkStart w:id="35" w:name="_GoBack"/>
      <w:bookmarkEnd w:id="35"/>
    </w:p>
    <w:p>
      <w:pPr>
        <w:spacing w:line="500" w:lineRule="exact"/>
        <w:ind w:firstLine="420" w:firstLineChars="200"/>
      </w:pPr>
      <w:r>
        <w:t>3.</w:t>
      </w:r>
      <w:r>
        <w:rPr>
          <w:rFonts w:hint="eastAsia"/>
        </w:rPr>
        <w:t>提供主要配件的报价清单。</w:t>
      </w:r>
    </w:p>
    <w:p>
      <w:pPr>
        <w:spacing w:line="500" w:lineRule="exact"/>
        <w:ind w:firstLine="420" w:firstLineChars="200"/>
      </w:pPr>
      <w:r>
        <w:t>4.</w:t>
      </w:r>
      <w:r>
        <w:rPr>
          <w:rFonts w:hint="eastAsia"/>
        </w:rPr>
        <w:t>售后维修到达现场时间为</w:t>
      </w:r>
      <w:r>
        <w:t>24小时以内，无法及时修复的</w:t>
      </w:r>
      <w:r>
        <w:rPr>
          <w:rFonts w:hint="eastAsia"/>
        </w:rPr>
        <w:t>应</w:t>
      </w:r>
      <w:r>
        <w:t>于72小时内提供备用设备</w:t>
      </w:r>
      <w:r>
        <w:rPr>
          <w:rFonts w:hint="eastAsia"/>
        </w:rPr>
        <w:t>。</w:t>
      </w:r>
    </w:p>
    <w:p>
      <w:pPr>
        <w:spacing w:line="500" w:lineRule="exact"/>
        <w:ind w:firstLine="420" w:firstLineChars="200"/>
      </w:pPr>
      <w:r>
        <w:t>5.</w:t>
      </w:r>
      <w:r>
        <w:rPr>
          <w:rFonts w:hint="eastAsia"/>
        </w:rPr>
        <w:t>在质保期内每年至少对自动电脑验光仪、液晶视力表等设备进行</w:t>
      </w:r>
      <w:r>
        <w:t>2次</w:t>
      </w:r>
      <w:r>
        <w:rPr>
          <w:rFonts w:hint="eastAsia"/>
        </w:rPr>
        <w:t>免费维护校准</w:t>
      </w:r>
      <w:r>
        <w:t>（每次筛查前）</w:t>
      </w:r>
      <w:r>
        <w:rPr>
          <w:rFonts w:hint="eastAsia"/>
        </w:rPr>
        <w:t>。</w:t>
      </w:r>
    </w:p>
    <w:p>
      <w:pPr>
        <w:tabs>
          <w:tab w:val="left" w:pos="0"/>
        </w:tabs>
        <w:spacing w:line="500" w:lineRule="exact"/>
        <w:ind w:firstLine="420" w:firstLineChars="200"/>
        <w:rPr>
          <w:rFonts w:ascii="宋体" w:hAnsi="宋体"/>
          <w:szCs w:val="21"/>
        </w:rPr>
      </w:pPr>
      <w:r>
        <w:t>6.</w:t>
      </w:r>
      <w:r>
        <w:rPr>
          <w:rFonts w:hint="eastAsia" w:ascii="宋体" w:hAnsi="宋体"/>
          <w:szCs w:val="21"/>
        </w:rPr>
        <w:t>供应商在质保期内提供免费升级维护。</w:t>
      </w:r>
    </w:p>
    <w:p>
      <w:pPr>
        <w:tabs>
          <w:tab w:val="left" w:pos="312"/>
        </w:tabs>
        <w:spacing w:line="500" w:lineRule="exact"/>
        <w:rPr>
          <w:rFonts w:hint="eastAsia" w:eastAsia="宋体" w:asciiTheme="minorEastAsia" w:hAnsiTheme="minorEastAsia" w:cstheme="minorEastAsia"/>
          <w:bCs/>
          <w:color w:val="000000"/>
          <w:kern w:val="0"/>
          <w:szCs w:val="21"/>
          <w:lang w:eastAsia="zh-CN"/>
        </w:rPr>
      </w:pPr>
      <w:r>
        <w:rPr>
          <w:rFonts w:hint="eastAsia" w:asciiTheme="minorEastAsia" w:hAnsiTheme="minorEastAsia" w:cstheme="minorEastAsia"/>
          <w:bCs/>
          <w:color w:val="000000"/>
          <w:kern w:val="0"/>
          <w:szCs w:val="21"/>
        </w:rPr>
        <w:t xml:space="preserve">    ▲7.中标方应该与视力筛查管理系统（软件）中标单位精诚合作，</w:t>
      </w:r>
      <w:r>
        <w:rPr>
          <w:rFonts w:hint="eastAsia" w:asciiTheme="minorEastAsia" w:hAnsiTheme="minorEastAsia" w:cstheme="minorEastAsia"/>
          <w:bCs/>
          <w:color w:val="000000"/>
          <w:kern w:val="0"/>
          <w:szCs w:val="21"/>
          <w:lang w:val="en-US" w:eastAsia="zh-CN"/>
        </w:rPr>
        <w:t>完成软硬件对接，</w:t>
      </w:r>
      <w:r>
        <w:rPr>
          <w:rFonts w:hint="eastAsia" w:asciiTheme="minorEastAsia" w:hAnsiTheme="minorEastAsia" w:cstheme="minorEastAsia"/>
          <w:bCs/>
          <w:color w:val="000000"/>
          <w:kern w:val="0"/>
          <w:szCs w:val="21"/>
        </w:rPr>
        <w:t>确保本项目的顺利实施。</w:t>
      </w:r>
      <w:r>
        <w:rPr>
          <w:rFonts w:hint="eastAsia" w:asciiTheme="minorEastAsia" w:hAnsiTheme="minorEastAsia" w:cstheme="minorEastAsia"/>
          <w:bCs/>
          <w:color w:val="000000"/>
          <w:kern w:val="0"/>
          <w:szCs w:val="21"/>
          <w:lang w:eastAsia="zh-CN"/>
        </w:rPr>
        <w:t>（</w:t>
      </w:r>
      <w:r>
        <w:rPr>
          <w:rFonts w:hint="eastAsia" w:asciiTheme="minorEastAsia" w:hAnsiTheme="minorEastAsia" w:cstheme="minorEastAsia"/>
          <w:bCs/>
          <w:color w:val="000000"/>
          <w:kern w:val="0"/>
          <w:szCs w:val="21"/>
          <w:lang w:val="en-US" w:eastAsia="zh-CN"/>
        </w:rPr>
        <w:t>投标时需对本条事项明确承诺，同时不得收取对接费用。</w:t>
      </w:r>
      <w:r>
        <w:rPr>
          <w:rFonts w:hint="eastAsia" w:asciiTheme="minorEastAsia" w:hAnsiTheme="minorEastAsia" w:cstheme="minorEastAsia"/>
          <w:bCs/>
          <w:color w:val="000000"/>
          <w:kern w:val="0"/>
          <w:szCs w:val="21"/>
          <w:lang w:eastAsia="zh-CN"/>
        </w:rPr>
        <w:t>）</w:t>
      </w:r>
    </w:p>
    <w:p>
      <w:pPr>
        <w:pStyle w:val="9"/>
      </w:pPr>
    </w:p>
    <w:p>
      <w:pPr>
        <w:pStyle w:val="9"/>
        <w:numPr>
          <w:ilvl w:val="255"/>
          <w:numId w:val="0"/>
        </w:numPr>
        <w:rPr>
          <w:rFonts w:asciiTheme="minorEastAsia" w:hAnsiTheme="minorEastAsia" w:cstheme="minorEastAsia"/>
          <w:bCs/>
          <w:szCs w:val="21"/>
        </w:rPr>
      </w:pPr>
    </w:p>
    <w:p>
      <w:pPr>
        <w:ind w:firstLine="1054" w:firstLineChars="500"/>
        <w:jc w:val="left"/>
        <w:rPr>
          <w:b/>
        </w:rPr>
      </w:pPr>
    </w:p>
    <w:p>
      <w:pPr>
        <w:pStyle w:val="14"/>
        <w:snapToGrid w:val="0"/>
        <w:spacing w:line="360" w:lineRule="auto"/>
        <w:outlineLvl w:val="0"/>
        <w:rPr>
          <w:rFonts w:hAnsi="宋体"/>
          <w:b/>
          <w:sz w:val="28"/>
          <w:szCs w:val="28"/>
        </w:rPr>
      </w:pPr>
      <w:r>
        <w:rPr>
          <w:rFonts w:hAnsi="宋体"/>
          <w:b/>
          <w:sz w:val="28"/>
          <w:szCs w:val="28"/>
        </w:rPr>
        <w:t>三、</w:t>
      </w:r>
      <w:r>
        <w:rPr>
          <w:rFonts w:hint="eastAsia" w:hAnsi="宋体"/>
          <w:b/>
          <w:sz w:val="28"/>
          <w:szCs w:val="28"/>
        </w:rPr>
        <w:t>商务需求</w:t>
      </w:r>
    </w:p>
    <w:p>
      <w:pPr>
        <w:pStyle w:val="14"/>
        <w:snapToGrid w:val="0"/>
        <w:spacing w:line="360" w:lineRule="auto"/>
        <w:outlineLvl w:val="0"/>
        <w:rPr>
          <w:rFonts w:hint="eastAsia" w:hAnsi="宋体"/>
          <w:b/>
          <w:sz w:val="24"/>
        </w:rPr>
      </w:pPr>
      <w:r>
        <w:rPr>
          <w:rFonts w:hint="eastAsia" w:hAnsi="宋体"/>
          <w:b/>
          <w:sz w:val="24"/>
        </w:rPr>
        <w:t>1、质保期：</w:t>
      </w:r>
    </w:p>
    <w:p>
      <w:pPr>
        <w:pStyle w:val="14"/>
        <w:snapToGrid w:val="0"/>
        <w:spacing w:line="360" w:lineRule="auto"/>
        <w:outlineLvl w:val="0"/>
        <w:rPr>
          <w:rFonts w:hint="eastAsia" w:hAnsi="宋体"/>
          <w:b/>
          <w:sz w:val="24"/>
          <w:lang w:val="en-US" w:eastAsia="zh-CN"/>
        </w:rPr>
      </w:pPr>
      <w:r>
        <w:rPr>
          <w:rFonts w:hint="eastAsia" w:hAnsi="宋体"/>
          <w:b/>
          <w:sz w:val="24"/>
          <w:lang w:val="en-US" w:eastAsia="zh-CN"/>
        </w:rPr>
        <w:t>第一标段：</w:t>
      </w:r>
      <w:r>
        <w:rPr>
          <w:rFonts w:hint="eastAsia"/>
          <w:sz w:val="24"/>
          <w:szCs w:val="32"/>
          <w:lang w:val="en-US" w:eastAsia="zh-CN"/>
        </w:rPr>
        <w:t>质保</w:t>
      </w:r>
      <w:r>
        <w:rPr>
          <w:rFonts w:hint="eastAsia"/>
          <w:sz w:val="24"/>
          <w:szCs w:val="32"/>
        </w:rPr>
        <w:t>三年。</w:t>
      </w:r>
    </w:p>
    <w:p>
      <w:pPr>
        <w:pStyle w:val="14"/>
        <w:snapToGrid w:val="0"/>
        <w:spacing w:line="360" w:lineRule="auto"/>
        <w:outlineLvl w:val="0"/>
        <w:rPr>
          <w:rFonts w:asciiTheme="minorEastAsia" w:hAnsiTheme="minorEastAsia" w:eastAsiaTheme="minorEastAsia"/>
          <w:kern w:val="0"/>
          <w:sz w:val="24"/>
        </w:rPr>
      </w:pPr>
      <w:r>
        <w:rPr>
          <w:rFonts w:hint="eastAsia" w:hAnsi="宋体"/>
          <w:b/>
          <w:sz w:val="24"/>
          <w:lang w:val="en-US" w:eastAsia="zh-CN"/>
        </w:rPr>
        <w:t>第二标段：</w:t>
      </w:r>
      <w:r>
        <w:rPr>
          <w:rFonts w:hint="eastAsia"/>
          <w:sz w:val="24"/>
          <w:szCs w:val="32"/>
          <w:lang w:val="en-US" w:eastAsia="zh-CN"/>
        </w:rPr>
        <w:t>质保</w:t>
      </w:r>
      <w:r>
        <w:rPr>
          <w:rFonts w:hint="eastAsia"/>
          <w:sz w:val="24"/>
          <w:szCs w:val="32"/>
        </w:rPr>
        <w:t>三年。</w:t>
      </w:r>
    </w:p>
    <w:p>
      <w:pPr>
        <w:pStyle w:val="14"/>
        <w:snapToGrid w:val="0"/>
        <w:spacing w:line="360" w:lineRule="auto"/>
        <w:outlineLvl w:val="0"/>
        <w:rPr>
          <w:rFonts w:hAnsi="宋体"/>
          <w:sz w:val="24"/>
        </w:rPr>
      </w:pPr>
      <w:r>
        <w:rPr>
          <w:rFonts w:hint="eastAsia" w:hAnsi="宋体"/>
          <w:b/>
          <w:sz w:val="24"/>
        </w:rPr>
        <w:t>2、交货时间及地点：</w:t>
      </w:r>
      <w:r>
        <w:rPr>
          <w:rFonts w:hint="eastAsia" w:hAnsi="宋体"/>
          <w:sz w:val="24"/>
        </w:rPr>
        <w:t>同前面“招标项目一览表”内所填的相关内容。</w:t>
      </w:r>
    </w:p>
    <w:p>
      <w:pPr>
        <w:pStyle w:val="14"/>
        <w:snapToGrid w:val="0"/>
        <w:spacing w:line="360" w:lineRule="auto"/>
        <w:outlineLvl w:val="0"/>
        <w:rPr>
          <w:rFonts w:hint="eastAsia" w:hAnsi="宋体"/>
          <w:bCs/>
          <w:sz w:val="24"/>
        </w:rPr>
      </w:pPr>
      <w:r>
        <w:rPr>
          <w:rFonts w:hint="eastAsia" w:hAnsi="宋体"/>
          <w:b/>
          <w:sz w:val="24"/>
        </w:rPr>
        <w:t>3、付款条件</w:t>
      </w:r>
      <w:r>
        <w:rPr>
          <w:rFonts w:hint="eastAsia" w:hAnsi="宋体"/>
          <w:bCs/>
          <w:sz w:val="24"/>
        </w:rPr>
        <w:t>：</w:t>
      </w:r>
    </w:p>
    <w:p>
      <w:pPr>
        <w:pStyle w:val="14"/>
        <w:snapToGrid w:val="0"/>
        <w:spacing w:line="360" w:lineRule="auto"/>
        <w:outlineLvl w:val="0"/>
        <w:rPr>
          <w:rFonts w:hint="default" w:hAnsi="宋体"/>
          <w:bCs/>
          <w:sz w:val="24"/>
          <w:lang w:val="en-US" w:eastAsia="zh-CN"/>
        </w:rPr>
      </w:pPr>
      <w:r>
        <w:rPr>
          <w:rFonts w:hint="eastAsia" w:hAnsi="宋体"/>
          <w:bCs/>
          <w:sz w:val="24"/>
          <w:lang w:val="en-US" w:eastAsia="zh-CN"/>
        </w:rPr>
        <w:t>第一标段：合同签订后，完成初验支付合同金额的50%，后进入</w:t>
      </w:r>
      <w:r>
        <w:rPr>
          <w:rFonts w:hint="eastAsia" w:hAnsi="宋体"/>
          <w:bCs/>
          <w:sz w:val="24"/>
        </w:rPr>
        <w:t>试运行阶段，满三个月后进行终验，合格后支付剩余合同款项。</w:t>
      </w:r>
    </w:p>
    <w:p>
      <w:pPr>
        <w:pStyle w:val="14"/>
        <w:snapToGrid w:val="0"/>
        <w:spacing w:line="360" w:lineRule="auto"/>
        <w:outlineLvl w:val="0"/>
        <w:rPr>
          <w:rFonts w:hAnsi="宋体" w:cs="宋体"/>
          <w:sz w:val="24"/>
        </w:rPr>
      </w:pPr>
      <w:r>
        <w:rPr>
          <w:rFonts w:hint="eastAsia" w:hAnsi="宋体"/>
          <w:bCs/>
          <w:sz w:val="24"/>
          <w:lang w:val="en-US" w:eastAsia="zh-CN"/>
        </w:rPr>
        <w:t>第二标段：</w:t>
      </w:r>
      <w:r>
        <w:rPr>
          <w:rFonts w:hint="eastAsia" w:hAnsi="宋体"/>
          <w:bCs/>
          <w:sz w:val="24"/>
        </w:rPr>
        <w:t>合同签订后</w:t>
      </w:r>
      <w:r>
        <w:rPr>
          <w:rFonts w:hint="eastAsia" w:hAnsi="宋体"/>
          <w:bCs/>
          <w:sz w:val="24"/>
          <w:lang w:val="en-US" w:eastAsia="zh-CN"/>
        </w:rPr>
        <w:t>预</w:t>
      </w:r>
      <w:r>
        <w:rPr>
          <w:rFonts w:hint="eastAsia" w:hAnsi="宋体"/>
          <w:bCs/>
          <w:sz w:val="24"/>
        </w:rPr>
        <w:t>支付合同金额的30%，初验合格后支付合同金额的</w:t>
      </w:r>
      <w:r>
        <w:rPr>
          <w:rFonts w:hint="eastAsia" w:hAnsi="宋体"/>
          <w:bCs/>
          <w:sz w:val="24"/>
          <w:lang w:val="en-US" w:eastAsia="zh-CN"/>
        </w:rPr>
        <w:t>4</w:t>
      </w:r>
      <w:r>
        <w:rPr>
          <w:rFonts w:hint="eastAsia" w:hAnsi="宋体"/>
          <w:bCs/>
          <w:sz w:val="24"/>
        </w:rPr>
        <w:t>0%，后进入试运行阶段，满三个月后进行终验，合格后支付剩余合同款项。</w:t>
      </w:r>
    </w:p>
    <w:p>
      <w:pPr>
        <w:bidi w:val="0"/>
        <w:rPr>
          <w:rFonts w:hint="eastAsia"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lang w:val="en-US" w:eastAsia="zh-CN"/>
        </w:rPr>
        <w:t>4、合同签订要求：</w:t>
      </w:r>
    </w:p>
    <w:p>
      <w:pPr>
        <w:pStyle w:val="14"/>
        <w:snapToGrid w:val="0"/>
        <w:spacing w:line="360" w:lineRule="auto"/>
        <w:ind w:firstLine="480" w:firstLineChars="200"/>
        <w:outlineLvl w:val="0"/>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市级和中标供应商签订总合同，各县（市、区）签订分合同。</w:t>
      </w:r>
    </w:p>
    <w:p>
      <w:pPr>
        <w:pStyle w:val="14"/>
        <w:snapToGrid w:val="0"/>
        <w:spacing w:line="360" w:lineRule="auto"/>
        <w:outlineLvl w:val="0"/>
        <w:rPr>
          <w:rFonts w:hint="default"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5、本项目安装数量，如有出入按实结算。</w:t>
      </w:r>
    </w:p>
    <w:p>
      <w:pPr>
        <w:pStyle w:val="9"/>
        <w:rPr>
          <w:rFonts w:ascii="宋体" w:hAnsi="宋体" w:cs="宋体"/>
          <w:sz w:val="24"/>
          <w:szCs w:val="24"/>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四、相关说明</w:t>
      </w:r>
    </w:p>
    <w:p>
      <w:pPr>
        <w:autoSpaceDE w:val="0"/>
        <w:autoSpaceDN w:val="0"/>
        <w:adjustRightInd w:val="0"/>
        <w:snapToGrid w:val="0"/>
        <w:spacing w:line="360" w:lineRule="auto"/>
        <w:rPr>
          <w:rFonts w:hint="eastAsia" w:ascii="宋体" w:hAnsi="宋体"/>
          <w:color w:val="000000"/>
          <w:kern w:val="0"/>
          <w:sz w:val="24"/>
        </w:rPr>
      </w:pPr>
      <w:r>
        <w:rPr>
          <w:rFonts w:hint="eastAsia" w:ascii="宋体" w:hAnsi="宋体"/>
          <w:b/>
          <w:sz w:val="24"/>
        </w:rPr>
        <w:t>1、</w:t>
      </w:r>
      <w:r>
        <w:rPr>
          <w:rFonts w:hint="eastAsia" w:ascii="宋体" w:hAnsi="宋体"/>
          <w:b/>
          <w:kern w:val="0"/>
          <w:sz w:val="24"/>
        </w:rPr>
        <w:t>现场勘察：</w:t>
      </w:r>
      <w:r>
        <w:rPr>
          <w:rFonts w:hint="eastAsia" w:ascii="宋体" w:hAnsi="宋体"/>
          <w:color w:val="000000"/>
          <w:kern w:val="0"/>
          <w:sz w:val="24"/>
        </w:rPr>
        <w:t>无</w:t>
      </w:r>
    </w:p>
    <w:p>
      <w:pPr>
        <w:autoSpaceDE w:val="0"/>
        <w:autoSpaceDN w:val="0"/>
        <w:adjustRightInd w:val="0"/>
        <w:snapToGrid w:val="0"/>
        <w:spacing w:line="360" w:lineRule="auto"/>
        <w:rPr>
          <w:rFonts w:ascii="宋体" w:hAnsi="宋体" w:cs="Arial"/>
          <w:color w:val="000000"/>
          <w:sz w:val="24"/>
        </w:rPr>
      </w:pPr>
    </w:p>
    <w:p>
      <w:pPr>
        <w:pStyle w:val="9"/>
        <w:ind w:firstLine="0"/>
      </w:pPr>
    </w:p>
    <w:p>
      <w:pPr>
        <w:pStyle w:val="9"/>
        <w:rPr>
          <w:rFonts w:asciiTheme="minorEastAsia" w:hAnsiTheme="minorEastAsia" w:eastAsiaTheme="minorEastAsia"/>
          <w:sz w:val="24"/>
          <w:szCs w:val="24"/>
        </w:rPr>
      </w:pPr>
    </w:p>
    <w:p>
      <w:pPr>
        <w:pStyle w:val="22"/>
        <w:spacing w:line="360" w:lineRule="auto"/>
        <w:ind w:left="120" w:firstLine="480"/>
        <w:rPr>
          <w:rFonts w:asciiTheme="minorEastAsia" w:hAnsiTheme="minorEastAsia" w:eastAsiaTheme="minorEastAsia" w:cstheme="minorBidi"/>
          <w:kern w:val="0"/>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napToGrid w:val="0"/>
        <w:spacing w:before="156" w:beforeLines="50" w:after="156" w:afterLines="50"/>
        <w:jc w:val="center"/>
        <w:rPr>
          <w:rFonts w:ascii="宋体" w:hAnsi="宋体"/>
          <w:b/>
          <w:sz w:val="36"/>
          <w:szCs w:val="36"/>
        </w:rPr>
      </w:pPr>
      <w:r>
        <w:rPr>
          <w:rFonts w:hint="eastAsia" w:ascii="宋体" w:hAnsi="宋体"/>
          <w:b/>
          <w:sz w:val="36"/>
          <w:szCs w:val="36"/>
        </w:rPr>
        <w:t>货物类</w:t>
      </w:r>
    </w:p>
    <w:p>
      <w:pPr>
        <w:widowControl/>
        <w:shd w:val="clear" w:color="auto" w:fill="FFFFFF"/>
        <w:spacing w:after="150"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以下为成交后签定本项目合同的通用条款，成交供应商不得提出实质性的修改，关于专用条款将由采购人与成交供应商结合本项目具体情况协商后签订。</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4"/>
        <w:snapToGrid w:val="0"/>
        <w:spacing w:before="120" w:after="120" w:line="360" w:lineRule="auto"/>
        <w:rPr>
          <w:rFonts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pPr>
        <w:pStyle w:val="14"/>
        <w:snapToGrid w:val="0"/>
        <w:spacing w:before="120" w:after="120" w:line="360" w:lineRule="auto"/>
        <w:rPr>
          <w:rFonts w:hAnsi="宋体"/>
          <w:color w:val="000000"/>
          <w:sz w:val="24"/>
        </w:rPr>
      </w:pPr>
      <w:r>
        <w:rPr>
          <w:rFonts w:hAnsi="宋体"/>
          <w:color w:val="000000"/>
          <w:sz w:val="24"/>
        </w:rPr>
        <w:t>乙方：（</w:t>
      </w:r>
      <w:r>
        <w:rPr>
          <w:rFonts w:hint="eastAsia" w:hAnsi="宋体"/>
          <w:color w:val="000000"/>
          <w:sz w:val="24"/>
        </w:rPr>
        <w:t>中标供应商</w:t>
      </w:r>
      <w:r>
        <w:rPr>
          <w:rFonts w:hAnsi="宋体"/>
          <w:color w:val="000000"/>
          <w:sz w:val="24"/>
        </w:rPr>
        <w:t>）</w:t>
      </w:r>
      <w:r>
        <w:rPr>
          <w:rFonts w:hint="eastAsia" w:hAnsi="宋体"/>
          <w:color w:val="000000"/>
          <w:sz w:val="24"/>
        </w:rPr>
        <w:t xml:space="preserve">                          所在地：</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color w:val="FF00FF"/>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color w:val="FF00FF"/>
          <w:sz w:val="24"/>
        </w:rPr>
        <w:t>××</w:t>
      </w:r>
      <w:r>
        <w:rPr>
          <w:rFonts w:asciiTheme="minorEastAsia" w:hAnsiTheme="minorEastAsia" w:eastAsiaTheme="minorEastAsia"/>
          <w:sz w:val="24"/>
        </w:rPr>
        <w:t>单位</w:t>
      </w:r>
      <w:r>
        <w:rPr>
          <w:rFonts w:hint="eastAsia" w:cs="Arial" w:asciiTheme="minorEastAsia" w:hAnsiTheme="minorEastAsia" w:eastAsiaTheme="minorEastAsia"/>
          <w:color w:val="FF00FF"/>
          <w:sz w:val="24"/>
        </w:rPr>
        <w:t>××</w:t>
      </w:r>
      <w:r>
        <w:rPr>
          <w:rFonts w:asciiTheme="minorEastAsia" w:hAnsiTheme="minorEastAsia" w:eastAsiaTheme="minorEastAsia"/>
          <w:sz w:val="24"/>
        </w:rPr>
        <w:t>项目公开招标的结果，签署本合同。</w:t>
      </w:r>
    </w:p>
    <w:p>
      <w:pPr>
        <w:spacing w:line="360" w:lineRule="auto"/>
        <w:rPr>
          <w:rFonts w:ascii="宋体"/>
          <w:color w:val="000000"/>
          <w:sz w:val="24"/>
          <w:lang w:val="zh-CN"/>
        </w:rPr>
      </w:pPr>
      <w:r>
        <w:rPr>
          <w:rFonts w:hint="eastAsia" w:ascii="宋体"/>
          <w:color w:val="000000"/>
          <w:sz w:val="24"/>
          <w:lang w:val="zh-CN"/>
        </w:rPr>
        <w:t xml:space="preserve">一、合同文件： </w:t>
      </w:r>
    </w:p>
    <w:p>
      <w:pPr>
        <w:spacing w:line="360" w:lineRule="auto"/>
        <w:ind w:firstLine="480" w:firstLineChars="200"/>
        <w:rPr>
          <w:rFonts w:ascii="宋体"/>
          <w:color w:val="000000"/>
          <w:sz w:val="24"/>
          <w:lang w:val="zh-CN"/>
        </w:rPr>
      </w:pPr>
      <w:r>
        <w:rPr>
          <w:rFonts w:hint="eastAsia" w:ascii="宋体"/>
          <w:color w:val="000000"/>
          <w:sz w:val="24"/>
          <w:lang w:val="zh-CN"/>
        </w:rPr>
        <w:t>1.合同条款。</w:t>
      </w:r>
    </w:p>
    <w:p>
      <w:pPr>
        <w:spacing w:line="360" w:lineRule="auto"/>
        <w:ind w:firstLine="480" w:firstLineChars="200"/>
        <w:rPr>
          <w:rFonts w:ascii="宋体"/>
          <w:color w:val="000000"/>
          <w:sz w:val="24"/>
          <w:lang w:val="zh-CN"/>
        </w:rPr>
      </w:pPr>
      <w:r>
        <w:rPr>
          <w:rFonts w:hint="eastAsia" w:ascii="宋体"/>
          <w:color w:val="000000"/>
          <w:sz w:val="24"/>
          <w:lang w:val="zh-CN"/>
        </w:rPr>
        <w:t>2.中标通知书。</w:t>
      </w:r>
    </w:p>
    <w:p>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pPr>
        <w:spacing w:line="360" w:lineRule="auto"/>
        <w:ind w:firstLine="480" w:firstLineChars="200"/>
        <w:rPr>
          <w:rFonts w:ascii="宋体"/>
          <w:color w:val="000000"/>
          <w:sz w:val="24"/>
          <w:lang w:val="zh-CN"/>
        </w:rPr>
      </w:pPr>
      <w:r>
        <w:rPr>
          <w:rFonts w:hint="eastAsia" w:ascii="宋体"/>
          <w:color w:val="000000"/>
          <w:sz w:val="24"/>
          <w:lang w:val="zh-CN"/>
        </w:rPr>
        <w:t>4.招标文件。</w:t>
      </w:r>
    </w:p>
    <w:p>
      <w:pPr>
        <w:spacing w:line="360" w:lineRule="auto"/>
        <w:ind w:firstLine="480" w:firstLineChars="200"/>
        <w:rPr>
          <w:rFonts w:ascii="宋体"/>
          <w:color w:val="000000"/>
          <w:sz w:val="24"/>
          <w:lang w:val="zh-CN"/>
        </w:rPr>
      </w:pPr>
      <w:r>
        <w:rPr>
          <w:rFonts w:hint="eastAsia" w:ascii="宋体"/>
          <w:color w:val="000000"/>
          <w:sz w:val="24"/>
          <w:lang w:val="zh-CN"/>
        </w:rPr>
        <w:t>5.中标供应商投标文件。</w:t>
      </w:r>
    </w:p>
    <w:p>
      <w:pPr>
        <w:spacing w:line="360" w:lineRule="auto"/>
        <w:ind w:firstLine="480" w:firstLineChars="200"/>
        <w:rPr>
          <w:rFonts w:ascii="宋体"/>
          <w:color w:val="000000"/>
          <w:sz w:val="24"/>
          <w:lang w:val="zh-CN"/>
        </w:rPr>
      </w:pPr>
      <w:r>
        <w:rPr>
          <w:rFonts w:hint="eastAsia" w:ascii="宋体"/>
          <w:color w:val="000000"/>
          <w:sz w:val="24"/>
          <w:lang w:val="zh-CN"/>
        </w:rPr>
        <w:t>6.其他。</w:t>
      </w:r>
    </w:p>
    <w:p>
      <w:pPr>
        <w:pStyle w:val="14"/>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 货物名称：</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型号规格：</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技术参数：</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数量（单位）：</w:t>
      </w: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 xml:space="preserve"> 本合同金额为（大写）：____________________________________元（￥_______________元）人民币。</w:t>
      </w: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乙方应按招标文件规定的时间向甲方提供使用货物的有关技术资料。</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360" w:lineRule="auto"/>
        <w:ind w:left="412" w:hanging="412" w:hangingChars="171"/>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乙方应保证所提供的货物或其任何一部分均不会侵犯任何第三方的知识产权。</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2.若侵犯,由乙方赔偿甲方因此遭受的损失（包括但不限于应对及追偿过程中所支付的律师费、差旅费、诉讼费、保全费、鉴定费、评估费等）。</w:t>
      </w:r>
    </w:p>
    <w:p>
      <w:pPr>
        <w:pStyle w:val="14"/>
        <w:snapToGrid w:val="0"/>
        <w:spacing w:before="120" w:after="120" w:line="360" w:lineRule="auto"/>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4"/>
        <w:snapToGrid w:val="0"/>
        <w:spacing w:before="120" w:after="120" w:line="360" w:lineRule="auto"/>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4"/>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asciiTheme="minorEastAsia" w:hAnsiTheme="minorEastAsia" w:eastAsiaTheme="minorEastAsia" w:cstheme="minorBidi"/>
          <w:sz w:val="24"/>
        </w:rPr>
        <w:t>_</w:t>
      </w:r>
      <w:r>
        <w:rPr>
          <w:rFonts w:hint="eastAsia" w:asciiTheme="minorEastAsia" w:hAnsiTheme="minorEastAsia" w:eastAsiaTheme="minorEastAsia" w:cstheme="minorBidi"/>
          <w:sz w:val="24"/>
        </w:rPr>
        <w:t>5</w:t>
      </w:r>
      <w:r>
        <w:rPr>
          <w:rFonts w:asciiTheme="minorEastAsia" w:hAnsiTheme="minorEastAsia" w:eastAsiaTheme="minorEastAsia" w:cstheme="minorBidi"/>
          <w:sz w:val="24"/>
        </w:rPr>
        <w:t>_</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宋体" w:hAnsi="宋体"/>
          <w:sz w:val="24"/>
          <w:lang w:val="zh-CN"/>
        </w:rPr>
        <w:t>履约保证金交至采购人处，</w:t>
      </w:r>
      <w:r>
        <w:rPr>
          <w:rFonts w:hint="eastAsia" w:ascii="宋体" w:hAnsi="宋体"/>
          <w:sz w:val="24"/>
        </w:rPr>
        <w:t>在项目质保期满</w:t>
      </w:r>
      <w:r>
        <w:rPr>
          <w:rFonts w:hint="eastAsia"/>
          <w:sz w:val="24"/>
          <w:u w:val="single"/>
        </w:rPr>
        <w:t>且无违约扣除情况</w:t>
      </w:r>
      <w:r>
        <w:rPr>
          <w:rFonts w:hint="eastAsia" w:ascii="宋体" w:hAnsi="宋体"/>
          <w:sz w:val="24"/>
        </w:rPr>
        <w:t>后30</w:t>
      </w:r>
      <w:r>
        <w:rPr>
          <w:rFonts w:hint="eastAsia" w:ascii="宋体" w:hAnsi="宋体"/>
          <w:sz w:val="24"/>
          <w:lang w:val="zh-CN"/>
        </w:rPr>
        <w:t>个工作日内无息退还</w:t>
      </w:r>
      <w:r>
        <w:rPr>
          <w:rFonts w:hint="eastAsia" w:asciiTheme="minorEastAsia" w:hAnsiTheme="minorEastAsia" w:eastAsiaTheme="minorEastAsia" w:cstheme="minorBidi"/>
          <w:sz w:val="24"/>
          <w:lang w:val="zh-CN"/>
        </w:rPr>
        <w:t>]</w:t>
      </w:r>
    </w:p>
    <w:p>
      <w:pPr>
        <w:pStyle w:val="14"/>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质保期</w:t>
      </w:r>
      <w:r>
        <w:rPr>
          <w:rFonts w:hAnsi="宋体" w:cs="Times New Roman"/>
          <w:sz w:val="24"/>
        </w:rPr>
        <w:t>___</w:t>
      </w:r>
      <w:r>
        <w:rPr>
          <w:rFonts w:asciiTheme="minorEastAsia" w:hAnsiTheme="minorEastAsia" w:eastAsiaTheme="minorEastAsia"/>
          <w:sz w:val="24"/>
        </w:rPr>
        <w:t>年。（自交货验收合格之日起计）</w:t>
      </w: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4"/>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交货期：</w:t>
      </w:r>
    </w:p>
    <w:p>
      <w:pPr>
        <w:pStyle w:val="14"/>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2</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交货方式：</w:t>
      </w:r>
    </w:p>
    <w:p>
      <w:pPr>
        <w:pStyle w:val="14"/>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Cs/>
          <w:color w:val="000000"/>
          <w:sz w:val="24"/>
        </w:rPr>
        <w:t>3</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交货地点：</w:t>
      </w:r>
    </w:p>
    <w:p>
      <w:pPr>
        <w:pStyle w:val="14"/>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
          <w:color w:val="000000"/>
          <w:sz w:val="24"/>
        </w:rPr>
        <w:t>十</w:t>
      </w:r>
      <w:r>
        <w:rPr>
          <w:rFonts w:hint="eastAsia" w:asciiTheme="minorEastAsia" w:hAnsiTheme="minorEastAsia" w:eastAsiaTheme="minorEastAsia"/>
          <w:b/>
          <w:color w:val="000000"/>
          <w:sz w:val="24"/>
        </w:rPr>
        <w:t>一</w:t>
      </w:r>
      <w:r>
        <w:rPr>
          <w:rFonts w:asciiTheme="minorEastAsia" w:hAnsiTheme="minorEastAsia" w:eastAsiaTheme="minorEastAsia"/>
          <w:b/>
          <w:color w:val="000000"/>
          <w:sz w:val="24"/>
        </w:rPr>
        <w:t>、货款支付</w:t>
      </w:r>
    </w:p>
    <w:p>
      <w:pPr>
        <w:pStyle w:val="14"/>
        <w:snapToGrid w:val="0"/>
        <w:spacing w:before="120" w:after="120" w:line="360" w:lineRule="auto"/>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付款方式：</w:t>
      </w:r>
    </w:p>
    <w:p>
      <w:pPr>
        <w:pStyle w:val="14"/>
        <w:snapToGrid w:val="0"/>
        <w:spacing w:line="360" w:lineRule="auto"/>
        <w:rPr>
          <w:rFonts w:asciiTheme="minorEastAsia" w:hAnsiTheme="minorEastAsia" w:eastAsiaTheme="minorEastAsia"/>
          <w:bCs/>
          <w:sz w:val="24"/>
        </w:rPr>
      </w:pPr>
      <w:r>
        <w:rPr>
          <w:rFonts w:hint="eastAsia" w:hAnsi="Times New Roman"/>
          <w:sz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before="156" w:beforeLines="50" w:after="156" w:afterLines="50" w:line="360" w:lineRule="auto"/>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4"/>
        <w:snapToGrid w:val="0"/>
        <w:spacing w:before="120" w:after="120" w:line="360" w:lineRule="auto"/>
        <w:ind w:left="412" w:hanging="412" w:hangingChars="171"/>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乙方应按招标文件规定的货物性能、技术要求、质量标准向甲方提供未经使用的全新产品。</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4"/>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⑴更换：由乙方承担所发生的全部费用。</w:t>
      </w:r>
    </w:p>
    <w:p>
      <w:pPr>
        <w:pStyle w:val="14"/>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⑵贬值处理：由甲乙双方合议定价。</w:t>
      </w:r>
    </w:p>
    <w:p>
      <w:pPr>
        <w:pStyle w:val="14"/>
        <w:snapToGrid w:val="0"/>
        <w:spacing w:before="120" w:after="120" w:line="360" w:lineRule="auto"/>
        <w:ind w:left="420" w:leftChars="200"/>
        <w:rPr>
          <w:rFonts w:asciiTheme="minorEastAsia" w:hAnsiTheme="minorEastAsia" w:eastAsiaTheme="minorEastAsia"/>
          <w:sz w:val="24"/>
        </w:rPr>
      </w:pPr>
      <w:r>
        <w:rPr>
          <w:rFonts w:asciiTheme="minorEastAsia" w:hAnsiTheme="minorEastAsia" w:eastAsiaTheme="minorEastAsia"/>
          <w:sz w:val="24"/>
        </w:rPr>
        <w:t>⑶退货处理：乙方应退还甲方支付的合同款，同时应承担该货物的直接费用（运输、保险、检验、货款利息及银行手续费等）。</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如在使用过程中发生质量问题，乙方在接到甲方通知后</w:t>
      </w:r>
      <w:r>
        <w:rPr>
          <w:rFonts w:asciiTheme="minorEastAsia" w:hAnsiTheme="minorEastAsia" w:eastAsiaTheme="minorEastAsia"/>
          <w:color w:val="000000"/>
          <w:sz w:val="24"/>
        </w:rPr>
        <w:t>在</w:t>
      </w: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小时</w:t>
      </w:r>
      <w:r>
        <w:rPr>
          <w:rFonts w:asciiTheme="minorEastAsia" w:hAnsiTheme="minorEastAsia" w:eastAsiaTheme="minorEastAsia"/>
          <w:sz w:val="24"/>
        </w:rPr>
        <w:t>内到达甲方</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现场。</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在质保期内，乙方应对货物出现的质量及安全问题负责处理解决并承担一切</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费用。</w:t>
      </w:r>
    </w:p>
    <w:p>
      <w:pPr>
        <w:pStyle w:val="14"/>
        <w:snapToGrid w:val="0"/>
        <w:spacing w:before="120" w:after="120" w:line="360" w:lineRule="auto"/>
        <w:rPr>
          <w:rFonts w:asciiTheme="minorEastAsia" w:hAnsiTheme="minorEastAsia" w:eastAsiaTheme="minorEastAsia"/>
          <w:color w:val="000000"/>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color w:val="000000"/>
          <w:sz w:val="24"/>
        </w:rPr>
        <w:t>上述的</w:t>
      </w:r>
      <w:r>
        <w:rPr>
          <w:rFonts w:asciiTheme="minorEastAsia" w:hAnsiTheme="minorEastAsia" w:eastAsiaTheme="minorEastAsia"/>
          <w:sz w:val="24"/>
        </w:rPr>
        <w:t>货物</w:t>
      </w:r>
      <w:r>
        <w:rPr>
          <w:rFonts w:asciiTheme="minorEastAsia" w:hAnsiTheme="minorEastAsia" w:eastAsiaTheme="minorEastAsia"/>
          <w:color w:val="000000"/>
          <w:sz w:val="24"/>
        </w:rPr>
        <w:t>免费保修期为年，因人为因素出现的故障不在免费保修范围</w:t>
      </w:r>
    </w:p>
    <w:p>
      <w:pPr>
        <w:pStyle w:val="14"/>
        <w:snapToGrid w:val="0"/>
        <w:spacing w:before="120" w:after="120" w:line="360" w:lineRule="auto"/>
        <w:ind w:firstLine="240" w:firstLineChars="100"/>
        <w:rPr>
          <w:rFonts w:asciiTheme="minorEastAsia" w:hAnsiTheme="minorEastAsia" w:eastAsiaTheme="minorEastAsia"/>
          <w:color w:val="000000"/>
          <w:sz w:val="24"/>
        </w:rPr>
      </w:pPr>
      <w:r>
        <w:rPr>
          <w:rFonts w:asciiTheme="minorEastAsia" w:hAnsiTheme="minorEastAsia" w:eastAsiaTheme="minorEastAsia"/>
          <w:color w:val="000000"/>
          <w:sz w:val="24"/>
        </w:rPr>
        <w:t>内。超过保修期的机器设备，终生维修，维修时只收部件成本费。</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4"/>
        <w:snapToGrid w:val="0"/>
        <w:spacing w:before="120" w:after="120"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甲方对乙方提交的货物依据招标文件上的技术规格要求和国家有关质量标准</w:t>
      </w:r>
    </w:p>
    <w:p>
      <w:pPr>
        <w:pStyle w:val="14"/>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进行现场初步验收，外观、说明书符合招标文件技术要求的，给予签收，初</w:t>
      </w:r>
    </w:p>
    <w:p>
      <w:pPr>
        <w:pStyle w:val="14"/>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步验收不合格的不予签收。货到后，甲方需在</w:t>
      </w:r>
      <w:r>
        <w:rPr>
          <w:rFonts w:hint="eastAsia" w:asciiTheme="minorEastAsia" w:hAnsiTheme="minorEastAsia" w:eastAsiaTheme="minorEastAsia"/>
          <w:color w:val="FF66CC"/>
          <w:sz w:val="24"/>
          <w:u w:val="single"/>
        </w:rPr>
        <w:t>五</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乙方交货前应对产品作出全面检查和对验收文件进行整理，并列出清单，作</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为甲方收货验收和使用的技术条件依据，检验的结果应随货物交甲方。</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甲方对乙方提供的货物在使用前进行调试时，乙方需负责安装并培训甲方的</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使用操作人员，并协助甲方一起调试，直到符合技术要求，甲方才做最终验</w:t>
      </w:r>
    </w:p>
    <w:p>
      <w:pPr>
        <w:pStyle w:val="14"/>
        <w:snapToGrid w:val="0"/>
        <w:spacing w:before="120" w:after="120" w:line="360" w:lineRule="auto"/>
        <w:ind w:firstLine="360" w:firstLineChars="150"/>
        <w:rPr>
          <w:rFonts w:asciiTheme="minorEastAsia" w:hAnsiTheme="minorEastAsia" w:eastAsiaTheme="minorEastAsia"/>
          <w:sz w:val="24"/>
          <w:u w:val="single"/>
        </w:rPr>
      </w:pPr>
      <w:r>
        <w:rPr>
          <w:rFonts w:asciiTheme="minorEastAsia" w:hAnsiTheme="minorEastAsia" w:eastAsiaTheme="minorEastAsia"/>
          <w:sz w:val="24"/>
        </w:rPr>
        <w:t>收。</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w:t>
      </w:r>
      <w:r>
        <w:rPr>
          <w:rFonts w:asciiTheme="minorEastAsia" w:hAnsiTheme="minorEastAsia" w:eastAsiaTheme="minorEastAsia"/>
          <w:sz w:val="24"/>
        </w:rPr>
        <w:t>对技术复杂的货物，甲方应请国家认可的专业检测机构参与初步验收及最终</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验收，并由其出具质量检测报告。</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责。</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乙方应在货物发运前对其进行满足运输距离、防潮、防震、防锈和防破损装卸等要求包装，以保证货物安全运达甲方指定地点。</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使用说明书、质量检验证明书、随配附件和工具以及清单一并附于货物内。</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乙方在货物发运手续办理完毕后24小时内或货到甲方48小时前通知甲方，以准备接货。</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货物在交付甲方前发生的风险均由乙方负责。</w:t>
      </w:r>
    </w:p>
    <w:p>
      <w:pPr>
        <w:pStyle w:val="14"/>
        <w:snapToGrid w:val="0"/>
        <w:spacing w:line="360" w:lineRule="auto"/>
        <w:ind w:left="480" w:right="26" w:hanging="480" w:hanging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 xml:space="preserve"> 货物在规定的交付期限内由乙方送达甲方指定的地点视为交付，乙方同时需</w:t>
      </w:r>
    </w:p>
    <w:p>
      <w:pPr>
        <w:pStyle w:val="14"/>
        <w:snapToGrid w:val="0"/>
        <w:spacing w:line="360" w:lineRule="auto"/>
        <w:ind w:left="479" w:leftChars="171" w:right="26" w:hanging="120" w:hangingChars="50"/>
        <w:rPr>
          <w:rFonts w:asciiTheme="minorEastAsia" w:hAnsiTheme="minorEastAsia" w:eastAsiaTheme="minorEastAsia"/>
          <w:sz w:val="24"/>
        </w:rPr>
      </w:pPr>
      <w:r>
        <w:rPr>
          <w:rFonts w:asciiTheme="minorEastAsia" w:hAnsiTheme="minorEastAsia" w:eastAsiaTheme="minorEastAsia"/>
          <w:sz w:val="24"/>
        </w:rPr>
        <w:t>通知甲方货物已送达。</w:t>
      </w:r>
    </w:p>
    <w:p>
      <w:pPr>
        <w:pStyle w:val="14"/>
        <w:snapToGrid w:val="0"/>
        <w:spacing w:line="360" w:lineRule="auto"/>
        <w:ind w:right="26"/>
        <w:rPr>
          <w:rFonts w:asciiTheme="minorEastAsia" w:hAnsiTheme="minorEastAsia" w:eastAsiaTheme="minorEastAsia"/>
          <w:sz w:val="24"/>
        </w:rPr>
      </w:pPr>
      <w:r>
        <w:rPr>
          <w:rFonts w:hint="eastAsia" w:asciiTheme="minorEastAsia" w:hAnsiTheme="minorEastAsia" w:eastAsiaTheme="minorEastAsia"/>
          <w:sz w:val="24"/>
        </w:rPr>
        <w:t>6.乙方运送的货物涉及商品包装和快递包装的，参考《商品包装政府采购需求标准（试行）》、《快递包装政府采购需求标准（试行）》(财办库〔2020〕123号)</w:t>
      </w:r>
    </w:p>
    <w:p>
      <w:pPr>
        <w:pStyle w:val="14"/>
        <w:snapToGrid w:val="0"/>
        <w:spacing w:line="360" w:lineRule="auto"/>
        <w:ind w:left="479" w:leftChars="171" w:right="26" w:hanging="120" w:hangingChars="50"/>
        <w:rPr>
          <w:rFonts w:asciiTheme="minorEastAsia" w:hAnsiTheme="minorEastAsia" w:eastAsiaTheme="minorEastAsia"/>
          <w:sz w:val="24"/>
        </w:rPr>
      </w:pP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甲方无正当理由拒收货物的，甲方向乙方偿付拒收货款总值的</w:t>
      </w:r>
      <w:r>
        <w:rPr>
          <w:rFonts w:asciiTheme="minorEastAsia" w:hAnsiTheme="minorEastAsia" w:eastAsiaTheme="minorEastAsia"/>
          <w:color w:val="FF66CC"/>
          <w:sz w:val="24"/>
          <w:u w:val="single"/>
        </w:rPr>
        <w:t>百分之五</w:t>
      </w:r>
      <w:r>
        <w:rPr>
          <w:rFonts w:asciiTheme="minorEastAsia" w:hAnsiTheme="minorEastAsia" w:eastAsiaTheme="minorEastAsia"/>
          <w:sz w:val="24"/>
        </w:rPr>
        <w:t>违约金。</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甲方无故逾期验收和办理货款支付手续的,甲方应按逾期付款总额每日</w:t>
      </w:r>
      <w:r>
        <w:rPr>
          <w:rFonts w:asciiTheme="minorEastAsia" w:hAnsiTheme="minorEastAsia" w:eastAsiaTheme="minorEastAsia"/>
          <w:color w:val="FF66CC"/>
          <w:sz w:val="24"/>
          <w:u w:val="single"/>
        </w:rPr>
        <w:t>万分之五</w:t>
      </w:r>
      <w:r>
        <w:rPr>
          <w:rFonts w:asciiTheme="minorEastAsia" w:hAnsiTheme="minorEastAsia" w:eastAsiaTheme="minorEastAsia"/>
          <w:sz w:val="24"/>
        </w:rPr>
        <w:t>向乙方支付违约金。</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乙方逾期交付货物的，乙方应按逾期交货总额每日</w:t>
      </w:r>
      <w:r>
        <w:rPr>
          <w:rFonts w:asciiTheme="minorEastAsia" w:hAnsiTheme="minorEastAsia" w:eastAsiaTheme="minorEastAsia"/>
          <w:color w:val="FF66CC"/>
          <w:sz w:val="24"/>
          <w:u w:val="single"/>
        </w:rPr>
        <w:t>千分之六</w:t>
      </w:r>
      <w:r>
        <w:rPr>
          <w:rFonts w:asciiTheme="minorEastAsia" w:hAnsiTheme="minorEastAsia" w:eastAsiaTheme="minorEastAsia"/>
          <w:sz w:val="24"/>
        </w:rPr>
        <w:t>向甲方支付违约金，由甲方从待付货款中扣除。逾期超过约定日期</w:t>
      </w:r>
      <w:r>
        <w:rPr>
          <w:rFonts w:asciiTheme="minorEastAsia" w:hAnsiTheme="minorEastAsia" w:eastAsiaTheme="minorEastAsia"/>
          <w:color w:val="FF66CC"/>
          <w:sz w:val="24"/>
          <w:u w:val="single"/>
        </w:rPr>
        <w:t>10</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FF66CC"/>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before="120" w:after="120" w:line="360" w:lineRule="auto"/>
        <w:ind w:left="410" w:hanging="410" w:hangingChars="171"/>
        <w:rPr>
          <w:rFonts w:asciiTheme="minorEastAsia" w:hAnsiTheme="minorEastAsia" w:eastAsiaTheme="minorEastAsia"/>
          <w:sz w:val="24"/>
        </w:rPr>
      </w:pPr>
      <w:r>
        <w:rPr>
          <w:rFonts w:hint="eastAsia" w:asciiTheme="minorEastAsia" w:hAnsiTheme="minorEastAsia" w:eastAsiaTheme="minorEastAsia"/>
          <w:sz w:val="24"/>
        </w:rPr>
        <w:t>5.若发生纠纷，由违约方赔偿守约方因纠纷所支付的费用（包括但不限于律师费、差旅费、诉讼费、保全费、鉴定费、评估费等）</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在合同有效期内，任何一方因不可抗力事件导致不能履行合同，则合同履行</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期可延长，其延长期与不可抗力影响期相同。</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不可抗力事件发生后，应立即通知对方，并寄送有关权威机构出具的证明。</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不可抗力事件延续120天以上，双方应通过友好协商，确定是否继续履行合</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同。</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widowControl/>
        <w:spacing w:line="360" w:lineRule="auto"/>
        <w:jc w:val="left"/>
        <w:rPr>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如双方在履行合同时发生纠纷，应协商解决；协商不成时，可提请政府采购管理部门调解；调解不成的通过以下方式解决（两种解决方式只能择其一）：</w:t>
      </w:r>
      <w:r>
        <w:rPr>
          <w:rFonts w:ascii="宋体" w:hAnsi="宋体" w:cs="宋体"/>
          <w:kern w:val="0"/>
          <w:sz w:val="24"/>
        </w:rPr>
        <w:br w:type="textWrapping"/>
      </w:r>
      <w:r>
        <w:rPr>
          <w:rFonts w:ascii="宋体" w:hAnsi="宋体" w:cs="宋体"/>
          <w:kern w:val="0"/>
          <w:sz w:val="24"/>
        </w:rPr>
        <w:t>（1） 提交</w:t>
      </w:r>
      <w:r>
        <w:rPr>
          <w:rFonts w:hAnsi="宋体"/>
          <w:color w:val="FF66CC"/>
          <w:sz w:val="24"/>
          <w:u w:val="single"/>
        </w:rPr>
        <w:t>台州</w:t>
      </w:r>
      <w:r>
        <w:rPr>
          <w:rFonts w:ascii="宋体" w:hAnsi="宋体" w:cs="宋体"/>
          <w:kern w:val="0"/>
          <w:sz w:val="24"/>
        </w:rPr>
        <w:t>仲裁委员会仲裁。</w:t>
      </w:r>
      <w:r>
        <w:rPr>
          <w:rFonts w:ascii="宋体" w:hAnsi="宋体" w:cs="宋体"/>
          <w:kern w:val="0"/>
          <w:sz w:val="24"/>
        </w:rPr>
        <w:br w:type="textWrapping"/>
      </w:r>
      <w:r>
        <w:rPr>
          <w:rFonts w:ascii="宋体" w:hAnsi="宋体" w:cs="宋体"/>
          <w:kern w:val="0"/>
          <w:sz w:val="24"/>
        </w:rPr>
        <w:t xml:space="preserve">（2） 依法向人民法院提起诉讼。 </w:t>
      </w:r>
    </w:p>
    <w:p>
      <w:pPr>
        <w:pStyle w:val="14"/>
        <w:tabs>
          <w:tab w:val="left" w:pos="5790"/>
        </w:tabs>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2"/>
        <w:widowControl/>
        <w:spacing w:line="360" w:lineRule="auto"/>
        <w:ind w:right="-88"/>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 xml:space="preserve"> 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2"/>
        <w:widowControl/>
        <w:spacing w:line="360" w:lineRule="auto"/>
        <w:ind w:right="-88"/>
        <w:rPr>
          <w:rFonts w:asciiTheme="minorEastAsia" w:hAnsiTheme="minorEastAsia" w:eastAsiaTheme="minorEastAsia"/>
        </w:rPr>
      </w:pPr>
      <w:r>
        <w:rPr>
          <w:rFonts w:hint="eastAsia" w:asciiTheme="minorEastAsia" w:hAnsiTheme="minorEastAsia" w:eastAsiaTheme="minorEastAsia"/>
        </w:rPr>
        <w:t xml:space="preserve">2. </w:t>
      </w:r>
      <w:r>
        <w:rPr>
          <w:rFonts w:asciiTheme="minorEastAsia" w:hAnsiTheme="minorEastAsia" w:eastAsiaTheme="minorEastAsia"/>
        </w:rPr>
        <w:t>本合同未尽事宜，遵照《合同法》有关条文执行。</w:t>
      </w:r>
    </w:p>
    <w:p>
      <w:pPr>
        <w:pStyle w:val="12"/>
        <w:widowControl/>
        <w:spacing w:line="360" w:lineRule="auto"/>
        <w:ind w:right="-88"/>
        <w:rPr>
          <w:rFonts w:asciiTheme="minorEastAsia" w:hAnsiTheme="minorEastAsia" w:eastAsiaTheme="minorEastAsia"/>
        </w:rPr>
      </w:pPr>
      <w:r>
        <w:rPr>
          <w:rFonts w:hint="eastAsia" w:asciiTheme="minorEastAsia" w:hAnsiTheme="minorEastAsia" w:eastAsiaTheme="minorEastAsia"/>
        </w:rPr>
        <w:t>3. 本合同一式四份。甲、乙双方各执一份，</w:t>
      </w:r>
      <w:r>
        <w:rPr>
          <w:rFonts w:hint="eastAsia" w:ascii="宋体" w:hAnsi="宋体"/>
        </w:rPr>
        <w:t>采购组织机构及同级人民政府财政部门各执一份</w:t>
      </w:r>
      <w:r>
        <w:rPr>
          <w:rFonts w:hint="eastAsia" w:asciiTheme="minorEastAsia" w:hAnsiTheme="minorEastAsia" w:eastAsiaTheme="minorEastAsia"/>
        </w:rPr>
        <w:t>。本项目未尽事宜以招标文件、投标文件及澄清文件等为准。</w:t>
      </w: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甲方（公章）                                     乙方（公章）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帐号：                                           帐号：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ind w:firstLine="4920" w:firstLineChars="2050"/>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rPr>
          <w:rFonts w:asciiTheme="minorEastAsia" w:hAnsiTheme="minorEastAsia" w:eastAsiaTheme="minorEastAsia"/>
          <w:color w:val="FF0000"/>
          <w:sz w:val="24"/>
        </w:rPr>
      </w:pP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jc w:val="left"/>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snapToGrid w:val="0"/>
        <w:spacing w:before="156" w:beforeLines="50" w:after="156" w:afterLines="50"/>
        <w:jc w:val="center"/>
        <w:rPr>
          <w:rFonts w:ascii="宋体" w:hAnsi="宋体"/>
          <w:b/>
          <w:sz w:val="36"/>
          <w:szCs w:val="36"/>
        </w:rPr>
      </w:pPr>
      <w:r>
        <w:rPr>
          <w:rFonts w:hint="eastAsia" w:ascii="宋体" w:hAnsi="宋体"/>
          <w:b/>
          <w:sz w:val="36"/>
          <w:szCs w:val="36"/>
        </w:rPr>
        <w:t>服务类</w:t>
      </w:r>
    </w:p>
    <w:p>
      <w:pPr>
        <w:widowControl/>
        <w:shd w:val="clear" w:color="auto" w:fill="FFFFFF"/>
        <w:spacing w:after="150"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以下为成交后签定本项目合同的通用条款，成交供应商不得提出实质性的修改，关于专用条款将由采购人与成交供应商结合本项目具体情况协商后签订。</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4"/>
        <w:snapToGrid w:val="0"/>
        <w:spacing w:before="120" w:after="120" w:line="360" w:lineRule="auto"/>
        <w:rPr>
          <w:rFonts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pPr>
        <w:pStyle w:val="14"/>
        <w:snapToGrid w:val="0"/>
        <w:spacing w:before="120" w:after="120" w:line="360" w:lineRule="auto"/>
        <w:rPr>
          <w:rFonts w:hAnsi="宋体"/>
          <w:color w:val="000000"/>
          <w:sz w:val="24"/>
        </w:rPr>
      </w:pPr>
      <w:r>
        <w:rPr>
          <w:rFonts w:hAnsi="宋体"/>
          <w:color w:val="000000"/>
          <w:sz w:val="24"/>
        </w:rPr>
        <w:t>乙方：（</w:t>
      </w:r>
      <w:r>
        <w:rPr>
          <w:rFonts w:hint="eastAsia" w:hAnsi="宋体"/>
          <w:color w:val="000000"/>
          <w:sz w:val="24"/>
        </w:rPr>
        <w:t>中标供应商</w:t>
      </w:r>
      <w:r>
        <w:rPr>
          <w:rFonts w:hAnsi="宋体"/>
          <w:color w:val="000000"/>
          <w:sz w:val="24"/>
        </w:rPr>
        <w:t>）</w:t>
      </w:r>
      <w:r>
        <w:rPr>
          <w:rFonts w:hint="eastAsia" w:hAnsi="宋体"/>
          <w:color w:val="000000"/>
          <w:sz w:val="24"/>
        </w:rPr>
        <w:t xml:space="preserve">                          所在地：</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color w:val="FF00FF"/>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color w:val="FF00FF"/>
          <w:sz w:val="24"/>
        </w:rPr>
        <w:t>××</w:t>
      </w:r>
      <w:r>
        <w:rPr>
          <w:rFonts w:asciiTheme="minorEastAsia" w:hAnsiTheme="minorEastAsia" w:eastAsiaTheme="minorEastAsia"/>
          <w:sz w:val="24"/>
        </w:rPr>
        <w:t>单位</w:t>
      </w:r>
      <w:r>
        <w:rPr>
          <w:rFonts w:hint="eastAsia" w:cs="Arial" w:asciiTheme="minorEastAsia" w:hAnsiTheme="minorEastAsia" w:eastAsiaTheme="minorEastAsia"/>
          <w:color w:val="FF00FF"/>
          <w:sz w:val="24"/>
        </w:rPr>
        <w:t>××</w:t>
      </w:r>
      <w:r>
        <w:rPr>
          <w:rFonts w:asciiTheme="minorEastAsia" w:hAnsiTheme="minorEastAsia" w:eastAsiaTheme="minorEastAsia"/>
          <w:sz w:val="24"/>
        </w:rPr>
        <w:t>项目公开招标的结果，签署本合同。</w:t>
      </w:r>
    </w:p>
    <w:p>
      <w:pPr>
        <w:spacing w:line="360" w:lineRule="auto"/>
        <w:rPr>
          <w:rFonts w:ascii="宋体"/>
          <w:color w:val="000000"/>
          <w:sz w:val="24"/>
          <w:lang w:val="zh-CN"/>
        </w:rPr>
      </w:pPr>
      <w:r>
        <w:rPr>
          <w:rFonts w:hint="eastAsia" w:ascii="宋体"/>
          <w:color w:val="000000"/>
          <w:sz w:val="24"/>
          <w:lang w:val="zh-CN"/>
        </w:rPr>
        <w:t xml:space="preserve">一、合同文件： </w:t>
      </w:r>
    </w:p>
    <w:p>
      <w:pPr>
        <w:spacing w:line="360" w:lineRule="auto"/>
        <w:ind w:firstLine="480" w:firstLineChars="200"/>
        <w:rPr>
          <w:rFonts w:ascii="宋体"/>
          <w:color w:val="000000"/>
          <w:sz w:val="24"/>
          <w:lang w:val="zh-CN"/>
        </w:rPr>
      </w:pPr>
      <w:r>
        <w:rPr>
          <w:rFonts w:hint="eastAsia" w:ascii="宋体"/>
          <w:color w:val="000000"/>
          <w:sz w:val="24"/>
          <w:lang w:val="zh-CN"/>
        </w:rPr>
        <w:t>1.合同条款。</w:t>
      </w:r>
    </w:p>
    <w:p>
      <w:pPr>
        <w:spacing w:line="360" w:lineRule="auto"/>
        <w:ind w:firstLine="480" w:firstLineChars="200"/>
        <w:rPr>
          <w:rFonts w:ascii="宋体"/>
          <w:color w:val="000000"/>
          <w:sz w:val="24"/>
          <w:lang w:val="zh-CN"/>
        </w:rPr>
      </w:pPr>
      <w:r>
        <w:rPr>
          <w:rFonts w:hint="eastAsia" w:ascii="宋体"/>
          <w:color w:val="000000"/>
          <w:sz w:val="24"/>
          <w:lang w:val="zh-CN"/>
        </w:rPr>
        <w:t>2.中标通知书。</w:t>
      </w:r>
    </w:p>
    <w:p>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pPr>
        <w:spacing w:line="360" w:lineRule="auto"/>
        <w:ind w:firstLine="480" w:firstLineChars="200"/>
        <w:rPr>
          <w:rFonts w:ascii="宋体"/>
          <w:color w:val="000000"/>
          <w:sz w:val="24"/>
          <w:lang w:val="zh-CN"/>
        </w:rPr>
      </w:pPr>
      <w:r>
        <w:rPr>
          <w:rFonts w:hint="eastAsia" w:ascii="宋体"/>
          <w:color w:val="000000"/>
          <w:sz w:val="24"/>
          <w:lang w:val="zh-CN"/>
        </w:rPr>
        <w:t>4.招标文件。</w:t>
      </w:r>
    </w:p>
    <w:p>
      <w:pPr>
        <w:spacing w:line="360" w:lineRule="auto"/>
        <w:ind w:firstLine="480" w:firstLineChars="200"/>
        <w:rPr>
          <w:rFonts w:ascii="宋体"/>
          <w:color w:val="000000"/>
          <w:sz w:val="24"/>
          <w:lang w:val="zh-CN"/>
        </w:rPr>
      </w:pPr>
      <w:r>
        <w:rPr>
          <w:rFonts w:hint="eastAsia" w:ascii="宋体"/>
          <w:color w:val="000000"/>
          <w:sz w:val="24"/>
          <w:lang w:val="zh-CN"/>
        </w:rPr>
        <w:t>5.中标供应商投标文件。</w:t>
      </w:r>
    </w:p>
    <w:p>
      <w:pPr>
        <w:spacing w:line="360" w:lineRule="auto"/>
        <w:ind w:firstLine="480" w:firstLineChars="200"/>
        <w:rPr>
          <w:rFonts w:ascii="宋体"/>
          <w:color w:val="000000"/>
          <w:sz w:val="24"/>
          <w:lang w:val="zh-CN"/>
        </w:rPr>
      </w:pPr>
      <w:r>
        <w:rPr>
          <w:rFonts w:hint="eastAsia" w:ascii="宋体"/>
          <w:color w:val="000000"/>
          <w:sz w:val="24"/>
          <w:lang w:val="zh-CN"/>
        </w:rPr>
        <w:t>6.其他。</w:t>
      </w:r>
    </w:p>
    <w:p>
      <w:pPr>
        <w:pStyle w:val="14"/>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 货物名称：</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型号规格：</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技术参数：</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数量（单位）：</w:t>
      </w: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 xml:space="preserve"> 本合同金额为（大写）：____________________________________元（￥_______________元）人民币。</w:t>
      </w: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乙方应按招标文件规定的时间向甲方提供使用货物的有关技术资料。</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360" w:lineRule="auto"/>
        <w:ind w:left="412" w:hanging="412" w:hangingChars="171"/>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乙方应保证所提供的货物或其任何一部分均不会侵犯任何第三方的知识产权。</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2.若侵犯,由乙方赔偿甲方因此遭受的损失（包括但不限于应对及追偿过程中所支付的律师费、差旅费、诉讼费、保全费、鉴定费、评估费等）。</w:t>
      </w:r>
    </w:p>
    <w:p>
      <w:pPr>
        <w:pStyle w:val="14"/>
        <w:snapToGrid w:val="0"/>
        <w:spacing w:before="120" w:after="120" w:line="360" w:lineRule="auto"/>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4"/>
        <w:snapToGrid w:val="0"/>
        <w:spacing w:before="120" w:after="120" w:line="360" w:lineRule="auto"/>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4"/>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pStyle w:val="14"/>
        <w:snapToGrid w:val="0"/>
        <w:spacing w:before="120" w:after="120" w:line="360" w:lineRule="auto"/>
        <w:ind w:hanging="8"/>
        <w:rPr>
          <w:rFonts w:asciiTheme="majorEastAsia" w:hAnsiTheme="majorEastAsia" w:cstheme="majorEastAsia"/>
          <w:color w:val="000000"/>
          <w:sz w:val="24"/>
        </w:rPr>
      </w:pPr>
      <w:r>
        <w:rPr>
          <w:rFonts w:hint="eastAsia" w:asciiTheme="majorEastAsia" w:hAnsiTheme="majorEastAsia" w:cstheme="majorEastAsia"/>
          <w:color w:val="000000"/>
          <w:sz w:val="24"/>
        </w:rPr>
        <w:t>中标后签订合同前5个工作日内，乙方需支付甲方合同金额的5%作为履约保证金，甲方在质保期满后5个工作日内退还乙方。</w:t>
      </w:r>
    </w:p>
    <w:p>
      <w:pPr>
        <w:pStyle w:val="14"/>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4"/>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质保期</w:t>
      </w:r>
      <w:r>
        <w:rPr>
          <w:rFonts w:hAnsi="宋体" w:cs="Times New Roman"/>
          <w:sz w:val="24"/>
        </w:rPr>
        <w:t>___</w:t>
      </w:r>
      <w:r>
        <w:rPr>
          <w:rFonts w:asciiTheme="minorEastAsia" w:hAnsiTheme="minorEastAsia" w:eastAsiaTheme="minorEastAsia"/>
          <w:sz w:val="24"/>
        </w:rPr>
        <w:t>年。（自交货验收合格之日起计）</w:t>
      </w:r>
    </w:p>
    <w:p>
      <w:pPr>
        <w:pStyle w:val="14"/>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4"/>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交货期：</w:t>
      </w:r>
    </w:p>
    <w:p>
      <w:pPr>
        <w:pStyle w:val="14"/>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2</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交货方式：</w:t>
      </w:r>
    </w:p>
    <w:p>
      <w:pPr>
        <w:pStyle w:val="14"/>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Cs/>
          <w:color w:val="000000"/>
          <w:sz w:val="24"/>
        </w:rPr>
        <w:t>3</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交货地点：</w:t>
      </w:r>
    </w:p>
    <w:p>
      <w:pPr>
        <w:pStyle w:val="14"/>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
          <w:color w:val="000000"/>
          <w:sz w:val="24"/>
        </w:rPr>
        <w:t>十</w:t>
      </w:r>
      <w:r>
        <w:rPr>
          <w:rFonts w:hint="eastAsia" w:asciiTheme="minorEastAsia" w:hAnsiTheme="minorEastAsia" w:eastAsiaTheme="minorEastAsia"/>
          <w:b/>
          <w:color w:val="000000"/>
          <w:sz w:val="24"/>
        </w:rPr>
        <w:t>一</w:t>
      </w:r>
      <w:r>
        <w:rPr>
          <w:rFonts w:asciiTheme="minorEastAsia" w:hAnsiTheme="minorEastAsia" w:eastAsiaTheme="minorEastAsia"/>
          <w:b/>
          <w:color w:val="000000"/>
          <w:sz w:val="24"/>
        </w:rPr>
        <w:t>、货款支付</w:t>
      </w:r>
    </w:p>
    <w:p>
      <w:pPr>
        <w:pStyle w:val="14"/>
        <w:snapToGrid w:val="0"/>
        <w:spacing w:before="120" w:after="120" w:line="360" w:lineRule="auto"/>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付款方式：</w:t>
      </w:r>
    </w:p>
    <w:p>
      <w:pPr>
        <w:pStyle w:val="14"/>
        <w:snapToGrid w:val="0"/>
        <w:spacing w:line="360" w:lineRule="auto"/>
        <w:rPr>
          <w:rFonts w:asciiTheme="minorEastAsia" w:hAnsiTheme="minorEastAsia" w:eastAsiaTheme="minorEastAsia"/>
          <w:bCs/>
          <w:sz w:val="24"/>
        </w:rPr>
      </w:pPr>
      <w:r>
        <w:rPr>
          <w:rFonts w:hint="eastAsia" w:hAnsi="Times New Roman"/>
          <w:sz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before="156" w:beforeLines="50" w:after="156" w:afterLines="50" w:line="360" w:lineRule="auto"/>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4"/>
        <w:snapToGrid w:val="0"/>
        <w:spacing w:before="120" w:after="120" w:line="360" w:lineRule="auto"/>
        <w:ind w:left="412" w:hanging="412" w:hangingChars="171"/>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乙方应按招标文件规定的货物性能、技术要求、质量标准向甲方提供未经使用的全新产品。</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4"/>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⑴更换：由乙方承担所发生的全部费用。</w:t>
      </w:r>
    </w:p>
    <w:p>
      <w:pPr>
        <w:pStyle w:val="14"/>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⑵贬值处理：由甲乙双方合议定价。</w:t>
      </w:r>
    </w:p>
    <w:p>
      <w:pPr>
        <w:pStyle w:val="14"/>
        <w:snapToGrid w:val="0"/>
        <w:spacing w:before="120" w:after="120" w:line="360" w:lineRule="auto"/>
        <w:ind w:left="420" w:leftChars="200"/>
        <w:rPr>
          <w:rFonts w:asciiTheme="minorEastAsia" w:hAnsiTheme="minorEastAsia" w:eastAsiaTheme="minorEastAsia"/>
          <w:sz w:val="24"/>
        </w:rPr>
      </w:pPr>
      <w:r>
        <w:rPr>
          <w:rFonts w:asciiTheme="minorEastAsia" w:hAnsiTheme="minorEastAsia" w:eastAsiaTheme="minorEastAsia"/>
          <w:sz w:val="24"/>
        </w:rPr>
        <w:t>⑶退货处理：乙方应退还甲方支付的合同款，同时应承担该货物的直接费用（运输、保险、检验、货款利息及银行手续费等）。</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如在使用过程中发生质量问题，乙方在接到甲方通知后</w:t>
      </w:r>
      <w:r>
        <w:rPr>
          <w:rFonts w:asciiTheme="minorEastAsia" w:hAnsiTheme="minorEastAsia" w:eastAsiaTheme="minorEastAsia"/>
          <w:color w:val="000000"/>
          <w:sz w:val="24"/>
        </w:rPr>
        <w:t>在</w:t>
      </w: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小时</w:t>
      </w:r>
      <w:r>
        <w:rPr>
          <w:rFonts w:asciiTheme="minorEastAsia" w:hAnsiTheme="minorEastAsia" w:eastAsiaTheme="minorEastAsia"/>
          <w:sz w:val="24"/>
        </w:rPr>
        <w:t>内到达甲方</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现场。</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在质保期内，乙方应对货物出现的质量及安全问题负责处理解决并承担一切</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费用。</w:t>
      </w:r>
    </w:p>
    <w:p>
      <w:pPr>
        <w:pStyle w:val="14"/>
        <w:snapToGrid w:val="0"/>
        <w:spacing w:before="120" w:after="120" w:line="360" w:lineRule="auto"/>
        <w:rPr>
          <w:rFonts w:asciiTheme="minorEastAsia" w:hAnsiTheme="minorEastAsia" w:eastAsiaTheme="minorEastAsia"/>
          <w:color w:val="000000"/>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color w:val="000000"/>
          <w:sz w:val="24"/>
        </w:rPr>
        <w:t>上述的</w:t>
      </w:r>
      <w:r>
        <w:rPr>
          <w:rFonts w:asciiTheme="minorEastAsia" w:hAnsiTheme="minorEastAsia" w:eastAsiaTheme="minorEastAsia"/>
          <w:sz w:val="24"/>
        </w:rPr>
        <w:t>货物</w:t>
      </w:r>
      <w:r>
        <w:rPr>
          <w:rFonts w:asciiTheme="minorEastAsia" w:hAnsiTheme="minorEastAsia" w:eastAsiaTheme="minorEastAsia"/>
          <w:color w:val="000000"/>
          <w:sz w:val="24"/>
        </w:rPr>
        <w:t>免费保修期为年，因人为因素出现的故障不在免费保修范围</w:t>
      </w:r>
    </w:p>
    <w:p>
      <w:pPr>
        <w:pStyle w:val="14"/>
        <w:snapToGrid w:val="0"/>
        <w:spacing w:before="120" w:after="120" w:line="360" w:lineRule="auto"/>
        <w:ind w:firstLine="240" w:firstLineChars="100"/>
        <w:rPr>
          <w:rFonts w:asciiTheme="minorEastAsia" w:hAnsiTheme="minorEastAsia" w:eastAsiaTheme="minorEastAsia"/>
          <w:color w:val="000000"/>
          <w:sz w:val="24"/>
        </w:rPr>
      </w:pPr>
      <w:r>
        <w:rPr>
          <w:rFonts w:asciiTheme="minorEastAsia" w:hAnsiTheme="minorEastAsia" w:eastAsiaTheme="minorEastAsia"/>
          <w:color w:val="000000"/>
          <w:sz w:val="24"/>
        </w:rPr>
        <w:t>内。超过保修期的机器设备，终生维修，维修时只收部件成本费。</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4"/>
        <w:snapToGrid w:val="0"/>
        <w:spacing w:before="120" w:after="120"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甲方对乙方提交的货物依据招标文件上的技术规格要求和国家有关质量标准</w:t>
      </w:r>
    </w:p>
    <w:p>
      <w:pPr>
        <w:pStyle w:val="14"/>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进行现场初步验收，外观、说明书符合招标文件技术要求的，给予签收，初</w:t>
      </w:r>
    </w:p>
    <w:p>
      <w:pPr>
        <w:pStyle w:val="14"/>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步验收不合格的不予签收。货到后，甲方需在</w:t>
      </w:r>
      <w:r>
        <w:rPr>
          <w:rFonts w:hint="eastAsia" w:asciiTheme="minorEastAsia" w:hAnsiTheme="minorEastAsia" w:eastAsiaTheme="minorEastAsia"/>
          <w:color w:val="FF66CC"/>
          <w:sz w:val="24"/>
          <w:u w:val="single"/>
        </w:rPr>
        <w:t>五</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乙方交货前应对产品作出全面检查和对验收文件进行整理，并列出清单，作</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为甲方收货验收和使用的技术条件依据，检验的结果应随货物交甲方。</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甲方对乙方提供的货物在使用前进行调试时，乙方需负责安装并培训甲方的</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使用操作人员，并协助甲方一起调试，直到符合技术要求，甲方才做最终验</w:t>
      </w:r>
    </w:p>
    <w:p>
      <w:pPr>
        <w:pStyle w:val="14"/>
        <w:snapToGrid w:val="0"/>
        <w:spacing w:before="120" w:after="120" w:line="360" w:lineRule="auto"/>
        <w:ind w:firstLine="360" w:firstLineChars="150"/>
        <w:rPr>
          <w:rFonts w:asciiTheme="minorEastAsia" w:hAnsiTheme="minorEastAsia" w:eastAsiaTheme="minorEastAsia"/>
          <w:sz w:val="24"/>
          <w:u w:val="single"/>
        </w:rPr>
      </w:pPr>
      <w:r>
        <w:rPr>
          <w:rFonts w:asciiTheme="minorEastAsia" w:hAnsiTheme="minorEastAsia" w:eastAsiaTheme="minorEastAsia"/>
          <w:sz w:val="24"/>
        </w:rPr>
        <w:t>收。</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w:t>
      </w:r>
      <w:r>
        <w:rPr>
          <w:rFonts w:asciiTheme="minorEastAsia" w:hAnsiTheme="minorEastAsia" w:eastAsiaTheme="minorEastAsia"/>
          <w:sz w:val="24"/>
        </w:rPr>
        <w:t>对技术复杂的货物，甲方应请国家认可的专业检测机构参与初步验收及最终</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验收，并由其出具质量检测报告。</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责。</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乙方应在货物发运前对其进行满足运输距离、防潮、防震、防锈和防破损装卸等要求包装，以保证货物安全运达甲方指定地点。</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使用说明书、质量检验证明书、随配附件和工具以及清单一并附于货物内。</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乙方在货物发运手续办理完毕后24小时内或货到甲方48小时前通知甲方，以准备接货。</w:t>
      </w:r>
    </w:p>
    <w:p>
      <w:pPr>
        <w:pStyle w:val="14"/>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货物在交付甲方前发生的风险均由乙方负责。</w:t>
      </w:r>
    </w:p>
    <w:p>
      <w:pPr>
        <w:pStyle w:val="14"/>
        <w:snapToGrid w:val="0"/>
        <w:spacing w:line="360" w:lineRule="auto"/>
        <w:ind w:left="480" w:right="26" w:hanging="480" w:hanging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 xml:space="preserve"> 货物在规定的交付期限内由乙方送达甲方指定的地点视为交付，乙方同时需</w:t>
      </w:r>
    </w:p>
    <w:p>
      <w:pPr>
        <w:pStyle w:val="14"/>
        <w:snapToGrid w:val="0"/>
        <w:spacing w:line="360" w:lineRule="auto"/>
        <w:ind w:left="479" w:leftChars="171" w:right="26" w:hanging="120" w:hangingChars="50"/>
        <w:rPr>
          <w:rFonts w:asciiTheme="minorEastAsia" w:hAnsiTheme="minorEastAsia" w:eastAsiaTheme="minorEastAsia"/>
          <w:sz w:val="24"/>
        </w:rPr>
      </w:pPr>
      <w:r>
        <w:rPr>
          <w:rFonts w:asciiTheme="minorEastAsia" w:hAnsiTheme="minorEastAsia" w:eastAsiaTheme="minorEastAsia"/>
          <w:sz w:val="24"/>
        </w:rPr>
        <w:t>通知甲方货物已送达。</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甲方无正当理由拒收货物的，甲方向乙方偿付拒收货款总值的</w:t>
      </w:r>
      <w:r>
        <w:rPr>
          <w:rFonts w:asciiTheme="minorEastAsia" w:hAnsiTheme="minorEastAsia" w:eastAsiaTheme="minorEastAsia"/>
          <w:color w:val="FF66CC"/>
          <w:sz w:val="24"/>
          <w:u w:val="single"/>
        </w:rPr>
        <w:t>百分之五</w:t>
      </w:r>
      <w:r>
        <w:rPr>
          <w:rFonts w:asciiTheme="minorEastAsia" w:hAnsiTheme="minorEastAsia" w:eastAsiaTheme="minorEastAsia"/>
          <w:sz w:val="24"/>
        </w:rPr>
        <w:t>违约金。</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甲方无故逾期验收和办理货款支付手续的,甲方应按逾期付款总额每日</w:t>
      </w:r>
      <w:r>
        <w:rPr>
          <w:rFonts w:asciiTheme="minorEastAsia" w:hAnsiTheme="minorEastAsia" w:eastAsiaTheme="minorEastAsia"/>
          <w:color w:val="FF66CC"/>
          <w:sz w:val="24"/>
          <w:u w:val="single"/>
        </w:rPr>
        <w:t>万分之五</w:t>
      </w:r>
      <w:r>
        <w:rPr>
          <w:rFonts w:asciiTheme="minorEastAsia" w:hAnsiTheme="minorEastAsia" w:eastAsiaTheme="minorEastAsia"/>
          <w:sz w:val="24"/>
        </w:rPr>
        <w:t>向乙方支付违约金。</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乙方逾期交付货物的，乙方应按逾期交货总额每日</w:t>
      </w:r>
      <w:r>
        <w:rPr>
          <w:rFonts w:asciiTheme="minorEastAsia" w:hAnsiTheme="minorEastAsia" w:eastAsiaTheme="minorEastAsia"/>
          <w:color w:val="FF66CC"/>
          <w:sz w:val="24"/>
          <w:u w:val="single"/>
        </w:rPr>
        <w:t>千分之六</w:t>
      </w:r>
      <w:r>
        <w:rPr>
          <w:rFonts w:asciiTheme="minorEastAsia" w:hAnsiTheme="minorEastAsia" w:eastAsiaTheme="minorEastAsia"/>
          <w:sz w:val="24"/>
        </w:rPr>
        <w:t>向甲方支付违约金，由甲方从待付货款中扣除。逾期超过约定日期</w:t>
      </w:r>
      <w:r>
        <w:rPr>
          <w:rFonts w:asciiTheme="minorEastAsia" w:hAnsiTheme="minorEastAsia" w:eastAsiaTheme="minorEastAsia"/>
          <w:color w:val="FF66CC"/>
          <w:sz w:val="24"/>
          <w:u w:val="single"/>
        </w:rPr>
        <w:t>10</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FF66CC"/>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4"/>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before="120" w:after="120" w:line="360" w:lineRule="auto"/>
        <w:ind w:left="410" w:hanging="410" w:hangingChars="171"/>
        <w:rPr>
          <w:rFonts w:asciiTheme="minorEastAsia" w:hAnsiTheme="minorEastAsia" w:eastAsiaTheme="minorEastAsia"/>
          <w:sz w:val="24"/>
        </w:rPr>
      </w:pPr>
      <w:r>
        <w:rPr>
          <w:rFonts w:hint="eastAsia" w:asciiTheme="minorEastAsia" w:hAnsiTheme="minorEastAsia" w:eastAsiaTheme="minorEastAsia"/>
          <w:sz w:val="24"/>
        </w:rPr>
        <w:t>5.若发生纠纷，由违约方赔偿守约方因纠纷所支付的费用（包括但不限于律师费、差旅费、诉讼费、保全费、鉴定费、评估费等）</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在合同有效期内，任何一方因不可抗力事件导致不能履行合同，则合同履行</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期可延长，其延长期与不可抗力影响期相同。</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不可抗力事件发生后，应立即通知对方，并寄送有关权威机构出具的证明。</w:t>
      </w:r>
    </w:p>
    <w:p>
      <w:pPr>
        <w:pStyle w:val="14"/>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不可抗力事件延续120天以上，双方应通过友好协商，确定是否继续履行合</w:t>
      </w:r>
    </w:p>
    <w:p>
      <w:pPr>
        <w:pStyle w:val="14"/>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同。</w:t>
      </w:r>
    </w:p>
    <w:p>
      <w:pPr>
        <w:pStyle w:val="14"/>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widowControl/>
        <w:spacing w:line="360" w:lineRule="auto"/>
        <w:jc w:val="left"/>
        <w:rPr>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如双方在履行合同时发生纠纷，应协商解决；协商不成时，可提请政府采购管理部门调解；调解不成的通过以下方式解决（两种解决方式只能择其一）：</w:t>
      </w:r>
      <w:r>
        <w:rPr>
          <w:rFonts w:ascii="宋体" w:hAnsi="宋体" w:cs="宋体"/>
          <w:kern w:val="0"/>
          <w:sz w:val="24"/>
        </w:rPr>
        <w:br w:type="textWrapping"/>
      </w:r>
      <w:r>
        <w:rPr>
          <w:rFonts w:ascii="宋体" w:hAnsi="宋体" w:cs="宋体"/>
          <w:kern w:val="0"/>
          <w:sz w:val="24"/>
        </w:rPr>
        <w:t>（1） 提交</w:t>
      </w:r>
      <w:r>
        <w:rPr>
          <w:rFonts w:hAnsi="宋体"/>
          <w:color w:val="FF66CC"/>
          <w:sz w:val="24"/>
          <w:u w:val="single"/>
        </w:rPr>
        <w:t>台州</w:t>
      </w:r>
      <w:r>
        <w:rPr>
          <w:rFonts w:ascii="宋体" w:hAnsi="宋体" w:cs="宋体"/>
          <w:kern w:val="0"/>
          <w:sz w:val="24"/>
        </w:rPr>
        <w:t>仲裁委员会仲裁。</w:t>
      </w:r>
      <w:r>
        <w:rPr>
          <w:rFonts w:ascii="宋体" w:hAnsi="宋体" w:cs="宋体"/>
          <w:kern w:val="0"/>
          <w:sz w:val="24"/>
        </w:rPr>
        <w:br w:type="textWrapping"/>
      </w:r>
      <w:r>
        <w:rPr>
          <w:rFonts w:ascii="宋体" w:hAnsi="宋体" w:cs="宋体"/>
          <w:kern w:val="0"/>
          <w:sz w:val="24"/>
        </w:rPr>
        <w:t xml:space="preserve">（2） 依法向人民法院提起诉讼。 </w:t>
      </w:r>
    </w:p>
    <w:p>
      <w:pPr>
        <w:pStyle w:val="14"/>
        <w:tabs>
          <w:tab w:val="left" w:pos="5790"/>
        </w:tabs>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2"/>
        <w:widowControl/>
        <w:spacing w:line="360" w:lineRule="auto"/>
        <w:ind w:right="-88"/>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 xml:space="preserve"> 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2"/>
        <w:widowControl/>
        <w:spacing w:line="360" w:lineRule="auto"/>
        <w:ind w:right="-88"/>
        <w:rPr>
          <w:rFonts w:asciiTheme="minorEastAsia" w:hAnsiTheme="minorEastAsia" w:eastAsiaTheme="minorEastAsia"/>
        </w:rPr>
      </w:pPr>
      <w:r>
        <w:rPr>
          <w:rFonts w:hint="eastAsia" w:asciiTheme="minorEastAsia" w:hAnsiTheme="minorEastAsia" w:eastAsiaTheme="minorEastAsia"/>
        </w:rPr>
        <w:t xml:space="preserve">2. </w:t>
      </w:r>
      <w:r>
        <w:rPr>
          <w:rFonts w:asciiTheme="minorEastAsia" w:hAnsiTheme="minorEastAsia" w:eastAsiaTheme="minorEastAsia"/>
        </w:rPr>
        <w:t>本合同未尽事宜，遵照《合同法》有关条文执行。</w:t>
      </w:r>
    </w:p>
    <w:p>
      <w:pPr>
        <w:pStyle w:val="12"/>
        <w:widowControl/>
        <w:spacing w:line="360" w:lineRule="auto"/>
        <w:ind w:right="-88"/>
        <w:rPr>
          <w:rFonts w:asciiTheme="minorEastAsia" w:hAnsiTheme="minorEastAsia" w:eastAsiaTheme="minorEastAsia"/>
        </w:rPr>
      </w:pPr>
      <w:r>
        <w:rPr>
          <w:rFonts w:hint="eastAsia" w:asciiTheme="minorEastAsia" w:hAnsiTheme="minorEastAsia" w:eastAsiaTheme="minorEastAsia"/>
        </w:rPr>
        <w:t>3. 本合同一式四份。甲、乙双方各执一份，</w:t>
      </w:r>
      <w:r>
        <w:rPr>
          <w:rFonts w:hint="eastAsia" w:ascii="宋体" w:hAnsi="宋体"/>
        </w:rPr>
        <w:t>采购组织机构及同级人民政府财政部门各执一份</w:t>
      </w:r>
      <w:r>
        <w:rPr>
          <w:rFonts w:hint="eastAsia" w:asciiTheme="minorEastAsia" w:hAnsiTheme="minorEastAsia" w:eastAsiaTheme="minorEastAsia"/>
        </w:rPr>
        <w:t>。本项目未尽事宜以招标文件、投标文件及澄清文件等为准。</w:t>
      </w: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甲方（公章）                                     乙方（公章）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帐号：                                           帐号：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ind w:firstLine="4920" w:firstLineChars="2050"/>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rPr>
          <w:rFonts w:asciiTheme="majorEastAsia" w:hAnsiTheme="majorEastAsia" w:eastAsiaTheme="majorEastAsia"/>
          <w:color w:val="00B0F0"/>
          <w:sz w:val="28"/>
          <w:szCs w:val="28"/>
        </w:rPr>
      </w:pPr>
    </w:p>
    <w:p>
      <w:pPr>
        <w:pStyle w:val="2"/>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r>
        <w:rPr>
          <w:rFonts w:hint="eastAsia" w:ascii="宋体" w:hAnsi="宋体"/>
          <w:b/>
          <w:sz w:val="28"/>
          <w:u w:val="single"/>
        </w:rPr>
        <w:t xml:space="preserve">     </w:t>
      </w:r>
      <w:r>
        <w:rPr>
          <w:rFonts w:hint="eastAsia" w:ascii="宋体" w:hAnsi="宋体"/>
          <w:bCs/>
          <w:sz w:val="24"/>
        </w:rPr>
        <w:t>本</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投标人全称（电子印章）：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FangSong_GB2312" w:hAnsi="宋体" w:eastAsia="FangSong_GB2312"/>
          <w:b/>
          <w:sz w:val="36"/>
          <w:szCs w:val="36"/>
        </w:rPr>
      </w:pPr>
    </w:p>
    <w:p>
      <w:pPr>
        <w:snapToGrid w:val="0"/>
        <w:spacing w:before="50" w:after="50" w:line="360" w:lineRule="auto"/>
        <w:rPr>
          <w:rFonts w:ascii="FangSong_GB2312" w:hAnsi="宋体" w:eastAsia="FangSong_GB2312"/>
          <w:b/>
          <w:sz w:val="36"/>
          <w:szCs w:val="36"/>
        </w:rPr>
      </w:pPr>
    </w:p>
    <w:p>
      <w:pPr>
        <w:snapToGrid w:val="0"/>
        <w:spacing w:before="50" w:after="50" w:line="360" w:lineRule="auto"/>
        <w:rPr>
          <w:rFonts w:ascii="FangSong_GB2312" w:hAnsi="宋体" w:eastAsia="FangSong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FangSong_GB2312" w:hAnsi="宋体" w:eastAsia="FangSong_GB2312"/>
          <w:b/>
          <w:bCs/>
          <w:sz w:val="36"/>
          <w:szCs w:val="36"/>
        </w:rPr>
      </w:pPr>
    </w:p>
    <w:p>
      <w:pPr>
        <w:numPr>
          <w:ilvl w:val="0"/>
          <w:numId w:val="17"/>
        </w:numPr>
        <w:snapToGrid w:val="0"/>
        <w:spacing w:line="360" w:lineRule="auto"/>
        <w:ind w:firstLine="548" w:firstLineChars="196"/>
        <w:rPr>
          <w:rFonts w:ascii="宋体" w:hAnsi="宋体"/>
          <w:sz w:val="28"/>
          <w:szCs w:val="28"/>
        </w:rPr>
      </w:pPr>
      <w:r>
        <w:rPr>
          <w:rFonts w:hint="eastAsia" w:ascii="宋体" w:hAnsi="宋体"/>
          <w:sz w:val="28"/>
          <w:szCs w:val="28"/>
        </w:rPr>
        <w:t>声明书（附件2）</w:t>
      </w:r>
    </w:p>
    <w:p>
      <w:pPr>
        <w:numPr>
          <w:ilvl w:val="0"/>
          <w:numId w:val="17"/>
        </w:numPr>
        <w:snapToGrid w:val="0"/>
        <w:spacing w:line="360" w:lineRule="auto"/>
        <w:ind w:firstLine="548" w:firstLineChars="196"/>
        <w:rPr>
          <w:rFonts w:ascii="宋体" w:hAnsi="宋体"/>
          <w:kern w:val="0"/>
          <w:sz w:val="28"/>
          <w:szCs w:val="28"/>
        </w:rPr>
      </w:pPr>
      <w:r>
        <w:rPr>
          <w:bCs/>
          <w:sz w:val="28"/>
          <w:szCs w:val="28"/>
        </w:rPr>
        <w:t>授权</w:t>
      </w:r>
      <w:r>
        <w:rPr>
          <w:rFonts w:hint="eastAsia"/>
          <w:bCs/>
          <w:sz w:val="28"/>
          <w:szCs w:val="28"/>
        </w:rPr>
        <w:t>委托</w:t>
      </w:r>
      <w:r>
        <w:rPr>
          <w:bCs/>
          <w:sz w:val="28"/>
          <w:szCs w:val="28"/>
        </w:rPr>
        <w:t>书</w:t>
      </w:r>
      <w:r>
        <w:rPr>
          <w:rFonts w:hint="eastAsia" w:ascii="宋体" w:hAnsi="宋体"/>
          <w:bCs/>
          <w:sz w:val="28"/>
          <w:szCs w:val="28"/>
        </w:rPr>
        <w:t>（附件3）</w:t>
      </w:r>
    </w:p>
    <w:p>
      <w:pPr>
        <w:numPr>
          <w:ilvl w:val="0"/>
          <w:numId w:val="17"/>
        </w:numPr>
        <w:snapToGrid w:val="0"/>
        <w:spacing w:line="360" w:lineRule="auto"/>
        <w:ind w:left="1050" w:leftChars="259" w:hanging="506" w:hangingChars="181"/>
        <w:rPr>
          <w:rFonts w:ascii="宋体" w:hAnsi="宋体"/>
          <w:kern w:val="0"/>
          <w:sz w:val="28"/>
          <w:szCs w:val="28"/>
        </w:rPr>
      </w:pPr>
      <w:r>
        <w:rPr>
          <w:sz w:val="28"/>
          <w:szCs w:val="28"/>
        </w:rPr>
        <w:t>法人或者其他组织的营业执照等证明文件，自然人的身份证明</w:t>
      </w:r>
    </w:p>
    <w:p>
      <w:pPr>
        <w:snapToGrid w:val="0"/>
        <w:spacing w:line="360" w:lineRule="auto"/>
        <w:ind w:firstLine="560" w:firstLineChars="200"/>
        <w:rPr>
          <w:rFonts w:ascii="宋体" w:hAnsi="宋体"/>
          <w:kern w:val="0"/>
          <w:sz w:val="28"/>
          <w:szCs w:val="28"/>
        </w:rPr>
      </w:pPr>
      <w:r>
        <w:rPr>
          <w:rFonts w:hint="eastAsia" w:ascii="宋体" w:hAnsi="宋体"/>
          <w:kern w:val="0"/>
          <w:sz w:val="28"/>
          <w:szCs w:val="28"/>
        </w:rPr>
        <w:t>4、</w:t>
      </w:r>
      <w:r>
        <w:rPr>
          <w:sz w:val="28"/>
          <w:szCs w:val="28"/>
        </w:rPr>
        <w:t>财务状况报告，依法缴纳税收和社会保障资金的相关材料</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5、</w:t>
      </w:r>
      <w:r>
        <w:rPr>
          <w:sz w:val="28"/>
          <w:szCs w:val="28"/>
        </w:rPr>
        <w:t>具备履行合同所必需的设备和专业技术能力的证明材料</w:t>
      </w:r>
    </w:p>
    <w:p>
      <w:pPr>
        <w:snapToGrid w:val="0"/>
        <w:spacing w:line="360" w:lineRule="auto"/>
        <w:ind w:firstLine="548" w:firstLineChars="196"/>
        <w:rPr>
          <w:rFonts w:ascii="宋体" w:hAnsi="宋体"/>
          <w:kern w:val="0"/>
          <w:sz w:val="28"/>
          <w:szCs w:val="28"/>
        </w:rPr>
      </w:pPr>
      <w:r>
        <w:rPr>
          <w:rFonts w:hint="eastAsia" w:ascii="宋体" w:hAnsi="宋体"/>
          <w:sz w:val="28"/>
          <w:szCs w:val="28"/>
        </w:rPr>
        <w:t>6、</w:t>
      </w:r>
      <w:r>
        <w:rPr>
          <w:rFonts w:hint="eastAsia" w:ascii="宋体" w:hAnsi="宋体"/>
          <w:kern w:val="0"/>
          <w:sz w:val="28"/>
          <w:szCs w:val="28"/>
        </w:rPr>
        <w:t>本项目要求的特定资质证书</w:t>
      </w: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w:t>
      </w:r>
      <w:r>
        <w:rPr>
          <w:rFonts w:hint="eastAsia" w:hAnsi="宋体" w:cs="宋体"/>
          <w:kern w:val="0"/>
          <w:sz w:val="24"/>
        </w:rPr>
        <w:t>构</w:t>
      </w:r>
      <w:r>
        <w:rPr>
          <w:rFonts w:hint="eastAsia" w:ascii="宋体" w:hAnsi="宋体" w:cs="宋体"/>
          <w:kern w:val="0"/>
          <w:sz w:val="24"/>
        </w:rPr>
        <w:t>机构/采购代理机构名称）：</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8"/>
        </w:num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及其他不符合《中华人民共和国政府采购法》第二十二条规定的条件。【说明：供应商在截止投标时间近三年以来，如有上述所列情形，但限制期届满的，可按实陈述，并提供相应证明文件。】</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numPr>
          <w:ilvl w:val="255"/>
          <w:numId w:val="0"/>
        </w:numPr>
        <w:snapToGrid w:val="0"/>
        <w:spacing w:before="156" w:beforeLines="50" w:after="50" w:line="360" w:lineRule="auto"/>
        <w:ind w:firstLine="480" w:firstLineChars="200"/>
        <w:rPr>
          <w:rFonts w:ascii="宋体" w:hAnsi="宋体"/>
          <w:sz w:val="24"/>
        </w:rPr>
      </w:pPr>
      <w:r>
        <w:rPr>
          <w:rFonts w:hint="eastAsia" w:ascii="宋体" w:hAnsi="宋体"/>
          <w:sz w:val="24"/>
        </w:rPr>
        <w:t>3、我</w:t>
      </w:r>
      <w:r>
        <w:rPr>
          <w:rFonts w:hint="eastAsia" w:ascii="宋体" w:hAnsi="宋体" w:cs="FangSong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FangSong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FangSong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360" w:lineRule="auto"/>
        <w:ind w:firstLine="480" w:firstLineChars="200"/>
        <w:rPr>
          <w:rFonts w:ascii="FangSong_GB2312" w:hAnsi="FangSong_GB2312" w:eastAsia="FangSong_GB2312" w:cs="FangSong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FangSong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FangSong_GB2312"/>
          <w:kern w:val="0"/>
          <w:sz w:val="24"/>
        </w:rPr>
      </w:pPr>
    </w:p>
    <w:p>
      <w:pPr>
        <w:adjustRightInd w:val="0"/>
        <w:snapToGrid w:val="0"/>
        <w:spacing w:line="360" w:lineRule="auto"/>
        <w:ind w:firstLine="4680" w:firstLineChars="1950"/>
        <w:rPr>
          <w:rFonts w:ascii="宋体" w:hAnsi="宋体" w:cs="FangSong_GB2312"/>
          <w:kern w:val="0"/>
          <w:sz w:val="24"/>
          <w:lang w:val="zh-CN"/>
        </w:rPr>
      </w:pPr>
      <w:r>
        <w:rPr>
          <w:rFonts w:hint="eastAsia" w:ascii="宋体" w:hAnsi="宋体" w:cs="FangSong_GB2312"/>
          <w:kern w:val="0"/>
          <w:sz w:val="24"/>
          <w:lang w:val="zh-CN"/>
        </w:rPr>
        <w:t xml:space="preserve">    投标人名称(电子印章)：</w:t>
      </w:r>
    </w:p>
    <w:p>
      <w:pPr>
        <w:adjustRightInd w:val="0"/>
        <w:snapToGrid w:val="0"/>
        <w:spacing w:line="360" w:lineRule="auto"/>
        <w:rPr>
          <w:rFonts w:ascii="宋体" w:hAnsi="宋体" w:cs="FangSong_GB2312"/>
          <w:kern w:val="0"/>
          <w:sz w:val="24"/>
          <w:lang w:val="zh-CN"/>
        </w:rPr>
      </w:pPr>
      <w:r>
        <w:rPr>
          <w:rFonts w:hint="eastAsia" w:ascii="宋体" w:hAnsi="宋体" w:cs="FangSong_GB2312"/>
          <w:kern w:val="0"/>
          <w:sz w:val="24"/>
          <w:lang w:val="zh-CN"/>
        </w:rPr>
        <w:t xml:space="preserve">                                       法定代表人或授权委托人(签字)：</w:t>
      </w:r>
    </w:p>
    <w:p>
      <w:pPr>
        <w:adjustRightInd w:val="0"/>
        <w:snapToGrid w:val="0"/>
        <w:spacing w:line="360" w:lineRule="auto"/>
        <w:ind w:right="480"/>
        <w:jc w:val="center"/>
        <w:rPr>
          <w:rFonts w:ascii="宋体" w:hAnsi="宋体" w:cs="FangSong_GB2312"/>
          <w:kern w:val="0"/>
          <w:sz w:val="24"/>
          <w:lang w:val="zh-CN"/>
        </w:rPr>
      </w:pPr>
      <w:r>
        <w:rPr>
          <w:rFonts w:hint="eastAsia" w:ascii="宋体" w:hAnsi="宋体" w:cs="FangSong_GB2312"/>
          <w:kern w:val="0"/>
          <w:sz w:val="24"/>
          <w:lang w:val="zh-CN"/>
        </w:rPr>
        <w:t xml:space="preserve">                                  日期：</w:t>
      </w:r>
      <w:r>
        <w:rPr>
          <w:rFonts w:hint="eastAsia" w:ascii="宋体" w:hAnsi="宋体" w:cstheme="minorBidi"/>
          <w:sz w:val="24"/>
        </w:rPr>
        <w:t>××</w:t>
      </w:r>
      <w:r>
        <w:rPr>
          <w:rFonts w:hint="eastAsia" w:ascii="宋体" w:hAnsi="宋体" w:cs="FangSong_GB2312"/>
          <w:kern w:val="0"/>
          <w:sz w:val="24"/>
          <w:lang w:val="zh-CN"/>
        </w:rPr>
        <w:t xml:space="preserve">年 </w:t>
      </w:r>
      <w:r>
        <w:rPr>
          <w:rFonts w:hint="eastAsia" w:ascii="宋体" w:hAnsi="宋体" w:cstheme="minorBidi"/>
          <w:sz w:val="24"/>
        </w:rPr>
        <w:t>××</w:t>
      </w:r>
      <w:r>
        <w:rPr>
          <w:rFonts w:hint="eastAsia" w:ascii="宋体" w:hAnsi="宋体" w:cs="FangSong_GB2312"/>
          <w:kern w:val="0"/>
          <w:sz w:val="24"/>
          <w:lang w:val="zh-CN"/>
        </w:rPr>
        <w:t xml:space="preserve"> 月 </w:t>
      </w:r>
      <w:r>
        <w:rPr>
          <w:rFonts w:hint="eastAsia" w:ascii="宋体" w:hAnsi="宋体" w:cstheme="minorBidi"/>
          <w:sz w:val="24"/>
        </w:rPr>
        <w:t>××</w:t>
      </w:r>
      <w:r>
        <w:rPr>
          <w:rFonts w:hint="eastAsia" w:ascii="宋体" w:hAnsi="宋体" w:cs="FangSong_GB2312"/>
          <w:kern w:val="0"/>
          <w:sz w:val="24"/>
          <w:lang w:val="zh-CN"/>
        </w:rPr>
        <w:t xml:space="preserve">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w:t>
      </w:r>
      <w:r>
        <w:rPr>
          <w:rFonts w:hint="eastAsia" w:hAnsi="宋体" w:cs="宋体"/>
          <w:kern w:val="0"/>
          <w:sz w:val="24"/>
        </w:rPr>
        <w:t>构</w:t>
      </w:r>
      <w:r>
        <w:rPr>
          <w:rFonts w:hint="eastAsia" w:ascii="宋体" w:hAnsi="宋体" w:cs="宋体"/>
          <w:kern w:val="0"/>
          <w:sz w:val="24"/>
        </w:rPr>
        <w:t>机构/采购代理机构名称）：</w:t>
      </w:r>
    </w:p>
    <w:p>
      <w:pPr>
        <w:pStyle w:val="14"/>
        <w:spacing w:line="500" w:lineRule="exact"/>
        <w:ind w:left="240" w:hanging="240" w:hangingChars="100"/>
        <w:rPr>
          <w:rFonts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投标人全称（电子印章）：                              日期：</w:t>
      </w:r>
    </w:p>
    <w:p>
      <w:pPr>
        <w:spacing w:line="360" w:lineRule="auto"/>
        <w:rPr>
          <w:sz w:val="24"/>
        </w:rPr>
      </w:pP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napToGrid w:val="0"/>
        <w:spacing w:before="156" w:beforeLines="50" w:after="50" w:line="360" w:lineRule="auto"/>
        <w:rPr>
          <w:rFonts w:ascii="FangSong_GB2312" w:hAnsi="宋体" w:eastAsia="FangSong_GB2312"/>
          <w:b/>
          <w:sz w:val="30"/>
          <w:szCs w:val="30"/>
        </w:rPr>
      </w:pPr>
      <w:r>
        <w:rPr>
          <w:rFonts w:hint="eastAsia" w:ascii="宋体" w:hAnsi="宋体"/>
          <w:b/>
          <w:sz w:val="28"/>
        </w:rPr>
        <w:t>附件4：</w:t>
      </w:r>
    </w:p>
    <w:p>
      <w:pPr>
        <w:snapToGrid w:val="0"/>
        <w:spacing w:before="156" w:beforeLines="50" w:after="50" w:line="360" w:lineRule="auto"/>
        <w:jc w:val="right"/>
        <w:rPr>
          <w:rFonts w:ascii="FangSong_GB2312" w:hAnsi="宋体" w:eastAsia="FangSong_GB2312"/>
          <w:bCs/>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pPr>
        <w:spacing w:line="360" w:lineRule="auto"/>
        <w:ind w:right="532" w:firstLine="720" w:firstLineChars="200"/>
        <w:rPr>
          <w:rFonts w:ascii="宋体" w:hAnsi="宋体"/>
          <w:sz w:val="36"/>
          <w:szCs w:val="36"/>
        </w:rPr>
      </w:pPr>
      <w:r>
        <w:rPr>
          <w:rFonts w:hint="eastAsia" w:ascii="宋体" w:hAnsi="宋体"/>
          <w:sz w:val="36"/>
          <w:szCs w:val="36"/>
        </w:rPr>
        <w:t>投标人全称（电子印章）：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pacing w:line="360" w:lineRule="auto"/>
        <w:ind w:right="532" w:firstLine="720" w:firstLineChars="200"/>
        <w:rPr>
          <w:rFonts w:ascii="宋体" w:hAnsi="宋体"/>
          <w:sz w:val="36"/>
          <w:szCs w:val="36"/>
        </w:rPr>
      </w:pPr>
    </w:p>
    <w:p>
      <w:pPr>
        <w:snapToGrid w:val="0"/>
        <w:spacing w:before="50" w:after="50" w:line="360" w:lineRule="auto"/>
        <w:rPr>
          <w:rFonts w:ascii="FangSong_GB2312" w:hAnsi="宋体" w:eastAsia="FangSong_GB2312"/>
          <w:b/>
          <w:sz w:val="36"/>
          <w:szCs w:val="36"/>
        </w:rPr>
      </w:pPr>
    </w:p>
    <w:p>
      <w:pPr>
        <w:rPr>
          <w:rFonts w:ascii="宋体" w:hAnsi="宋体"/>
          <w:b/>
          <w:bCs/>
          <w:sz w:val="32"/>
          <w:szCs w:val="32"/>
          <w:lang w:val="zh-CN"/>
        </w:rPr>
      </w:pPr>
      <w:r>
        <w:rPr>
          <w:rFonts w:hint="eastAsia" w:ascii="宋体" w:hAnsi="宋体"/>
          <w:b/>
          <w:bCs/>
          <w:sz w:val="32"/>
          <w:szCs w:val="32"/>
          <w:lang w:val="zh-CN"/>
        </w:rPr>
        <w:br w:type="page"/>
      </w: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sz w:val="24"/>
        </w:rPr>
      </w:pPr>
    </w:p>
    <w:p>
      <w:pPr>
        <w:snapToGrid w:val="0"/>
        <w:spacing w:line="360" w:lineRule="auto"/>
        <w:ind w:firstLine="562" w:firstLineChars="200"/>
        <w:rPr>
          <w:rFonts w:ascii="宋体" w:hAnsi="宋体"/>
          <w:b/>
          <w:bCs/>
          <w:sz w:val="28"/>
          <w:szCs w:val="28"/>
        </w:rPr>
      </w:pPr>
      <w:r>
        <w:rPr>
          <w:rFonts w:hint="eastAsia" w:ascii="宋体" w:hAnsi="宋体"/>
          <w:b/>
          <w:bCs/>
          <w:sz w:val="28"/>
          <w:szCs w:val="28"/>
        </w:rPr>
        <w:t>第一部分  技术方案描述部分</w:t>
      </w:r>
    </w:p>
    <w:p>
      <w:pPr>
        <w:snapToGrid w:val="0"/>
        <w:spacing w:line="360" w:lineRule="auto"/>
        <w:ind w:firstLine="560" w:firstLineChars="200"/>
        <w:rPr>
          <w:rFonts w:ascii="宋体" w:hAnsi="宋体"/>
          <w:sz w:val="28"/>
          <w:szCs w:val="28"/>
        </w:rPr>
      </w:pPr>
      <w:r>
        <w:rPr>
          <w:rFonts w:hint="eastAsia" w:ascii="宋体" w:hAnsi="宋体"/>
          <w:sz w:val="28"/>
          <w:szCs w:val="28"/>
        </w:rPr>
        <w:t>1、</w:t>
      </w:r>
      <w:r>
        <w:rPr>
          <w:rFonts w:hint="eastAsia" w:ascii="宋体" w:hAnsi="宋体" w:cs="宋体"/>
          <w:sz w:val="28"/>
          <w:szCs w:val="28"/>
        </w:rPr>
        <w:t>投标人情况介绍</w:t>
      </w:r>
      <w:r>
        <w:rPr>
          <w:rFonts w:hint="eastAsia" w:ascii="宋体" w:hAnsi="宋体"/>
          <w:sz w:val="28"/>
          <w:szCs w:val="28"/>
        </w:rPr>
        <w:t>（附件5）；</w:t>
      </w:r>
    </w:p>
    <w:p>
      <w:pPr>
        <w:snapToGrid w:val="0"/>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cs="宋体"/>
          <w:color w:val="000000" w:themeColor="text1"/>
          <w:sz w:val="28"/>
          <w:szCs w:val="28"/>
          <w14:textFill>
            <w14:solidFill>
              <w14:schemeClr w14:val="tx1"/>
            </w14:solidFill>
          </w14:textFill>
        </w:rPr>
        <w:t>项目需求的理解与分析</w:t>
      </w:r>
      <w:r>
        <w:rPr>
          <w:rFonts w:hint="eastAsia" w:ascii="宋体" w:hAnsi="宋体"/>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cs="宋体"/>
          <w:color w:val="000000" w:themeColor="text1"/>
          <w:sz w:val="28"/>
          <w:szCs w:val="28"/>
          <w14:textFill>
            <w14:solidFill>
              <w14:schemeClr w14:val="tx1"/>
            </w14:solidFill>
          </w14:textFill>
        </w:rPr>
        <w:t>项目组织实施方案(可视情选用附件6、附件7)</w:t>
      </w:r>
      <w:r>
        <w:rPr>
          <w:rFonts w:ascii="宋体" w:hAnsi="宋体"/>
          <w:sz w:val="28"/>
          <w:szCs w:val="28"/>
        </w:rPr>
        <w:t xml:space="preserve">； </w:t>
      </w:r>
    </w:p>
    <w:p>
      <w:pPr>
        <w:snapToGrid w:val="0"/>
        <w:spacing w:line="360" w:lineRule="auto"/>
        <w:ind w:firstLine="560" w:firstLineChars="200"/>
        <w:rPr>
          <w:rFonts w:ascii="宋体" w:hAnsi="宋体"/>
          <w:sz w:val="28"/>
          <w:szCs w:val="28"/>
        </w:rPr>
      </w:pPr>
      <w:r>
        <w:rPr>
          <w:rFonts w:hint="eastAsia" w:ascii="宋体" w:hAnsi="宋体"/>
          <w:sz w:val="28"/>
          <w:szCs w:val="28"/>
        </w:rPr>
        <w:t>4、</w:t>
      </w:r>
      <w:r>
        <w:rPr>
          <w:rFonts w:asciiTheme="minorEastAsia" w:hAnsiTheme="minorEastAsia" w:eastAsiaTheme="minorEastAsia"/>
          <w:color w:val="000000" w:themeColor="text1"/>
          <w:kern w:val="0"/>
          <w:sz w:val="28"/>
          <w:szCs w:val="28"/>
          <w14:textFill>
            <w14:solidFill>
              <w14:schemeClr w14:val="tx1"/>
            </w14:solidFill>
          </w14:textFill>
        </w:rPr>
        <w:t>安装、调试及验收方案</w:t>
      </w:r>
      <w:r>
        <w:rPr>
          <w:rFonts w:hint="eastAsia" w:ascii="宋体" w:hAnsi="宋体"/>
          <w:sz w:val="28"/>
          <w:szCs w:val="28"/>
        </w:rPr>
        <w:t>；</w:t>
      </w:r>
    </w:p>
    <w:p>
      <w:pPr>
        <w:snapToGrid w:val="0"/>
        <w:spacing w:line="360" w:lineRule="auto"/>
        <w:ind w:firstLine="562" w:firstLineChars="200"/>
        <w:jc w:val="left"/>
        <w:rPr>
          <w:rFonts w:ascii="宋体" w:hAnsi="宋体"/>
          <w:b/>
          <w:bCs/>
          <w:sz w:val="28"/>
          <w:szCs w:val="28"/>
        </w:rPr>
      </w:pPr>
      <w:r>
        <w:rPr>
          <w:rFonts w:hint="eastAsia" w:ascii="宋体" w:hAnsi="宋体"/>
          <w:b/>
          <w:bCs/>
          <w:sz w:val="28"/>
          <w:szCs w:val="28"/>
        </w:rPr>
        <w:t>第二部分  投标产品描述部分</w:t>
      </w:r>
    </w:p>
    <w:p>
      <w:pPr>
        <w:snapToGrid w:val="0"/>
        <w:spacing w:line="360" w:lineRule="auto"/>
        <w:ind w:firstLine="548" w:firstLineChars="196"/>
        <w:rPr>
          <w:rFonts w:ascii="宋体" w:hAnsi="宋体"/>
          <w:kern w:val="0"/>
          <w:sz w:val="28"/>
          <w:szCs w:val="28"/>
        </w:rPr>
      </w:pPr>
      <w:r>
        <w:rPr>
          <w:rFonts w:hint="eastAsia" w:ascii="宋体" w:hAnsi="宋体"/>
          <w:sz w:val="28"/>
          <w:szCs w:val="28"/>
        </w:rPr>
        <w:t>1、</w:t>
      </w:r>
      <w:r>
        <w:rPr>
          <w:rFonts w:hint="eastAsia" w:ascii="宋体" w:hAnsi="宋体"/>
          <w:kern w:val="0"/>
          <w:sz w:val="28"/>
          <w:szCs w:val="28"/>
        </w:rPr>
        <w:t>投标产品描述及相关资料（</w:t>
      </w:r>
      <w:r>
        <w:rPr>
          <w:rFonts w:hint="eastAsia" w:ascii="宋体" w:hAnsi="宋体" w:cs="宋体"/>
          <w:color w:val="000000" w:themeColor="text1"/>
          <w:sz w:val="28"/>
          <w:szCs w:val="28"/>
          <w14:textFill>
            <w14:solidFill>
              <w14:schemeClr w14:val="tx1"/>
            </w14:solidFill>
          </w14:textFill>
        </w:rPr>
        <w:t>可视情选用附件8、附件9</w:t>
      </w:r>
      <w:r>
        <w:rPr>
          <w:rFonts w:hint="eastAsia" w:ascii="宋体" w:hAnsi="宋体"/>
          <w:kern w:val="0"/>
          <w:sz w:val="28"/>
          <w:szCs w:val="28"/>
        </w:rPr>
        <w:t>）；</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2、</w:t>
      </w:r>
      <w:r>
        <w:rPr>
          <w:rFonts w:hint="eastAsia" w:ascii="宋体" w:hAnsi="宋体"/>
          <w:sz w:val="28"/>
          <w:szCs w:val="28"/>
        </w:rPr>
        <w:t>投标人</w:t>
      </w:r>
      <w:r>
        <w:rPr>
          <w:rFonts w:ascii="宋体" w:hAnsi="宋体"/>
          <w:sz w:val="28"/>
          <w:szCs w:val="28"/>
        </w:rPr>
        <w:t>需要说明的其他</w:t>
      </w:r>
      <w:r>
        <w:rPr>
          <w:rFonts w:hint="eastAsia" w:ascii="宋体" w:hAnsi="宋体"/>
          <w:sz w:val="28"/>
          <w:szCs w:val="28"/>
        </w:rPr>
        <w:t>内容</w:t>
      </w:r>
      <w:r>
        <w:rPr>
          <w:rFonts w:hint="eastAsia" w:ascii="宋体" w:hAnsi="宋体"/>
          <w:color w:val="000000"/>
          <w:sz w:val="28"/>
          <w:szCs w:val="28"/>
        </w:rPr>
        <w:t>；（</w:t>
      </w:r>
      <w:r>
        <w:rPr>
          <w:rFonts w:hint="eastAsia" w:ascii="宋体" w:hAnsi="宋体" w:cs="宋体"/>
          <w:sz w:val="28"/>
          <w:szCs w:val="28"/>
        </w:rPr>
        <w:t>包括可能影响投标人技术性能评分项的各类证明材料）</w:t>
      </w:r>
    </w:p>
    <w:p>
      <w:pPr>
        <w:snapToGrid w:val="0"/>
        <w:spacing w:line="360" w:lineRule="auto"/>
        <w:ind w:firstLine="551" w:firstLineChars="196"/>
        <w:rPr>
          <w:rFonts w:ascii="宋体" w:hAnsi="宋体"/>
          <w:b/>
          <w:bCs/>
          <w:kern w:val="0"/>
          <w:sz w:val="28"/>
          <w:szCs w:val="28"/>
        </w:rPr>
      </w:pPr>
      <w:r>
        <w:rPr>
          <w:rFonts w:hint="eastAsia" w:ascii="宋体" w:hAnsi="宋体"/>
          <w:b/>
          <w:bCs/>
          <w:kern w:val="0"/>
          <w:sz w:val="28"/>
          <w:szCs w:val="28"/>
        </w:rPr>
        <w:t>第三部分  商务响应部分</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1、证书一览表（附件10）；</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2、近三年来类似项目的成功案例（附件11）；</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3、售后服务描述及承诺（可视情选用附件12，附件13）；</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第四部分  其他参考表格（此部分视情况选用）</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1、主要货物用材响应表(类似家具类货物采用，附件14)</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（以上内容具体描述详见“第三部分投标人须知”中“三、投标文件”的组成说明）</w:t>
      </w:r>
    </w:p>
    <w:p>
      <w:pPr>
        <w:pStyle w:val="34"/>
        <w:shd w:val="clear" w:color="auto" w:fill="FFFFFF"/>
        <w:spacing w:before="0" w:beforeAutospacing="0" w:after="0" w:afterAutospacing="0" w:line="360" w:lineRule="auto"/>
        <w:rPr>
          <w:b/>
          <w:sz w:val="28"/>
        </w:rPr>
      </w:pPr>
    </w:p>
    <w:p>
      <w:pPr>
        <w:pStyle w:val="34"/>
        <w:shd w:val="clear" w:color="auto" w:fill="FFFFFF"/>
        <w:spacing w:before="0" w:beforeAutospacing="0" w:after="0" w:afterAutospacing="0" w:line="360" w:lineRule="auto"/>
        <w:rPr>
          <w:b/>
          <w:sz w:val="28"/>
        </w:rPr>
      </w:pPr>
    </w:p>
    <w:p>
      <w:pPr>
        <w:pStyle w:val="34"/>
        <w:shd w:val="clear" w:color="auto" w:fill="FFFFFF"/>
        <w:spacing w:before="0" w:beforeAutospacing="0" w:after="0" w:afterAutospacing="0" w:line="360" w:lineRule="auto"/>
        <w:rPr>
          <w:b/>
          <w:sz w:val="28"/>
        </w:rPr>
      </w:pPr>
    </w:p>
    <w:p>
      <w:pPr>
        <w:pStyle w:val="34"/>
        <w:shd w:val="clear" w:color="auto" w:fill="FFFFFF"/>
        <w:spacing w:before="0" w:beforeAutospacing="0" w:after="0" w:afterAutospacing="0" w:line="360" w:lineRule="auto"/>
        <w:rPr>
          <w:b/>
          <w:sz w:val="28"/>
        </w:rPr>
      </w:pPr>
    </w:p>
    <w:p>
      <w:pPr>
        <w:pStyle w:val="34"/>
        <w:shd w:val="clear" w:color="auto" w:fill="FFFFFF"/>
        <w:spacing w:before="0" w:beforeAutospacing="0" w:after="0" w:afterAutospacing="0" w:line="360" w:lineRule="auto"/>
        <w:rPr>
          <w:b/>
          <w:sz w:val="28"/>
        </w:rPr>
      </w:pPr>
      <w:r>
        <w:rPr>
          <w:rFonts w:hint="eastAsia"/>
          <w:b/>
          <w:sz w:val="28"/>
        </w:rPr>
        <w:t>附件5</w:t>
      </w:r>
    </w:p>
    <w:p>
      <w:pPr>
        <w:pStyle w:val="34"/>
        <w:shd w:val="clear" w:color="auto" w:fill="FFFFFF"/>
        <w:spacing w:before="0" w:beforeAutospacing="0" w:after="0" w:afterAutospacing="0" w:line="360" w:lineRule="auto"/>
        <w:jc w:val="center"/>
        <w:rPr>
          <w:rFonts w:eastAsia="微软雅黑"/>
          <w:color w:val="000000"/>
          <w:sz w:val="36"/>
          <w:szCs w:val="36"/>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tbl>
      <w:tblPr>
        <w:tblStyle w:val="24"/>
        <w:tblW w:w="8954"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3" w:type="dxa"/>
          </w:tcPr>
          <w:p>
            <w:pPr>
              <w:pStyle w:val="34"/>
              <w:shd w:val="clear" w:color="auto" w:fill="FFFFFF"/>
              <w:spacing w:line="360" w:lineRule="auto"/>
              <w:rPr>
                <w:bCs/>
                <w:color w:val="000000"/>
              </w:rPr>
            </w:pPr>
            <w:r>
              <w:rPr>
                <w:rFonts w:hint="eastAsia"/>
                <w:bCs/>
                <w:color w:val="000000"/>
                <w:spacing w:val="27"/>
              </w:rPr>
              <w:t>企业名称</w:t>
            </w:r>
          </w:p>
        </w:tc>
        <w:tc>
          <w:tcPr>
            <w:tcW w:w="3979" w:type="dxa"/>
            <w:gridSpan w:val="6"/>
          </w:tcPr>
          <w:p>
            <w:pPr>
              <w:pStyle w:val="34"/>
              <w:shd w:val="clear" w:color="auto" w:fill="FFFFFF"/>
              <w:spacing w:line="360" w:lineRule="auto"/>
              <w:rPr>
                <w:bCs/>
                <w:color w:val="000000"/>
              </w:rPr>
            </w:pPr>
          </w:p>
        </w:tc>
        <w:tc>
          <w:tcPr>
            <w:tcW w:w="2001" w:type="dxa"/>
            <w:gridSpan w:val="3"/>
          </w:tcPr>
          <w:p>
            <w:pPr>
              <w:pStyle w:val="34"/>
              <w:shd w:val="clear" w:color="auto" w:fill="FFFFFF"/>
              <w:spacing w:line="360" w:lineRule="auto"/>
              <w:rPr>
                <w:bCs/>
                <w:color w:val="000000"/>
              </w:rPr>
            </w:pPr>
            <w:r>
              <w:rPr>
                <w:rFonts w:hint="eastAsia"/>
                <w:bCs/>
                <w:color w:val="000000"/>
                <w:spacing w:val="16"/>
              </w:rPr>
              <w:t>法人代表</w:t>
            </w:r>
          </w:p>
        </w:tc>
        <w:tc>
          <w:tcPr>
            <w:tcW w:w="2151" w:type="dxa"/>
            <w:gridSpan w:val="2"/>
          </w:tcPr>
          <w:p>
            <w:pPr>
              <w:pStyle w:val="34"/>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23" w:type="dxa"/>
          </w:tcPr>
          <w:p>
            <w:pPr>
              <w:pStyle w:val="34"/>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color="auto" w:sz="4" w:space="0"/>
            </w:tcBorders>
          </w:tcPr>
          <w:p>
            <w:pPr>
              <w:pStyle w:val="34"/>
              <w:shd w:val="clear" w:color="auto" w:fill="FFFFFF"/>
              <w:spacing w:line="360" w:lineRule="auto"/>
              <w:rPr>
                <w:bCs/>
                <w:color w:val="000000"/>
                <w:spacing w:val="16"/>
              </w:rPr>
            </w:pPr>
          </w:p>
        </w:tc>
        <w:tc>
          <w:tcPr>
            <w:tcW w:w="2001" w:type="dxa"/>
            <w:gridSpan w:val="3"/>
          </w:tcPr>
          <w:p>
            <w:pPr>
              <w:pStyle w:val="34"/>
              <w:shd w:val="clear" w:color="auto" w:fill="FFFFFF"/>
              <w:spacing w:line="360" w:lineRule="auto"/>
              <w:rPr>
                <w:bCs/>
                <w:color w:val="000000"/>
                <w:spacing w:val="16"/>
              </w:rPr>
            </w:pPr>
            <w:r>
              <w:rPr>
                <w:rFonts w:hint="eastAsia"/>
                <w:bCs/>
                <w:color w:val="000000"/>
                <w:spacing w:val="16"/>
              </w:rPr>
              <w:t>企业性质</w:t>
            </w:r>
          </w:p>
        </w:tc>
        <w:tc>
          <w:tcPr>
            <w:tcW w:w="2151" w:type="dxa"/>
            <w:gridSpan w:val="2"/>
          </w:tcPr>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3" w:type="dxa"/>
            <w:tcBorders>
              <w:bottom w:val="single" w:color="auto" w:sz="4" w:space="0"/>
            </w:tcBorders>
          </w:tcPr>
          <w:p>
            <w:pPr>
              <w:pStyle w:val="34"/>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color="auto" w:sz="4" w:space="0"/>
            </w:tcBorders>
          </w:tcPr>
          <w:p>
            <w:pPr>
              <w:pStyle w:val="34"/>
              <w:shd w:val="clear" w:color="auto" w:fill="FFFFFF"/>
              <w:spacing w:before="0" w:beforeAutospacing="0" w:after="0" w:afterAutospacing="0" w:line="360" w:lineRule="auto"/>
              <w:rPr>
                <w:bCs/>
                <w:color w:val="000000"/>
                <w:spacing w:val="16"/>
              </w:rPr>
            </w:pPr>
          </w:p>
        </w:tc>
        <w:tc>
          <w:tcPr>
            <w:tcW w:w="910" w:type="dxa"/>
            <w:gridSpan w:val="2"/>
            <w:tcBorders>
              <w:bottom w:val="single" w:color="auto" w:sz="4" w:space="0"/>
            </w:tcBorders>
          </w:tcPr>
          <w:p>
            <w:pPr>
              <w:pStyle w:val="34"/>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spacing w:val="16"/>
                <w:kern w:val="0"/>
                <w:sz w:val="24"/>
              </w:rPr>
            </w:pPr>
          </w:p>
          <w:p>
            <w:pPr>
              <w:pStyle w:val="34"/>
              <w:shd w:val="clear" w:color="auto" w:fill="FFFFFF"/>
              <w:spacing w:line="360" w:lineRule="auto"/>
              <w:rPr>
                <w:bCs/>
                <w:color w:val="000000"/>
                <w:spacing w:val="16"/>
              </w:rPr>
            </w:pPr>
          </w:p>
        </w:tc>
        <w:tc>
          <w:tcPr>
            <w:tcW w:w="2001" w:type="dxa"/>
            <w:gridSpan w:val="3"/>
          </w:tcPr>
          <w:p>
            <w:pPr>
              <w:pStyle w:val="34"/>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tcPr>
          <w:p>
            <w:pPr>
              <w:pStyle w:val="34"/>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23" w:type="dxa"/>
            <w:vMerge w:val="restart"/>
          </w:tcPr>
          <w:p>
            <w:pPr>
              <w:pStyle w:val="34"/>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tcPr>
          <w:p>
            <w:pPr>
              <w:pStyle w:val="34"/>
              <w:shd w:val="clear" w:color="auto" w:fill="FFFFFF"/>
              <w:spacing w:line="360" w:lineRule="auto"/>
              <w:rPr>
                <w:bCs/>
                <w:color w:val="000000"/>
                <w:spacing w:val="16"/>
              </w:rPr>
            </w:pPr>
          </w:p>
        </w:tc>
        <w:tc>
          <w:tcPr>
            <w:tcW w:w="910" w:type="dxa"/>
            <w:gridSpan w:val="2"/>
            <w:tcBorders>
              <w:top w:val="nil"/>
              <w:bottom w:val="single" w:color="auto" w:sz="4" w:space="0"/>
            </w:tcBorders>
          </w:tcPr>
          <w:p>
            <w:pPr>
              <w:pStyle w:val="34"/>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spacing w:val="16"/>
                <w:kern w:val="0"/>
                <w:sz w:val="24"/>
              </w:rPr>
            </w:pPr>
          </w:p>
          <w:p>
            <w:pPr>
              <w:pStyle w:val="34"/>
              <w:shd w:val="clear" w:color="auto" w:fill="FFFFFF"/>
              <w:spacing w:line="360" w:lineRule="auto"/>
              <w:rPr>
                <w:bCs/>
                <w:color w:val="000000"/>
                <w:spacing w:val="16"/>
              </w:rPr>
            </w:pPr>
          </w:p>
        </w:tc>
        <w:tc>
          <w:tcPr>
            <w:tcW w:w="2001" w:type="dxa"/>
            <w:gridSpan w:val="3"/>
            <w:vMerge w:val="restart"/>
          </w:tcPr>
          <w:p>
            <w:pPr>
              <w:pStyle w:val="34"/>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tcPr>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23" w:type="dxa"/>
            <w:vMerge w:val="continue"/>
            <w:tcBorders>
              <w:bottom w:val="single" w:color="auto" w:sz="4" w:space="0"/>
            </w:tcBorders>
          </w:tcPr>
          <w:p>
            <w:pPr>
              <w:pStyle w:val="34"/>
              <w:shd w:val="clear" w:color="auto" w:fill="FFFFFF"/>
              <w:spacing w:line="360" w:lineRule="auto"/>
              <w:ind w:left="107"/>
              <w:rPr>
                <w:bCs/>
                <w:color w:val="000000"/>
              </w:rPr>
            </w:pPr>
          </w:p>
        </w:tc>
        <w:tc>
          <w:tcPr>
            <w:tcW w:w="701" w:type="dxa"/>
            <w:vMerge w:val="continue"/>
            <w:tcBorders>
              <w:bottom w:val="single" w:color="auto" w:sz="4" w:space="0"/>
            </w:tcBorders>
          </w:tcPr>
          <w:p>
            <w:pPr>
              <w:pStyle w:val="34"/>
              <w:shd w:val="clear" w:color="auto" w:fill="FFFFFF"/>
              <w:spacing w:line="360" w:lineRule="auto"/>
              <w:rPr>
                <w:bCs/>
                <w:color w:val="000000"/>
                <w:spacing w:val="16"/>
              </w:rPr>
            </w:pPr>
          </w:p>
        </w:tc>
        <w:tc>
          <w:tcPr>
            <w:tcW w:w="910" w:type="dxa"/>
            <w:gridSpan w:val="2"/>
            <w:tcBorders>
              <w:bottom w:val="single" w:color="auto" w:sz="4" w:space="0"/>
            </w:tcBorders>
          </w:tcPr>
          <w:p>
            <w:pPr>
              <w:pStyle w:val="34"/>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color="auto" w:sz="4" w:space="0"/>
            </w:tcBorders>
          </w:tcPr>
          <w:p>
            <w:pPr>
              <w:pStyle w:val="34"/>
              <w:shd w:val="clear" w:color="auto" w:fill="FFFFFF"/>
              <w:spacing w:line="360" w:lineRule="auto"/>
              <w:rPr>
                <w:bCs/>
                <w:color w:val="000000"/>
                <w:spacing w:val="16"/>
              </w:rPr>
            </w:pPr>
          </w:p>
        </w:tc>
        <w:tc>
          <w:tcPr>
            <w:tcW w:w="2001" w:type="dxa"/>
            <w:gridSpan w:val="3"/>
            <w:vMerge w:val="continue"/>
          </w:tcPr>
          <w:p>
            <w:pPr>
              <w:pStyle w:val="34"/>
              <w:shd w:val="clear" w:color="auto" w:fill="FFFFFF"/>
              <w:spacing w:line="360" w:lineRule="auto"/>
              <w:rPr>
                <w:bCs/>
                <w:color w:val="000000"/>
                <w:spacing w:val="16"/>
              </w:rPr>
            </w:pPr>
          </w:p>
        </w:tc>
        <w:tc>
          <w:tcPr>
            <w:tcW w:w="2151" w:type="dxa"/>
            <w:gridSpan w:val="2"/>
            <w:vMerge w:val="continue"/>
          </w:tcPr>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23" w:type="dxa"/>
            <w:vMerge w:val="restart"/>
          </w:tcPr>
          <w:p>
            <w:pPr>
              <w:pStyle w:val="34"/>
              <w:shd w:val="clear" w:color="auto" w:fill="FFFFFF"/>
              <w:spacing w:line="360" w:lineRule="auto"/>
              <w:ind w:left="107"/>
              <w:rPr>
                <w:bCs/>
                <w:color w:val="000000"/>
              </w:rPr>
            </w:pPr>
            <w:r>
              <w:rPr>
                <w:bCs/>
                <w:color w:val="000000"/>
              </w:rPr>
              <w:t>1</w:t>
            </w:r>
            <w:r>
              <w:rPr>
                <w:rFonts w:hint="eastAsia"/>
                <w:bCs/>
                <w:color w:val="000000"/>
              </w:rPr>
              <w:t>.</w:t>
            </w:r>
          </w:p>
          <w:p>
            <w:pPr>
              <w:pStyle w:val="34"/>
              <w:shd w:val="clear" w:color="auto" w:fill="FFFFFF"/>
              <w:spacing w:line="360" w:lineRule="auto"/>
              <w:ind w:left="107"/>
              <w:rPr>
                <w:bCs/>
                <w:color w:val="000000"/>
              </w:rPr>
            </w:pPr>
            <w:r>
              <w:rPr>
                <w:rFonts w:hint="eastAsia"/>
                <w:bCs/>
                <w:color w:val="000000"/>
              </w:rPr>
              <w:t>企</w:t>
            </w:r>
          </w:p>
          <w:p>
            <w:pPr>
              <w:pStyle w:val="34"/>
              <w:shd w:val="clear" w:color="auto" w:fill="FFFFFF"/>
              <w:spacing w:line="360" w:lineRule="auto"/>
              <w:ind w:left="107"/>
              <w:rPr>
                <w:bCs/>
                <w:color w:val="000000"/>
              </w:rPr>
            </w:pPr>
            <w:r>
              <w:rPr>
                <w:rFonts w:hint="eastAsia"/>
                <w:bCs/>
                <w:color w:val="000000"/>
              </w:rPr>
              <w:t>业</w:t>
            </w:r>
          </w:p>
          <w:p>
            <w:pPr>
              <w:pStyle w:val="34"/>
              <w:shd w:val="clear" w:color="auto" w:fill="FFFFFF"/>
              <w:spacing w:line="360" w:lineRule="auto"/>
              <w:ind w:left="107"/>
              <w:rPr>
                <w:bCs/>
                <w:color w:val="000000"/>
                <w:spacing w:val="27"/>
              </w:rPr>
            </w:pPr>
            <w:r>
              <w:rPr>
                <w:rFonts w:hint="eastAsia"/>
                <w:bCs/>
                <w:color w:val="000000"/>
                <w:spacing w:val="27"/>
              </w:rPr>
              <w:t>概</w:t>
            </w:r>
          </w:p>
          <w:p>
            <w:pPr>
              <w:pStyle w:val="34"/>
              <w:shd w:val="clear" w:color="auto" w:fill="FFFFFF"/>
              <w:spacing w:line="360" w:lineRule="auto"/>
              <w:ind w:left="107"/>
              <w:rPr>
                <w:bCs/>
                <w:color w:val="000000"/>
              </w:rPr>
            </w:pPr>
            <w:r>
              <w:rPr>
                <w:rFonts w:hint="eastAsia"/>
                <w:bCs/>
                <w:color w:val="000000"/>
                <w:spacing w:val="27"/>
              </w:rPr>
              <w:t>况</w:t>
            </w:r>
          </w:p>
        </w:tc>
        <w:tc>
          <w:tcPr>
            <w:tcW w:w="701" w:type="dxa"/>
            <w:tcBorders>
              <w:top w:val="nil"/>
            </w:tcBorders>
          </w:tcPr>
          <w:p>
            <w:pPr>
              <w:pStyle w:val="34"/>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nil"/>
            </w:tcBorders>
          </w:tcPr>
          <w:p>
            <w:pPr>
              <w:pStyle w:val="34"/>
              <w:shd w:val="clear" w:color="auto" w:fill="FFFFFF"/>
              <w:spacing w:line="360" w:lineRule="auto"/>
              <w:rPr>
                <w:bCs/>
                <w:color w:val="000000"/>
                <w:spacing w:val="16"/>
              </w:rPr>
            </w:pPr>
          </w:p>
        </w:tc>
        <w:tc>
          <w:tcPr>
            <w:tcW w:w="1163" w:type="dxa"/>
            <w:tcBorders>
              <w:top w:val="nil"/>
            </w:tcBorders>
          </w:tcPr>
          <w:p>
            <w:pPr>
              <w:pStyle w:val="34"/>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nil"/>
            </w:tcBorders>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34"/>
              <w:shd w:val="clear" w:color="auto" w:fill="FFFFFF"/>
              <w:spacing w:line="360" w:lineRule="auto"/>
              <w:rPr>
                <w:bCs/>
                <w:color w:val="000000"/>
                <w:spacing w:val="16"/>
              </w:rPr>
            </w:pPr>
          </w:p>
        </w:tc>
        <w:tc>
          <w:tcPr>
            <w:tcW w:w="2001" w:type="dxa"/>
            <w:gridSpan w:val="3"/>
          </w:tcPr>
          <w:p>
            <w:pPr>
              <w:pStyle w:val="34"/>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Pr>
          <w:p>
            <w:pPr>
              <w:widowControl/>
              <w:spacing w:line="360" w:lineRule="auto"/>
              <w:jc w:val="left"/>
              <w:rPr>
                <w:rFonts w:ascii="宋体" w:hAnsi="宋体" w:cs="宋体"/>
                <w:bCs/>
                <w:color w:val="000000"/>
                <w:spacing w:val="16"/>
                <w:kern w:val="0"/>
                <w:sz w:val="24"/>
              </w:rPr>
            </w:pPr>
          </w:p>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823" w:type="dxa"/>
            <w:vMerge w:val="continue"/>
          </w:tcPr>
          <w:p>
            <w:pPr>
              <w:pStyle w:val="34"/>
              <w:shd w:val="clear" w:color="auto" w:fill="FFFFFF"/>
              <w:spacing w:line="360" w:lineRule="auto"/>
              <w:ind w:left="107"/>
              <w:rPr>
                <w:bCs/>
                <w:color w:val="000000"/>
              </w:rPr>
            </w:pPr>
          </w:p>
        </w:tc>
        <w:tc>
          <w:tcPr>
            <w:tcW w:w="701" w:type="dxa"/>
          </w:tcPr>
          <w:p>
            <w:pPr>
              <w:pStyle w:val="34"/>
              <w:shd w:val="clear" w:color="auto" w:fill="FFFFFF"/>
              <w:spacing w:line="360" w:lineRule="auto"/>
              <w:rPr>
                <w:bCs/>
                <w:color w:val="000000"/>
              </w:rPr>
            </w:pPr>
            <w:r>
              <w:rPr>
                <w:rFonts w:hint="eastAsia"/>
                <w:bCs/>
                <w:color w:val="000000"/>
                <w:spacing w:val="16"/>
              </w:rPr>
              <w:t>占地面积</w:t>
            </w:r>
          </w:p>
        </w:tc>
        <w:tc>
          <w:tcPr>
            <w:tcW w:w="910" w:type="dxa"/>
            <w:gridSpan w:val="2"/>
          </w:tcPr>
          <w:p>
            <w:pPr>
              <w:pStyle w:val="34"/>
              <w:shd w:val="clear" w:color="auto" w:fill="FFFFFF"/>
              <w:spacing w:line="360" w:lineRule="auto"/>
              <w:rPr>
                <w:bCs/>
                <w:color w:val="000000"/>
              </w:rPr>
            </w:pPr>
          </w:p>
        </w:tc>
        <w:tc>
          <w:tcPr>
            <w:tcW w:w="1163" w:type="dxa"/>
          </w:tcPr>
          <w:p>
            <w:pPr>
              <w:pStyle w:val="34"/>
              <w:shd w:val="clear" w:color="auto" w:fill="FFFFFF"/>
              <w:spacing w:line="360" w:lineRule="auto"/>
              <w:rPr>
                <w:bCs/>
                <w:color w:val="000000"/>
              </w:rPr>
            </w:pPr>
            <w:r>
              <w:rPr>
                <w:rFonts w:hint="eastAsia"/>
                <w:bCs/>
                <w:color w:val="000000"/>
                <w:spacing w:val="16"/>
              </w:rPr>
              <w:t>建筑面积</w:t>
            </w:r>
          </w:p>
        </w:tc>
        <w:tc>
          <w:tcPr>
            <w:tcW w:w="1205" w:type="dxa"/>
            <w:gridSpan w:val="2"/>
          </w:tcPr>
          <w:p>
            <w:pPr>
              <w:pStyle w:val="34"/>
              <w:shd w:val="clear" w:color="auto" w:fill="FFFFFF"/>
              <w:spacing w:line="360" w:lineRule="auto"/>
              <w:ind w:firstLine="480" w:firstLineChars="200"/>
              <w:rPr>
                <w:bCs/>
                <w:color w:val="000000"/>
              </w:rPr>
            </w:pPr>
            <w:r>
              <w:rPr>
                <w:rFonts w:hint="eastAsia"/>
                <w:bCs/>
                <w:color w:val="000000"/>
              </w:rPr>
              <w:t xml:space="preserve">平方米 </w:t>
            </w:r>
          </w:p>
          <w:p>
            <w:pPr>
              <w:pStyle w:val="34"/>
              <w:shd w:val="clear" w:color="auto" w:fill="FFFFFF"/>
              <w:spacing w:line="360" w:lineRule="auto"/>
              <w:rPr>
                <w:bCs/>
                <w:color w:val="000000"/>
              </w:rPr>
            </w:pPr>
            <w:r>
              <w:rPr>
                <w:rFonts w:hint="eastAsia"/>
                <w:bCs/>
                <w:color w:val="000000"/>
                <w:spacing w:val="16"/>
              </w:rPr>
              <w:t>□自有□租賃</w:t>
            </w:r>
          </w:p>
        </w:tc>
        <w:tc>
          <w:tcPr>
            <w:tcW w:w="2001" w:type="dxa"/>
            <w:gridSpan w:val="3"/>
          </w:tcPr>
          <w:p>
            <w:pPr>
              <w:pStyle w:val="34"/>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tcPr>
          <w:p>
            <w:pPr>
              <w:pStyle w:val="34"/>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23" w:type="dxa"/>
            <w:vMerge w:val="continue"/>
          </w:tcPr>
          <w:p>
            <w:pPr>
              <w:pStyle w:val="34"/>
              <w:shd w:val="clear" w:color="auto" w:fill="FFFFFF"/>
              <w:spacing w:line="360" w:lineRule="auto"/>
              <w:ind w:left="107"/>
              <w:rPr>
                <w:bCs/>
                <w:color w:val="000000"/>
              </w:rPr>
            </w:pPr>
          </w:p>
        </w:tc>
        <w:tc>
          <w:tcPr>
            <w:tcW w:w="701" w:type="dxa"/>
          </w:tcPr>
          <w:p>
            <w:pPr>
              <w:pStyle w:val="34"/>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tcPr>
          <w:p>
            <w:pPr>
              <w:pStyle w:val="34"/>
              <w:shd w:val="clear" w:color="auto" w:fill="FFFFFF"/>
              <w:spacing w:line="360" w:lineRule="auto"/>
              <w:ind w:left="2"/>
              <w:rPr>
                <w:bCs/>
                <w:color w:val="000000"/>
              </w:rPr>
            </w:pPr>
          </w:p>
        </w:tc>
        <w:tc>
          <w:tcPr>
            <w:tcW w:w="1163" w:type="dxa"/>
          </w:tcPr>
          <w:p>
            <w:pPr>
              <w:pStyle w:val="34"/>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tcPr>
          <w:p>
            <w:pPr>
              <w:widowControl/>
              <w:spacing w:line="360" w:lineRule="auto"/>
              <w:jc w:val="left"/>
              <w:rPr>
                <w:rFonts w:ascii="宋体" w:hAnsi="宋体" w:cs="宋体"/>
                <w:bCs/>
                <w:color w:val="000000"/>
                <w:kern w:val="0"/>
                <w:sz w:val="24"/>
              </w:rPr>
            </w:pPr>
          </w:p>
          <w:p>
            <w:pPr>
              <w:pStyle w:val="34"/>
              <w:shd w:val="clear" w:color="auto" w:fill="FFFFFF"/>
              <w:spacing w:line="360" w:lineRule="auto"/>
              <w:ind w:left="107"/>
              <w:rPr>
                <w:bCs/>
                <w:color w:val="000000"/>
              </w:rPr>
            </w:pPr>
          </w:p>
        </w:tc>
        <w:tc>
          <w:tcPr>
            <w:tcW w:w="1218" w:type="dxa"/>
          </w:tcPr>
          <w:p>
            <w:pPr>
              <w:pStyle w:val="34"/>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tcPr>
          <w:p>
            <w:pPr>
              <w:pStyle w:val="34"/>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23" w:type="dxa"/>
            <w:vMerge w:val="continue"/>
          </w:tcPr>
          <w:p>
            <w:pPr>
              <w:pStyle w:val="34"/>
              <w:shd w:val="clear" w:color="auto" w:fill="FFFFFF"/>
              <w:spacing w:line="360" w:lineRule="auto"/>
              <w:ind w:left="107"/>
              <w:rPr>
                <w:bCs/>
                <w:color w:val="000000"/>
              </w:rPr>
            </w:pPr>
          </w:p>
        </w:tc>
        <w:tc>
          <w:tcPr>
            <w:tcW w:w="701" w:type="dxa"/>
          </w:tcPr>
          <w:p>
            <w:pPr>
              <w:pStyle w:val="34"/>
              <w:shd w:val="clear" w:color="auto" w:fill="FFFFFF"/>
              <w:spacing w:line="360" w:lineRule="auto"/>
              <w:ind w:left="2"/>
              <w:rPr>
                <w:bCs/>
                <w:color w:val="000000"/>
              </w:rPr>
            </w:pPr>
            <w:r>
              <w:rPr>
                <w:rFonts w:hint="eastAsia"/>
                <w:bCs/>
                <w:color w:val="000000"/>
              </w:rPr>
              <w:t>核准经营范围</w:t>
            </w:r>
          </w:p>
        </w:tc>
        <w:tc>
          <w:tcPr>
            <w:tcW w:w="7430" w:type="dxa"/>
            <w:gridSpan w:val="10"/>
          </w:tcPr>
          <w:p>
            <w:pPr>
              <w:pStyle w:val="34"/>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23" w:type="dxa"/>
            <w:vMerge w:val="continue"/>
          </w:tcPr>
          <w:p>
            <w:pPr>
              <w:pStyle w:val="34"/>
              <w:shd w:val="clear" w:color="auto" w:fill="FFFFFF"/>
              <w:spacing w:line="360" w:lineRule="auto"/>
              <w:ind w:left="107"/>
              <w:rPr>
                <w:bCs/>
                <w:color w:val="000000"/>
              </w:rPr>
            </w:pPr>
          </w:p>
        </w:tc>
        <w:tc>
          <w:tcPr>
            <w:tcW w:w="8131" w:type="dxa"/>
            <w:gridSpan w:val="11"/>
          </w:tcPr>
          <w:p>
            <w:pPr>
              <w:pStyle w:val="34"/>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23" w:type="dxa"/>
            <w:vMerge w:val="restart"/>
          </w:tcPr>
          <w:p>
            <w:pPr>
              <w:pStyle w:val="34"/>
              <w:shd w:val="clear" w:color="auto" w:fill="FFFFFF"/>
              <w:spacing w:line="360" w:lineRule="auto"/>
              <w:ind w:left="107"/>
              <w:rPr>
                <w:bCs/>
                <w:color w:val="000000"/>
              </w:rPr>
            </w:pPr>
            <w:r>
              <w:rPr>
                <w:bCs/>
                <w:color w:val="000000"/>
              </w:rPr>
              <w:t>2</w:t>
            </w:r>
            <w:r>
              <w:rPr>
                <w:rFonts w:hint="eastAsia"/>
                <w:bCs/>
                <w:color w:val="000000"/>
              </w:rPr>
              <w:t>．</w:t>
            </w:r>
          </w:p>
          <w:p>
            <w:pPr>
              <w:pStyle w:val="34"/>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tcPr>
          <w:p>
            <w:pPr>
              <w:pStyle w:val="34"/>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tcPr>
          <w:p>
            <w:pPr>
              <w:pStyle w:val="34"/>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tcPr>
          <w:p>
            <w:pPr>
              <w:pStyle w:val="34"/>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tcPr>
          <w:p>
            <w:pPr>
              <w:pStyle w:val="34"/>
              <w:shd w:val="clear" w:color="auto" w:fill="FFFFFF"/>
              <w:spacing w:line="360" w:lineRule="auto"/>
              <w:jc w:val="center"/>
              <w:rPr>
                <w:bCs/>
                <w:color w:val="000000"/>
              </w:rPr>
            </w:pPr>
            <w:r>
              <w:rPr>
                <w:rFonts w:hint="eastAsia"/>
                <w:bCs/>
                <w:color w:val="000000"/>
                <w:spacing w:val="27"/>
              </w:rPr>
              <w:t>编号</w:t>
            </w:r>
          </w:p>
        </w:tc>
        <w:tc>
          <w:tcPr>
            <w:tcW w:w="1618" w:type="dxa"/>
            <w:gridSpan w:val="2"/>
          </w:tcPr>
          <w:p>
            <w:pPr>
              <w:pStyle w:val="34"/>
              <w:shd w:val="clear" w:color="auto" w:fill="FFFFFF"/>
              <w:spacing w:line="360" w:lineRule="auto"/>
              <w:jc w:val="center"/>
              <w:rPr>
                <w:bCs/>
                <w:color w:val="000000"/>
              </w:rPr>
            </w:pPr>
            <w:r>
              <w:rPr>
                <w:rFonts w:hint="eastAsia"/>
                <w:bCs/>
                <w:color w:val="000000"/>
                <w:spacing w:val="16"/>
              </w:rPr>
              <w:t>发证时间</w:t>
            </w:r>
          </w:p>
        </w:tc>
        <w:tc>
          <w:tcPr>
            <w:tcW w:w="933" w:type="dxa"/>
          </w:tcPr>
          <w:p>
            <w:pPr>
              <w:pStyle w:val="34"/>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823" w:type="dxa"/>
            <w:vMerge w:val="continue"/>
          </w:tcPr>
          <w:p>
            <w:pPr>
              <w:pStyle w:val="34"/>
              <w:shd w:val="clear" w:color="auto" w:fill="FFFFFF"/>
              <w:spacing w:line="360" w:lineRule="auto"/>
              <w:ind w:left="107"/>
              <w:rPr>
                <w:bCs/>
                <w:color w:val="000000"/>
              </w:rPr>
            </w:pPr>
          </w:p>
        </w:tc>
        <w:tc>
          <w:tcPr>
            <w:tcW w:w="1553" w:type="dxa"/>
            <w:gridSpan w:val="2"/>
            <w:vMerge w:val="continue"/>
          </w:tcPr>
          <w:p>
            <w:pPr>
              <w:pStyle w:val="34"/>
              <w:shd w:val="clear" w:color="auto" w:fill="FFFFFF"/>
              <w:spacing w:line="360" w:lineRule="auto"/>
              <w:rPr>
                <w:bCs/>
                <w:color w:val="000000"/>
              </w:rPr>
            </w:pPr>
          </w:p>
        </w:tc>
        <w:tc>
          <w:tcPr>
            <w:tcW w:w="1333" w:type="dxa"/>
            <w:gridSpan w:val="3"/>
          </w:tcPr>
          <w:p>
            <w:pPr>
              <w:pStyle w:val="34"/>
              <w:shd w:val="clear" w:color="auto" w:fill="FFFFFF"/>
              <w:spacing w:line="360" w:lineRule="auto"/>
              <w:rPr>
                <w:bCs/>
                <w:color w:val="000000"/>
              </w:rPr>
            </w:pPr>
          </w:p>
        </w:tc>
        <w:tc>
          <w:tcPr>
            <w:tcW w:w="1418" w:type="dxa"/>
            <w:gridSpan w:val="2"/>
          </w:tcPr>
          <w:p>
            <w:pPr>
              <w:pStyle w:val="34"/>
              <w:shd w:val="clear" w:color="auto" w:fill="FFFFFF"/>
              <w:spacing w:line="360" w:lineRule="auto"/>
              <w:rPr>
                <w:bCs/>
                <w:color w:val="000000"/>
              </w:rPr>
            </w:pPr>
          </w:p>
        </w:tc>
        <w:tc>
          <w:tcPr>
            <w:tcW w:w="1276" w:type="dxa"/>
          </w:tcPr>
          <w:p>
            <w:pPr>
              <w:pStyle w:val="34"/>
              <w:shd w:val="clear" w:color="auto" w:fill="FFFFFF"/>
              <w:spacing w:line="360" w:lineRule="auto"/>
              <w:rPr>
                <w:bCs/>
                <w:color w:val="000000"/>
              </w:rPr>
            </w:pPr>
          </w:p>
        </w:tc>
        <w:tc>
          <w:tcPr>
            <w:tcW w:w="2551" w:type="dxa"/>
            <w:gridSpan w:val="3"/>
          </w:tcPr>
          <w:p>
            <w:pPr>
              <w:pStyle w:val="34"/>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23" w:type="dxa"/>
            <w:vMerge w:val="continue"/>
          </w:tcPr>
          <w:p>
            <w:pPr>
              <w:pStyle w:val="34"/>
              <w:shd w:val="clear" w:color="auto" w:fill="FFFFFF"/>
              <w:spacing w:line="360" w:lineRule="auto"/>
              <w:ind w:left="107"/>
              <w:rPr>
                <w:bCs/>
                <w:color w:val="000000"/>
                <w:spacing w:val="16"/>
              </w:rPr>
            </w:pPr>
          </w:p>
        </w:tc>
        <w:tc>
          <w:tcPr>
            <w:tcW w:w="1553" w:type="dxa"/>
            <w:gridSpan w:val="2"/>
          </w:tcPr>
          <w:p>
            <w:pPr>
              <w:pStyle w:val="34"/>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23" w:type="dxa"/>
            <w:vMerge w:val="continue"/>
          </w:tcPr>
          <w:p>
            <w:pPr>
              <w:pStyle w:val="34"/>
              <w:shd w:val="clear" w:color="auto" w:fill="FFFFFF"/>
              <w:spacing w:line="360" w:lineRule="auto"/>
              <w:ind w:left="107"/>
              <w:rPr>
                <w:bCs/>
                <w:color w:val="000000"/>
                <w:spacing w:val="27"/>
              </w:rPr>
            </w:pPr>
          </w:p>
        </w:tc>
        <w:tc>
          <w:tcPr>
            <w:tcW w:w="1553" w:type="dxa"/>
            <w:gridSpan w:val="2"/>
          </w:tcPr>
          <w:p>
            <w:pPr>
              <w:pStyle w:val="34"/>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pPr>
              <w:pStyle w:val="34"/>
              <w:shd w:val="clear" w:color="auto" w:fill="FFFFFF"/>
              <w:spacing w:line="360" w:lineRule="auto"/>
              <w:rPr>
                <w:bCs/>
                <w:color w:val="000000"/>
                <w:spacing w:val="16"/>
              </w:rPr>
            </w:pPr>
          </w:p>
        </w:tc>
      </w:tr>
    </w:tbl>
    <w:p>
      <w:pPr>
        <w:pStyle w:val="34"/>
        <w:shd w:val="clear" w:color="auto" w:fill="FFFFFF"/>
        <w:spacing w:before="0" w:beforeAutospacing="0" w:after="0" w:afterAutospacing="0" w:line="360" w:lineRule="auto"/>
        <w:rPr>
          <w:rFonts w:ascii="FangSong_GB2312" w:eastAsia="FangSong_GB2312"/>
        </w:rPr>
      </w:pPr>
    </w:p>
    <w:p>
      <w:pPr>
        <w:pStyle w:val="34"/>
        <w:shd w:val="clear" w:color="auto" w:fill="FFFFFF"/>
        <w:spacing w:before="0" w:beforeAutospacing="0" w:after="0" w:afterAutospacing="0" w:line="360" w:lineRule="auto"/>
        <w:rPr>
          <w:b/>
          <w:sz w:val="21"/>
          <w:szCs w:val="21"/>
        </w:rPr>
      </w:pPr>
      <w:r>
        <w:rPr>
          <w:rFonts w:hint="eastAsia"/>
          <w:b/>
          <w:sz w:val="21"/>
          <w:szCs w:val="21"/>
        </w:rPr>
        <w:t>要求：</w:t>
      </w:r>
    </w:p>
    <w:p>
      <w:pPr>
        <w:pStyle w:val="34"/>
        <w:shd w:val="clear" w:color="auto" w:fill="FFFFFF"/>
        <w:spacing w:before="0" w:beforeAutospacing="0" w:after="0" w:afterAutospacing="0" w:line="360" w:lineRule="auto"/>
        <w:ind w:firstLine="424" w:firstLineChars="202"/>
        <w:rPr>
          <w:color w:val="000000"/>
          <w:sz w:val="21"/>
          <w:szCs w:val="21"/>
        </w:rPr>
      </w:pPr>
      <w:r>
        <w:rPr>
          <w:rFonts w:hint="eastAsia" w:ascii="FangSong_GB2312" w:eastAsia="FangSong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4"/>
        </w:rPr>
      </w:pPr>
    </w:p>
    <w:p>
      <w:pPr>
        <w:spacing w:line="360" w:lineRule="auto"/>
        <w:rPr>
          <w:rFonts w:ascii="宋体" w:hAnsi="宋体"/>
          <w:sz w:val="24"/>
        </w:rPr>
      </w:pPr>
      <w:r>
        <w:rPr>
          <w:rFonts w:hint="eastAsia" w:ascii="宋体" w:hAnsi="宋体"/>
          <w:b/>
          <w:sz w:val="28"/>
        </w:rPr>
        <w:t>附件6</w:t>
      </w:r>
    </w:p>
    <w:p>
      <w:pPr>
        <w:snapToGrid w:val="0"/>
        <w:spacing w:before="156" w:beforeLines="50" w:after="50" w:line="360" w:lineRule="auto"/>
        <w:jc w:val="center"/>
        <w:rPr>
          <w:rFonts w:ascii="宋体" w:hAnsi="宋体"/>
          <w:b/>
          <w:sz w:val="36"/>
          <w:szCs w:val="36"/>
        </w:rPr>
      </w:pPr>
      <w:r>
        <w:rPr>
          <w:rFonts w:hint="eastAsia" w:ascii="宋体" w:hAnsi="宋体"/>
          <w:b/>
          <w:sz w:val="32"/>
          <w:szCs w:val="32"/>
        </w:rPr>
        <w:t>项目实施人员一览表</w:t>
      </w:r>
      <w:r>
        <w:rPr>
          <w:rFonts w:hint="eastAsia" w:ascii="宋体" w:hAnsi="宋体"/>
          <w:b/>
          <w:color w:val="33CCCC"/>
          <w:sz w:val="32"/>
          <w:szCs w:val="32"/>
        </w:rPr>
        <w:t>（第 标）</w:t>
      </w:r>
    </w:p>
    <w:p>
      <w:pPr>
        <w:snapToGrid w:val="0"/>
        <w:spacing w:before="156"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2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5"/>
        <w:spacing w:line="360" w:lineRule="auto"/>
        <w:ind w:left="424" w:leftChars="202"/>
        <w:rPr>
          <w:rFonts w:ascii="宋体" w:hAnsi="宋体"/>
          <w:szCs w:val="21"/>
        </w:rPr>
      </w:pPr>
      <w:r>
        <w:rPr>
          <w:rFonts w:hint="eastAsia" w:ascii="宋体" w:hAnsi="宋体"/>
          <w:szCs w:val="21"/>
        </w:rPr>
        <w:t>2.附人员证书复印件；</w:t>
      </w:r>
    </w:p>
    <w:p>
      <w:pPr>
        <w:pStyle w:val="35"/>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56" w:afterLines="50" w:line="360" w:lineRule="auto"/>
        <w:jc w:val="left"/>
        <w:rPr>
          <w:rFonts w:ascii="宋体" w:hAnsi="宋体"/>
          <w:sz w:val="24"/>
          <w:szCs w:val="20"/>
        </w:rPr>
      </w:pP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rPr>
      </w:pPr>
      <w:r>
        <w:rPr>
          <w:rFonts w:hint="eastAsia" w:ascii="宋体" w:hAnsi="宋体"/>
          <w:b/>
          <w:sz w:val="28"/>
        </w:rPr>
        <w:t>附件7</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r>
        <w:rPr>
          <w:rFonts w:hint="eastAsia" w:ascii="宋体" w:hAnsi="宋体"/>
          <w:b/>
          <w:color w:val="000000"/>
          <w:sz w:val="32"/>
          <w:szCs w:val="32"/>
        </w:rPr>
        <w:t xml:space="preserve"> (第 标)</w:t>
      </w:r>
    </w:p>
    <w:p>
      <w:pPr>
        <w:spacing w:line="360" w:lineRule="auto"/>
        <w:ind w:left="480"/>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2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993"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1559"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w:t>
      </w:r>
      <w:r>
        <w:rPr>
          <w:rFonts w:hint="eastAsia" w:ascii="宋体" w:hAnsi="宋体"/>
          <w:sz w:val="24"/>
        </w:rPr>
        <w:t>电子印章</w:t>
      </w:r>
      <w:r>
        <w:rPr>
          <w:rFonts w:hint="eastAsia" w:ascii="宋体" w:hAnsi="宋体"/>
          <w:color w:val="000000"/>
          <w:sz w:val="24"/>
        </w:rPr>
        <w:t>）：</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投标人代表签字或盖章：</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r>
        <w:rPr>
          <w:rFonts w:hint="eastAsia" w:ascii="宋体" w:hAnsi="宋体"/>
          <w:b/>
          <w:color w:val="33CCCC"/>
          <w:sz w:val="32"/>
          <w:szCs w:val="32"/>
        </w:rPr>
        <w:t>(第 标)</w:t>
      </w:r>
    </w:p>
    <w:p>
      <w:pPr>
        <w:spacing w:line="360" w:lineRule="auto"/>
        <w:rPr>
          <w:rFonts w:ascii="宋体" w:hAnsi="宋体"/>
          <w:sz w:val="24"/>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pStyle w:val="36"/>
        <w:tabs>
          <w:tab w:val="left" w:pos="360"/>
        </w:tabs>
        <w:spacing w:line="360" w:lineRule="auto"/>
        <w:ind w:right="84" w:rightChars="40"/>
        <w:rPr>
          <w:rFonts w:ascii="宋体"/>
          <w:b/>
          <w:szCs w:val="21"/>
        </w:rPr>
      </w:pPr>
      <w:r>
        <w:rPr>
          <w:rFonts w:hint="eastAsia" w:ascii="宋体"/>
          <w:b/>
          <w:szCs w:val="21"/>
        </w:rPr>
        <w:t>要求：</w:t>
      </w:r>
    </w:p>
    <w:p>
      <w:pPr>
        <w:pStyle w:val="36"/>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6"/>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6"/>
        <w:spacing w:line="360" w:lineRule="auto"/>
        <w:ind w:right="84" w:rightChars="40" w:firstLine="420" w:firstLineChars="200"/>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7"/>
        <w:spacing w:line="360" w:lineRule="auto"/>
        <w:jc w:val="left"/>
        <w:rPr>
          <w:rFonts w:ascii="宋体" w:hAnsi="宋体"/>
          <w:b/>
          <w:sz w:val="28"/>
        </w:rPr>
      </w:pPr>
      <w:r>
        <w:rPr>
          <w:rFonts w:hint="eastAsia" w:ascii="宋体" w:hAnsi="宋体"/>
          <w:b/>
          <w:sz w:val="28"/>
        </w:rPr>
        <w:t>附件10</w:t>
      </w:r>
    </w:p>
    <w:p>
      <w:pPr>
        <w:pStyle w:val="38"/>
        <w:spacing w:line="360" w:lineRule="auto"/>
        <w:jc w:val="center"/>
        <w:rPr>
          <w:rFonts w:ascii="宋体" w:hAnsi="宋体"/>
          <w:b/>
          <w:sz w:val="32"/>
          <w:szCs w:val="32"/>
        </w:rPr>
      </w:pPr>
      <w:r>
        <w:rPr>
          <w:rFonts w:hint="eastAsia" w:ascii="宋体" w:hAnsi="宋体"/>
          <w:b/>
          <w:sz w:val="32"/>
          <w:szCs w:val="32"/>
        </w:rPr>
        <w:t>证书一览表</w:t>
      </w:r>
    </w:p>
    <w:p>
      <w:pPr>
        <w:pStyle w:val="38"/>
        <w:spacing w:line="360" w:lineRule="auto"/>
        <w:jc w:val="center"/>
        <w:rPr>
          <w:rFonts w:ascii="宋体" w:hAnsi="宋体" w:cs="Arial"/>
          <w:sz w:val="28"/>
          <w:szCs w:val="28"/>
        </w:rPr>
      </w:pPr>
    </w:p>
    <w:tbl>
      <w:tblPr>
        <w:tblStyle w:val="24"/>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8"/>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8"/>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8"/>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8"/>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8"/>
              <w:spacing w:line="360" w:lineRule="auto"/>
              <w:jc w:val="center"/>
              <w:rPr>
                <w:rFonts w:ascii="宋体" w:hAnsi="宋体" w:cs="Arial"/>
                <w:szCs w:val="21"/>
              </w:rPr>
            </w:pPr>
          </w:p>
        </w:tc>
        <w:tc>
          <w:tcPr>
            <w:tcW w:w="2258" w:type="dxa"/>
            <w:tcBorders>
              <w:top w:val="single" w:color="auto" w:sz="4" w:space="0"/>
            </w:tcBorders>
          </w:tcPr>
          <w:p>
            <w:pPr>
              <w:pStyle w:val="38"/>
              <w:spacing w:line="360" w:lineRule="auto"/>
              <w:jc w:val="center"/>
              <w:rPr>
                <w:rFonts w:ascii="宋体" w:hAnsi="宋体" w:cs="Arial"/>
                <w:szCs w:val="21"/>
              </w:rPr>
            </w:pPr>
          </w:p>
        </w:tc>
        <w:tc>
          <w:tcPr>
            <w:tcW w:w="2260" w:type="dxa"/>
            <w:tcBorders>
              <w:top w:val="single" w:color="auto" w:sz="4" w:space="0"/>
            </w:tcBorders>
          </w:tcPr>
          <w:p>
            <w:pPr>
              <w:pStyle w:val="38"/>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8"/>
              <w:spacing w:line="360" w:lineRule="auto"/>
              <w:jc w:val="center"/>
              <w:rPr>
                <w:rFonts w:ascii="宋体" w:hAnsi="宋体" w:cs="Arial"/>
                <w:szCs w:val="21"/>
              </w:rPr>
            </w:pPr>
          </w:p>
        </w:tc>
        <w:tc>
          <w:tcPr>
            <w:tcW w:w="2258" w:type="dxa"/>
            <w:tcBorders>
              <w:bottom w:val="single" w:color="auto" w:sz="4" w:space="0"/>
            </w:tcBorders>
          </w:tcPr>
          <w:p>
            <w:pPr>
              <w:pStyle w:val="38"/>
              <w:spacing w:line="360" w:lineRule="auto"/>
              <w:jc w:val="center"/>
              <w:rPr>
                <w:rFonts w:ascii="宋体" w:hAnsi="宋体" w:cs="Arial"/>
                <w:szCs w:val="21"/>
              </w:rPr>
            </w:pPr>
          </w:p>
        </w:tc>
        <w:tc>
          <w:tcPr>
            <w:tcW w:w="2260" w:type="dxa"/>
            <w:tcBorders>
              <w:bottom w:val="single" w:color="auto" w:sz="4" w:space="0"/>
            </w:tcBorders>
          </w:tcPr>
          <w:p>
            <w:pPr>
              <w:pStyle w:val="38"/>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8"/>
              <w:spacing w:line="360" w:lineRule="auto"/>
              <w:jc w:val="center"/>
              <w:rPr>
                <w:rFonts w:ascii="宋体" w:hAnsi="宋体" w:cs="Arial"/>
                <w:szCs w:val="21"/>
              </w:rPr>
            </w:pPr>
          </w:p>
        </w:tc>
      </w:tr>
    </w:tbl>
    <w:p>
      <w:pPr>
        <w:pStyle w:val="38"/>
        <w:tabs>
          <w:tab w:val="left" w:pos="1050"/>
        </w:tabs>
        <w:spacing w:line="360" w:lineRule="auto"/>
        <w:rPr>
          <w:rFonts w:ascii="FangSong_GB2312" w:hAnsi="宋体" w:eastAsia="FangSong_GB2312"/>
          <w:sz w:val="24"/>
        </w:rPr>
      </w:pPr>
    </w:p>
    <w:p>
      <w:pPr>
        <w:pStyle w:val="38"/>
        <w:tabs>
          <w:tab w:val="left" w:pos="1050"/>
        </w:tabs>
        <w:spacing w:line="360" w:lineRule="auto"/>
        <w:rPr>
          <w:rFonts w:ascii="宋体" w:hAnsi="宋体"/>
          <w:szCs w:val="21"/>
        </w:rPr>
      </w:pPr>
      <w:r>
        <w:rPr>
          <w:rFonts w:hint="eastAsia" w:ascii="宋体" w:hAnsi="宋体"/>
          <w:b/>
          <w:szCs w:val="21"/>
        </w:rPr>
        <w:t>要求：</w:t>
      </w:r>
    </w:p>
    <w:p>
      <w:pPr>
        <w:pStyle w:val="38"/>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38"/>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8"/>
        <w:tabs>
          <w:tab w:val="left" w:pos="1050"/>
        </w:tabs>
        <w:spacing w:line="360" w:lineRule="auto"/>
        <w:ind w:firstLine="720" w:firstLineChars="300"/>
        <w:rPr>
          <w:rFonts w:ascii="FangSong_GB2312" w:hAnsi="宋体" w:eastAsia="FangSong_GB2312"/>
          <w:sz w:val="24"/>
        </w:rPr>
      </w:pPr>
    </w:p>
    <w:p>
      <w:pPr>
        <w:pStyle w:val="38"/>
        <w:tabs>
          <w:tab w:val="left" w:pos="1050"/>
        </w:tabs>
        <w:spacing w:line="360" w:lineRule="auto"/>
        <w:ind w:firstLine="720" w:firstLineChars="300"/>
        <w:rPr>
          <w:rFonts w:ascii="FangSong_GB2312" w:hAnsi="宋体" w:eastAsia="FangSong_GB2312"/>
          <w:sz w:val="24"/>
        </w:rPr>
      </w:pPr>
    </w:p>
    <w:p>
      <w:pPr>
        <w:pStyle w:val="38"/>
        <w:tabs>
          <w:tab w:val="left" w:pos="1050"/>
        </w:tabs>
        <w:spacing w:line="360" w:lineRule="auto"/>
        <w:ind w:firstLine="720" w:firstLineChars="300"/>
        <w:rPr>
          <w:rFonts w:ascii="FangSong_GB2312" w:hAnsi="宋体" w:eastAsia="FangSong_GB2312"/>
          <w:sz w:val="24"/>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附件11</w:t>
      </w:r>
    </w:p>
    <w:p>
      <w:pPr>
        <w:pStyle w:val="37"/>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37"/>
        <w:spacing w:line="360" w:lineRule="auto"/>
        <w:jc w:val="center"/>
        <w:rPr>
          <w:rFonts w:ascii="FangSong_GB2312" w:eastAsia="FangSong_GB2312"/>
          <w:b/>
          <w:sz w:val="28"/>
          <w:szCs w:val="28"/>
        </w:rPr>
      </w:pPr>
    </w:p>
    <w:tbl>
      <w:tblPr>
        <w:tblStyle w:val="24"/>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8"/>
        <w:tabs>
          <w:tab w:val="left" w:pos="1050"/>
        </w:tabs>
        <w:spacing w:line="360" w:lineRule="auto"/>
        <w:rPr>
          <w:rFonts w:ascii="FangSong_GB2312" w:hAnsi="宋体" w:eastAsia="FangSong_GB2312"/>
          <w:sz w:val="24"/>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资信及商务需求响应表(第 标)</w:t>
      </w:r>
    </w:p>
    <w:p>
      <w:pPr>
        <w:spacing w:line="360" w:lineRule="auto"/>
        <w:ind w:left="481" w:leftChars="229" w:firstLine="813" w:firstLineChars="450"/>
        <w:rPr>
          <w:rFonts w:ascii="宋体" w:hAnsi="宋体"/>
          <w:b/>
          <w:sz w:val="18"/>
          <w:szCs w:val="18"/>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r>
        <w:rPr>
          <w:rFonts w:hint="eastAsia" w:ascii="宋体" w:hAnsi="宋体"/>
          <w:b/>
          <w:sz w:val="28"/>
        </w:rPr>
        <w:t>附件13</w:t>
      </w:r>
      <w:r>
        <w:rPr>
          <w:rFonts w:ascii="宋体" w:hAnsi="宋体"/>
          <w:b/>
          <w:sz w:val="28"/>
        </w:rPr>
        <w:tab/>
      </w: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tbl>
      <w:tblPr>
        <w:tblStyle w:val="24"/>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9"/>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9"/>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9"/>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39"/>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9"/>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9"/>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9"/>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9"/>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9"/>
              <w:widowControl/>
              <w:spacing w:line="360" w:lineRule="auto"/>
              <w:jc w:val="left"/>
              <w:rPr>
                <w:rFonts w:ascii="宋体" w:hAnsi="宋体" w:cs="Arial"/>
                <w:bCs/>
                <w:sz w:val="24"/>
              </w:rPr>
            </w:pPr>
          </w:p>
        </w:tc>
        <w:tc>
          <w:tcPr>
            <w:tcW w:w="2355" w:type="dxa"/>
            <w:vMerge w:val="continue"/>
            <w:vAlign w:val="center"/>
          </w:tcPr>
          <w:p>
            <w:pPr>
              <w:pStyle w:val="39"/>
              <w:widowControl/>
              <w:spacing w:line="360" w:lineRule="auto"/>
              <w:jc w:val="left"/>
              <w:rPr>
                <w:rFonts w:ascii="宋体" w:hAnsi="宋体" w:cs="Arial"/>
                <w:bCs/>
                <w:sz w:val="24"/>
              </w:rPr>
            </w:pPr>
          </w:p>
        </w:tc>
        <w:tc>
          <w:tcPr>
            <w:tcW w:w="4061" w:type="dxa"/>
          </w:tcPr>
          <w:p>
            <w:pPr>
              <w:pStyle w:val="39"/>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39"/>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9"/>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9"/>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9"/>
              <w:widowControl/>
              <w:spacing w:line="360" w:lineRule="auto"/>
              <w:jc w:val="left"/>
              <w:rPr>
                <w:rFonts w:ascii="宋体" w:hAnsi="宋体" w:cs="Arial"/>
                <w:bCs/>
                <w:sz w:val="24"/>
              </w:rPr>
            </w:pPr>
          </w:p>
          <w:p>
            <w:pPr>
              <w:pStyle w:val="39"/>
              <w:widowControl/>
              <w:spacing w:line="360" w:lineRule="auto"/>
              <w:jc w:val="left"/>
              <w:rPr>
                <w:rFonts w:ascii="宋体" w:hAnsi="宋体" w:cs="Arial"/>
                <w:bCs/>
                <w:sz w:val="24"/>
              </w:rPr>
            </w:pPr>
          </w:p>
          <w:p>
            <w:pPr>
              <w:pStyle w:val="39"/>
              <w:spacing w:line="360" w:lineRule="auto"/>
              <w:rPr>
                <w:rFonts w:ascii="宋体" w:hAnsi="宋体" w:cs="Arial"/>
                <w:bCs/>
                <w:sz w:val="24"/>
              </w:rPr>
            </w:pPr>
          </w:p>
        </w:tc>
        <w:tc>
          <w:tcPr>
            <w:tcW w:w="1373" w:type="dxa"/>
          </w:tcPr>
          <w:p>
            <w:pPr>
              <w:pStyle w:val="39"/>
              <w:widowControl/>
              <w:spacing w:line="360" w:lineRule="auto"/>
              <w:jc w:val="left"/>
              <w:rPr>
                <w:rFonts w:ascii="宋体" w:hAnsi="宋体" w:cs="Arial"/>
                <w:bCs/>
                <w:sz w:val="24"/>
              </w:rPr>
            </w:pPr>
          </w:p>
          <w:p>
            <w:pPr>
              <w:pStyle w:val="39"/>
              <w:widowControl/>
              <w:spacing w:line="360" w:lineRule="auto"/>
              <w:jc w:val="left"/>
              <w:rPr>
                <w:rFonts w:ascii="宋体" w:hAnsi="宋体" w:cs="Arial"/>
                <w:bCs/>
                <w:sz w:val="24"/>
              </w:rPr>
            </w:pPr>
          </w:p>
          <w:p>
            <w:pPr>
              <w:pStyle w:val="39"/>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9"/>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9"/>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tc>
        <w:tc>
          <w:tcPr>
            <w:tcW w:w="1373" w:type="dxa"/>
          </w:tcPr>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9"/>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9"/>
              <w:widowControl/>
              <w:spacing w:line="360" w:lineRule="auto"/>
              <w:jc w:val="left"/>
              <w:rPr>
                <w:rFonts w:ascii="宋体" w:hAnsi="宋体" w:cs="Arial"/>
                <w:bCs/>
                <w:sz w:val="24"/>
              </w:rPr>
            </w:pPr>
            <w:r>
              <w:rPr>
                <w:rFonts w:ascii="宋体" w:hAnsi="宋体" w:cs="Arial"/>
                <w:bCs/>
                <w:sz w:val="24"/>
              </w:rPr>
              <w:t>……</w:t>
            </w:r>
          </w:p>
        </w:tc>
        <w:tc>
          <w:tcPr>
            <w:tcW w:w="4061" w:type="dxa"/>
          </w:tcPr>
          <w:p>
            <w:pPr>
              <w:pStyle w:val="39"/>
              <w:widowControl/>
              <w:spacing w:line="360" w:lineRule="auto"/>
              <w:jc w:val="left"/>
              <w:rPr>
                <w:rFonts w:ascii="宋体" w:hAnsi="宋体" w:cs="Arial"/>
                <w:bCs/>
                <w:sz w:val="24"/>
              </w:rPr>
            </w:pPr>
          </w:p>
        </w:tc>
        <w:tc>
          <w:tcPr>
            <w:tcW w:w="1373" w:type="dxa"/>
          </w:tcPr>
          <w:p>
            <w:pPr>
              <w:pStyle w:val="39"/>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9"/>
        <w:rPr>
          <w:rFonts w:ascii="宋体" w:hAnsi="宋体"/>
          <w:sz w:val="24"/>
          <w:u w:val="single"/>
        </w:rPr>
      </w:pPr>
    </w:p>
    <w:p>
      <w:pPr>
        <w:pStyle w:val="9"/>
        <w:rPr>
          <w:rFonts w:ascii="宋体" w:hAnsi="宋体"/>
          <w:sz w:val="24"/>
          <w:u w:val="single"/>
        </w:rPr>
      </w:pPr>
    </w:p>
    <w:p>
      <w:pPr>
        <w:pStyle w:val="9"/>
        <w:rPr>
          <w:rFonts w:ascii="宋体" w:hAnsi="宋体"/>
          <w:sz w:val="24"/>
          <w:u w:val="single"/>
        </w:rPr>
      </w:pPr>
    </w:p>
    <w:p>
      <w:pPr>
        <w:pStyle w:val="9"/>
        <w:rPr>
          <w:rFonts w:ascii="宋体" w:hAnsi="宋体"/>
          <w:sz w:val="24"/>
          <w:u w:val="single"/>
        </w:rPr>
      </w:pPr>
    </w:p>
    <w:p>
      <w:pPr>
        <w:pStyle w:val="40"/>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附件14</w:t>
      </w:r>
    </w:p>
    <w:p>
      <w:pPr>
        <w:pStyle w:val="40"/>
        <w:spacing w:line="360" w:lineRule="auto"/>
        <w:jc w:val="center"/>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14:textFill>
            <w14:solidFill>
              <w14:schemeClr w14:val="tx1"/>
            </w14:solidFill>
          </w14:textFill>
        </w:rPr>
        <w:t>主要货物用材响应表(类似家具类货物采用)</w:t>
      </w:r>
    </w:p>
    <w:tbl>
      <w:tblPr>
        <w:tblStyle w:val="24"/>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cs="宋体"/>
                <w:bCs/>
                <w:sz w:val="24"/>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品牌</w:t>
            </w:r>
          </w:p>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商标</w:t>
            </w: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生产厂家</w:t>
            </w: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符合标准</w:t>
            </w: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性能说明</w:t>
            </w: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FangSong_GB2312" w:hAnsi="宋体" w:eastAsia="FangSong_GB2312" w:cs="宋体"/>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bl>
    <w:p>
      <w:pPr>
        <w:spacing w:line="360" w:lineRule="auto"/>
        <w:rPr>
          <w:rFonts w:ascii="宋体" w:hAnsi="宋体"/>
          <w:b/>
          <w:szCs w:val="21"/>
        </w:rPr>
      </w:pPr>
      <w:r>
        <w:rPr>
          <w:rFonts w:hint="eastAsia" w:ascii="宋体" w:hAnsi="宋体"/>
          <w:b/>
          <w:szCs w:val="21"/>
        </w:rPr>
        <w:t>要求：</w:t>
      </w:r>
    </w:p>
    <w:p>
      <w:pPr>
        <w:pStyle w:val="39"/>
        <w:spacing w:line="360" w:lineRule="auto"/>
        <w:ind w:left="719" w:leftChars="228" w:hanging="240" w:hangingChars="100"/>
        <w:rPr>
          <w:rFonts w:ascii="FangSong_GB2312" w:hAnsi="宋体" w:eastAsia="FangSong_GB2312"/>
          <w:sz w:val="24"/>
        </w:rPr>
      </w:pPr>
      <w:r>
        <w:rPr>
          <w:rFonts w:hint="eastAsia" w:ascii="FangSong_GB2312" w:eastAsia="FangSong_GB2312"/>
          <w:sz w:val="24"/>
        </w:rPr>
        <w:t>1.请列出以上</w:t>
      </w:r>
      <w:r>
        <w:rPr>
          <w:rFonts w:hint="eastAsia" w:ascii="FangSong_GB2312" w:hAnsi="宋体" w:eastAsia="FangSong_GB2312"/>
          <w:sz w:val="24"/>
        </w:rPr>
        <w:t>产品的各项主要用材、辅料、油漆、五金件等。</w:t>
      </w:r>
    </w:p>
    <w:p>
      <w:pPr>
        <w:pStyle w:val="39"/>
        <w:spacing w:line="360" w:lineRule="auto"/>
        <w:ind w:firstLine="480" w:firstLineChars="200"/>
        <w:rPr>
          <w:rFonts w:ascii="FangSong_GB2312" w:eastAsia="FangSong_GB2312"/>
          <w:sz w:val="24"/>
        </w:rPr>
      </w:pPr>
      <w:r>
        <w:rPr>
          <w:rFonts w:hint="eastAsia" w:ascii="FangSong_GB2312" w:eastAsia="FangSong_GB2312"/>
          <w:sz w:val="24"/>
        </w:rPr>
        <w:t>2.本表所列产品主要用材均为采购人抽样送检的范围。</w:t>
      </w:r>
    </w:p>
    <w:p>
      <w:pPr>
        <w:spacing w:line="360" w:lineRule="auto"/>
        <w:ind w:firstLine="480" w:firstLineChars="20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color w:val="FF00FF"/>
          <w:sz w:val="24"/>
        </w:rPr>
      </w:pPr>
      <w:r>
        <w:rPr>
          <w:rFonts w:hint="eastAsia" w:ascii="宋体" w:hAnsi="宋体"/>
          <w:sz w:val="24"/>
        </w:rPr>
        <w:t>日        期：</w:t>
      </w:r>
    </w:p>
    <w:p>
      <w:pPr>
        <w:spacing w:line="360" w:lineRule="auto"/>
        <w:ind w:firstLine="435"/>
        <w:rPr>
          <w:rFonts w:ascii="宋体" w:hAnsi="宋体"/>
          <w:color w:val="FF00FF"/>
          <w:sz w:val="24"/>
        </w:rPr>
      </w:pPr>
    </w:p>
    <w:p>
      <w:pPr>
        <w:spacing w:line="360" w:lineRule="auto"/>
        <w:ind w:right="-110"/>
        <w:jc w:val="left"/>
        <w:rPr>
          <w:rFonts w:ascii="宋体" w:hAnsi="宋体"/>
          <w:b/>
          <w:sz w:val="28"/>
        </w:rPr>
      </w:pPr>
    </w:p>
    <w:p>
      <w:pPr>
        <w:spacing w:line="360" w:lineRule="auto"/>
        <w:ind w:right="-110"/>
        <w:jc w:val="left"/>
        <w:rPr>
          <w:rFonts w:ascii="宋体" w:hAnsi="宋体"/>
          <w:b/>
          <w:sz w:val="28"/>
        </w:rPr>
      </w:pPr>
    </w:p>
    <w:p>
      <w:pPr>
        <w:spacing w:line="360" w:lineRule="auto"/>
        <w:ind w:right="-110"/>
        <w:jc w:val="left"/>
        <w:rPr>
          <w:rFonts w:ascii="宋体" w:hAnsi="宋体"/>
          <w:spacing w:val="40"/>
          <w:sz w:val="52"/>
          <w:szCs w:val="52"/>
        </w:rPr>
      </w:pPr>
      <w:r>
        <w:rPr>
          <w:rFonts w:hint="eastAsia" w:ascii="宋体" w:hAnsi="宋体"/>
          <w:b/>
          <w:sz w:val="28"/>
        </w:rPr>
        <w:t>附件15</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供应商全称（电子印章）：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FangSong_GB2312" w:hAnsi="宋体" w:eastAsia="FangSong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FangSong_GB2312" w:hAnsi="宋体" w:eastAsia="FangSong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1、开标一览表（附件16）；</w:t>
      </w:r>
    </w:p>
    <w:p>
      <w:pPr>
        <w:pStyle w:val="15"/>
        <w:snapToGrid w:val="0"/>
        <w:spacing w:line="360" w:lineRule="auto"/>
        <w:ind w:left="0" w:leftChars="0"/>
        <w:rPr>
          <w:rFonts w:ascii="宋体" w:hAnsi="宋体" w:eastAsia="宋体"/>
          <w:sz w:val="24"/>
          <w:szCs w:val="24"/>
        </w:rPr>
      </w:pPr>
      <w:r>
        <w:rPr>
          <w:rFonts w:hint="eastAsia" w:ascii="宋体" w:hAnsi="宋体" w:eastAsia="宋体"/>
          <w:sz w:val="24"/>
          <w:szCs w:val="24"/>
        </w:rPr>
        <w:t>2、报价明细表</w:t>
      </w:r>
      <w:r>
        <w:rPr>
          <w:rFonts w:hint="eastAsia" w:ascii="宋体" w:hAnsi="宋体"/>
          <w:sz w:val="24"/>
        </w:rPr>
        <w:t>（附件17）</w:t>
      </w:r>
      <w:r>
        <w:rPr>
          <w:rFonts w:hint="eastAsia" w:ascii="宋体" w:hAnsi="宋体" w:eastAsia="宋体"/>
          <w:sz w:val="24"/>
          <w:szCs w:val="24"/>
        </w:rPr>
        <w:t>；</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41"/>
        <w:spacing w:line="360" w:lineRule="auto"/>
        <w:rPr>
          <w:rFonts w:hAnsi="宋体"/>
          <w:sz w:val="24"/>
        </w:rPr>
      </w:pPr>
      <w:r>
        <w:rPr>
          <w:rFonts w:hint="eastAsia" w:hAnsi="宋体"/>
          <w:sz w:val="24"/>
        </w:rPr>
        <w:t>4、</w:t>
      </w:r>
      <w:r>
        <w:rPr>
          <w:rFonts w:hAnsi="宋体"/>
          <w:sz w:val="24"/>
        </w:rPr>
        <w:t>小微企业</w:t>
      </w:r>
      <w:r>
        <w:rPr>
          <w:rFonts w:hint="eastAsia" w:hAnsi="宋体"/>
          <w:sz w:val="24"/>
        </w:rPr>
        <w:t>等</w:t>
      </w:r>
      <w:r>
        <w:rPr>
          <w:rFonts w:hAnsi="宋体"/>
          <w:sz w:val="24"/>
        </w:rPr>
        <w:t>声明函</w:t>
      </w:r>
      <w:r>
        <w:rPr>
          <w:rFonts w:hint="eastAsia" w:hAnsi="宋体"/>
          <w:sz w:val="24"/>
        </w:rPr>
        <w:t>（附件18）；</w:t>
      </w:r>
    </w:p>
    <w:p>
      <w:pPr>
        <w:pStyle w:val="42"/>
        <w:spacing w:line="360" w:lineRule="auto"/>
        <w:rPr>
          <w:rFonts w:ascii="宋体" w:hAnsi="宋体"/>
          <w:kern w:val="0"/>
          <w:sz w:val="24"/>
        </w:rPr>
      </w:pPr>
      <w:r>
        <w:rPr>
          <w:rFonts w:hint="eastAsia" w:ascii="宋体" w:hAnsi="宋体"/>
          <w:kern w:val="0"/>
          <w:sz w:val="24"/>
        </w:rPr>
        <w:t>5、产品适用政府采购政策情况表</w:t>
      </w:r>
      <w:r>
        <w:rPr>
          <w:rFonts w:hint="eastAsia" w:ascii="宋体" w:hAnsi="宋体"/>
          <w:sz w:val="24"/>
        </w:rPr>
        <w:t>（附件19）</w:t>
      </w:r>
      <w:r>
        <w:rPr>
          <w:rFonts w:hint="eastAsia" w:ascii="宋体" w:hAnsi="宋体"/>
          <w:kern w:val="0"/>
          <w:sz w:val="24"/>
        </w:rPr>
        <w:t>。</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附件16</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开标一览表 (第 标)</w:t>
      </w:r>
    </w:p>
    <w:p>
      <w:pPr>
        <w:pStyle w:val="14"/>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43"/>
        <w:spacing w:line="360" w:lineRule="auto"/>
        <w:ind w:right="480"/>
        <w:jc w:val="left"/>
        <w:rPr>
          <w:rFonts w:ascii="宋体"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p>
      <w:pPr>
        <w:pStyle w:val="43"/>
        <w:spacing w:line="360" w:lineRule="auto"/>
        <w:ind w:right="480"/>
        <w:jc w:val="left"/>
        <w:rPr>
          <w:rFonts w:ascii="宋体" w:hAnsi="宋体"/>
          <w:color w:val="000000" w:themeColor="text1"/>
          <w:sz w:val="24"/>
          <w14:textFill>
            <w14:solidFill>
              <w14:schemeClr w14:val="tx1"/>
            </w14:solidFill>
          </w14:textFill>
        </w:rPr>
      </w:pPr>
    </w:p>
    <w:tbl>
      <w:tblPr>
        <w:tblStyle w:val="24"/>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213"/>
        <w:gridCol w:w="830"/>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211" w:hRule="atLeast"/>
          <w:jc w:val="center"/>
        </w:trPr>
        <w:tc>
          <w:tcPr>
            <w:tcW w:w="3213" w:type="dxa"/>
            <w:vMerge w:val="restart"/>
            <w:tcBorders>
              <w:top w:val="single" w:color="auto" w:sz="4" w:space="0"/>
              <w:left w:val="single" w:color="auto" w:sz="12" w:space="0"/>
              <w:right w:val="single" w:color="auto" w:sz="4" w:space="0"/>
            </w:tcBorders>
            <w:vAlign w:val="center"/>
          </w:tcPr>
          <w:p>
            <w:pPr>
              <w:jc w:val="center"/>
              <w:rPr>
                <w:rFonts w:ascii="宋体" w:hAnsi="宋体"/>
                <w:sz w:val="24"/>
              </w:rPr>
            </w:pPr>
            <w:r>
              <w:rPr>
                <w:rFonts w:hint="eastAsia" w:ascii="宋体" w:hAnsi="宋体"/>
                <w:sz w:val="24"/>
              </w:rPr>
              <w:t>投标总报价(元)</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3213" w:type="dxa"/>
            <w:vMerge w:val="continue"/>
            <w:tcBorders>
              <w:left w:val="single" w:color="auto" w:sz="12" w:space="0"/>
              <w:bottom w:val="single" w:color="auto" w:sz="4" w:space="0"/>
              <w:right w:val="single" w:color="auto" w:sz="4" w:space="0"/>
            </w:tcBorders>
            <w:vAlign w:val="center"/>
          </w:tcPr>
          <w:p>
            <w:pPr>
              <w:jc w:val="center"/>
              <w:rPr>
                <w:rFonts w:ascii="宋体" w:hAnsi="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bl>
    <w:p>
      <w:pPr>
        <w:spacing w:line="360" w:lineRule="auto"/>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9"/>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2.报价一经涂改，应在涂改处加盖单位电子印章，或者由法定代表人或全权代表签字或盖章，否则其投标作无效标处理。</w:t>
      </w:r>
    </w:p>
    <w:p>
      <w:pPr>
        <w:pStyle w:val="9"/>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sz w:val="24"/>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附件17</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 (第 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2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hAnsi="宋体"/>
          <w:color w:val="000000" w:themeColor="text1"/>
          <w:sz w:val="24"/>
          <w14:textFill>
            <w14:solidFill>
              <w14:schemeClr w14:val="tx1"/>
            </w14:solidFill>
          </w14:textFill>
        </w:rPr>
      </w:pPr>
      <w:r>
        <w:rPr>
          <w:rFonts w:hint="eastAsia" w:ascii="宋体"/>
          <w:color w:val="000000" w:themeColor="text1"/>
          <w:szCs w:val="21"/>
          <w:lang w:val="zh-CN"/>
          <w14:textFill>
            <w14:solidFill>
              <w14:schemeClr w14:val="tx1"/>
            </w14:solidFill>
          </w14:textFill>
        </w:rPr>
        <w:t>▲4. 本表中的型号规格必须明确，</w:t>
      </w:r>
      <w:r>
        <w:rPr>
          <w:rFonts w:hint="eastAsia" w:ascii="宋体"/>
          <w:color w:val="000000" w:themeColor="text1"/>
          <w:szCs w:val="21"/>
          <w14:textFill>
            <w14:solidFill>
              <w14:schemeClr w14:val="tx1"/>
            </w14:solidFill>
          </w14:textFill>
        </w:rPr>
        <w:t>软件服务及</w:t>
      </w:r>
      <w:r>
        <w:rPr>
          <w:rFonts w:hint="eastAsia" w:ascii="宋体"/>
          <w:color w:val="000000" w:themeColor="text1"/>
          <w:szCs w:val="21"/>
          <w:lang w:val="zh-CN"/>
          <w14:textFill>
            <w14:solidFill>
              <w14:schemeClr w14:val="tx1"/>
            </w14:solidFill>
          </w14:textFill>
        </w:rPr>
        <w:t>招标文件中明确要求定制的除外。</w:t>
      </w:r>
    </w:p>
    <w:p>
      <w:pPr>
        <w:ind w:left="42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投标人名称（电子印章）：</w:t>
      </w:r>
    </w:p>
    <w:p>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156" w:beforeLines="50" w:after="50" w:line="360" w:lineRule="auto"/>
        <w:rPr>
          <w:rFonts w:ascii="宋体" w:hAnsi="宋体"/>
          <w:b/>
          <w:sz w:val="28"/>
        </w:rPr>
      </w:pPr>
    </w:p>
    <w:p>
      <w:pPr>
        <w:snapToGrid w:val="0"/>
        <w:spacing w:before="156" w:beforeLines="50" w:after="50" w:line="360" w:lineRule="auto"/>
        <w:rPr>
          <w:rFonts w:ascii="宋体" w:hAnsi="宋体"/>
          <w:b/>
          <w:sz w:val="28"/>
        </w:rPr>
      </w:pPr>
    </w:p>
    <w:p>
      <w:pPr>
        <w:snapToGrid w:val="0"/>
        <w:spacing w:before="156" w:beforeLines="50" w:after="50" w:line="360" w:lineRule="auto"/>
        <w:rPr>
          <w:rFonts w:ascii="宋体" w:hAnsi="宋体"/>
          <w:b/>
          <w:sz w:val="28"/>
        </w:rPr>
      </w:pPr>
    </w:p>
    <w:p>
      <w:pPr>
        <w:snapToGrid w:val="0"/>
        <w:spacing w:before="156" w:beforeLines="50" w:after="50" w:line="360" w:lineRule="auto"/>
        <w:rPr>
          <w:rFonts w:ascii="宋体" w:hAnsi="宋体"/>
          <w:b/>
          <w:sz w:val="28"/>
        </w:rPr>
      </w:pPr>
    </w:p>
    <w:p>
      <w:pPr>
        <w:snapToGrid w:val="0"/>
        <w:spacing w:before="156" w:beforeLines="50" w:after="50" w:line="360" w:lineRule="auto"/>
        <w:rPr>
          <w:rFonts w:ascii="宋体" w:hAnsi="宋体"/>
          <w:b/>
          <w:sz w:val="28"/>
        </w:rPr>
      </w:pPr>
    </w:p>
    <w:p>
      <w:pPr>
        <w:snapToGrid w:val="0"/>
        <w:spacing w:before="156" w:beforeLines="50" w:after="50" w:line="360" w:lineRule="auto"/>
        <w:rPr>
          <w:rFonts w:ascii="FangSong_GB2312" w:hAnsi="宋体" w:eastAsia="FangSong_GB2312"/>
          <w:bCs/>
          <w:sz w:val="30"/>
          <w:szCs w:val="30"/>
        </w:rPr>
      </w:pPr>
      <w:r>
        <w:rPr>
          <w:rFonts w:hint="eastAsia" w:ascii="宋体" w:hAnsi="宋体"/>
          <w:b/>
          <w:sz w:val="28"/>
        </w:rPr>
        <w:t>附件18</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44"/>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44"/>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44"/>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44"/>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4"/>
        <w:spacing w:line="360" w:lineRule="auto"/>
        <w:ind w:firstLine="504" w:firstLineChars="200"/>
        <w:rPr>
          <w:rFonts w:ascii="宋体" w:hAnsi="宋体"/>
          <w:spacing w:val="6"/>
          <w:sz w:val="24"/>
        </w:rPr>
      </w:pPr>
    </w:p>
    <w:p>
      <w:pPr>
        <w:pStyle w:val="44"/>
        <w:spacing w:line="360" w:lineRule="auto"/>
        <w:ind w:left="4253" w:leftChars="2025"/>
        <w:rPr>
          <w:rFonts w:ascii="宋体" w:hAnsi="宋体"/>
          <w:sz w:val="24"/>
        </w:rPr>
      </w:pPr>
      <w:r>
        <w:rPr>
          <w:rFonts w:hint="eastAsia" w:ascii="宋体" w:hAnsi="宋体"/>
          <w:sz w:val="24"/>
        </w:rPr>
        <w:t>投 标 人（单位电子印章）：</w:t>
      </w:r>
    </w:p>
    <w:p>
      <w:pPr>
        <w:pStyle w:val="44"/>
        <w:spacing w:line="360" w:lineRule="auto"/>
        <w:ind w:left="4253" w:leftChars="2025" w:right="360"/>
        <w:jc w:val="right"/>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pStyle w:val="44"/>
        <w:spacing w:line="360" w:lineRule="auto"/>
        <w:rPr>
          <w:rFonts w:ascii="宋体" w:hAnsi="宋体"/>
          <w:sz w:val="24"/>
        </w:rPr>
      </w:pPr>
    </w:p>
    <w:p>
      <w:pPr>
        <w:pStyle w:val="44"/>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44"/>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4"/>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4"/>
        <w:spacing w:line="360" w:lineRule="auto"/>
        <w:ind w:firstLine="504" w:firstLineChars="200"/>
        <w:rPr>
          <w:rFonts w:ascii="宋体" w:hAnsi="宋体"/>
          <w:spacing w:val="6"/>
          <w:sz w:val="24"/>
        </w:rPr>
      </w:pPr>
    </w:p>
    <w:p>
      <w:pPr>
        <w:pStyle w:val="44"/>
        <w:spacing w:line="360" w:lineRule="auto"/>
        <w:ind w:firstLine="504" w:firstLineChars="200"/>
        <w:jc w:val="center"/>
        <w:rPr>
          <w:rFonts w:ascii="宋体" w:hAnsi="宋体"/>
          <w:spacing w:val="6"/>
          <w:sz w:val="24"/>
        </w:rPr>
      </w:pPr>
      <w:r>
        <w:rPr>
          <w:rFonts w:hint="eastAsia" w:ascii="宋体" w:hAnsi="宋体"/>
          <w:spacing w:val="6"/>
          <w:sz w:val="24"/>
        </w:rPr>
        <w:t>企业名称（单位电子印章）：</w:t>
      </w:r>
    </w:p>
    <w:p>
      <w:pPr>
        <w:pStyle w:val="44"/>
        <w:spacing w:line="360" w:lineRule="auto"/>
        <w:ind w:left="4253" w:leftChars="2025" w:right="360"/>
        <w:jc w:val="center"/>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pStyle w:val="14"/>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单位名称（电子印章）：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r>
        <w:rPr>
          <w:rFonts w:hint="eastAsia" w:ascii="宋体" w:hAnsi="宋体"/>
          <w:b/>
          <w:sz w:val="28"/>
          <w:szCs w:val="28"/>
        </w:rPr>
        <w:t>附件19</w:t>
      </w:r>
    </w:p>
    <w:p>
      <w:pPr>
        <w:pStyle w:val="45"/>
        <w:spacing w:line="360" w:lineRule="auto"/>
      </w:pPr>
    </w:p>
    <w:p>
      <w:pPr>
        <w:pStyle w:val="42"/>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42"/>
        <w:spacing w:line="360" w:lineRule="auto"/>
        <w:jc w:val="center"/>
        <w:rPr>
          <w:rFonts w:ascii="宋体" w:hAnsi="宋体"/>
          <w:b/>
          <w:sz w:val="32"/>
          <w:szCs w:val="32"/>
          <w:lang w:val="en-GB"/>
        </w:rPr>
      </w:pPr>
    </w:p>
    <w:tbl>
      <w:tblPr>
        <w:tblStyle w:val="24"/>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42"/>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24"/>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42"/>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42"/>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2679" w:type="dxa"/>
            <w:vAlign w:val="center"/>
          </w:tcPr>
          <w:p>
            <w:pPr>
              <w:pStyle w:val="42"/>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42"/>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42"/>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2679" w:type="dxa"/>
            <w:vAlign w:val="center"/>
          </w:tcPr>
          <w:p>
            <w:pPr>
              <w:pStyle w:val="42"/>
              <w:tabs>
                <w:tab w:val="left" w:pos="1260"/>
              </w:tabs>
              <w:jc w:val="center"/>
              <w:rPr>
                <w:rFonts w:ascii="宋体" w:hAnsi="宋体"/>
                <w:sz w:val="24"/>
                <w:lang w:val="en-GB"/>
              </w:rPr>
            </w:pPr>
          </w:p>
        </w:tc>
        <w:tc>
          <w:tcPr>
            <w:tcW w:w="3811" w:type="dxa"/>
            <w:vAlign w:val="center"/>
          </w:tcPr>
          <w:p>
            <w:pPr>
              <w:pStyle w:val="42"/>
              <w:tabs>
                <w:tab w:val="left" w:pos="1260"/>
              </w:tabs>
              <w:jc w:val="center"/>
              <w:rPr>
                <w:rFonts w:ascii="宋体" w:hAnsi="宋体"/>
                <w:sz w:val="24"/>
                <w:lang w:val="en-GB"/>
              </w:rPr>
            </w:pPr>
          </w:p>
        </w:tc>
        <w:tc>
          <w:tcPr>
            <w:tcW w:w="1621" w:type="dxa"/>
            <w:vAlign w:val="center"/>
          </w:tcPr>
          <w:p>
            <w:pPr>
              <w:pStyle w:val="42"/>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2679" w:type="dxa"/>
            <w:vAlign w:val="center"/>
          </w:tcPr>
          <w:p>
            <w:pPr>
              <w:pStyle w:val="42"/>
              <w:tabs>
                <w:tab w:val="left" w:pos="1260"/>
              </w:tabs>
              <w:jc w:val="center"/>
              <w:rPr>
                <w:rFonts w:ascii="宋体" w:hAnsi="宋体"/>
                <w:sz w:val="24"/>
                <w:lang w:val="en-GB"/>
              </w:rPr>
            </w:pPr>
          </w:p>
        </w:tc>
        <w:tc>
          <w:tcPr>
            <w:tcW w:w="3811" w:type="dxa"/>
            <w:vAlign w:val="center"/>
          </w:tcPr>
          <w:p>
            <w:pPr>
              <w:pStyle w:val="42"/>
              <w:tabs>
                <w:tab w:val="left" w:pos="1260"/>
              </w:tabs>
              <w:jc w:val="center"/>
              <w:rPr>
                <w:rFonts w:ascii="宋体" w:hAnsi="宋体"/>
                <w:sz w:val="24"/>
                <w:lang w:val="en-GB"/>
              </w:rPr>
            </w:pPr>
          </w:p>
        </w:tc>
        <w:tc>
          <w:tcPr>
            <w:tcW w:w="1621" w:type="dxa"/>
            <w:vAlign w:val="center"/>
          </w:tcPr>
          <w:p>
            <w:pPr>
              <w:pStyle w:val="42"/>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2679" w:type="dxa"/>
            <w:vAlign w:val="center"/>
          </w:tcPr>
          <w:p>
            <w:pPr>
              <w:pStyle w:val="42"/>
              <w:tabs>
                <w:tab w:val="left" w:pos="1260"/>
              </w:tabs>
              <w:jc w:val="center"/>
              <w:rPr>
                <w:rFonts w:ascii="宋体" w:hAnsi="宋体"/>
                <w:sz w:val="24"/>
                <w:lang w:val="en-GB"/>
              </w:rPr>
            </w:pPr>
          </w:p>
        </w:tc>
        <w:tc>
          <w:tcPr>
            <w:tcW w:w="3811" w:type="dxa"/>
            <w:vAlign w:val="center"/>
          </w:tcPr>
          <w:p>
            <w:pPr>
              <w:pStyle w:val="42"/>
              <w:tabs>
                <w:tab w:val="left" w:pos="1260"/>
              </w:tabs>
              <w:jc w:val="center"/>
              <w:rPr>
                <w:rFonts w:ascii="宋体" w:hAnsi="宋体"/>
                <w:sz w:val="24"/>
                <w:lang w:val="en-GB"/>
              </w:rPr>
            </w:pPr>
          </w:p>
        </w:tc>
        <w:tc>
          <w:tcPr>
            <w:tcW w:w="1621" w:type="dxa"/>
            <w:vAlign w:val="center"/>
          </w:tcPr>
          <w:p>
            <w:pPr>
              <w:pStyle w:val="42"/>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6490" w:type="dxa"/>
            <w:gridSpan w:val="2"/>
            <w:vAlign w:val="center"/>
          </w:tcPr>
          <w:p>
            <w:pPr>
              <w:pStyle w:val="42"/>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42"/>
              <w:tabs>
                <w:tab w:val="left" w:pos="1260"/>
              </w:tabs>
              <w:jc w:val="center"/>
              <w:rPr>
                <w:rFonts w:ascii="宋体" w:hAnsi="宋体"/>
                <w:sz w:val="24"/>
                <w:lang w:val="en-GB"/>
              </w:rPr>
            </w:pPr>
          </w:p>
        </w:tc>
      </w:tr>
    </w:tbl>
    <w:p>
      <w:pPr>
        <w:pStyle w:val="42"/>
        <w:spacing w:line="360" w:lineRule="auto"/>
        <w:rPr>
          <w:rFonts w:ascii="宋体" w:hAnsi="宋体"/>
          <w:szCs w:val="21"/>
          <w:lang w:val="en-GB"/>
        </w:rPr>
      </w:pPr>
    </w:p>
    <w:p>
      <w:pPr>
        <w:pStyle w:val="42"/>
        <w:spacing w:line="360" w:lineRule="auto"/>
        <w:rPr>
          <w:rFonts w:ascii="宋体" w:hAnsi="宋体"/>
          <w:szCs w:val="21"/>
          <w:lang w:val="en-GB"/>
        </w:rPr>
      </w:pPr>
      <w:r>
        <w:rPr>
          <w:rFonts w:hint="eastAsia" w:ascii="宋体" w:hAnsi="宋体"/>
          <w:szCs w:val="21"/>
          <w:lang w:val="en-GB"/>
        </w:rPr>
        <w:t>填报要求：</w:t>
      </w:r>
    </w:p>
    <w:p>
      <w:pPr>
        <w:pStyle w:val="42"/>
        <w:widowControl/>
        <w:numPr>
          <w:ilvl w:val="0"/>
          <w:numId w:val="19"/>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42"/>
        <w:widowControl/>
        <w:numPr>
          <w:ilvl w:val="0"/>
          <w:numId w:val="19"/>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42"/>
        <w:widowControl/>
        <w:numPr>
          <w:ilvl w:val="0"/>
          <w:numId w:val="19"/>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Theme="minorEastAsia" w:hAnsiTheme="minorEastAsia" w:eastAsiaTheme="minorEastAsia"/>
          <w:sz w:val="24"/>
        </w:rPr>
      </w:pPr>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KaiTi_GB2312">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B0604020202020204"/>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FangSong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9A48CF71"/>
    <w:multiLevelType w:val="singleLevel"/>
    <w:tmpl w:val="9A48CF71"/>
    <w:lvl w:ilvl="0" w:tentative="0">
      <w:start w:val="1"/>
      <w:numFmt w:val="chineseCounting"/>
      <w:suff w:val="nothing"/>
      <w:lvlText w:val="%1、"/>
      <w:lvlJc w:val="left"/>
      <w:rPr>
        <w:rFonts w:hint="eastAsia"/>
      </w:rPr>
    </w:lvl>
  </w:abstractNum>
  <w:abstractNum w:abstractNumId="3">
    <w:nsid w:val="A25EC2DF"/>
    <w:multiLevelType w:val="singleLevel"/>
    <w:tmpl w:val="A25EC2DF"/>
    <w:lvl w:ilvl="0" w:tentative="0">
      <w:start w:val="1"/>
      <w:numFmt w:val="decimal"/>
      <w:lvlText w:val="%1."/>
      <w:lvlJc w:val="left"/>
      <w:pPr>
        <w:tabs>
          <w:tab w:val="left" w:pos="312"/>
        </w:tabs>
      </w:pPr>
    </w:lvl>
  </w:abstractNum>
  <w:abstractNum w:abstractNumId="4">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5">
    <w:nsid w:val="AF3E1766"/>
    <w:multiLevelType w:val="singleLevel"/>
    <w:tmpl w:val="AF3E1766"/>
    <w:lvl w:ilvl="0" w:tentative="0">
      <w:start w:val="1"/>
      <w:numFmt w:val="decimal"/>
      <w:suff w:val="nothing"/>
      <w:lvlText w:val="（%1）"/>
      <w:lvlJc w:val="left"/>
    </w:lvl>
  </w:abstractNum>
  <w:abstractNum w:abstractNumId="6">
    <w:nsid w:val="BBE9F67C"/>
    <w:multiLevelType w:val="singleLevel"/>
    <w:tmpl w:val="BBE9F67C"/>
    <w:lvl w:ilvl="0" w:tentative="0">
      <w:start w:val="1"/>
      <w:numFmt w:val="chineseCounting"/>
      <w:suff w:val="nothing"/>
      <w:lvlText w:val="%1、"/>
      <w:lvlJc w:val="left"/>
      <w:rPr>
        <w:rFonts w:hint="eastAsia"/>
      </w:rPr>
    </w:lvl>
  </w:abstractNum>
  <w:abstractNum w:abstractNumId="7">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8">
    <w:nsid w:val="E9CBAF48"/>
    <w:multiLevelType w:val="singleLevel"/>
    <w:tmpl w:val="E9CBAF48"/>
    <w:lvl w:ilvl="0" w:tentative="0">
      <w:start w:val="1"/>
      <w:numFmt w:val="decimal"/>
      <w:suff w:val="nothing"/>
      <w:lvlText w:val="（%1）"/>
      <w:lvlJc w:val="left"/>
    </w:lvl>
  </w:abstractNum>
  <w:abstractNum w:abstractNumId="9">
    <w:nsid w:val="EEAFAC12"/>
    <w:multiLevelType w:val="singleLevel"/>
    <w:tmpl w:val="EEAFAC12"/>
    <w:lvl w:ilvl="0" w:tentative="0">
      <w:start w:val="12"/>
      <w:numFmt w:val="decimal"/>
      <w:suff w:val="nothing"/>
      <w:lvlText w:val="%1、"/>
      <w:lvlJc w:val="left"/>
      <w:pPr>
        <w:ind w:left="-60"/>
      </w:pPr>
    </w:lvl>
  </w:abstractNum>
  <w:abstractNum w:abstractNumId="10">
    <w:nsid w:val="023419C9"/>
    <w:multiLevelType w:val="singleLevel"/>
    <w:tmpl w:val="023419C9"/>
    <w:lvl w:ilvl="0" w:tentative="0">
      <w:start w:val="2"/>
      <w:numFmt w:val="decimal"/>
      <w:suff w:val="nothing"/>
      <w:lvlText w:val="%1、"/>
      <w:lvlJc w:val="left"/>
    </w:lvl>
  </w:abstractNum>
  <w:abstractNum w:abstractNumId="11">
    <w:nsid w:val="1105FFC4"/>
    <w:multiLevelType w:val="singleLevel"/>
    <w:tmpl w:val="1105FFC4"/>
    <w:lvl w:ilvl="0" w:tentative="0">
      <w:start w:val="1"/>
      <w:numFmt w:val="decimal"/>
      <w:lvlText w:val="%1."/>
      <w:lvlJc w:val="left"/>
      <w:pPr>
        <w:tabs>
          <w:tab w:val="left" w:pos="312"/>
        </w:tabs>
      </w:pPr>
    </w:lvl>
  </w:abstractNum>
  <w:abstractNum w:abstractNumId="12">
    <w:nsid w:val="44FF2E54"/>
    <w:multiLevelType w:val="multilevel"/>
    <w:tmpl w:val="44FF2E5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461E5E94"/>
    <w:multiLevelType w:val="singleLevel"/>
    <w:tmpl w:val="461E5E94"/>
    <w:lvl w:ilvl="0" w:tentative="0">
      <w:start w:val="2"/>
      <w:numFmt w:val="chineseCounting"/>
      <w:suff w:val="space"/>
      <w:lvlText w:val="第%1章"/>
      <w:lvlJc w:val="left"/>
      <w:rPr>
        <w:rFonts w:hint="eastAsia"/>
      </w:rPr>
    </w:lvl>
  </w:abstractNum>
  <w:abstractNum w:abstractNumId="14">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5">
    <w:nsid w:val="6180C1B6"/>
    <w:multiLevelType w:val="singleLevel"/>
    <w:tmpl w:val="6180C1B6"/>
    <w:lvl w:ilvl="0" w:tentative="0">
      <w:start w:val="1"/>
      <w:numFmt w:val="chineseCounting"/>
      <w:suff w:val="nothing"/>
      <w:lvlText w:val="（%1）"/>
      <w:lvlJc w:val="left"/>
      <w:rPr>
        <w:rFonts w:hint="eastAsia"/>
      </w:rPr>
    </w:lvl>
  </w:abstractNum>
  <w:abstractNum w:abstractNumId="1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6"/>
  </w:num>
  <w:num w:numId="2">
    <w:abstractNumId w:val="4"/>
  </w:num>
  <w:num w:numId="3">
    <w:abstractNumId w:val="14"/>
  </w:num>
  <w:num w:numId="4">
    <w:abstractNumId w:val="17"/>
  </w:num>
  <w:num w:numId="5">
    <w:abstractNumId w:val="6"/>
  </w:num>
  <w:num w:numId="6">
    <w:abstractNumId w:val="13"/>
  </w:num>
  <w:num w:numId="7">
    <w:abstractNumId w:val="5"/>
  </w:num>
  <w:num w:numId="8">
    <w:abstractNumId w:val="7"/>
  </w:num>
  <w:num w:numId="9">
    <w:abstractNumId w:val="8"/>
  </w:num>
  <w:num w:numId="10">
    <w:abstractNumId w:val="10"/>
  </w:num>
  <w:num w:numId="11">
    <w:abstractNumId w:val="9"/>
  </w:num>
  <w:num w:numId="12">
    <w:abstractNumId w:val="2"/>
  </w:num>
  <w:num w:numId="13">
    <w:abstractNumId w:val="12"/>
  </w:num>
  <w:num w:numId="14">
    <w:abstractNumId w:val="15"/>
  </w:num>
  <w:num w:numId="15">
    <w:abstractNumId w:val="11"/>
  </w:num>
  <w:num w:numId="16">
    <w:abstractNumId w:val="3"/>
  </w:num>
  <w:num w:numId="17">
    <w:abstractNumId w:val="0"/>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6294D"/>
    <w:rsid w:val="00062AB3"/>
    <w:rsid w:val="000821B2"/>
    <w:rsid w:val="000B6EB6"/>
    <w:rsid w:val="000D4942"/>
    <w:rsid w:val="00107BF6"/>
    <w:rsid w:val="00165F2A"/>
    <w:rsid w:val="001B5BCA"/>
    <w:rsid w:val="00201D62"/>
    <w:rsid w:val="0021318F"/>
    <w:rsid w:val="002A1620"/>
    <w:rsid w:val="002D7F8A"/>
    <w:rsid w:val="003102FB"/>
    <w:rsid w:val="00332E30"/>
    <w:rsid w:val="003C5E00"/>
    <w:rsid w:val="003F595C"/>
    <w:rsid w:val="003F78E0"/>
    <w:rsid w:val="0043046A"/>
    <w:rsid w:val="00441FAE"/>
    <w:rsid w:val="00446CEF"/>
    <w:rsid w:val="00482879"/>
    <w:rsid w:val="00491BDF"/>
    <w:rsid w:val="004A6BE3"/>
    <w:rsid w:val="004B4165"/>
    <w:rsid w:val="00527EFD"/>
    <w:rsid w:val="005A1F54"/>
    <w:rsid w:val="00616E31"/>
    <w:rsid w:val="00655E3C"/>
    <w:rsid w:val="00674C42"/>
    <w:rsid w:val="006C3EDC"/>
    <w:rsid w:val="006F4DFE"/>
    <w:rsid w:val="00715DC6"/>
    <w:rsid w:val="00752062"/>
    <w:rsid w:val="007A2629"/>
    <w:rsid w:val="007C1005"/>
    <w:rsid w:val="00802325"/>
    <w:rsid w:val="00847BE5"/>
    <w:rsid w:val="0088066B"/>
    <w:rsid w:val="008D1335"/>
    <w:rsid w:val="00901D6C"/>
    <w:rsid w:val="00912983"/>
    <w:rsid w:val="00934C69"/>
    <w:rsid w:val="009875E3"/>
    <w:rsid w:val="009B3E22"/>
    <w:rsid w:val="009F3459"/>
    <w:rsid w:val="00A05552"/>
    <w:rsid w:val="00A05DA7"/>
    <w:rsid w:val="00A25426"/>
    <w:rsid w:val="00A30B75"/>
    <w:rsid w:val="00A730CA"/>
    <w:rsid w:val="00BA25A5"/>
    <w:rsid w:val="00BB201C"/>
    <w:rsid w:val="00C376DF"/>
    <w:rsid w:val="00C52E14"/>
    <w:rsid w:val="00C767D4"/>
    <w:rsid w:val="00CC232E"/>
    <w:rsid w:val="00CD1804"/>
    <w:rsid w:val="00D559AE"/>
    <w:rsid w:val="00DF7014"/>
    <w:rsid w:val="00E319E7"/>
    <w:rsid w:val="00EF2797"/>
    <w:rsid w:val="00F127FF"/>
    <w:rsid w:val="00FA1220"/>
    <w:rsid w:val="00FC7F87"/>
    <w:rsid w:val="00FD3E5A"/>
    <w:rsid w:val="010D0700"/>
    <w:rsid w:val="0118771F"/>
    <w:rsid w:val="014011E2"/>
    <w:rsid w:val="017729D1"/>
    <w:rsid w:val="01935887"/>
    <w:rsid w:val="019B1F82"/>
    <w:rsid w:val="01A82F36"/>
    <w:rsid w:val="01AD7B32"/>
    <w:rsid w:val="01BD7005"/>
    <w:rsid w:val="01ED7D22"/>
    <w:rsid w:val="023B4212"/>
    <w:rsid w:val="027638E8"/>
    <w:rsid w:val="02782E93"/>
    <w:rsid w:val="02945C00"/>
    <w:rsid w:val="02AA5DC5"/>
    <w:rsid w:val="02AD3B7C"/>
    <w:rsid w:val="02FC075A"/>
    <w:rsid w:val="0311374C"/>
    <w:rsid w:val="03350EB5"/>
    <w:rsid w:val="0336696D"/>
    <w:rsid w:val="034628D3"/>
    <w:rsid w:val="035F6A7D"/>
    <w:rsid w:val="03E02B39"/>
    <w:rsid w:val="041C127C"/>
    <w:rsid w:val="044405B7"/>
    <w:rsid w:val="044C5ED0"/>
    <w:rsid w:val="0470673A"/>
    <w:rsid w:val="04A33DD1"/>
    <w:rsid w:val="04CC341D"/>
    <w:rsid w:val="05137CD7"/>
    <w:rsid w:val="058E2529"/>
    <w:rsid w:val="05A50164"/>
    <w:rsid w:val="05B43C6D"/>
    <w:rsid w:val="05D92A57"/>
    <w:rsid w:val="05E70F70"/>
    <w:rsid w:val="05E92A8E"/>
    <w:rsid w:val="05F50E9D"/>
    <w:rsid w:val="060B26E0"/>
    <w:rsid w:val="067C192C"/>
    <w:rsid w:val="06C56D28"/>
    <w:rsid w:val="06D52D47"/>
    <w:rsid w:val="06E40CB7"/>
    <w:rsid w:val="070122F0"/>
    <w:rsid w:val="075E4944"/>
    <w:rsid w:val="075F7318"/>
    <w:rsid w:val="079C4ADE"/>
    <w:rsid w:val="07FC1B3E"/>
    <w:rsid w:val="080F2FE4"/>
    <w:rsid w:val="084F68CB"/>
    <w:rsid w:val="0855799C"/>
    <w:rsid w:val="085A1BE1"/>
    <w:rsid w:val="086A431A"/>
    <w:rsid w:val="088942F5"/>
    <w:rsid w:val="08A17D16"/>
    <w:rsid w:val="08A9367B"/>
    <w:rsid w:val="08D86E72"/>
    <w:rsid w:val="091A1CF4"/>
    <w:rsid w:val="093D06B0"/>
    <w:rsid w:val="0941098F"/>
    <w:rsid w:val="098951A5"/>
    <w:rsid w:val="09AB4E7B"/>
    <w:rsid w:val="09DC400A"/>
    <w:rsid w:val="0A1357D4"/>
    <w:rsid w:val="0A3B11A3"/>
    <w:rsid w:val="0A6A2A5E"/>
    <w:rsid w:val="0AAF023A"/>
    <w:rsid w:val="0AB2466D"/>
    <w:rsid w:val="0B3A4CFE"/>
    <w:rsid w:val="0B631F3C"/>
    <w:rsid w:val="0BB1131B"/>
    <w:rsid w:val="0BB96227"/>
    <w:rsid w:val="0BCA1551"/>
    <w:rsid w:val="0BF02F5F"/>
    <w:rsid w:val="0BF32587"/>
    <w:rsid w:val="0C1E2BA0"/>
    <w:rsid w:val="0C21217E"/>
    <w:rsid w:val="0C240CE5"/>
    <w:rsid w:val="0C3F6D5B"/>
    <w:rsid w:val="0C765CB2"/>
    <w:rsid w:val="0C835F1C"/>
    <w:rsid w:val="0CDA4F6D"/>
    <w:rsid w:val="0D0475F6"/>
    <w:rsid w:val="0D3668AD"/>
    <w:rsid w:val="0D373669"/>
    <w:rsid w:val="0D764E12"/>
    <w:rsid w:val="0D7D3EC3"/>
    <w:rsid w:val="0D937226"/>
    <w:rsid w:val="0D95664A"/>
    <w:rsid w:val="0DB76F3C"/>
    <w:rsid w:val="0DEB19AF"/>
    <w:rsid w:val="0DFC423F"/>
    <w:rsid w:val="0E2D7F14"/>
    <w:rsid w:val="0E3627D0"/>
    <w:rsid w:val="0E422197"/>
    <w:rsid w:val="0E5A3939"/>
    <w:rsid w:val="0E615169"/>
    <w:rsid w:val="0E970358"/>
    <w:rsid w:val="0EA9275B"/>
    <w:rsid w:val="0EDE4D61"/>
    <w:rsid w:val="0EF27825"/>
    <w:rsid w:val="0F1747D0"/>
    <w:rsid w:val="0F2C2179"/>
    <w:rsid w:val="0F361AD2"/>
    <w:rsid w:val="0F766D8E"/>
    <w:rsid w:val="0F884221"/>
    <w:rsid w:val="0FBC55C7"/>
    <w:rsid w:val="10392EAE"/>
    <w:rsid w:val="106C2B22"/>
    <w:rsid w:val="10706EC2"/>
    <w:rsid w:val="10801E69"/>
    <w:rsid w:val="10A11DDD"/>
    <w:rsid w:val="10A11DF7"/>
    <w:rsid w:val="10A4463E"/>
    <w:rsid w:val="10E94F29"/>
    <w:rsid w:val="11394306"/>
    <w:rsid w:val="11405A21"/>
    <w:rsid w:val="11E338D3"/>
    <w:rsid w:val="12055D43"/>
    <w:rsid w:val="12362DDD"/>
    <w:rsid w:val="12632BF8"/>
    <w:rsid w:val="12807280"/>
    <w:rsid w:val="13030129"/>
    <w:rsid w:val="13183E3E"/>
    <w:rsid w:val="13215400"/>
    <w:rsid w:val="138B2D26"/>
    <w:rsid w:val="13A13753"/>
    <w:rsid w:val="13A81874"/>
    <w:rsid w:val="13AD4825"/>
    <w:rsid w:val="13C77E0B"/>
    <w:rsid w:val="13CB2484"/>
    <w:rsid w:val="14093B52"/>
    <w:rsid w:val="141C7045"/>
    <w:rsid w:val="142E1189"/>
    <w:rsid w:val="143A36AF"/>
    <w:rsid w:val="14601483"/>
    <w:rsid w:val="14611E68"/>
    <w:rsid w:val="148463E6"/>
    <w:rsid w:val="14972906"/>
    <w:rsid w:val="14A83AD1"/>
    <w:rsid w:val="14B71FA9"/>
    <w:rsid w:val="14D20D9B"/>
    <w:rsid w:val="14E73786"/>
    <w:rsid w:val="15170D44"/>
    <w:rsid w:val="15771668"/>
    <w:rsid w:val="15901FEA"/>
    <w:rsid w:val="15955A4D"/>
    <w:rsid w:val="15A72BED"/>
    <w:rsid w:val="15B03AAF"/>
    <w:rsid w:val="15CF7A2F"/>
    <w:rsid w:val="160C13D8"/>
    <w:rsid w:val="1621170E"/>
    <w:rsid w:val="16332332"/>
    <w:rsid w:val="167F2F7D"/>
    <w:rsid w:val="168E5B23"/>
    <w:rsid w:val="16A71BB1"/>
    <w:rsid w:val="16F059BA"/>
    <w:rsid w:val="16F23890"/>
    <w:rsid w:val="16F57E09"/>
    <w:rsid w:val="16F70B82"/>
    <w:rsid w:val="17200067"/>
    <w:rsid w:val="175165AE"/>
    <w:rsid w:val="175F2BE6"/>
    <w:rsid w:val="177A072A"/>
    <w:rsid w:val="177F6CDF"/>
    <w:rsid w:val="17A8137B"/>
    <w:rsid w:val="17AA759A"/>
    <w:rsid w:val="17B4164A"/>
    <w:rsid w:val="17C4052C"/>
    <w:rsid w:val="17C86B7D"/>
    <w:rsid w:val="17E13854"/>
    <w:rsid w:val="17F032A2"/>
    <w:rsid w:val="186B6DE9"/>
    <w:rsid w:val="18B91D2B"/>
    <w:rsid w:val="18BD0806"/>
    <w:rsid w:val="18C40414"/>
    <w:rsid w:val="191C4FE8"/>
    <w:rsid w:val="192720E3"/>
    <w:rsid w:val="19423674"/>
    <w:rsid w:val="19584E18"/>
    <w:rsid w:val="198620BB"/>
    <w:rsid w:val="19DE4711"/>
    <w:rsid w:val="19F1626B"/>
    <w:rsid w:val="1A604B05"/>
    <w:rsid w:val="1A6A6D44"/>
    <w:rsid w:val="1A817123"/>
    <w:rsid w:val="1B271A83"/>
    <w:rsid w:val="1B4C0B5A"/>
    <w:rsid w:val="1B595DCE"/>
    <w:rsid w:val="1C093ECB"/>
    <w:rsid w:val="1C385A27"/>
    <w:rsid w:val="1C450D40"/>
    <w:rsid w:val="1C570D8E"/>
    <w:rsid w:val="1C5F6A88"/>
    <w:rsid w:val="1C9B76A0"/>
    <w:rsid w:val="1CDD0584"/>
    <w:rsid w:val="1CE4433A"/>
    <w:rsid w:val="1CE76CD9"/>
    <w:rsid w:val="1CF666F0"/>
    <w:rsid w:val="1D402E0C"/>
    <w:rsid w:val="1D4B5507"/>
    <w:rsid w:val="1D500E17"/>
    <w:rsid w:val="1D54609B"/>
    <w:rsid w:val="1D561465"/>
    <w:rsid w:val="1D925794"/>
    <w:rsid w:val="1DB83B2A"/>
    <w:rsid w:val="1DEB7E6D"/>
    <w:rsid w:val="1E0E2DF3"/>
    <w:rsid w:val="1E0F1FD7"/>
    <w:rsid w:val="1E9001D9"/>
    <w:rsid w:val="1EA30B4C"/>
    <w:rsid w:val="1EA47357"/>
    <w:rsid w:val="1ED414C4"/>
    <w:rsid w:val="1EE359D8"/>
    <w:rsid w:val="1EE84AA8"/>
    <w:rsid w:val="1F35639C"/>
    <w:rsid w:val="1F6E52A2"/>
    <w:rsid w:val="1F735B62"/>
    <w:rsid w:val="1FB549C6"/>
    <w:rsid w:val="1FB57D4D"/>
    <w:rsid w:val="201C16D2"/>
    <w:rsid w:val="201C5623"/>
    <w:rsid w:val="204A1E13"/>
    <w:rsid w:val="209025EE"/>
    <w:rsid w:val="209F4ECE"/>
    <w:rsid w:val="20AE3204"/>
    <w:rsid w:val="212D0B59"/>
    <w:rsid w:val="214624ED"/>
    <w:rsid w:val="216A28A2"/>
    <w:rsid w:val="217C7240"/>
    <w:rsid w:val="218D4481"/>
    <w:rsid w:val="21C04E95"/>
    <w:rsid w:val="21FA01A1"/>
    <w:rsid w:val="221D5E85"/>
    <w:rsid w:val="222C1CC0"/>
    <w:rsid w:val="222E2931"/>
    <w:rsid w:val="22484E58"/>
    <w:rsid w:val="227C0DCD"/>
    <w:rsid w:val="228447E5"/>
    <w:rsid w:val="22CB78D5"/>
    <w:rsid w:val="23422BB0"/>
    <w:rsid w:val="23424F53"/>
    <w:rsid w:val="234A5F84"/>
    <w:rsid w:val="23582408"/>
    <w:rsid w:val="23660707"/>
    <w:rsid w:val="236E14E2"/>
    <w:rsid w:val="237D0FC2"/>
    <w:rsid w:val="238F7DCE"/>
    <w:rsid w:val="24244D92"/>
    <w:rsid w:val="24296133"/>
    <w:rsid w:val="242F631F"/>
    <w:rsid w:val="24311299"/>
    <w:rsid w:val="24397122"/>
    <w:rsid w:val="244E66FF"/>
    <w:rsid w:val="24577DE4"/>
    <w:rsid w:val="24CE3BAF"/>
    <w:rsid w:val="24D92305"/>
    <w:rsid w:val="24D96B70"/>
    <w:rsid w:val="24E21308"/>
    <w:rsid w:val="24FA03BB"/>
    <w:rsid w:val="2519505F"/>
    <w:rsid w:val="25671AF5"/>
    <w:rsid w:val="25821982"/>
    <w:rsid w:val="25A242DE"/>
    <w:rsid w:val="25D60AD2"/>
    <w:rsid w:val="25D65461"/>
    <w:rsid w:val="25E3371B"/>
    <w:rsid w:val="25E37EE1"/>
    <w:rsid w:val="25E76D27"/>
    <w:rsid w:val="260356E0"/>
    <w:rsid w:val="261F0C17"/>
    <w:rsid w:val="263371F9"/>
    <w:rsid w:val="263B578D"/>
    <w:rsid w:val="266B421D"/>
    <w:rsid w:val="267252A4"/>
    <w:rsid w:val="268400FD"/>
    <w:rsid w:val="26955D22"/>
    <w:rsid w:val="26CE19BE"/>
    <w:rsid w:val="26E00FED"/>
    <w:rsid w:val="27117EDE"/>
    <w:rsid w:val="27482CE9"/>
    <w:rsid w:val="27731F31"/>
    <w:rsid w:val="27A7080A"/>
    <w:rsid w:val="27AC6C4F"/>
    <w:rsid w:val="2813511C"/>
    <w:rsid w:val="28546E15"/>
    <w:rsid w:val="289E691E"/>
    <w:rsid w:val="28B0105B"/>
    <w:rsid w:val="28F8402B"/>
    <w:rsid w:val="295802C0"/>
    <w:rsid w:val="296C064D"/>
    <w:rsid w:val="29BB5D7A"/>
    <w:rsid w:val="29C57527"/>
    <w:rsid w:val="29C857FB"/>
    <w:rsid w:val="29D148D0"/>
    <w:rsid w:val="29FC0DA4"/>
    <w:rsid w:val="2A492AF2"/>
    <w:rsid w:val="2A703A89"/>
    <w:rsid w:val="2A7B68DD"/>
    <w:rsid w:val="2A7C3B5D"/>
    <w:rsid w:val="2AB76578"/>
    <w:rsid w:val="2AC803DC"/>
    <w:rsid w:val="2AF63674"/>
    <w:rsid w:val="2AF9481A"/>
    <w:rsid w:val="2B00287F"/>
    <w:rsid w:val="2B092FB2"/>
    <w:rsid w:val="2B1023C9"/>
    <w:rsid w:val="2B9C69B1"/>
    <w:rsid w:val="2BA2013E"/>
    <w:rsid w:val="2BC417BC"/>
    <w:rsid w:val="2BD47781"/>
    <w:rsid w:val="2BE766BB"/>
    <w:rsid w:val="2BEE482A"/>
    <w:rsid w:val="2C0A7A1A"/>
    <w:rsid w:val="2C5222A1"/>
    <w:rsid w:val="2C5F0A77"/>
    <w:rsid w:val="2C6C259D"/>
    <w:rsid w:val="2CAE352F"/>
    <w:rsid w:val="2CB108D7"/>
    <w:rsid w:val="2CDA24DC"/>
    <w:rsid w:val="2D33402D"/>
    <w:rsid w:val="2D54010B"/>
    <w:rsid w:val="2D8D51DC"/>
    <w:rsid w:val="2D912C47"/>
    <w:rsid w:val="2DC24596"/>
    <w:rsid w:val="2DD1427F"/>
    <w:rsid w:val="2E011A67"/>
    <w:rsid w:val="2E0D1401"/>
    <w:rsid w:val="2E3A7B8E"/>
    <w:rsid w:val="2E70527F"/>
    <w:rsid w:val="2EA2717F"/>
    <w:rsid w:val="2EA46C20"/>
    <w:rsid w:val="2EB35869"/>
    <w:rsid w:val="2EBE581A"/>
    <w:rsid w:val="2ED222F3"/>
    <w:rsid w:val="2EEE4113"/>
    <w:rsid w:val="2EF726B0"/>
    <w:rsid w:val="2F237FB3"/>
    <w:rsid w:val="2F266F50"/>
    <w:rsid w:val="2F7315B0"/>
    <w:rsid w:val="2F84259E"/>
    <w:rsid w:val="2F8B40F9"/>
    <w:rsid w:val="2FA50222"/>
    <w:rsid w:val="2FB421D2"/>
    <w:rsid w:val="2FD752A5"/>
    <w:rsid w:val="2FDE6467"/>
    <w:rsid w:val="30143D85"/>
    <w:rsid w:val="301719FA"/>
    <w:rsid w:val="312668F0"/>
    <w:rsid w:val="31752B09"/>
    <w:rsid w:val="31894973"/>
    <w:rsid w:val="31FD2290"/>
    <w:rsid w:val="320202A4"/>
    <w:rsid w:val="321255B0"/>
    <w:rsid w:val="32152C33"/>
    <w:rsid w:val="321A5C9F"/>
    <w:rsid w:val="32493399"/>
    <w:rsid w:val="324B117A"/>
    <w:rsid w:val="325568BF"/>
    <w:rsid w:val="32614BF6"/>
    <w:rsid w:val="328D47E3"/>
    <w:rsid w:val="3295270B"/>
    <w:rsid w:val="32BF3FC3"/>
    <w:rsid w:val="32D55D51"/>
    <w:rsid w:val="32E76E4C"/>
    <w:rsid w:val="32E81934"/>
    <w:rsid w:val="332F7BA5"/>
    <w:rsid w:val="337A6289"/>
    <w:rsid w:val="337D122C"/>
    <w:rsid w:val="337D47A9"/>
    <w:rsid w:val="33AB6F91"/>
    <w:rsid w:val="33E1098E"/>
    <w:rsid w:val="34015A86"/>
    <w:rsid w:val="341548E3"/>
    <w:rsid w:val="341C73AD"/>
    <w:rsid w:val="34430263"/>
    <w:rsid w:val="3455210C"/>
    <w:rsid w:val="34685578"/>
    <w:rsid w:val="3487190D"/>
    <w:rsid w:val="349C79B7"/>
    <w:rsid w:val="34DC0BEE"/>
    <w:rsid w:val="34E94723"/>
    <w:rsid w:val="34F866DB"/>
    <w:rsid w:val="34FD7B2D"/>
    <w:rsid w:val="35375367"/>
    <w:rsid w:val="358C0F1C"/>
    <w:rsid w:val="35984F34"/>
    <w:rsid w:val="359C74D2"/>
    <w:rsid w:val="35AB7A5F"/>
    <w:rsid w:val="35BF1C6E"/>
    <w:rsid w:val="35C63C79"/>
    <w:rsid w:val="35D57D5C"/>
    <w:rsid w:val="3641268A"/>
    <w:rsid w:val="3651686F"/>
    <w:rsid w:val="367D48AA"/>
    <w:rsid w:val="36886D70"/>
    <w:rsid w:val="36B12758"/>
    <w:rsid w:val="3756612A"/>
    <w:rsid w:val="37712A39"/>
    <w:rsid w:val="37817852"/>
    <w:rsid w:val="379E03C0"/>
    <w:rsid w:val="37B01E51"/>
    <w:rsid w:val="37B24C52"/>
    <w:rsid w:val="37B54E08"/>
    <w:rsid w:val="37FC3426"/>
    <w:rsid w:val="38060510"/>
    <w:rsid w:val="38160592"/>
    <w:rsid w:val="3817244B"/>
    <w:rsid w:val="3827060E"/>
    <w:rsid w:val="38644486"/>
    <w:rsid w:val="38CD7986"/>
    <w:rsid w:val="390471EE"/>
    <w:rsid w:val="391A3788"/>
    <w:rsid w:val="394B172B"/>
    <w:rsid w:val="39577F6A"/>
    <w:rsid w:val="39712D4E"/>
    <w:rsid w:val="397C6239"/>
    <w:rsid w:val="39920EA7"/>
    <w:rsid w:val="39A3289B"/>
    <w:rsid w:val="39D64FB1"/>
    <w:rsid w:val="39EF0A31"/>
    <w:rsid w:val="39F367FB"/>
    <w:rsid w:val="3A1238E0"/>
    <w:rsid w:val="3A1447B7"/>
    <w:rsid w:val="3A350059"/>
    <w:rsid w:val="3A3D63F8"/>
    <w:rsid w:val="3A426B47"/>
    <w:rsid w:val="3A8D6A95"/>
    <w:rsid w:val="3A992A50"/>
    <w:rsid w:val="3AD01DBA"/>
    <w:rsid w:val="3AE50133"/>
    <w:rsid w:val="3AF65D65"/>
    <w:rsid w:val="3B07581B"/>
    <w:rsid w:val="3B103EC0"/>
    <w:rsid w:val="3B25794D"/>
    <w:rsid w:val="3B345EA5"/>
    <w:rsid w:val="3B433617"/>
    <w:rsid w:val="3B491C1C"/>
    <w:rsid w:val="3B7A083A"/>
    <w:rsid w:val="3B837FF9"/>
    <w:rsid w:val="3B963763"/>
    <w:rsid w:val="3BD94BB0"/>
    <w:rsid w:val="3BF12A1E"/>
    <w:rsid w:val="3C26501E"/>
    <w:rsid w:val="3C6148EE"/>
    <w:rsid w:val="3C871D6F"/>
    <w:rsid w:val="3C9514F9"/>
    <w:rsid w:val="3CAC27E0"/>
    <w:rsid w:val="3CAC4E84"/>
    <w:rsid w:val="3CB95B3F"/>
    <w:rsid w:val="3D135034"/>
    <w:rsid w:val="3D426B20"/>
    <w:rsid w:val="3D445AEB"/>
    <w:rsid w:val="3D7413A5"/>
    <w:rsid w:val="3D7C4212"/>
    <w:rsid w:val="3D856805"/>
    <w:rsid w:val="3DB531EC"/>
    <w:rsid w:val="3DD217A4"/>
    <w:rsid w:val="3E147F83"/>
    <w:rsid w:val="3E5F5711"/>
    <w:rsid w:val="3E6924FD"/>
    <w:rsid w:val="3EAD7AA4"/>
    <w:rsid w:val="3ECA4CC1"/>
    <w:rsid w:val="3ED3528D"/>
    <w:rsid w:val="3EF961F5"/>
    <w:rsid w:val="3F4262D2"/>
    <w:rsid w:val="3F4346B4"/>
    <w:rsid w:val="3F5D3F9F"/>
    <w:rsid w:val="3FC34C6E"/>
    <w:rsid w:val="3FE22DB8"/>
    <w:rsid w:val="4023400E"/>
    <w:rsid w:val="402F540C"/>
    <w:rsid w:val="40643820"/>
    <w:rsid w:val="4079502C"/>
    <w:rsid w:val="40A146E6"/>
    <w:rsid w:val="40C76003"/>
    <w:rsid w:val="40DA19A4"/>
    <w:rsid w:val="40FA0002"/>
    <w:rsid w:val="40FE51DD"/>
    <w:rsid w:val="413B241B"/>
    <w:rsid w:val="41745EF0"/>
    <w:rsid w:val="41820135"/>
    <w:rsid w:val="41884255"/>
    <w:rsid w:val="41986365"/>
    <w:rsid w:val="41E559E6"/>
    <w:rsid w:val="424D2C38"/>
    <w:rsid w:val="426B3BFD"/>
    <w:rsid w:val="427D008B"/>
    <w:rsid w:val="42910AC3"/>
    <w:rsid w:val="429D15CB"/>
    <w:rsid w:val="42A6641E"/>
    <w:rsid w:val="42CA3562"/>
    <w:rsid w:val="42D4753C"/>
    <w:rsid w:val="42D65CE3"/>
    <w:rsid w:val="43000BC3"/>
    <w:rsid w:val="43036342"/>
    <w:rsid w:val="43327CAA"/>
    <w:rsid w:val="43467841"/>
    <w:rsid w:val="438E57BC"/>
    <w:rsid w:val="439D17DF"/>
    <w:rsid w:val="43BA688B"/>
    <w:rsid w:val="43BD3B11"/>
    <w:rsid w:val="43C326B1"/>
    <w:rsid w:val="43C6292D"/>
    <w:rsid w:val="43C93DA7"/>
    <w:rsid w:val="43E63F63"/>
    <w:rsid w:val="43F47D4D"/>
    <w:rsid w:val="43FA1665"/>
    <w:rsid w:val="440F6EBE"/>
    <w:rsid w:val="442E2318"/>
    <w:rsid w:val="44460FC4"/>
    <w:rsid w:val="4487596E"/>
    <w:rsid w:val="449065E4"/>
    <w:rsid w:val="44C52600"/>
    <w:rsid w:val="44D77DF3"/>
    <w:rsid w:val="44DD3DC1"/>
    <w:rsid w:val="451E7709"/>
    <w:rsid w:val="4559551E"/>
    <w:rsid w:val="455A0DA3"/>
    <w:rsid w:val="4563730C"/>
    <w:rsid w:val="458A0EB8"/>
    <w:rsid w:val="45D83A86"/>
    <w:rsid w:val="45ED1351"/>
    <w:rsid w:val="46037123"/>
    <w:rsid w:val="46224E26"/>
    <w:rsid w:val="46997F5B"/>
    <w:rsid w:val="46AD6968"/>
    <w:rsid w:val="46B55E43"/>
    <w:rsid w:val="46DD0EA4"/>
    <w:rsid w:val="46DF04B4"/>
    <w:rsid w:val="46ED47E4"/>
    <w:rsid w:val="471932DC"/>
    <w:rsid w:val="47732475"/>
    <w:rsid w:val="478038C4"/>
    <w:rsid w:val="47A169CC"/>
    <w:rsid w:val="47BB49A9"/>
    <w:rsid w:val="47C94485"/>
    <w:rsid w:val="47E278F4"/>
    <w:rsid w:val="47E44CE0"/>
    <w:rsid w:val="48015D47"/>
    <w:rsid w:val="48193EDE"/>
    <w:rsid w:val="481C3E5D"/>
    <w:rsid w:val="48694FA0"/>
    <w:rsid w:val="488E620E"/>
    <w:rsid w:val="488E768B"/>
    <w:rsid w:val="48BB264B"/>
    <w:rsid w:val="48FF6A0B"/>
    <w:rsid w:val="493D0335"/>
    <w:rsid w:val="49637B49"/>
    <w:rsid w:val="498F4936"/>
    <w:rsid w:val="49D1074D"/>
    <w:rsid w:val="49D45FB3"/>
    <w:rsid w:val="49F41D5E"/>
    <w:rsid w:val="4A047D76"/>
    <w:rsid w:val="4A0B1AB2"/>
    <w:rsid w:val="4A1A61CA"/>
    <w:rsid w:val="4A327238"/>
    <w:rsid w:val="4A4C1014"/>
    <w:rsid w:val="4A903713"/>
    <w:rsid w:val="4A943C10"/>
    <w:rsid w:val="4AA92CE9"/>
    <w:rsid w:val="4AC41DB7"/>
    <w:rsid w:val="4B1E31F7"/>
    <w:rsid w:val="4B3E700B"/>
    <w:rsid w:val="4B3F1232"/>
    <w:rsid w:val="4B49165A"/>
    <w:rsid w:val="4B57703E"/>
    <w:rsid w:val="4B662107"/>
    <w:rsid w:val="4BCB3573"/>
    <w:rsid w:val="4C035F37"/>
    <w:rsid w:val="4C22747C"/>
    <w:rsid w:val="4C2E04B1"/>
    <w:rsid w:val="4C514E97"/>
    <w:rsid w:val="4CB90340"/>
    <w:rsid w:val="4CE75373"/>
    <w:rsid w:val="4D076D16"/>
    <w:rsid w:val="4D097EF2"/>
    <w:rsid w:val="4D4C6B8C"/>
    <w:rsid w:val="4D543359"/>
    <w:rsid w:val="4D8F4463"/>
    <w:rsid w:val="4DB67461"/>
    <w:rsid w:val="4E0C268A"/>
    <w:rsid w:val="4E27185A"/>
    <w:rsid w:val="4E3E6AFA"/>
    <w:rsid w:val="4E712BEB"/>
    <w:rsid w:val="4E765E5A"/>
    <w:rsid w:val="4E8318E1"/>
    <w:rsid w:val="4EAE23AB"/>
    <w:rsid w:val="4ECC6A22"/>
    <w:rsid w:val="4EEE29D8"/>
    <w:rsid w:val="4EF035BF"/>
    <w:rsid w:val="4EF633AB"/>
    <w:rsid w:val="4F106249"/>
    <w:rsid w:val="4F1670CF"/>
    <w:rsid w:val="4F384879"/>
    <w:rsid w:val="4F55729E"/>
    <w:rsid w:val="4FC06E79"/>
    <w:rsid w:val="4FF74792"/>
    <w:rsid w:val="4FFE6E2E"/>
    <w:rsid w:val="50045703"/>
    <w:rsid w:val="503E32E5"/>
    <w:rsid w:val="504623DA"/>
    <w:rsid w:val="50513BF5"/>
    <w:rsid w:val="50675DFF"/>
    <w:rsid w:val="509A2890"/>
    <w:rsid w:val="50B924A3"/>
    <w:rsid w:val="50F857A1"/>
    <w:rsid w:val="514756C4"/>
    <w:rsid w:val="514B75E8"/>
    <w:rsid w:val="51737993"/>
    <w:rsid w:val="51811303"/>
    <w:rsid w:val="5194469F"/>
    <w:rsid w:val="519D0DB4"/>
    <w:rsid w:val="51A53B14"/>
    <w:rsid w:val="51A976EB"/>
    <w:rsid w:val="51AF1C3C"/>
    <w:rsid w:val="51BE4911"/>
    <w:rsid w:val="51D239AD"/>
    <w:rsid w:val="51EF2E47"/>
    <w:rsid w:val="5200122E"/>
    <w:rsid w:val="52121EAC"/>
    <w:rsid w:val="52215111"/>
    <w:rsid w:val="5246452A"/>
    <w:rsid w:val="525F4868"/>
    <w:rsid w:val="52792847"/>
    <w:rsid w:val="52FF53BF"/>
    <w:rsid w:val="531F30C4"/>
    <w:rsid w:val="533439F8"/>
    <w:rsid w:val="538748A2"/>
    <w:rsid w:val="53AE7C89"/>
    <w:rsid w:val="53DF0AB7"/>
    <w:rsid w:val="53E277AB"/>
    <w:rsid w:val="53FB2D98"/>
    <w:rsid w:val="54371409"/>
    <w:rsid w:val="544F049A"/>
    <w:rsid w:val="54760E33"/>
    <w:rsid w:val="54796757"/>
    <w:rsid w:val="54955562"/>
    <w:rsid w:val="54993E00"/>
    <w:rsid w:val="549B6672"/>
    <w:rsid w:val="54A91F22"/>
    <w:rsid w:val="54BD4069"/>
    <w:rsid w:val="54D56D8A"/>
    <w:rsid w:val="54EE0FF2"/>
    <w:rsid w:val="54F27CFD"/>
    <w:rsid w:val="55182FC4"/>
    <w:rsid w:val="55230FD0"/>
    <w:rsid w:val="555C3C85"/>
    <w:rsid w:val="55633F28"/>
    <w:rsid w:val="55B24F2B"/>
    <w:rsid w:val="55BA7993"/>
    <w:rsid w:val="55BD2F26"/>
    <w:rsid w:val="55D12532"/>
    <w:rsid w:val="5601257D"/>
    <w:rsid w:val="560C38A8"/>
    <w:rsid w:val="56220385"/>
    <w:rsid w:val="56324A88"/>
    <w:rsid w:val="563C5D54"/>
    <w:rsid w:val="566D4B95"/>
    <w:rsid w:val="567C4E04"/>
    <w:rsid w:val="567C7800"/>
    <w:rsid w:val="56BF11D0"/>
    <w:rsid w:val="56FF1D12"/>
    <w:rsid w:val="572656D4"/>
    <w:rsid w:val="5731733D"/>
    <w:rsid w:val="57E32845"/>
    <w:rsid w:val="581B2431"/>
    <w:rsid w:val="581D5ED4"/>
    <w:rsid w:val="5836129D"/>
    <w:rsid w:val="58951701"/>
    <w:rsid w:val="58C12419"/>
    <w:rsid w:val="58DE7069"/>
    <w:rsid w:val="58F62B5D"/>
    <w:rsid w:val="58F816CA"/>
    <w:rsid w:val="58FA36D0"/>
    <w:rsid w:val="5959788A"/>
    <w:rsid w:val="5983201A"/>
    <w:rsid w:val="59AD06A4"/>
    <w:rsid w:val="59C156C3"/>
    <w:rsid w:val="5A050CA3"/>
    <w:rsid w:val="5A133F48"/>
    <w:rsid w:val="5A1E4155"/>
    <w:rsid w:val="5A272D0B"/>
    <w:rsid w:val="5A3938A1"/>
    <w:rsid w:val="5A395D10"/>
    <w:rsid w:val="5A4D586D"/>
    <w:rsid w:val="5A6249B0"/>
    <w:rsid w:val="5A77087F"/>
    <w:rsid w:val="5AC97447"/>
    <w:rsid w:val="5AF9024C"/>
    <w:rsid w:val="5B333C3C"/>
    <w:rsid w:val="5B8E16C2"/>
    <w:rsid w:val="5BB00103"/>
    <w:rsid w:val="5BE40E22"/>
    <w:rsid w:val="5C6F32F0"/>
    <w:rsid w:val="5CA34613"/>
    <w:rsid w:val="5CC84163"/>
    <w:rsid w:val="5CF52A1F"/>
    <w:rsid w:val="5D08610F"/>
    <w:rsid w:val="5D0C0B25"/>
    <w:rsid w:val="5D1E702C"/>
    <w:rsid w:val="5D35082C"/>
    <w:rsid w:val="5DA43012"/>
    <w:rsid w:val="5DBC0EED"/>
    <w:rsid w:val="5DC51F65"/>
    <w:rsid w:val="5DCD78A7"/>
    <w:rsid w:val="5E0F09F4"/>
    <w:rsid w:val="5E173FF3"/>
    <w:rsid w:val="5E48123B"/>
    <w:rsid w:val="5E603F7F"/>
    <w:rsid w:val="5E6F7159"/>
    <w:rsid w:val="5E882033"/>
    <w:rsid w:val="5ED97846"/>
    <w:rsid w:val="5EE84C68"/>
    <w:rsid w:val="5F0626B0"/>
    <w:rsid w:val="5F1B0044"/>
    <w:rsid w:val="5F8F0673"/>
    <w:rsid w:val="5FC97FEB"/>
    <w:rsid w:val="606301FB"/>
    <w:rsid w:val="60A86DEA"/>
    <w:rsid w:val="60B23C75"/>
    <w:rsid w:val="60D8319C"/>
    <w:rsid w:val="60E42E34"/>
    <w:rsid w:val="61014D78"/>
    <w:rsid w:val="611932AF"/>
    <w:rsid w:val="614C3C26"/>
    <w:rsid w:val="6165708A"/>
    <w:rsid w:val="6168513E"/>
    <w:rsid w:val="617102D4"/>
    <w:rsid w:val="619212A2"/>
    <w:rsid w:val="61C52E80"/>
    <w:rsid w:val="61E2672A"/>
    <w:rsid w:val="62062D97"/>
    <w:rsid w:val="620C29D9"/>
    <w:rsid w:val="621D5BA4"/>
    <w:rsid w:val="622215D8"/>
    <w:rsid w:val="625E2024"/>
    <w:rsid w:val="628E0E45"/>
    <w:rsid w:val="631A6DAA"/>
    <w:rsid w:val="63256512"/>
    <w:rsid w:val="632A2499"/>
    <w:rsid w:val="632D4A3C"/>
    <w:rsid w:val="634D4ADC"/>
    <w:rsid w:val="635B6748"/>
    <w:rsid w:val="635C429C"/>
    <w:rsid w:val="635D44B3"/>
    <w:rsid w:val="638915A5"/>
    <w:rsid w:val="63947A95"/>
    <w:rsid w:val="63995DF3"/>
    <w:rsid w:val="63D0057D"/>
    <w:rsid w:val="6433403C"/>
    <w:rsid w:val="643B41EF"/>
    <w:rsid w:val="644E70C2"/>
    <w:rsid w:val="645D5A93"/>
    <w:rsid w:val="645E43BF"/>
    <w:rsid w:val="646225C9"/>
    <w:rsid w:val="64A94977"/>
    <w:rsid w:val="64B114CF"/>
    <w:rsid w:val="6500184D"/>
    <w:rsid w:val="65194FD3"/>
    <w:rsid w:val="65341A41"/>
    <w:rsid w:val="657C0DAF"/>
    <w:rsid w:val="65B9511C"/>
    <w:rsid w:val="660C7F20"/>
    <w:rsid w:val="66361B8F"/>
    <w:rsid w:val="666A0D6A"/>
    <w:rsid w:val="66877D70"/>
    <w:rsid w:val="66B479A6"/>
    <w:rsid w:val="66D85417"/>
    <w:rsid w:val="66DC2963"/>
    <w:rsid w:val="6727655C"/>
    <w:rsid w:val="674C5B25"/>
    <w:rsid w:val="676168D5"/>
    <w:rsid w:val="678A5484"/>
    <w:rsid w:val="678F10A0"/>
    <w:rsid w:val="67967995"/>
    <w:rsid w:val="679B1417"/>
    <w:rsid w:val="67B167D1"/>
    <w:rsid w:val="67B8730F"/>
    <w:rsid w:val="67C26031"/>
    <w:rsid w:val="67EA7E44"/>
    <w:rsid w:val="68077B91"/>
    <w:rsid w:val="68315DA2"/>
    <w:rsid w:val="68446CCF"/>
    <w:rsid w:val="68482DB3"/>
    <w:rsid w:val="685F0E50"/>
    <w:rsid w:val="685F1C50"/>
    <w:rsid w:val="68B61411"/>
    <w:rsid w:val="68C80994"/>
    <w:rsid w:val="68CA6271"/>
    <w:rsid w:val="68CD7322"/>
    <w:rsid w:val="68D67C69"/>
    <w:rsid w:val="68D81E4F"/>
    <w:rsid w:val="68FD31D7"/>
    <w:rsid w:val="6916597A"/>
    <w:rsid w:val="69410BEE"/>
    <w:rsid w:val="69680525"/>
    <w:rsid w:val="698378D7"/>
    <w:rsid w:val="699022E9"/>
    <w:rsid w:val="6A235D1A"/>
    <w:rsid w:val="6A2C3949"/>
    <w:rsid w:val="6A35559C"/>
    <w:rsid w:val="6A4F6B08"/>
    <w:rsid w:val="6A714498"/>
    <w:rsid w:val="6A7254F6"/>
    <w:rsid w:val="6A784FDA"/>
    <w:rsid w:val="6AA74D9D"/>
    <w:rsid w:val="6AC3299D"/>
    <w:rsid w:val="6ACF57D2"/>
    <w:rsid w:val="6B2C481B"/>
    <w:rsid w:val="6B4B5E14"/>
    <w:rsid w:val="6B4C4CC5"/>
    <w:rsid w:val="6B5D5931"/>
    <w:rsid w:val="6B976CB9"/>
    <w:rsid w:val="6BA16D69"/>
    <w:rsid w:val="6BA2105E"/>
    <w:rsid w:val="6BC0667A"/>
    <w:rsid w:val="6BE7576E"/>
    <w:rsid w:val="6BEC5F07"/>
    <w:rsid w:val="6BF27B2F"/>
    <w:rsid w:val="6C0D0E79"/>
    <w:rsid w:val="6C1F6AA2"/>
    <w:rsid w:val="6C2755B4"/>
    <w:rsid w:val="6C447DFF"/>
    <w:rsid w:val="6C6C35F5"/>
    <w:rsid w:val="6C8E56C0"/>
    <w:rsid w:val="6CAE0411"/>
    <w:rsid w:val="6CB87D98"/>
    <w:rsid w:val="6CE21AC1"/>
    <w:rsid w:val="6CFC1CBF"/>
    <w:rsid w:val="6D5A454A"/>
    <w:rsid w:val="6D5A4B87"/>
    <w:rsid w:val="6D5D3196"/>
    <w:rsid w:val="6D862606"/>
    <w:rsid w:val="6DA13C29"/>
    <w:rsid w:val="6DAF49DA"/>
    <w:rsid w:val="6DCC4856"/>
    <w:rsid w:val="6DE6616A"/>
    <w:rsid w:val="6DF93C55"/>
    <w:rsid w:val="6E140C84"/>
    <w:rsid w:val="6E7F3835"/>
    <w:rsid w:val="6EA56F68"/>
    <w:rsid w:val="6EC461CC"/>
    <w:rsid w:val="6EC46703"/>
    <w:rsid w:val="6ED31B35"/>
    <w:rsid w:val="6EFC549E"/>
    <w:rsid w:val="6F310317"/>
    <w:rsid w:val="6F3A2165"/>
    <w:rsid w:val="6F476AA5"/>
    <w:rsid w:val="6FF84FF4"/>
    <w:rsid w:val="70060541"/>
    <w:rsid w:val="70285F75"/>
    <w:rsid w:val="703665DE"/>
    <w:rsid w:val="706A3279"/>
    <w:rsid w:val="707022D8"/>
    <w:rsid w:val="70795A00"/>
    <w:rsid w:val="70802C95"/>
    <w:rsid w:val="7086762D"/>
    <w:rsid w:val="70E16CA0"/>
    <w:rsid w:val="70F13518"/>
    <w:rsid w:val="71280F29"/>
    <w:rsid w:val="7135019E"/>
    <w:rsid w:val="716440FB"/>
    <w:rsid w:val="717B1A6C"/>
    <w:rsid w:val="71A04FFD"/>
    <w:rsid w:val="71AA1DCF"/>
    <w:rsid w:val="71B32340"/>
    <w:rsid w:val="71F9672A"/>
    <w:rsid w:val="71FE77A1"/>
    <w:rsid w:val="720B6D0C"/>
    <w:rsid w:val="72162671"/>
    <w:rsid w:val="721D01CC"/>
    <w:rsid w:val="725E1B15"/>
    <w:rsid w:val="727C06F2"/>
    <w:rsid w:val="72941EC4"/>
    <w:rsid w:val="72B7064C"/>
    <w:rsid w:val="72D36F5F"/>
    <w:rsid w:val="72EB61AE"/>
    <w:rsid w:val="73591ED0"/>
    <w:rsid w:val="7360126A"/>
    <w:rsid w:val="73616DF7"/>
    <w:rsid w:val="73803F85"/>
    <w:rsid w:val="73A0232C"/>
    <w:rsid w:val="73A77F04"/>
    <w:rsid w:val="73B175BA"/>
    <w:rsid w:val="73CD1573"/>
    <w:rsid w:val="73E90A84"/>
    <w:rsid w:val="73F43BF0"/>
    <w:rsid w:val="741929F9"/>
    <w:rsid w:val="74375E04"/>
    <w:rsid w:val="745919C6"/>
    <w:rsid w:val="745F394E"/>
    <w:rsid w:val="74702A9A"/>
    <w:rsid w:val="74C90CFC"/>
    <w:rsid w:val="74CB2564"/>
    <w:rsid w:val="74E710E2"/>
    <w:rsid w:val="74FE3D65"/>
    <w:rsid w:val="7540712D"/>
    <w:rsid w:val="7573273D"/>
    <w:rsid w:val="7587153D"/>
    <w:rsid w:val="75B52A64"/>
    <w:rsid w:val="75E13EAC"/>
    <w:rsid w:val="75F107FD"/>
    <w:rsid w:val="7608791A"/>
    <w:rsid w:val="760E6F92"/>
    <w:rsid w:val="761C2BBB"/>
    <w:rsid w:val="7631361A"/>
    <w:rsid w:val="76476BA1"/>
    <w:rsid w:val="765A3BA8"/>
    <w:rsid w:val="7677643E"/>
    <w:rsid w:val="767C2539"/>
    <w:rsid w:val="76A86BAB"/>
    <w:rsid w:val="76F10003"/>
    <w:rsid w:val="76F24F99"/>
    <w:rsid w:val="774114F6"/>
    <w:rsid w:val="775362A0"/>
    <w:rsid w:val="776A1DE8"/>
    <w:rsid w:val="77BB6441"/>
    <w:rsid w:val="77DC2F21"/>
    <w:rsid w:val="77EA6AAD"/>
    <w:rsid w:val="780C2D10"/>
    <w:rsid w:val="785D00CA"/>
    <w:rsid w:val="785E76E8"/>
    <w:rsid w:val="786C062C"/>
    <w:rsid w:val="78D863AE"/>
    <w:rsid w:val="78E36E01"/>
    <w:rsid w:val="78F364A9"/>
    <w:rsid w:val="79212831"/>
    <w:rsid w:val="79236BC4"/>
    <w:rsid w:val="792A1A22"/>
    <w:rsid w:val="79314661"/>
    <w:rsid w:val="793B5C30"/>
    <w:rsid w:val="7970595C"/>
    <w:rsid w:val="797D2D54"/>
    <w:rsid w:val="7980797E"/>
    <w:rsid w:val="79C17EE8"/>
    <w:rsid w:val="79C51696"/>
    <w:rsid w:val="79C56D77"/>
    <w:rsid w:val="79D15FE4"/>
    <w:rsid w:val="79F07533"/>
    <w:rsid w:val="79F36117"/>
    <w:rsid w:val="7A3F692E"/>
    <w:rsid w:val="7A8D09B0"/>
    <w:rsid w:val="7AA21ED1"/>
    <w:rsid w:val="7AAE6128"/>
    <w:rsid w:val="7ABB1A5A"/>
    <w:rsid w:val="7AE107C6"/>
    <w:rsid w:val="7AEB2433"/>
    <w:rsid w:val="7AEE350D"/>
    <w:rsid w:val="7B170A0B"/>
    <w:rsid w:val="7B3C2695"/>
    <w:rsid w:val="7B3C2E48"/>
    <w:rsid w:val="7B517CF8"/>
    <w:rsid w:val="7B792F7C"/>
    <w:rsid w:val="7B831C94"/>
    <w:rsid w:val="7B9453EC"/>
    <w:rsid w:val="7C0D2D6E"/>
    <w:rsid w:val="7C41761E"/>
    <w:rsid w:val="7C6B6309"/>
    <w:rsid w:val="7C767CAC"/>
    <w:rsid w:val="7C807EF4"/>
    <w:rsid w:val="7CAF0AA9"/>
    <w:rsid w:val="7CAF451D"/>
    <w:rsid w:val="7CC62A72"/>
    <w:rsid w:val="7CD4486A"/>
    <w:rsid w:val="7D153328"/>
    <w:rsid w:val="7D2943A6"/>
    <w:rsid w:val="7D5125E6"/>
    <w:rsid w:val="7D97407A"/>
    <w:rsid w:val="7D9A44BC"/>
    <w:rsid w:val="7DDD6CEA"/>
    <w:rsid w:val="7DEF588E"/>
    <w:rsid w:val="7DF52C5A"/>
    <w:rsid w:val="7E064E23"/>
    <w:rsid w:val="7E260596"/>
    <w:rsid w:val="7E4167E3"/>
    <w:rsid w:val="7E4E4DF5"/>
    <w:rsid w:val="7E565841"/>
    <w:rsid w:val="7E636E14"/>
    <w:rsid w:val="7E753189"/>
    <w:rsid w:val="7EB17677"/>
    <w:rsid w:val="7EF41B6E"/>
    <w:rsid w:val="7EFE7741"/>
    <w:rsid w:val="7F1F4848"/>
    <w:rsid w:val="7F6874AC"/>
    <w:rsid w:val="7F6B4AD7"/>
    <w:rsid w:val="7F891C56"/>
    <w:rsid w:val="7FB7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qFormat/>
    <w:uiPriority w:val="0"/>
    <w:pPr>
      <w:keepNext/>
      <w:keepLines/>
      <w:tabs>
        <w:tab w:val="left" w:pos="142"/>
        <w:tab w:val="left" w:pos="993"/>
        <w:tab w:val="left" w:pos="1418"/>
        <w:tab w:val="left" w:pos="1560"/>
      </w:tabs>
      <w:adjustRightInd w:val="0"/>
      <w:spacing w:line="377" w:lineRule="auto"/>
      <w:outlineLvl w:val="3"/>
    </w:pPr>
    <w:rPr>
      <w:rFonts w:asciiTheme="majorEastAsia" w:hAnsiTheme="majorEastAsia" w:eastAsiaTheme="majorEastAsia"/>
      <w:b/>
      <w:sz w:val="24"/>
    </w:rPr>
  </w:style>
  <w:style w:type="paragraph" w:styleId="7">
    <w:name w:val="heading 5"/>
    <w:basedOn w:val="1"/>
    <w:next w:val="1"/>
    <w:unhideWhenUsed/>
    <w:qFormat/>
    <w:uiPriority w:val="0"/>
    <w:pPr>
      <w:keepNext/>
      <w:keepLines/>
      <w:spacing w:line="372" w:lineRule="auto"/>
      <w:outlineLvl w:val="4"/>
    </w:pPr>
    <w:rPr>
      <w:rFonts w:asciiTheme="majorEastAsia" w:hAnsiTheme="majorEastAsia" w:eastAsiaTheme="majorEastAsia"/>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caption"/>
    <w:basedOn w:val="1"/>
    <w:next w:val="1"/>
    <w:unhideWhenUsed/>
    <w:qFormat/>
    <w:uiPriority w:val="0"/>
    <w:pPr>
      <w:spacing w:before="152" w:after="160"/>
    </w:pPr>
    <w:rPr>
      <w:rFonts w:ascii="Arial" w:hAnsi="Arial" w:eastAsia="黑体" w:cs="Arial"/>
      <w:sz w:val="20"/>
      <w:szCs w:val="20"/>
    </w:rPr>
  </w:style>
  <w:style w:type="paragraph" w:styleId="11">
    <w:name w:val="annotation text"/>
    <w:basedOn w:val="1"/>
    <w:link w:val="46"/>
    <w:qFormat/>
    <w:uiPriority w:val="0"/>
    <w:pPr>
      <w:jc w:val="left"/>
    </w:pPr>
  </w:style>
  <w:style w:type="paragraph" w:styleId="12">
    <w:name w:val="Body Text"/>
    <w:basedOn w:val="1"/>
    <w:qFormat/>
    <w:uiPriority w:val="0"/>
    <w:pPr>
      <w:spacing w:line="360" w:lineRule="exact"/>
    </w:pPr>
    <w:rPr>
      <w:sz w:val="24"/>
    </w:rPr>
  </w:style>
  <w:style w:type="paragraph" w:styleId="13">
    <w:name w:val="Body Text Indent"/>
    <w:basedOn w:val="1"/>
    <w:next w:val="1"/>
    <w:link w:val="49"/>
    <w:qFormat/>
    <w:uiPriority w:val="0"/>
    <w:pPr>
      <w:spacing w:after="120"/>
      <w:ind w:left="420" w:leftChars="200"/>
    </w:p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KaiTi_GB2312" w:asciiTheme="minorHAnsi" w:hAnsiTheme="minorHAnsi" w:cstheme="minorBidi"/>
      <w:sz w:val="32"/>
      <w:szCs w:val="22"/>
    </w:rPr>
  </w:style>
  <w:style w:type="paragraph" w:styleId="16">
    <w:name w:val="Balloon Text"/>
    <w:basedOn w:val="1"/>
    <w:link w:val="4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annotation subject"/>
    <w:basedOn w:val="11"/>
    <w:next w:val="11"/>
    <w:link w:val="47"/>
    <w:qFormat/>
    <w:uiPriority w:val="0"/>
    <w:rPr>
      <w:b/>
      <w:bCs/>
    </w:rPr>
  </w:style>
  <w:style w:type="paragraph" w:styleId="22">
    <w:name w:val="Body Text First Indent"/>
    <w:basedOn w:val="1"/>
    <w:qFormat/>
    <w:uiPriority w:val="0"/>
    <w:pPr>
      <w:ind w:firstLine="200" w:firstLineChars="200"/>
    </w:pPr>
  </w:style>
  <w:style w:type="paragraph" w:styleId="23">
    <w:name w:val="Body Text First Indent 2"/>
    <w:basedOn w:val="13"/>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character" w:styleId="27">
    <w:name w:val="Hyperlink"/>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Char1"/>
    <w:basedOn w:val="1"/>
    <w:qFormat/>
    <w:uiPriority w:val="0"/>
    <w:rPr>
      <w:rFonts w:ascii="Tahoma" w:hAnsi="Tahoma"/>
      <w:sz w:val="24"/>
      <w:szCs w:val="20"/>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列出段落1"/>
    <w:basedOn w:val="1"/>
    <w:qFormat/>
    <w:uiPriority w:val="0"/>
    <w:pPr>
      <w:ind w:firstLine="420" w:firstLineChars="200"/>
    </w:pPr>
    <w:rPr>
      <w:rFonts w:ascii="Calibri" w:hAnsi="Calibri"/>
      <w:kern w:val="0"/>
      <w:szCs w:val="20"/>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Comment Text Char"/>
    <w:basedOn w:val="26"/>
    <w:link w:val="11"/>
    <w:qFormat/>
    <w:uiPriority w:val="0"/>
    <w:rPr>
      <w:rFonts w:ascii="Times New Roman" w:hAnsi="Times New Roman" w:eastAsia="宋体" w:cs="Times New Roman"/>
      <w:kern w:val="2"/>
      <w:sz w:val="21"/>
      <w:szCs w:val="24"/>
    </w:rPr>
  </w:style>
  <w:style w:type="character" w:customStyle="1" w:styleId="47">
    <w:name w:val="Comment Subject Char"/>
    <w:basedOn w:val="46"/>
    <w:link w:val="21"/>
    <w:qFormat/>
    <w:uiPriority w:val="0"/>
    <w:rPr>
      <w:rFonts w:ascii="Times New Roman" w:hAnsi="Times New Roman" w:eastAsia="宋体" w:cs="Times New Roman"/>
      <w:b/>
      <w:bCs/>
      <w:kern w:val="2"/>
      <w:sz w:val="21"/>
      <w:szCs w:val="24"/>
    </w:rPr>
  </w:style>
  <w:style w:type="character" w:customStyle="1" w:styleId="48">
    <w:name w:val="Balloon Text Char"/>
    <w:basedOn w:val="26"/>
    <w:link w:val="16"/>
    <w:qFormat/>
    <w:uiPriority w:val="0"/>
    <w:rPr>
      <w:rFonts w:ascii="Times New Roman" w:hAnsi="Times New Roman" w:eastAsia="宋体" w:cs="Times New Roman"/>
      <w:kern w:val="2"/>
      <w:sz w:val="18"/>
      <w:szCs w:val="18"/>
    </w:rPr>
  </w:style>
  <w:style w:type="character" w:customStyle="1" w:styleId="49">
    <w:name w:val="Body Text Indent Char"/>
    <w:basedOn w:val="26"/>
    <w:link w:val="13"/>
    <w:qFormat/>
    <w:uiPriority w:val="0"/>
    <w:rPr>
      <w:kern w:val="2"/>
      <w:sz w:val="21"/>
      <w:szCs w:val="24"/>
    </w:rPr>
  </w:style>
  <w:style w:type="paragraph" w:customStyle="1" w:styleId="5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2">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53">
    <w:name w:val="正文首行缩进（绿盟科技）"/>
    <w:basedOn w:val="54"/>
    <w:qFormat/>
    <w:uiPriority w:val="0"/>
    <w:pPr>
      <w:spacing w:after="50"/>
      <w:ind w:firstLine="200" w:firstLineChars="200"/>
    </w:pPr>
  </w:style>
  <w:style w:type="paragraph" w:customStyle="1" w:styleId="5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5">
    <w:name w:val="无"/>
    <w:qFormat/>
    <w:uiPriority w:val="0"/>
  </w:style>
  <w:style w:type="character" w:customStyle="1" w:styleId="56">
    <w:name w:val="标题 1 Char Char"/>
    <w:basedOn w:val="26"/>
    <w:qFormat/>
    <w:uiPriority w:val="0"/>
    <w:rPr>
      <w:rFonts w:eastAsia="宋体"/>
      <w:b/>
      <w:spacing w:val="-2"/>
      <w:sz w:val="24"/>
      <w:lang w:val="en-US" w:eastAsia="zh-CN" w:bidi="ar-SA"/>
    </w:rPr>
  </w:style>
  <w:style w:type="character" w:customStyle="1" w:styleId="57">
    <w:name w:val="font51"/>
    <w:basedOn w:val="26"/>
    <w:qFormat/>
    <w:uiPriority w:val="0"/>
    <w:rPr>
      <w:rFonts w:hint="eastAsia" w:ascii="宋体" w:hAnsi="宋体" w:eastAsia="宋体" w:cs="宋体"/>
      <w:color w:val="000000"/>
      <w:sz w:val="18"/>
      <w:szCs w:val="18"/>
      <w:u w:val="none"/>
    </w:rPr>
  </w:style>
  <w:style w:type="character" w:customStyle="1" w:styleId="58">
    <w:name w:val="font61"/>
    <w:basedOn w:val="26"/>
    <w:qFormat/>
    <w:uiPriority w:val="0"/>
    <w:rPr>
      <w:rFonts w:hint="eastAsia" w:ascii="宋体" w:hAnsi="宋体" w:eastAsia="宋体" w:cs="宋体"/>
      <w:b/>
      <w:color w:val="FF0000"/>
      <w:sz w:val="18"/>
      <w:szCs w:val="18"/>
      <w:u w:val="none"/>
    </w:rPr>
  </w:style>
  <w:style w:type="character" w:customStyle="1" w:styleId="59">
    <w:name w:val="font41"/>
    <w:basedOn w:val="26"/>
    <w:qFormat/>
    <w:uiPriority w:val="0"/>
    <w:rPr>
      <w:rFonts w:hint="eastAsia" w:ascii="宋体" w:hAnsi="宋体" w:eastAsia="宋体" w:cs="宋体"/>
      <w:color w:val="000000"/>
      <w:sz w:val="18"/>
      <w:szCs w:val="18"/>
      <w:u w:val="none"/>
    </w:rPr>
  </w:style>
  <w:style w:type="character" w:customStyle="1" w:styleId="60">
    <w:name w:val="font01"/>
    <w:basedOn w:val="26"/>
    <w:qFormat/>
    <w:uiPriority w:val="0"/>
    <w:rPr>
      <w:rFonts w:hint="eastAsia" w:ascii="宋体" w:hAnsi="宋体" w:eastAsia="宋体" w:cs="宋体"/>
      <w:color w:val="000000"/>
      <w:sz w:val="24"/>
      <w:szCs w:val="24"/>
      <w:u w:val="none"/>
    </w:rPr>
  </w:style>
  <w:style w:type="paragraph" w:customStyle="1" w:styleId="61">
    <w:name w:val="_Style 253"/>
    <w:basedOn w:val="1"/>
    <w:next w:val="22"/>
    <w:qFormat/>
    <w:uiPriority w:val="99"/>
  </w:style>
  <w:style w:type="paragraph" w:customStyle="1" w:styleId="62">
    <w:name w:val="*正文"/>
    <w:basedOn w:val="1"/>
    <w:qFormat/>
    <w:uiPriority w:val="0"/>
    <w:pPr>
      <w:spacing w:line="300" w:lineRule="auto"/>
      <w:ind w:firstLine="480" w:firstLineChars="200"/>
    </w:pPr>
    <w:rPr>
      <w:rFonts w:ascii="宋体" w:hAnsi="宋体"/>
      <w:bCs/>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样式1"/>
    <w:basedOn w:val="1"/>
    <w:qFormat/>
    <w:uiPriority w:val="0"/>
    <w:pPr>
      <w:tabs>
        <w:tab w:val="left" w:pos="0"/>
      </w:tabs>
    </w:pPr>
    <w:rPr>
      <w:rFonts w:ascii="宋体"/>
      <w:szCs w:val="21"/>
    </w:rPr>
  </w:style>
  <w:style w:type="character" w:customStyle="1" w:styleId="65">
    <w:name w:val="font11"/>
    <w:basedOn w:val="26"/>
    <w:qFormat/>
    <w:uiPriority w:val="0"/>
    <w:rPr>
      <w:rFonts w:hint="eastAsia" w:ascii="宋体" w:hAnsi="宋体" w:eastAsia="宋体" w:cs="宋体"/>
      <w:color w:val="0D0D0D"/>
      <w:sz w:val="18"/>
      <w:szCs w:val="18"/>
      <w:u w:val="none"/>
      <w:vertAlign w:val="superscript"/>
    </w:rPr>
  </w:style>
  <w:style w:type="character" w:customStyle="1" w:styleId="66">
    <w:name w:val="font101"/>
    <w:basedOn w:val="26"/>
    <w:qFormat/>
    <w:uiPriority w:val="0"/>
    <w:rPr>
      <w:rFonts w:hint="default" w:ascii="Times New Roman" w:hAnsi="Times New Roman" w:cs="Times New Roman"/>
      <w:b/>
      <w:color w:val="0D0D0D"/>
      <w:sz w:val="18"/>
      <w:szCs w:val="18"/>
      <w:u w:val="none"/>
    </w:rPr>
  </w:style>
  <w:style w:type="character" w:customStyle="1" w:styleId="67">
    <w:name w:val="font112"/>
    <w:basedOn w:val="26"/>
    <w:qFormat/>
    <w:uiPriority w:val="0"/>
    <w:rPr>
      <w:rFonts w:hint="default" w:ascii="Arial" w:hAnsi="Arial" w:cs="Arial"/>
      <w:color w:val="0D0D0D"/>
      <w:sz w:val="18"/>
      <w:szCs w:val="18"/>
      <w:u w:val="none"/>
    </w:rPr>
  </w:style>
  <w:style w:type="paragraph" w:customStyle="1" w:styleId="68">
    <w:name w:val="正文 + 宋体"/>
    <w:basedOn w:val="1"/>
    <w:qFormat/>
    <w:uiPriority w:val="0"/>
    <w:pPr>
      <w:spacing w:line="360" w:lineRule="auto"/>
    </w:pPr>
    <w:rPr>
      <w:rFonts w:ascii="宋体" w:hAnsi="宋体"/>
      <w:kern w:val="0"/>
      <w:sz w:val="28"/>
      <w:szCs w:val="28"/>
    </w:rPr>
  </w:style>
  <w:style w:type="paragraph" w:customStyle="1" w:styleId="69">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
    <w:name w:val="Table Paragraph"/>
    <w:basedOn w:val="1"/>
    <w:qFormat/>
    <w:uiPriority w:val="1"/>
    <w:pPr>
      <w:jc w:val="left"/>
    </w:pPr>
    <w:rPr>
      <w:rFonts w:ascii="Calibri" w:hAnsi="Calibri"/>
      <w:kern w:val="0"/>
      <w:sz w:val="22"/>
      <w:szCs w:val="22"/>
      <w:lang w:eastAsia="en-US"/>
    </w:rPr>
  </w:style>
  <w:style w:type="paragraph" w:customStyle="1" w:styleId="7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75</Pages>
  <Words>5616</Words>
  <Characters>32014</Characters>
  <Lines>266</Lines>
  <Paragraphs>75</Paragraphs>
  <TotalTime>2</TotalTime>
  <ScaleCrop>false</ScaleCrop>
  <LinksUpToDate>false</LinksUpToDate>
  <CharactersWithSpaces>37555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2019-07-25T01:04:00Z</dcterms:created>
  <dc:creator>S-mile</dc:creator>
  <cp:lastModifiedBy>lenovo</cp:lastModifiedBy>
  <cp:lastPrinted>2020-08-25T08:56:00Z</cp:lastPrinted>
  <dcterms:modified xsi:type="dcterms:W3CDTF">2020-09-03T06:13:39Z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